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7D989637" w:rsidR="00532F5A" w:rsidRDefault="00532F5A" w:rsidP="00FE6279">
      <w:r>
        <w:t>Dave Bridges</w:t>
      </w:r>
      <w:r w:rsidRPr="00532F5A">
        <w:rPr>
          <w:vertAlign w:val="superscript"/>
        </w:rPr>
        <w:t>1,2,3</w:t>
      </w:r>
      <w:r>
        <w:t>, Alyse Ragauskas</w:t>
      </w:r>
      <w:r w:rsidRPr="00532F5A">
        <w:rPr>
          <w:vertAlign w:val="superscript"/>
        </w:rPr>
        <w:t>1,2</w:t>
      </w:r>
      <w:r>
        <w:t>, Erin Stephenson</w:t>
      </w:r>
      <w:r w:rsidRPr="00532F5A">
        <w:rPr>
          <w:vertAlign w:val="superscript"/>
        </w:rPr>
        <w:t>1,2</w:t>
      </w:r>
      <w:r>
        <w:t>, Sridhar Jaligama</w:t>
      </w:r>
      <w:r w:rsidRPr="00532F5A">
        <w:rPr>
          <w:vertAlign w:val="superscript"/>
        </w:rPr>
        <w:t>2</w:t>
      </w:r>
      <w:r>
        <w:t>, Jyothi Parvathareddy</w:t>
      </w:r>
      <w:r w:rsidRPr="00532F5A">
        <w:rPr>
          <w:vertAlign w:val="superscript"/>
        </w:rPr>
        <w:t>2</w:t>
      </w:r>
      <w:r>
        <w:t xml:space="preserve">, </w:t>
      </w:r>
      <w:commentRangeStart w:id="0"/>
      <w:r>
        <w:t>Kathryn Cyrus</w:t>
      </w:r>
      <w:r w:rsidRPr="00532F5A">
        <w:rPr>
          <w:vertAlign w:val="superscript"/>
        </w:rPr>
        <w:t>1,2</w:t>
      </w:r>
      <w:r>
        <w:t xml:space="preserve"> </w:t>
      </w:r>
      <w:commentRangeEnd w:id="0"/>
      <w:r>
        <w:rPr>
          <w:rStyle w:val="CommentReference"/>
        </w:rPr>
        <w:commentReference w:id="0"/>
      </w:r>
      <w:r>
        <w:t>and Matthew J. Peloquin</w:t>
      </w:r>
      <w:r w:rsidRPr="00532F5A">
        <w:rPr>
          <w:vertAlign w:val="superscript"/>
        </w:rPr>
        <w:t>1,2</w:t>
      </w:r>
      <w:r>
        <w:t xml:space="preserve"> and Stephania A. Cormier</w:t>
      </w:r>
      <w:r w:rsidRPr="00532F5A">
        <w:rPr>
          <w:vertAlign w:val="superscript"/>
        </w:rPr>
        <w:t>2</w:t>
      </w:r>
      <w:r>
        <w:rPr>
          <w:vertAlign w:val="superscript"/>
        </w:rPr>
        <w:t>,3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Department of Pediatrics, University of Tennsessee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535157" w:rsidP="00FE6279">
      <w:hyperlink r:id="rId6" w:history="1">
        <w:r w:rsidR="00532F5A" w:rsidRPr="00A15B79">
          <w:rPr>
            <w:rStyle w:val="Hyperlink"/>
          </w:rPr>
          <w:t>dbridge9@uthsc.edu</w:t>
        </w:r>
      </w:hyperlink>
      <w:r w:rsidR="00532F5A">
        <w:t xml:space="preserve"> and </w:t>
      </w:r>
      <w:hyperlink r:id="rId7" w:history="1">
        <w:r w:rsidR="00532F5A" w:rsidRPr="00A15B79">
          <w:rPr>
            <w:rStyle w:val="Hyperlink"/>
          </w:rPr>
          <w:t>scormier@uthsc.edu</w:t>
        </w:r>
      </w:hyperlink>
    </w:p>
    <w:p w14:paraId="42287396" w14:textId="77777777" w:rsidR="00532F5A" w:rsidRDefault="00532F5A" w:rsidP="00FE6279"/>
    <w:p w14:paraId="4DDA8152" w14:textId="77777777" w:rsidR="00532F5A" w:rsidRDefault="00532F5A" w:rsidP="00FE6279"/>
    <w:p w14:paraId="0DCBD78A" w14:textId="77777777" w:rsidR="00881AC0" w:rsidRDefault="007221E6" w:rsidP="007221E6">
      <w:pPr>
        <w:pStyle w:val="Heading1"/>
      </w:pPr>
      <w:r>
        <w:t>Abstract</w:t>
      </w:r>
    </w:p>
    <w:p w14:paraId="601876B0" w14:textId="77777777" w:rsidR="007221E6" w:rsidRDefault="007221E6" w:rsidP="007221E6">
      <w:pPr>
        <w:pStyle w:val="Heading1"/>
      </w:pPr>
      <w:r>
        <w:t>Introduction</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1"/>
      <w:r>
        <w:t>Steph can you write this section</w:t>
      </w:r>
      <w:commentRangeEnd w:id="1"/>
      <w:r>
        <w:rPr>
          <w:rStyle w:val="CommentReference"/>
        </w:rPr>
        <w:commentReference w:id="1"/>
      </w:r>
    </w:p>
    <w:p w14:paraId="630D13CB" w14:textId="01725080" w:rsidR="00230B4A" w:rsidRDefault="00230B4A" w:rsidP="00230B4A">
      <w:pPr>
        <w:pStyle w:val="Heading2"/>
      </w:pPr>
      <w:r>
        <w:t>Animal Housing and High Fat Diet</w:t>
      </w:r>
    </w:p>
    <w:p w14:paraId="67DFDF7D" w14:textId="3F671FD2"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33F5A9F" w:rsidR="008A7513" w:rsidRDefault="008A7513" w:rsidP="008A7513">
      <w:pPr>
        <w:pStyle w:val="Heading2"/>
      </w:pPr>
      <w:r>
        <w:t>Metabolite Assays and Liver Triglyceride Determination</w:t>
      </w:r>
    </w:p>
    <w:p w14:paraId="10847BA1" w14:textId="2F6CBD6D" w:rsidR="008A7513" w:rsidRPr="008A7513" w:rsidRDefault="008A7513" w:rsidP="008A7513">
      <w:r>
        <w:t xml:space="preserve">Liver triglycerides were determined as previously described </w:t>
      </w:r>
      <w:r>
        <w:fldChar w:fldCharType="begin" w:fldLock="1"/>
      </w:r>
      <w:r w:rsidR="00E16694">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"http://www.mendeley.com/documents/?uuid=098fbdfd-260f-433b-93e7-c3a8071dc6b2" ] } ], "mendeley" : { "formattedCitation" : "[1]", "plainTextFormattedCitation" : "[1]", "previouslyFormattedCitation" : "[1]" }, "properties" : { "noteIndex" : 0 }, "schema" : "https://github.com/citation-style-language/schema/raw/master/csl-citation.json" }</w:instrText>
      </w:r>
      <w:r>
        <w:fldChar w:fldCharType="separate"/>
      </w:r>
      <w:r w:rsidRPr="008A7513">
        <w:rPr>
          <w:noProof/>
        </w:rPr>
        <w:t>[1]</w:t>
      </w:r>
      <w:r>
        <w:fldChar w:fldCharType="end"/>
      </w:r>
      <w:r>
        <w:t xml:space="preserve">.  Briefly, liver tissue was homogenized in XXX, then extracted with a 2:1 chloroform:methanol solution.  The lipid phase was then removed, dried and resuspended.  Triglycerides were </w:t>
      </w:r>
      <w:r>
        <w:lastRenderedPageBreak/>
        <w:t>measured using a colorimetric assay (Sigma-Aldrich, catalog TR0100).  Glucose was determined using an Accucheck glucometer.  Serum hormone levels were determined using a BioRad multiplex analyte assay</w:t>
      </w:r>
      <w:r w:rsidR="00C82568">
        <w:t xml:space="preserve"> (</w:t>
      </w:r>
      <w:commentRangeStart w:id="2"/>
      <w:r w:rsidR="00C82568">
        <w:t xml:space="preserve">catalog </w:t>
      </w:r>
      <w:r>
        <w:t xml:space="preserve">, </w:t>
      </w:r>
      <w:commentRangeEnd w:id="2"/>
      <w:r w:rsidR="00FC49AE">
        <w:rPr>
          <w:rStyle w:val="CommentReference"/>
        </w:rPr>
        <w:commentReference w:id="2"/>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2E2AF43E" w:rsidR="0012599A" w:rsidRPr="0012599A" w:rsidRDefault="00FC49AE" w:rsidP="0012599A">
      <w:r>
        <w:t xml:space="preserve">Energy expenditure, ambulatory locomotor activity and respiratory exchange ratios were determined in a home-cage style comprehensive laboratory animal monitoring system (Columbus Instruments).  Mice were placed in the cages at approximately ZT10 and monitored for </w:t>
      </w:r>
      <w:commentRangeStart w:id="3"/>
      <w:r>
        <w:t xml:space="preserve">3-4 </w:t>
      </w:r>
      <w:commentRangeEnd w:id="3"/>
      <w:r>
        <w:rPr>
          <w:rStyle w:val="CommentReference"/>
        </w:rPr>
        <w:commentReference w:id="3"/>
      </w:r>
      <w:r>
        <w:t xml:space="preserve">days.  Data from the first 6h were discarded as this was the approximate amount of time for the mice to become accustomed to their new single-caged environment.  </w:t>
      </w:r>
      <w:r w:rsidR="009A6E08">
        <w:t>The Oxymax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x-phase physical activity and the food consumption</w:t>
      </w:r>
      <w:r w:rsidR="00D56482">
        <w:t>.</w:t>
      </w:r>
    </w:p>
    <w:p w14:paraId="368F1F32" w14:textId="2BAC9935" w:rsidR="00576C73" w:rsidRDefault="00576C73" w:rsidP="00576C73">
      <w:pPr>
        <w:pStyle w:val="Heading2"/>
      </w:pPr>
      <w:r>
        <w:t>Statistics</w:t>
      </w:r>
    </w:p>
    <w:p w14:paraId="177E4A24" w14:textId="1C1D409F"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E16694">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fldChar w:fldCharType="separate"/>
      </w:r>
      <w:r w:rsidR="008A7513" w:rsidRPr="008A7513">
        <w:rPr>
          <w:noProof/>
        </w:rPr>
        <w:t>[3]</w:t>
      </w:r>
      <w:r>
        <w:fldChar w:fldCharType="end"/>
      </w:r>
      <w:r>
        <w:t>).  In all cases, normality of the data and models were d</w:t>
      </w:r>
      <w:r w:rsidR="0012599A">
        <w:t>etermined via Shapiro-Wilk Test</w:t>
      </w:r>
      <w:r>
        <w:t xml:space="preserve"> and equal variance was tested using Levene’s test from the car package (version 2.0-21 </w:t>
      </w:r>
      <w:r>
        <w:fldChar w:fldCharType="begin" w:fldLock="1"/>
      </w:r>
      <w:r w:rsidR="00E16694">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"[4]", "plainTextFormattedCitation" : "[4]", "previouslyFormattedCitation" : "[4]" }, "properties" : { "noteIndex" : 0 }, "schema" : "https://github.com/citation-style-language/schema/raw/master/csl-citation.json" }</w:instrText>
      </w:r>
      <w:r>
        <w:fldChar w:fldCharType="separate"/>
      </w:r>
      <w:r w:rsidR="008A7513" w:rsidRPr="008A7513">
        <w:rPr>
          <w:noProof/>
        </w:rPr>
        <w:t>[4]</w:t>
      </w:r>
      <w:r>
        <w:fldChar w:fldCharType="end"/>
      </w:r>
      <w:r w:rsidR="00031FF5">
        <w:t xml:space="preserve">). </w:t>
      </w:r>
      <w:r w:rsidR="0012599A">
        <w:t xml:space="preserve">In cases where cabosil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4C3CD7">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"\n        From Duplicate 1 ( \n        \n          A guide to analysis of mouse energy metabolism\n        \n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        \n        \n\n        \n\n        \n\n      ", "page" : "57-63", "title" : "A guide to analysis of mouse energy metabolism", "type" : "article-journal", "volume" : "9" }, "uris" : [ "http://www.mendeley.com/documents/?uuid=7200ae06-3e84-4cb9-8831-035cc6185906" ] } ], "mendeley" : { "formattedCitation" : "[5]", "plainTextFormattedCitation" : "[5]", "previouslyFormattedCitation" : "[5]" }, "properties" : { "noteIndex" : 0 }, "schema" : "https://github.com/citation-style-language/schema/raw/master/csl-citation.json" }</w:instrText>
      </w:r>
      <w:r w:rsidR="009332E7">
        <w:fldChar w:fldCharType="separate"/>
      </w:r>
      <w:r w:rsidR="009332E7" w:rsidRPr="009332E7">
        <w:rPr>
          <w:noProof/>
        </w:rPr>
        <w:t>[5]</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0F86A15" w:rsidR="00230B4A" w:rsidRDefault="00230B4A" w:rsidP="00230B4A">
      <w:r>
        <w:t xml:space="preserve">To test whether gestational exposure to an environmentally persistent free radical, we treated pregnant females with two exposures of MCP230 </w:t>
      </w:r>
      <w:r w:rsidR="005E42A8">
        <w:t xml:space="preserve">on gestational day 10 and 17.  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5CAAC40B" w:rsidR="005E42A8" w:rsidRDefault="005E42A8" w:rsidP="00230B4A">
      <w:r>
        <w:t xml:space="preserve">As shown in Figure 1B, mice that were pre-treated with MCP230 started at a higher body weight and proceeded to gain more weight </w:t>
      </w:r>
      <w:commentRangeStart w:id="4"/>
      <w:r>
        <w:t>during the diet</w:t>
      </w:r>
      <w:commentRangeEnd w:id="4"/>
      <w:r w:rsidR="006F47B0">
        <w:rPr>
          <w:rStyle w:val="CommentReference"/>
        </w:rPr>
        <w:commentReference w:id="4"/>
      </w:r>
      <w:r>
        <w:t>.</w:t>
      </w:r>
      <w:r w:rsidR="00441A6B">
        <w:t xml:space="preserve">  At the end of the </w:t>
      </w:r>
      <w:r w:rsidR="00D63FB0">
        <w:t xml:space="preserve">12-week </w:t>
      </w:r>
      <w:r w:rsidR="00441A6B">
        <w:t xml:space="preserve">diet, we </w:t>
      </w:r>
      <w:r w:rsidR="00D63FB0">
        <w:t>observed a XXg (XX%) 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was unchanged (Figure 1E</w:t>
      </w:r>
      <w:r w:rsidR="00D63FB0">
        <w:t>).</w:t>
      </w:r>
    </w:p>
    <w:p w14:paraId="450E0228" w14:textId="77777777" w:rsidR="008A533B" w:rsidRDefault="008A533B" w:rsidP="00230B4A"/>
    <w:p w14:paraId="3D1479E2" w14:textId="77777777" w:rsidR="00BE555B" w:rsidRDefault="008A533B" w:rsidP="00230B4A">
      <w:r>
        <w:t>W</w:t>
      </w:r>
      <w:r w:rsidR="00140BB6">
        <w:t>e next evaluated the extent of obesity related co-morbidities in these mice</w:t>
      </w:r>
      <w:r>
        <w:t xml:space="preserve">.  As shown in </w:t>
      </w:r>
      <w:r w:rsidR="00535157">
        <w:t>Figure 2</w:t>
      </w:r>
      <w:r w:rsidR="008A7513">
        <w:t>A</w:t>
      </w:r>
      <w:r>
        <w:t xml:space="preserve">, hepatic steatosis was elevated </w:t>
      </w:r>
      <w:r w:rsidR="00140BB6">
        <w:t xml:space="preserve">by high fat diet </w:t>
      </w:r>
      <w:r>
        <w:t xml:space="preserve">to an equal extent in both groups of mice.  We </w:t>
      </w:r>
      <w:r w:rsidR="008A7513">
        <w:t>also examined no changes in blood</w:t>
      </w:r>
      <w:r w:rsidR="00535157">
        <w:t xml:space="preserve"> glucose (Figure 2</w:t>
      </w:r>
      <w:r w:rsidR="008A7513">
        <w:t xml:space="preserve">B). </w:t>
      </w:r>
      <w:r w:rsidR="00BE555B">
        <w:t>As shown in Figure 2C, we also did not observe any changes in hyerinsulinemia, suggesting no alterations in insulin sensitivity between the saline and MCP230 treated mice after high fat diet.</w:t>
      </w:r>
      <w:r w:rsidR="00140BB6">
        <w:t xml:space="preserve"> </w:t>
      </w:r>
    </w:p>
    <w:p w14:paraId="236D238F" w14:textId="77777777" w:rsidR="00C16E77" w:rsidRDefault="00C16E77" w:rsidP="00230B4A"/>
    <w:p w14:paraId="7422FC7B" w14:textId="3783A002" w:rsidR="00DC7316" w:rsidRDefault="00BE555B" w:rsidP="00230B4A">
      <w:r>
        <w:t>To test</w:t>
      </w:r>
      <w:r w:rsidR="008A7513">
        <w:t xml:space="preserve"> </w:t>
      </w:r>
      <w:r w:rsidR="00535157">
        <w:t>whether there were any other changes in key metabolic hormone levels, we evaluated the levels of a panel of these from fasted mi</w:t>
      </w:r>
      <w:r>
        <w:t>ce.  As shown in F</w:t>
      </w:r>
      <w:r w:rsidR="006B74D4">
        <w:t>igures 2E</w:t>
      </w:r>
      <w:r w:rsidR="00AD4748">
        <w:t>-F, we did not observe</w:t>
      </w:r>
      <w:r>
        <w:t xml:space="preserve"> any changes in resistin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t>MCP230 Mice Have Reduced Caloric Intake</w:t>
      </w:r>
    </w:p>
    <w:p w14:paraId="5F88E6AF" w14:textId="5DCF3C86"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0A10E7">
        <w:t xml:space="preserve">the mice tended to eat lower amounts of 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5"/>
      <w:r w:rsidR="00FB2906">
        <w:t>10 weeks of age</w:t>
      </w:r>
      <w:commentRangeEnd w:id="5"/>
      <w:r w:rsidR="0038128F">
        <w:rPr>
          <w:rStyle w:val="CommentReference"/>
        </w:rPr>
        <w:commentReference w:id="5"/>
      </w:r>
      <w:r w:rsidR="00FB2906">
        <w:t xml:space="preserve">.  These mice also consumed </w:t>
      </w:r>
      <w:commentRangeStart w:id="6"/>
      <w:r w:rsidR="00FB2906">
        <w:t>less food</w:t>
      </w:r>
      <w:commentRangeEnd w:id="6"/>
      <w:r w:rsidR="00FB2906">
        <w:rPr>
          <w:rStyle w:val="CommentReference"/>
        </w:rPr>
        <w:commentReference w:id="6"/>
      </w:r>
      <w:r w:rsidR="00FB2906">
        <w:t>.  Together these data suggest that the larger, particulate treated mice did not gain more weight due to caloric intake, and in fact had substantially less calories consumed.</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633D7CB8" w:rsidR="00FB2906" w:rsidRDefault="004A4358" w:rsidP="00230B4A">
      <w:r>
        <w:t xml:space="preserve">Since the MCP230 mice did not appear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11C3BD57" w:rsidR="00622E03" w:rsidRDefault="00126ED1" w:rsidP="00230B4A">
      <w:r>
        <w:t>As shown in Figure 3C, the MCP230 treated mice had lower energy expenditure as determined by indirect calorimetry.  Figure 3D</w:t>
      </w:r>
      <w:r w:rsidR="00622E03">
        <w:t xml:space="preserve"> </w:t>
      </w:r>
      <w:r>
        <w:t>describes</w:t>
      </w:r>
      <w:r w:rsidR="00622E03">
        <w:t xml:space="preserve"> the energy expenditure, as determined by the volume of O</w:t>
      </w:r>
      <w:r w:rsidR="00622E03">
        <w:rPr>
          <w:vertAlign w:val="subscript"/>
        </w:rPr>
        <w:t>2</w:t>
      </w:r>
      <w:r w:rsidR="00622E03">
        <w:t xml:space="preserve"> consumed for each mouse, plotted against </w:t>
      </w:r>
      <w:r>
        <w:t>the animal’s</w:t>
      </w:r>
      <w:r w:rsidR="00622E03">
        <w:t xml:space="preserve"> lean body mass.  </w:t>
      </w:r>
      <w:r w:rsidR="004C3CD7">
        <w:t xml:space="preserve">Accounting for change in </w:t>
      </w:r>
      <w:r w:rsidR="009332E7">
        <w:t>lean body mass is necessary due to known associations between this covariate and oxygen consumption</w:t>
      </w:r>
      <w:r w:rsidR="004C3CD7">
        <w:t xml:space="preserve"> rates</w:t>
      </w:r>
      <w:r w:rsidR="009332E7">
        <w:t xml:space="preserve"> </w:t>
      </w:r>
      <w:r w:rsidR="004C3CD7">
        <w:fldChar w:fldCharType="begin" w:fldLock="1"/>
      </w:r>
      <w:r w:rsidR="004C3CD7">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"\n        From Duplicate 1 ( \n        \n          A guide to analysis of mouse energy metabolism\n        \n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        \n        \n\n        \n\n        \n\n      ", "page" : "57-63", "title" : "A guide to analysis of mouse energy metabolism", "type" : "article-journal", "volume" : "9" }, "uris" : [ "http://www.mendeley.com/documents/?uuid=7200ae06-3e84-4cb9-8831-035cc6185906" ] } ], "mendeley" : { "formattedCitation" : "[5]", "plainTextFormattedCitation" : "[5]" }, "properties" : { "noteIndex" : 0 }, "schema" : "https://github.com/citation-style-language/schema/raw/master/csl-citation.json" }</w:instrText>
      </w:r>
      <w:r w:rsidR="004C3CD7">
        <w:fldChar w:fldCharType="separate"/>
      </w:r>
      <w:r w:rsidR="004C3CD7" w:rsidRPr="004C3CD7">
        <w:rPr>
          <w:noProof/>
        </w:rPr>
        <w:t>[5]</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7E889616" w:rsidR="001E12F3" w:rsidRPr="00622E03" w:rsidRDefault="001E12F3" w:rsidP="00230B4A">
      <w:r>
        <w:t xml:space="preserve">To determine whether these decreases in energy expenditure were </w:t>
      </w:r>
      <w:r w:rsidR="008612D1">
        <w:t>correlated with changes in</w:t>
      </w:r>
      <w:r>
        <w:t xml:space="preserve"> locomotor activity, we simultaneously monitored ambulatory activity of these mice.  As shown in Figure 3E, we observed </w:t>
      </w:r>
      <w:r w:rsidR="00DE49ED">
        <w:t xml:space="preserve">a 21.4% reduction in activity in the dark phase (p=0.040) and a </w:t>
      </w:r>
      <w:r w:rsidR="00B425D2">
        <w:t>26.2% decrease in light phase locomotor activity (p=0.0099)</w:t>
      </w:r>
      <w:r w:rsidR="008612D1">
        <w:t>.</w:t>
      </w:r>
    </w:p>
    <w:p w14:paraId="37032314" w14:textId="77777777" w:rsidR="008A533B" w:rsidRDefault="008A533B" w:rsidP="00230B4A"/>
    <w:p w14:paraId="0E6584DE" w14:textId="67A700E1" w:rsidR="008A533B" w:rsidRPr="008C5F05" w:rsidRDefault="008A533B" w:rsidP="008A533B">
      <w:pPr>
        <w:pStyle w:val="Heading2"/>
      </w:pPr>
      <w:r>
        <w:t>Muscles from MCP230 Treated Mice Have Reduced Mitochondrial Content</w:t>
      </w:r>
    </w:p>
    <w:p w14:paraId="584D0542" w14:textId="77777777" w:rsidR="007221E6" w:rsidRDefault="007221E6" w:rsidP="007221E6">
      <w:pPr>
        <w:pStyle w:val="Heading1"/>
      </w:pPr>
      <w:r>
        <w:t>Discussion</w:t>
      </w:r>
    </w:p>
    <w:p w14:paraId="26663291" w14:textId="11733CC7" w:rsidR="0098441B" w:rsidRDefault="00317C44" w:rsidP="00E16694">
      <w:r>
        <w:t xml:space="preserve">In this study we have </w:t>
      </w:r>
      <w:r w:rsidR="0098441B">
        <w:t>tested</w:t>
      </w:r>
      <w:r>
        <w:t xml:space="preserve"> the effects of </w:t>
      </w:r>
      <w:r w:rsidR="0098441B">
        <w:t xml:space="preserve">a limited </w:t>
      </w:r>
      <w:r>
        <w:t>gestational</w:t>
      </w:r>
      <w:r w:rsidR="0098441B">
        <w:t xml:space="preserve"> exposure to a environmentally persistent free radical associated with particulate matter as a mimic of combustion derived pollutants.  We have noted that these mice grew larger in spite of reductions in food intake, likely due to reduced energy expenditure and mitochondrial number. </w:t>
      </w:r>
    </w:p>
    <w:p w14:paraId="7E00D471" w14:textId="77777777" w:rsidR="0098441B" w:rsidRDefault="0098441B" w:rsidP="00E16694"/>
    <w:p w14:paraId="09944BE2" w14:textId="7C8CBC0E" w:rsidR="00186D81" w:rsidRDefault="00592A7F" w:rsidP="00E16694">
      <w:r>
        <w:t xml:space="preserve">The appetite stimulating hormone ghrelin is </w:t>
      </w:r>
      <w:r w:rsidR="0098441B">
        <w:t xml:space="preserve">typically </w:t>
      </w:r>
      <w:r>
        <w:t xml:space="preserve">elevated with fasting (See Figure 2G;  </w:t>
      </w:r>
      <w:r>
        <w:fldChar w:fldCharType="begin" w:fldLock="1"/>
      </w:r>
      <w:r w:rsidR="004C3CD7">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"[6, 7]", "plainTextFormattedCitation" : "[6, 7]", "previouslyFormattedCitation" : "[6, 7]" }, "properties" : { "noteIndex" : 0 }, "schema" : "https://github.com/citation-style-language/schema/raw/master/csl-citation.json" }</w:instrText>
      </w:r>
      <w:r>
        <w:fldChar w:fldCharType="separate"/>
      </w:r>
      <w:r w:rsidR="009332E7" w:rsidRPr="009332E7">
        <w:rPr>
          <w:noProof/>
        </w:rPr>
        <w:t>[6, 7]</w:t>
      </w:r>
      <w:r>
        <w:fldChar w:fldCharType="end"/>
      </w:r>
      <w:r>
        <w:t>).  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r>
        <w:fldChar w:fldCharType="begin" w:fldLock="1"/>
      </w:r>
      <w:r w:rsidR="004C3CD7">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"[8\u201310]", "plainTextFormattedCitation" : "[8\u201310]", "previouslyFormattedCitation" : "[8\u201310]" }, "properties" : { "noteIndex" : 0 }, "schema" : "https://github.com/citation-style-language/schema/raw/master/csl-citation.json" }</w:instrText>
      </w:r>
      <w:r>
        <w:fldChar w:fldCharType="separate"/>
      </w:r>
      <w:r w:rsidR="009332E7" w:rsidRPr="009332E7">
        <w:rPr>
          <w:noProof/>
        </w:rPr>
        <w:t>[8–10]</w:t>
      </w:r>
      <w:r>
        <w:fldChar w:fldCharType="end"/>
      </w:r>
      <w:r>
        <w:t xml:space="preserve">. </w:t>
      </w:r>
      <w:r w:rsidR="00603B85">
        <w:t xml:space="preserve"> </w:t>
      </w:r>
      <w:r w:rsidR="00186D81">
        <w:t xml:space="preserve">Elevations in </w:t>
      </w:r>
      <w:r w:rsidR="00603B85">
        <w:t>GLP-1 on the other hand inhibits</w:t>
      </w:r>
      <w:r w:rsidR="00186D81">
        <w:t xml:space="preserve"> </w:t>
      </w:r>
      <w:commentRangeStart w:id="7"/>
      <w:r w:rsidR="00186D81">
        <w:t xml:space="preserve">food intake </w:t>
      </w:r>
      <w:commentRangeEnd w:id="7"/>
      <w:r w:rsidR="00603B85">
        <w:rPr>
          <w:rStyle w:val="CommentReference"/>
        </w:rPr>
        <w:commentReference w:id="7"/>
      </w:r>
      <w:r w:rsidR="00392E97">
        <w:fldChar w:fldCharType="begin" w:fldLock="1"/>
      </w:r>
      <w:r w:rsidR="004C3CD7">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"[11, 12]", "plainTextFormattedCitation" : "[11, 12]", "previouslyFormattedCitation" : "[11, 12]" }, "properties" : { "noteIndex" : 0 }, "schema" : "https://github.com/citation-style-language/schema/raw/master/csl-citation.json" }</w:instrText>
      </w:r>
      <w:r w:rsidR="00392E97">
        <w:fldChar w:fldCharType="separate"/>
      </w:r>
      <w:r w:rsidR="009332E7" w:rsidRPr="009332E7">
        <w:rPr>
          <w:noProof/>
        </w:rPr>
        <w:t>[11, 12]</w:t>
      </w:r>
      <w:r w:rsidR="00392E97">
        <w:fldChar w:fldCharType="end"/>
      </w:r>
      <w:r w:rsidR="000663D5">
        <w:t xml:space="preserve">, so these changes could </w:t>
      </w:r>
      <w:r w:rsidR="00BC74F7">
        <w:t xml:space="preserve">potentially </w:t>
      </w:r>
      <w:r w:rsidR="000663D5">
        <w:t>play a role in the reduced appetite of the MCP230 treated mice.</w:t>
      </w:r>
    </w:p>
    <w:p w14:paraId="3E176DD5" w14:textId="77777777" w:rsidR="0098441B" w:rsidRDefault="0098441B" w:rsidP="00E16694"/>
    <w:p w14:paraId="23DD4AE3" w14:textId="7B8EBD61" w:rsidR="0098441B" w:rsidRDefault="0098441B" w:rsidP="00E16694">
      <w:r>
        <w:t xml:space="preserve">One potential explanation for the reductions in energy expenditure is that this is driven by reduced locomotor activity.  On the other hand, it is possible that muscle weakness due to </w:t>
      </w:r>
      <w:commentRangeStart w:id="8"/>
      <w:r>
        <w:t xml:space="preserve">reduced mitochondrial capacity </w:t>
      </w:r>
      <w:commentRangeEnd w:id="8"/>
      <w:r w:rsidR="00DF5BC3">
        <w:rPr>
          <w:rStyle w:val="CommentReference"/>
        </w:rPr>
        <w:commentReference w:id="8"/>
      </w:r>
      <w:r>
        <w:t>is the driver of the reduced physical movement in these animals.</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9"/>
      <w:r w:rsidR="00933298">
        <w:t>XXXX</w:t>
      </w:r>
      <w:commentRangeEnd w:id="9"/>
      <w:r w:rsidR="00933298">
        <w:rPr>
          <w:rStyle w:val="CommentReference"/>
        </w:rPr>
        <w:commentReference w:id="9"/>
      </w:r>
      <w:r w:rsidR="00933298">
        <w:t xml:space="preserve">.  The authors would like to thank </w:t>
      </w:r>
      <w:commentRangeStart w:id="11"/>
      <w:r w:rsidR="00933298">
        <w:t xml:space="preserve">Jordy Saravia </w:t>
      </w:r>
      <w:commentRangeEnd w:id="11"/>
      <w:r w:rsidR="00621B6A">
        <w:rPr>
          <w:rStyle w:val="CommentReference"/>
        </w:rPr>
        <w:commentReference w:id="11"/>
      </w:r>
      <w:r w:rsidR="00933298">
        <w:t>for assistance with the luminex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t>References</w:t>
      </w:r>
    </w:p>
    <w:p w14:paraId="5A118436" w14:textId="76BCDD8F" w:rsidR="004C3CD7" w:rsidRPr="004C3CD7" w:rsidRDefault="001B3EBF">
      <w:pPr>
        <w:pStyle w:val="NormalWeb"/>
        <w:ind w:left="640" w:hanging="640"/>
        <w:divId w:val="2090038910"/>
        <w:rPr>
          <w:rFonts w:ascii="Cambria" w:hAnsi="Cambria"/>
          <w:noProof/>
          <w:sz w:val="24"/>
        </w:rPr>
      </w:pPr>
      <w:r>
        <w:fldChar w:fldCharType="begin" w:fldLock="1"/>
      </w:r>
      <w:r>
        <w:instrText xml:space="preserve">ADDIN Mendeley Bibliography CSL_BIBLIOGRAPHY </w:instrText>
      </w:r>
      <w:r>
        <w:fldChar w:fldCharType="separate"/>
      </w:r>
      <w:r w:rsidR="004C3CD7" w:rsidRPr="004C3CD7">
        <w:rPr>
          <w:rFonts w:ascii="Cambria" w:hAnsi="Cambria"/>
          <w:noProof/>
          <w:sz w:val="24"/>
        </w:rPr>
        <w:t>1.</w:t>
      </w:r>
      <w:r w:rsidR="004C3CD7" w:rsidRPr="004C3CD7">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4C3CD7" w:rsidRPr="004C3CD7">
        <w:rPr>
          <w:rFonts w:ascii="Cambria" w:hAnsi="Cambria"/>
          <w:i/>
          <w:iCs/>
          <w:noProof/>
          <w:sz w:val="24"/>
        </w:rPr>
        <w:t>63</w:t>
      </w:r>
      <w:r w:rsidR="004C3CD7" w:rsidRPr="004C3CD7">
        <w:rPr>
          <w:rFonts w:ascii="Cambria" w:hAnsi="Cambria"/>
          <w:noProof/>
          <w:sz w:val="24"/>
        </w:rPr>
        <w:t>, 2935–48.</w:t>
      </w:r>
    </w:p>
    <w:p w14:paraId="6D09E6BA"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2.</w:t>
      </w:r>
      <w:r w:rsidRPr="004C3CD7">
        <w:rPr>
          <w:rFonts w:ascii="Cambria" w:hAnsi="Cambria"/>
          <w:noProof/>
          <w:sz w:val="24"/>
        </w:rPr>
        <w:tab/>
        <w:t>R Core Team (2013). R: A Language and Environment for Statistical Computing.</w:t>
      </w:r>
    </w:p>
    <w:p w14:paraId="2FE568FB"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3.</w:t>
      </w:r>
      <w:r w:rsidRPr="004C3CD7">
        <w:rPr>
          <w:rFonts w:ascii="Cambria" w:hAnsi="Cambria"/>
          <w:noProof/>
          <w:sz w:val="24"/>
        </w:rPr>
        <w:tab/>
        <w:t xml:space="preserve">Bates, D., Mächler, M., Bolker, B., and Walker, S. (2014). Fitting Linear Mixed-Effects Models using lme4. ArXiv </w:t>
      </w:r>
      <w:r w:rsidRPr="004C3CD7">
        <w:rPr>
          <w:rFonts w:ascii="Cambria" w:hAnsi="Cambria"/>
          <w:i/>
          <w:iCs/>
          <w:noProof/>
          <w:sz w:val="24"/>
        </w:rPr>
        <w:t>1406.5823</w:t>
      </w:r>
      <w:r w:rsidRPr="004C3CD7">
        <w:rPr>
          <w:rFonts w:ascii="Cambria" w:hAnsi="Cambria"/>
          <w:noProof/>
          <w:sz w:val="24"/>
        </w:rPr>
        <w:t>, 1–51.</w:t>
      </w:r>
    </w:p>
    <w:p w14:paraId="0EF91EF5"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4.</w:t>
      </w:r>
      <w:r w:rsidRPr="004C3CD7">
        <w:rPr>
          <w:rFonts w:ascii="Cambria" w:hAnsi="Cambria"/>
          <w:noProof/>
          <w:sz w:val="24"/>
        </w:rPr>
        <w:tab/>
        <w:t>Fox, J., and Weisberg, S. (2011). An {R} Companion to Applied Regression Second. (Thousand Oaks {CA}: Sage).</w:t>
      </w:r>
    </w:p>
    <w:p w14:paraId="06255235"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5.</w:t>
      </w:r>
      <w:r w:rsidRPr="004C3CD7">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4C3CD7">
        <w:rPr>
          <w:rFonts w:ascii="Cambria" w:hAnsi="Cambria"/>
          <w:i/>
          <w:iCs/>
          <w:noProof/>
          <w:sz w:val="24"/>
        </w:rPr>
        <w:t>9</w:t>
      </w:r>
      <w:r w:rsidRPr="004C3CD7">
        <w:rPr>
          <w:rFonts w:ascii="Cambria" w:hAnsi="Cambria"/>
          <w:noProof/>
          <w:sz w:val="24"/>
        </w:rPr>
        <w:t>, 57–63.</w:t>
      </w:r>
    </w:p>
    <w:p w14:paraId="60CF6D61"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6.</w:t>
      </w:r>
      <w:r w:rsidRPr="004C3CD7">
        <w:rPr>
          <w:rFonts w:ascii="Cambria" w:hAnsi="Cambria"/>
          <w:noProof/>
          <w:sz w:val="24"/>
        </w:rPr>
        <w:tab/>
        <w:t xml:space="preserve">Tschöp, M., Smiley, D. L., and Heiman, M. L. (2000). Ghrelin induces adiposity in rodents. Nature </w:t>
      </w:r>
      <w:r w:rsidRPr="004C3CD7">
        <w:rPr>
          <w:rFonts w:ascii="Cambria" w:hAnsi="Cambria"/>
          <w:i/>
          <w:iCs/>
          <w:noProof/>
          <w:sz w:val="24"/>
        </w:rPr>
        <w:t>407</w:t>
      </w:r>
      <w:r w:rsidRPr="004C3CD7">
        <w:rPr>
          <w:rFonts w:ascii="Cambria" w:hAnsi="Cambria"/>
          <w:noProof/>
          <w:sz w:val="24"/>
        </w:rPr>
        <w:t>, 908–13.</w:t>
      </w:r>
    </w:p>
    <w:p w14:paraId="10A40FF0"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7.</w:t>
      </w:r>
      <w:r w:rsidRPr="004C3CD7">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4C3CD7">
        <w:rPr>
          <w:rFonts w:ascii="Cambria" w:hAnsi="Cambria"/>
          <w:i/>
          <w:iCs/>
          <w:noProof/>
          <w:sz w:val="24"/>
        </w:rPr>
        <w:t>281</w:t>
      </w:r>
      <w:r w:rsidRPr="004C3CD7">
        <w:rPr>
          <w:rFonts w:ascii="Cambria" w:hAnsi="Cambria"/>
          <w:noProof/>
          <w:sz w:val="24"/>
        </w:rPr>
        <w:t>, 1220–5.</w:t>
      </w:r>
    </w:p>
    <w:p w14:paraId="01041AAC"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8.</w:t>
      </w:r>
      <w:r w:rsidRPr="004C3CD7">
        <w:rPr>
          <w:rFonts w:ascii="Cambria" w:hAnsi="Cambria"/>
          <w:noProof/>
          <w:sz w:val="24"/>
        </w:rPr>
        <w:tab/>
        <w:t xml:space="preserve">Tschöp, M., Weyer, C., Tataranni, P. a, Devanarayan, V., Ravussin, E., and Heiman, M. L. (2001). Circulating ghrelin levels are decreased in human obesity. Diabetes </w:t>
      </w:r>
      <w:r w:rsidRPr="004C3CD7">
        <w:rPr>
          <w:rFonts w:ascii="Cambria" w:hAnsi="Cambria"/>
          <w:i/>
          <w:iCs/>
          <w:noProof/>
          <w:sz w:val="24"/>
        </w:rPr>
        <w:t>50</w:t>
      </w:r>
      <w:r w:rsidRPr="004C3CD7">
        <w:rPr>
          <w:rFonts w:ascii="Cambria" w:hAnsi="Cambria"/>
          <w:noProof/>
          <w:sz w:val="24"/>
        </w:rPr>
        <w:t>, 707–9.</w:t>
      </w:r>
    </w:p>
    <w:p w14:paraId="157FD99B"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9.</w:t>
      </w:r>
      <w:r w:rsidRPr="004C3CD7">
        <w:rPr>
          <w:rFonts w:ascii="Cambria" w:hAnsi="Cambria"/>
          <w:noProof/>
          <w:sz w:val="24"/>
        </w:rPr>
        <w:tab/>
        <w:t>Peloqiun, M. J., and Bridges, D. (2014). Weight Loss in Response to Food Deprivation Predicts The Extent of Diet Induced Obesity in C57BL/6J Mice.</w:t>
      </w:r>
    </w:p>
    <w:p w14:paraId="64CBCDB9"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10.</w:t>
      </w:r>
      <w:r w:rsidRPr="004C3CD7">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4C3CD7">
        <w:rPr>
          <w:rFonts w:ascii="Cambria" w:hAnsi="Cambria"/>
          <w:i/>
          <w:iCs/>
          <w:noProof/>
          <w:sz w:val="24"/>
        </w:rPr>
        <w:t>51</w:t>
      </w:r>
      <w:r w:rsidRPr="004C3CD7">
        <w:rPr>
          <w:rFonts w:ascii="Cambria" w:hAnsi="Cambria"/>
          <w:noProof/>
          <w:sz w:val="24"/>
        </w:rPr>
        <w:t>, 3408–3411.</w:t>
      </w:r>
    </w:p>
    <w:p w14:paraId="79A0234F"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11.</w:t>
      </w:r>
      <w:r w:rsidRPr="004C3CD7">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4C3CD7">
        <w:rPr>
          <w:rFonts w:ascii="Cambria" w:hAnsi="Cambria"/>
          <w:i/>
          <w:iCs/>
          <w:noProof/>
          <w:sz w:val="24"/>
        </w:rPr>
        <w:t>127</w:t>
      </w:r>
      <w:r w:rsidRPr="004C3CD7">
        <w:rPr>
          <w:rFonts w:ascii="Cambria" w:hAnsi="Cambria"/>
          <w:noProof/>
          <w:sz w:val="24"/>
        </w:rPr>
        <w:t>, 546–558.</w:t>
      </w:r>
    </w:p>
    <w:p w14:paraId="0F7781D7" w14:textId="77777777" w:rsidR="004C3CD7" w:rsidRPr="004C3CD7" w:rsidRDefault="004C3CD7">
      <w:pPr>
        <w:pStyle w:val="NormalWeb"/>
        <w:ind w:left="640" w:hanging="640"/>
        <w:divId w:val="2090038910"/>
        <w:rPr>
          <w:rFonts w:ascii="Cambria" w:hAnsi="Cambria"/>
          <w:noProof/>
          <w:sz w:val="24"/>
        </w:rPr>
      </w:pPr>
      <w:r w:rsidRPr="004C3CD7">
        <w:rPr>
          <w:rFonts w:ascii="Cambria" w:hAnsi="Cambria"/>
          <w:noProof/>
          <w:sz w:val="24"/>
        </w:rPr>
        <w:t>12.</w:t>
      </w:r>
      <w:r w:rsidRPr="004C3CD7">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4C3CD7">
        <w:rPr>
          <w:rFonts w:ascii="Cambria" w:hAnsi="Cambria"/>
          <w:i/>
          <w:iCs/>
          <w:noProof/>
          <w:sz w:val="24"/>
        </w:rPr>
        <w:t>379</w:t>
      </w:r>
      <w:r w:rsidRPr="004C3CD7">
        <w:rPr>
          <w:rFonts w:ascii="Cambria" w:hAnsi="Cambria"/>
          <w:noProof/>
          <w:sz w:val="24"/>
        </w:rPr>
        <w:t xml:space="preserve">, 69–72. </w:t>
      </w:r>
    </w:p>
    <w:p w14:paraId="5A4C36CD" w14:textId="687A693C" w:rsidR="001B3EBF" w:rsidRPr="001B3EBF" w:rsidRDefault="001B3EBF" w:rsidP="004C3CD7">
      <w:pPr>
        <w:pStyle w:val="NormalWeb"/>
        <w:ind w:left="640" w:hanging="640"/>
        <w:divId w:val="1034304544"/>
      </w:pPr>
      <w:r>
        <w:fldChar w:fldCharType="end"/>
      </w:r>
    </w:p>
    <w:p w14:paraId="6CFBED4E"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Figure 1:  Gestationally treatment of MCP230 leads to mice with elevated weight gain on high fat diet.</w:t>
      </w:r>
      <w:r>
        <w:rPr>
          <w:b/>
        </w:rPr>
        <w:t xml:space="preserve">  </w:t>
      </w:r>
      <w:r>
        <w:t xml:space="preserve">A) Schematic of treatment.  B) </w:t>
      </w:r>
      <w:r w:rsidR="00AA50B4">
        <w:t xml:space="preserve">Body weight throughout the HFD treatment.  C-E) After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Gestationally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3DB99CD9" w:rsidR="00B425D2" w:rsidRPr="004E720F" w:rsidRDefault="00B425D2" w:rsidP="005E42A8">
      <w:r w:rsidRPr="00B425D2">
        <w:rPr>
          <w:b/>
        </w:rPr>
        <w:t>Figure 3:  Decreased food intake and energy expenditure in pups from gestationally treated MCP230 mice.</w:t>
      </w:r>
      <w:r>
        <w:t xml:space="preserve">  Food intake per mouse was calculated on a A) weekly and B) cumulative basis throughout the High-Fat Diet Treatment.  C) </w:t>
      </w:r>
    </w:p>
    <w:p w14:paraId="415E5A4D" w14:textId="77777777"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13T11:20:00Z" w:initials="DB">
    <w:p w14:paraId="35B82DE8" w14:textId="0E137881" w:rsidR="00317C44" w:rsidRDefault="00317C44">
      <w:pPr>
        <w:pStyle w:val="CommentText"/>
      </w:pPr>
      <w:r>
        <w:rPr>
          <w:rStyle w:val="CommentReference"/>
        </w:rPr>
        <w:annotationRef/>
      </w:r>
      <w:r>
        <w:t>If we use liver data</w:t>
      </w:r>
    </w:p>
  </w:comment>
  <w:comment w:id="1" w:author="Dave Bridges" w:date="2014-11-13T17:25:00Z" w:initials="DB">
    <w:p w14:paraId="7D88D754" w14:textId="05B9A31C" w:rsidR="00317C44" w:rsidRDefault="00317C44">
      <w:pPr>
        <w:pStyle w:val="CommentText"/>
      </w:pPr>
      <w:r>
        <w:rPr>
          <w:rStyle w:val="CommentReference"/>
        </w:rPr>
        <w:annotationRef/>
      </w:r>
    </w:p>
  </w:comment>
  <w:comment w:id="2" w:author="Dave Bridges" w:date="2014-11-16T15:31:00Z" w:initials="DB">
    <w:p w14:paraId="6BDFA5ED" w14:textId="2B44DDCB" w:rsidR="00317C44" w:rsidRDefault="00317C44">
      <w:pPr>
        <w:pStyle w:val="CommentText"/>
      </w:pPr>
      <w:r>
        <w:rPr>
          <w:rStyle w:val="CommentReference"/>
        </w:rPr>
        <w:annotationRef/>
      </w:r>
      <w:r>
        <w:t>Need this number</w:t>
      </w:r>
    </w:p>
  </w:comment>
  <w:comment w:id="3" w:author="Dave Bridges" w:date="2014-11-16T15:34:00Z" w:initials="DB">
    <w:p w14:paraId="1DF0D2E4" w14:textId="2E6AD300" w:rsidR="00317C44" w:rsidRDefault="00317C44">
      <w:pPr>
        <w:pStyle w:val="CommentText"/>
      </w:pPr>
      <w:r>
        <w:rPr>
          <w:rStyle w:val="CommentReference"/>
        </w:rPr>
        <w:annotationRef/>
      </w:r>
      <w:r>
        <w:t>Check this</w:t>
      </w:r>
    </w:p>
  </w:comment>
  <w:comment w:id="4" w:author="Dave Bridges" w:date="2014-11-13T12:24:00Z" w:initials="DB">
    <w:p w14:paraId="3188BF80" w14:textId="723C42D0" w:rsidR="00317C44" w:rsidRDefault="00317C44">
      <w:pPr>
        <w:pStyle w:val="CommentText"/>
      </w:pPr>
      <w:r>
        <w:rPr>
          <w:rStyle w:val="CommentReference"/>
        </w:rPr>
        <w:annotationRef/>
      </w:r>
      <w:r>
        <w:t>Need lm data</w:t>
      </w:r>
    </w:p>
  </w:comment>
  <w:comment w:id="5" w:author="Dave Bridges" w:date="2014-11-16T10:32:00Z" w:initials="DB">
    <w:p w14:paraId="3E126E3E" w14:textId="423B83EF" w:rsidR="00317C44" w:rsidRDefault="00317C44">
      <w:pPr>
        <w:pStyle w:val="CommentText"/>
      </w:pPr>
      <w:r>
        <w:rPr>
          <w:rStyle w:val="CommentReference"/>
        </w:rPr>
        <w:annotationRef/>
      </w:r>
      <w:r>
        <w:t>Need this data</w:t>
      </w:r>
    </w:p>
  </w:comment>
  <w:comment w:id="6" w:author="Dave Bridges" w:date="2014-11-13T16:37:00Z" w:initials="DB">
    <w:p w14:paraId="3143A03C" w14:textId="37F5B4CE" w:rsidR="00317C44" w:rsidRDefault="00317C44">
      <w:pPr>
        <w:pStyle w:val="CommentText"/>
      </w:pPr>
      <w:r>
        <w:rPr>
          <w:rStyle w:val="CommentReference"/>
        </w:rPr>
        <w:annotationRef/>
      </w:r>
      <w:r>
        <w:t>Needs stats</w:t>
      </w:r>
    </w:p>
  </w:comment>
  <w:comment w:id="7" w:author="Dave Bridges" w:date="2014-11-16T11:28:00Z" w:initials="DB">
    <w:p w14:paraId="7275AD87" w14:textId="2206F8CF" w:rsidR="00317C44" w:rsidRDefault="00317C44">
      <w:pPr>
        <w:pStyle w:val="CommentText"/>
      </w:pPr>
      <w:r>
        <w:rPr>
          <w:rStyle w:val="CommentReference"/>
        </w:rPr>
        <w:annotationRef/>
      </w:r>
      <w:r>
        <w:t>Increases energy expenditure</w:t>
      </w:r>
    </w:p>
  </w:comment>
  <w:comment w:id="8" w:author="Dave Bridges" w:date="2014-11-16T16:10:00Z" w:initials="DB">
    <w:p w14:paraId="147F23E3" w14:textId="476D985D" w:rsidR="00DF5BC3" w:rsidRDefault="00DF5BC3">
      <w:pPr>
        <w:pStyle w:val="CommentText"/>
      </w:pPr>
      <w:r>
        <w:rPr>
          <w:rStyle w:val="CommentReference"/>
        </w:rPr>
        <w:annotationRef/>
      </w:r>
      <w:r>
        <w:t>Need a ref for another example of this</w:t>
      </w:r>
    </w:p>
  </w:comment>
  <w:comment w:id="9" w:author="Dave Bridges" w:date="2014-11-16T16:12:00Z" w:initials="DB">
    <w:p w14:paraId="1F4492DF" w14:textId="45B83AA5" w:rsidR="00317C44" w:rsidRDefault="00317C44">
      <w:pPr>
        <w:pStyle w:val="CommentText"/>
      </w:pPr>
      <w:r>
        <w:rPr>
          <w:rStyle w:val="CommentReference"/>
        </w:rPr>
        <w:annotationRef/>
      </w:r>
      <w:r>
        <w:t xml:space="preserve">Steph can you put </w:t>
      </w:r>
      <w:r w:rsidR="00621B6A">
        <w:t>your funding here</w:t>
      </w:r>
      <w:bookmarkStart w:id="10" w:name="_GoBack"/>
      <w:bookmarkEnd w:id="10"/>
    </w:p>
  </w:comment>
  <w:comment w:id="11" w:author="Dave Bridges" w:date="2014-11-16T16:11:00Z" w:initials="DB">
    <w:p w14:paraId="6B971EFC" w14:textId="6EFB42F7" w:rsidR="00621B6A" w:rsidRDefault="00621B6A">
      <w:pPr>
        <w:pStyle w:val="CommentText"/>
      </w:pPr>
      <w:r>
        <w:rPr>
          <w:rStyle w:val="CommentReference"/>
        </w:rPr>
        <w:annotationRef/>
      </w:r>
      <w:r>
        <w:t>Steph, we can add Jordy as an author if you want, he basically did the luminex calculations for us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16389"/>
    <w:rsid w:val="00031FF5"/>
    <w:rsid w:val="000663D5"/>
    <w:rsid w:val="000A10E7"/>
    <w:rsid w:val="000E51A5"/>
    <w:rsid w:val="0012599A"/>
    <w:rsid w:val="00126ED1"/>
    <w:rsid w:val="00140BB6"/>
    <w:rsid w:val="001827FE"/>
    <w:rsid w:val="00186D81"/>
    <w:rsid w:val="001B3EBF"/>
    <w:rsid w:val="001E12F3"/>
    <w:rsid w:val="00230B4A"/>
    <w:rsid w:val="00243797"/>
    <w:rsid w:val="00317C44"/>
    <w:rsid w:val="00352FA2"/>
    <w:rsid w:val="0038128F"/>
    <w:rsid w:val="00392E97"/>
    <w:rsid w:val="00415F55"/>
    <w:rsid w:val="00441A6B"/>
    <w:rsid w:val="00493F6D"/>
    <w:rsid w:val="00494F36"/>
    <w:rsid w:val="004A4358"/>
    <w:rsid w:val="004C2FCD"/>
    <w:rsid w:val="004C3CD7"/>
    <w:rsid w:val="004C687A"/>
    <w:rsid w:val="004E720F"/>
    <w:rsid w:val="00501427"/>
    <w:rsid w:val="00532F5A"/>
    <w:rsid w:val="00535157"/>
    <w:rsid w:val="00576C73"/>
    <w:rsid w:val="00592A7F"/>
    <w:rsid w:val="005E42A8"/>
    <w:rsid w:val="00603B85"/>
    <w:rsid w:val="00621B6A"/>
    <w:rsid w:val="00622E03"/>
    <w:rsid w:val="006A1A89"/>
    <w:rsid w:val="006B74D4"/>
    <w:rsid w:val="006D59E1"/>
    <w:rsid w:val="006E5F28"/>
    <w:rsid w:val="006F47B0"/>
    <w:rsid w:val="007221E6"/>
    <w:rsid w:val="00735CE1"/>
    <w:rsid w:val="00740101"/>
    <w:rsid w:val="007F0C91"/>
    <w:rsid w:val="008612D1"/>
    <w:rsid w:val="00881AC0"/>
    <w:rsid w:val="008A533B"/>
    <w:rsid w:val="008A7513"/>
    <w:rsid w:val="008C5F05"/>
    <w:rsid w:val="008F3DC3"/>
    <w:rsid w:val="00933298"/>
    <w:rsid w:val="009332E7"/>
    <w:rsid w:val="00967682"/>
    <w:rsid w:val="0098441B"/>
    <w:rsid w:val="00996217"/>
    <w:rsid w:val="009A6E08"/>
    <w:rsid w:val="00A107BF"/>
    <w:rsid w:val="00A34EF3"/>
    <w:rsid w:val="00AA50B4"/>
    <w:rsid w:val="00AD4748"/>
    <w:rsid w:val="00B425D2"/>
    <w:rsid w:val="00B6539D"/>
    <w:rsid w:val="00BC74F7"/>
    <w:rsid w:val="00BE555B"/>
    <w:rsid w:val="00BF0E89"/>
    <w:rsid w:val="00C16E77"/>
    <w:rsid w:val="00C3038F"/>
    <w:rsid w:val="00C82568"/>
    <w:rsid w:val="00D56482"/>
    <w:rsid w:val="00D63FB0"/>
    <w:rsid w:val="00DC7316"/>
    <w:rsid w:val="00DE49ED"/>
    <w:rsid w:val="00DF5BC3"/>
    <w:rsid w:val="00E16694"/>
    <w:rsid w:val="00E97253"/>
    <w:rsid w:val="00FA3E89"/>
    <w:rsid w:val="00FB2906"/>
    <w:rsid w:val="00FC49AE"/>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51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mailto:dbridge9@uthsc.edu" TargetMode="External"/><Relationship Id="rId7" Type="http://schemas.openxmlformats.org/officeDocument/2006/relationships/hyperlink" Target="mailto:scormier@uthsc.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7396</Words>
  <Characters>42163</Characters>
  <Application>Microsoft Macintosh Word</Application>
  <DocSecurity>0</DocSecurity>
  <Lines>351</Lines>
  <Paragraphs>98</Paragraphs>
  <ScaleCrop>false</ScaleCrop>
  <Company>UT-HSC</Company>
  <LinksUpToDate>false</LinksUpToDate>
  <CharactersWithSpaces>49461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38</cp:revision>
  <dcterms:created xsi:type="dcterms:W3CDTF">2014-11-13T22:58:00Z</dcterms:created>
  <dcterms:modified xsi:type="dcterms:W3CDTF">2014-11-16T22:12:00Z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