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E535A" w14:textId="5E75B3FF" w:rsidR="003D60CB" w:rsidRDefault="00FE6279" w:rsidP="00896FD8">
      <w:pPr>
        <w:spacing w:line="480" w:lineRule="auto"/>
        <w:rPr>
          <w:sz w:val="22"/>
          <w:szCs w:val="22"/>
        </w:rPr>
      </w:pPr>
      <w:commentRangeStart w:id="0"/>
      <w:r w:rsidRPr="00BE50F9">
        <w:rPr>
          <w:b/>
          <w:sz w:val="22"/>
          <w:szCs w:val="22"/>
        </w:rPr>
        <w:t>Title:</w:t>
      </w:r>
      <w:commentRangeEnd w:id="0"/>
      <w:r w:rsidR="00582A66">
        <w:rPr>
          <w:rStyle w:val="CommentReference"/>
        </w:rPr>
        <w:commentReference w:id="0"/>
      </w:r>
      <w:r w:rsidRPr="002F7D66">
        <w:rPr>
          <w:sz w:val="22"/>
          <w:szCs w:val="22"/>
        </w:rPr>
        <w:t xml:space="preserve"> </w:t>
      </w:r>
      <w:r w:rsidR="005C05E4">
        <w:rPr>
          <w:sz w:val="22"/>
          <w:szCs w:val="22"/>
        </w:rPr>
        <w:t>E</w:t>
      </w:r>
      <w:r w:rsidRPr="002F7D66">
        <w:rPr>
          <w:sz w:val="22"/>
          <w:szCs w:val="22"/>
        </w:rPr>
        <w:t xml:space="preserve">xposure to environmentally persistent free radicals </w:t>
      </w:r>
      <w:r w:rsidR="005C05E4">
        <w:rPr>
          <w:sz w:val="22"/>
          <w:szCs w:val="22"/>
        </w:rPr>
        <w:t xml:space="preserve">during gestation </w:t>
      </w:r>
      <w:r w:rsidR="002F0BA2">
        <w:rPr>
          <w:sz w:val="22"/>
          <w:szCs w:val="22"/>
        </w:rPr>
        <w:t>lowers energy expenditure</w:t>
      </w:r>
      <w:r w:rsidR="0083197C">
        <w:rPr>
          <w:sz w:val="22"/>
          <w:szCs w:val="22"/>
        </w:rPr>
        <w:t xml:space="preserve"> </w:t>
      </w:r>
      <w:r w:rsidR="002F0BA2">
        <w:rPr>
          <w:sz w:val="22"/>
          <w:szCs w:val="22"/>
        </w:rPr>
        <w:t>and impairs skeletal muscle mitochondrial function</w:t>
      </w:r>
      <w:r w:rsidRPr="002F7D66">
        <w:rPr>
          <w:sz w:val="22"/>
          <w:szCs w:val="22"/>
        </w:rPr>
        <w:t xml:space="preserve"> in </w:t>
      </w:r>
      <w:r w:rsidR="002F0BA2">
        <w:rPr>
          <w:sz w:val="22"/>
          <w:szCs w:val="22"/>
        </w:rPr>
        <w:t xml:space="preserve">adult </w:t>
      </w:r>
      <w:r w:rsidR="00771641">
        <w:rPr>
          <w:sz w:val="22"/>
          <w:szCs w:val="22"/>
        </w:rPr>
        <w:t>mice</w:t>
      </w:r>
    </w:p>
    <w:p w14:paraId="2D4641E6" w14:textId="77777777" w:rsidR="00C07A3D" w:rsidRDefault="00C07A3D" w:rsidP="00896FD8">
      <w:pPr>
        <w:spacing w:line="480" w:lineRule="auto"/>
        <w:rPr>
          <w:sz w:val="22"/>
          <w:szCs w:val="22"/>
        </w:rPr>
      </w:pPr>
    </w:p>
    <w:p w14:paraId="7C726556" w14:textId="0375E42B" w:rsidR="003D60CB" w:rsidRPr="002F7D66" w:rsidRDefault="00532F5A" w:rsidP="00D3063E">
      <w:pPr>
        <w:spacing w:line="480" w:lineRule="auto"/>
        <w:rPr>
          <w:sz w:val="22"/>
          <w:szCs w:val="22"/>
        </w:rPr>
      </w:pPr>
      <w:r w:rsidRPr="00BE50F9">
        <w:rPr>
          <w:b/>
          <w:sz w:val="22"/>
          <w:szCs w:val="22"/>
        </w:rPr>
        <w:t>Authors:</w:t>
      </w:r>
      <w:r w:rsidR="00467CEE">
        <w:rPr>
          <w:sz w:val="22"/>
          <w:szCs w:val="22"/>
        </w:rPr>
        <w:t xml:space="preserve"> </w:t>
      </w:r>
      <w:r w:rsidR="005A4DAF" w:rsidRPr="002F7D66">
        <w:rPr>
          <w:sz w:val="22"/>
          <w:szCs w:val="22"/>
        </w:rPr>
        <w:t>Erin J. Stephenson</w:t>
      </w:r>
      <w:r w:rsidR="005A4DAF" w:rsidRPr="002F7D66">
        <w:rPr>
          <w:sz w:val="22"/>
          <w:szCs w:val="22"/>
          <w:vertAlign w:val="superscript"/>
        </w:rPr>
        <w:t>1,2</w:t>
      </w:r>
      <w:r w:rsidR="00CB6C2E" w:rsidRPr="002F7D66">
        <w:rPr>
          <w:sz w:val="22"/>
          <w:szCs w:val="22"/>
          <w:vertAlign w:val="superscript"/>
        </w:rPr>
        <w:t>,3</w:t>
      </w:r>
      <w:r w:rsidR="005A4DAF" w:rsidRPr="002F7D66">
        <w:rPr>
          <w:sz w:val="22"/>
          <w:szCs w:val="22"/>
        </w:rPr>
        <w:t>,</w:t>
      </w:r>
      <w:r w:rsidRPr="002F7D66">
        <w:rPr>
          <w:sz w:val="22"/>
          <w:szCs w:val="22"/>
        </w:rPr>
        <w:t xml:space="preserve"> </w:t>
      </w:r>
      <w:proofErr w:type="spellStart"/>
      <w:r w:rsidRPr="002F7D66">
        <w:rPr>
          <w:sz w:val="22"/>
          <w:szCs w:val="22"/>
        </w:rPr>
        <w:t>Alyse</w:t>
      </w:r>
      <w:proofErr w:type="spellEnd"/>
      <w:r w:rsidRPr="002F7D66">
        <w:rPr>
          <w:sz w:val="22"/>
          <w:szCs w:val="22"/>
        </w:rPr>
        <w:t xml:space="preserve"> Ragauskas</w:t>
      </w:r>
      <w:r w:rsidRPr="002F7D66">
        <w:rPr>
          <w:sz w:val="22"/>
          <w:szCs w:val="22"/>
          <w:vertAlign w:val="superscript"/>
        </w:rPr>
        <w:t>1,2</w:t>
      </w:r>
      <w:r w:rsidR="00CB6C2E" w:rsidRPr="002F7D66">
        <w:rPr>
          <w:sz w:val="22"/>
          <w:szCs w:val="22"/>
          <w:vertAlign w:val="superscript"/>
        </w:rPr>
        <w:t>,3</w:t>
      </w:r>
      <w:r w:rsidRPr="002F7D66">
        <w:rPr>
          <w:sz w:val="22"/>
          <w:szCs w:val="22"/>
        </w:rPr>
        <w:t>, Sridhar Jaligama</w:t>
      </w:r>
      <w:r w:rsidRPr="002F7D66">
        <w:rPr>
          <w:sz w:val="22"/>
          <w:szCs w:val="22"/>
          <w:vertAlign w:val="superscript"/>
        </w:rPr>
        <w:t>2</w:t>
      </w:r>
      <w:r w:rsidR="00CB6C2E" w:rsidRPr="002F7D66">
        <w:rPr>
          <w:sz w:val="22"/>
          <w:szCs w:val="22"/>
          <w:vertAlign w:val="superscript"/>
        </w:rPr>
        <w:t>,3</w:t>
      </w:r>
      <w:r w:rsidRPr="002F7D66">
        <w:rPr>
          <w:sz w:val="22"/>
          <w:szCs w:val="22"/>
        </w:rPr>
        <w:t xml:space="preserve">, </w:t>
      </w:r>
      <w:proofErr w:type="spellStart"/>
      <w:r w:rsidR="005A4DAF" w:rsidRPr="002F7D66">
        <w:rPr>
          <w:sz w:val="22"/>
          <w:szCs w:val="22"/>
        </w:rPr>
        <w:t>JeAnna</w:t>
      </w:r>
      <w:proofErr w:type="spellEnd"/>
      <w:r w:rsidR="005A4DAF" w:rsidRPr="002F7D66">
        <w:rPr>
          <w:sz w:val="22"/>
          <w:szCs w:val="22"/>
        </w:rPr>
        <w:t xml:space="preserve"> R. Redd</w:t>
      </w:r>
      <w:r w:rsidR="00CB6C2E" w:rsidRPr="002F7D66">
        <w:rPr>
          <w:sz w:val="22"/>
          <w:szCs w:val="22"/>
          <w:vertAlign w:val="superscript"/>
        </w:rPr>
        <w:t>1,2,3</w:t>
      </w:r>
      <w:r w:rsidR="005A4DAF" w:rsidRPr="002F7D66">
        <w:rPr>
          <w:sz w:val="22"/>
          <w:szCs w:val="22"/>
        </w:rPr>
        <w:t xml:space="preserve">, </w:t>
      </w:r>
      <w:proofErr w:type="spellStart"/>
      <w:r w:rsidRPr="002F7D66">
        <w:rPr>
          <w:sz w:val="22"/>
          <w:szCs w:val="22"/>
        </w:rPr>
        <w:t>Jyothi</w:t>
      </w:r>
      <w:proofErr w:type="spellEnd"/>
      <w:r w:rsidRPr="002F7D66">
        <w:rPr>
          <w:sz w:val="22"/>
          <w:szCs w:val="22"/>
        </w:rPr>
        <w:t xml:space="preserve"> Parvathareddy</w:t>
      </w:r>
      <w:r w:rsidRPr="002F7D66">
        <w:rPr>
          <w:sz w:val="22"/>
          <w:szCs w:val="22"/>
          <w:vertAlign w:val="superscript"/>
        </w:rPr>
        <w:t>2</w:t>
      </w:r>
      <w:r w:rsidR="00CB6C2E" w:rsidRPr="002F7D66">
        <w:rPr>
          <w:sz w:val="22"/>
          <w:szCs w:val="22"/>
          <w:vertAlign w:val="superscript"/>
        </w:rPr>
        <w:t>,,3</w:t>
      </w:r>
      <w:r w:rsidRPr="002F7D66">
        <w:rPr>
          <w:sz w:val="22"/>
          <w:szCs w:val="22"/>
        </w:rPr>
        <w:t>, Matthew J. Peloquin</w:t>
      </w:r>
      <w:r w:rsidRPr="002F7D66">
        <w:rPr>
          <w:sz w:val="22"/>
          <w:szCs w:val="22"/>
          <w:vertAlign w:val="superscript"/>
        </w:rPr>
        <w:t>1,2</w:t>
      </w:r>
      <w:r w:rsidR="00CB6C2E" w:rsidRPr="002F7D66">
        <w:rPr>
          <w:sz w:val="22"/>
          <w:szCs w:val="22"/>
          <w:vertAlign w:val="superscript"/>
        </w:rPr>
        <w:t>,3</w:t>
      </w:r>
      <w:r w:rsidRPr="002F7D66">
        <w:rPr>
          <w:sz w:val="22"/>
          <w:szCs w:val="22"/>
        </w:rPr>
        <w:t xml:space="preserve"> </w:t>
      </w:r>
      <w:r w:rsidR="00E408EE" w:rsidRPr="002F7D66">
        <w:rPr>
          <w:sz w:val="22"/>
          <w:szCs w:val="22"/>
        </w:rPr>
        <w:t>, Jordy Saravia</w:t>
      </w:r>
      <w:r w:rsidR="00D83188" w:rsidRPr="002F7D66">
        <w:rPr>
          <w:sz w:val="22"/>
          <w:szCs w:val="22"/>
          <w:vertAlign w:val="superscript"/>
        </w:rPr>
        <w:t>2,3</w:t>
      </w:r>
      <w:r w:rsidR="00E408EE" w:rsidRPr="002F7D66">
        <w:rPr>
          <w:sz w:val="22"/>
          <w:szCs w:val="22"/>
        </w:rPr>
        <w:t xml:space="preserve"> </w:t>
      </w:r>
      <w:r w:rsidRPr="002F7D66">
        <w:rPr>
          <w:sz w:val="22"/>
          <w:szCs w:val="22"/>
        </w:rPr>
        <w:t xml:space="preserve">and </w:t>
      </w:r>
      <w:proofErr w:type="spellStart"/>
      <w:r w:rsidRPr="002F7D66">
        <w:rPr>
          <w:sz w:val="22"/>
          <w:szCs w:val="22"/>
        </w:rPr>
        <w:t>Stephania</w:t>
      </w:r>
      <w:proofErr w:type="spellEnd"/>
      <w:r w:rsidRPr="002F7D66">
        <w:rPr>
          <w:sz w:val="22"/>
          <w:szCs w:val="22"/>
        </w:rPr>
        <w:t xml:space="preserve"> A. Cormier</w:t>
      </w:r>
      <w:r w:rsidRPr="002F7D66">
        <w:rPr>
          <w:sz w:val="22"/>
          <w:szCs w:val="22"/>
          <w:vertAlign w:val="superscript"/>
        </w:rPr>
        <w:t>2,3</w:t>
      </w:r>
      <w:r w:rsidR="00CB6C2E" w:rsidRPr="002F7D66">
        <w:rPr>
          <w:sz w:val="22"/>
          <w:szCs w:val="22"/>
          <w:vertAlign w:val="superscript"/>
        </w:rPr>
        <w:t>,</w:t>
      </w:r>
      <w:r w:rsidR="005A4DAF" w:rsidRPr="002F7D66">
        <w:rPr>
          <w:sz w:val="22"/>
          <w:szCs w:val="22"/>
        </w:rPr>
        <w:t>, Dave Bridges</w:t>
      </w:r>
      <w:r w:rsidR="005A4DAF" w:rsidRPr="002F7D66">
        <w:rPr>
          <w:sz w:val="22"/>
          <w:szCs w:val="22"/>
          <w:vertAlign w:val="superscript"/>
        </w:rPr>
        <w:t>1,2,3</w:t>
      </w:r>
      <w:r w:rsidR="00CB6C2E" w:rsidRPr="002F7D66">
        <w:rPr>
          <w:sz w:val="22"/>
          <w:szCs w:val="22"/>
          <w:vertAlign w:val="superscript"/>
        </w:rPr>
        <w:t>,4</w:t>
      </w:r>
    </w:p>
    <w:p w14:paraId="3264FDE7" w14:textId="77777777" w:rsidR="0051397B" w:rsidRDefault="0051397B" w:rsidP="00D3063E">
      <w:pPr>
        <w:spacing w:line="480" w:lineRule="auto"/>
        <w:rPr>
          <w:b/>
          <w:sz w:val="22"/>
          <w:szCs w:val="22"/>
        </w:rPr>
      </w:pPr>
    </w:p>
    <w:p w14:paraId="736E3F6A" w14:textId="40F65099" w:rsidR="00F146C4" w:rsidRDefault="003C346D" w:rsidP="00D3063E">
      <w:pPr>
        <w:spacing w:line="480" w:lineRule="auto"/>
        <w:rPr>
          <w:sz w:val="22"/>
          <w:szCs w:val="22"/>
        </w:rPr>
      </w:pPr>
      <w:r w:rsidRPr="00BE50F9">
        <w:rPr>
          <w:b/>
          <w:sz w:val="22"/>
          <w:szCs w:val="22"/>
        </w:rPr>
        <w:t>Author contributions:</w:t>
      </w:r>
      <w:r w:rsidR="0051397B">
        <w:rPr>
          <w:b/>
          <w:sz w:val="22"/>
          <w:szCs w:val="22"/>
        </w:rPr>
        <w:t xml:space="preserve"> </w:t>
      </w:r>
      <w:r w:rsidR="00C07A3D">
        <w:rPr>
          <w:sz w:val="22"/>
          <w:szCs w:val="22"/>
        </w:rPr>
        <w:t xml:space="preserve">Funding (SAC, DB), Conceptualization (SAC, DB), </w:t>
      </w:r>
      <w:r w:rsidR="001B58EE">
        <w:rPr>
          <w:sz w:val="22"/>
          <w:szCs w:val="22"/>
        </w:rPr>
        <w:t>Experimental design</w:t>
      </w:r>
      <w:r w:rsidR="00C07A3D">
        <w:rPr>
          <w:sz w:val="22"/>
          <w:szCs w:val="22"/>
        </w:rPr>
        <w:t xml:space="preserve"> (SAC, DB, EJS), </w:t>
      </w:r>
      <w:r w:rsidR="00F146C4">
        <w:rPr>
          <w:sz w:val="22"/>
          <w:szCs w:val="22"/>
        </w:rPr>
        <w:t>Data acquisition</w:t>
      </w:r>
      <w:r w:rsidR="00C07A3D">
        <w:rPr>
          <w:sz w:val="22"/>
          <w:szCs w:val="22"/>
        </w:rPr>
        <w:t xml:space="preserve"> (EJS, JP, AR), Technical contributions (EJS, </w:t>
      </w:r>
      <w:r w:rsidR="0051397B">
        <w:rPr>
          <w:sz w:val="22"/>
          <w:szCs w:val="22"/>
        </w:rPr>
        <w:t xml:space="preserve">AR, </w:t>
      </w:r>
      <w:r w:rsidR="00C07A3D">
        <w:rPr>
          <w:sz w:val="22"/>
          <w:szCs w:val="22"/>
        </w:rPr>
        <w:t>MJP, JP, JRR, SJ)</w:t>
      </w:r>
      <w:r w:rsidR="00F146C4">
        <w:rPr>
          <w:sz w:val="22"/>
          <w:szCs w:val="22"/>
        </w:rPr>
        <w:t>, Data analysis</w:t>
      </w:r>
      <w:r w:rsidR="00C07A3D">
        <w:rPr>
          <w:sz w:val="22"/>
          <w:szCs w:val="22"/>
        </w:rPr>
        <w:t xml:space="preserve"> (EJS, DB, JS)</w:t>
      </w:r>
      <w:r w:rsidR="00F146C4">
        <w:rPr>
          <w:sz w:val="22"/>
          <w:szCs w:val="22"/>
        </w:rPr>
        <w:t xml:space="preserve">, </w:t>
      </w:r>
      <w:r w:rsidR="00D04137">
        <w:rPr>
          <w:sz w:val="22"/>
          <w:szCs w:val="22"/>
        </w:rPr>
        <w:t>Data interpretation</w:t>
      </w:r>
      <w:r w:rsidR="00C07A3D">
        <w:rPr>
          <w:sz w:val="22"/>
          <w:szCs w:val="22"/>
        </w:rPr>
        <w:t xml:space="preserve"> (EJS, DB)</w:t>
      </w:r>
      <w:r w:rsidR="00D04137">
        <w:rPr>
          <w:sz w:val="22"/>
          <w:szCs w:val="22"/>
        </w:rPr>
        <w:t>, Drafted manuscript</w:t>
      </w:r>
      <w:r w:rsidR="00C07A3D">
        <w:rPr>
          <w:sz w:val="22"/>
          <w:szCs w:val="22"/>
        </w:rPr>
        <w:t xml:space="preserve"> (EJS, DB)</w:t>
      </w:r>
      <w:r w:rsidR="00D04137">
        <w:rPr>
          <w:sz w:val="22"/>
          <w:szCs w:val="22"/>
        </w:rPr>
        <w:t>, Edited manuscript</w:t>
      </w:r>
      <w:r w:rsidR="00C07A3D">
        <w:rPr>
          <w:sz w:val="22"/>
          <w:szCs w:val="22"/>
        </w:rPr>
        <w:t xml:space="preserve"> (EJS, DB, SAC, SJ)</w:t>
      </w:r>
      <w:r w:rsidR="00D83188">
        <w:rPr>
          <w:sz w:val="22"/>
          <w:szCs w:val="22"/>
        </w:rPr>
        <w:t>, Final approval of manuscript</w:t>
      </w:r>
      <w:r w:rsidR="00C07A3D">
        <w:rPr>
          <w:sz w:val="22"/>
          <w:szCs w:val="22"/>
        </w:rPr>
        <w:t xml:space="preserve"> (EJS, DB, SAC, SJ, JS, MJP, JP, JRR, AR)</w:t>
      </w:r>
    </w:p>
    <w:p w14:paraId="6A8F6954" w14:textId="77777777" w:rsidR="00C07A3D" w:rsidRPr="002F7D66" w:rsidRDefault="00C07A3D" w:rsidP="00D3063E">
      <w:pPr>
        <w:spacing w:line="480" w:lineRule="auto"/>
        <w:rPr>
          <w:sz w:val="22"/>
          <w:szCs w:val="22"/>
        </w:rPr>
      </w:pPr>
    </w:p>
    <w:p w14:paraId="0AE73458" w14:textId="76D1FC1B" w:rsidR="00532F5A" w:rsidRPr="00BE50F9" w:rsidRDefault="00E40A23" w:rsidP="00D3063E">
      <w:pPr>
        <w:spacing w:line="480" w:lineRule="auto"/>
        <w:rPr>
          <w:b/>
          <w:sz w:val="22"/>
          <w:szCs w:val="22"/>
        </w:rPr>
      </w:pPr>
      <w:r w:rsidRPr="00BE50F9">
        <w:rPr>
          <w:b/>
          <w:sz w:val="22"/>
          <w:szCs w:val="22"/>
        </w:rPr>
        <w:t>Affiliations</w:t>
      </w:r>
      <w:r w:rsidR="00532F5A" w:rsidRPr="00BE50F9">
        <w:rPr>
          <w:b/>
          <w:sz w:val="22"/>
          <w:szCs w:val="22"/>
        </w:rPr>
        <w:t>:</w:t>
      </w:r>
    </w:p>
    <w:p w14:paraId="0CC19F19" w14:textId="77777777" w:rsidR="0051397B" w:rsidRDefault="00532F5A" w:rsidP="00D3063E">
      <w:pPr>
        <w:spacing w:line="480" w:lineRule="auto"/>
        <w:rPr>
          <w:rFonts w:ascii="Times New Roman" w:eastAsia="Times New Roman" w:hAnsi="Times New Roman" w:cs="Times New Roman"/>
          <w:sz w:val="22"/>
          <w:szCs w:val="22"/>
        </w:rPr>
      </w:pPr>
      <w:r w:rsidRPr="00D83188">
        <w:rPr>
          <w:sz w:val="22"/>
          <w:szCs w:val="22"/>
          <w:vertAlign w:val="superscript"/>
        </w:rPr>
        <w:t>1</w:t>
      </w:r>
      <w:r w:rsidRPr="00D83188">
        <w:rPr>
          <w:sz w:val="22"/>
          <w:szCs w:val="22"/>
        </w:rPr>
        <w:t>Department of Physiology, University of Tennessee Health Science Center, Memphis</w:t>
      </w:r>
      <w:r w:rsidR="00D41E59" w:rsidRPr="00D83188">
        <w:rPr>
          <w:sz w:val="22"/>
          <w:szCs w:val="22"/>
        </w:rPr>
        <w:t>,</w:t>
      </w:r>
      <w:r w:rsidRPr="00D83188">
        <w:rPr>
          <w:sz w:val="22"/>
          <w:szCs w:val="22"/>
        </w:rPr>
        <w:t xml:space="preserve"> </w:t>
      </w:r>
      <w:r w:rsidR="00CB6C2E" w:rsidRPr="00D83188">
        <w:rPr>
          <w:sz w:val="22"/>
          <w:szCs w:val="22"/>
        </w:rPr>
        <w:t>Tennessee</w:t>
      </w:r>
      <w:r w:rsidRPr="00D83188">
        <w:rPr>
          <w:sz w:val="22"/>
          <w:szCs w:val="22"/>
        </w:rPr>
        <w:t>.</w:t>
      </w:r>
      <w:r w:rsidR="00CB6C2E" w:rsidRPr="00D83188">
        <w:rPr>
          <w:sz w:val="22"/>
          <w:szCs w:val="22"/>
        </w:rPr>
        <w:t xml:space="preserve"> 38163.</w:t>
      </w:r>
      <w:r w:rsidRPr="00D83188">
        <w:rPr>
          <w:sz w:val="22"/>
          <w:szCs w:val="22"/>
        </w:rPr>
        <w:t xml:space="preserve">  </w:t>
      </w:r>
      <w:r w:rsidRPr="00D83188">
        <w:rPr>
          <w:sz w:val="22"/>
          <w:szCs w:val="22"/>
          <w:vertAlign w:val="superscript"/>
        </w:rPr>
        <w:t>2</w:t>
      </w:r>
      <w:r w:rsidRPr="00D83188">
        <w:rPr>
          <w:sz w:val="22"/>
          <w:szCs w:val="22"/>
        </w:rPr>
        <w:t>Department of</w:t>
      </w:r>
      <w:r w:rsidR="00D41E59" w:rsidRPr="00D83188">
        <w:rPr>
          <w:sz w:val="22"/>
          <w:szCs w:val="22"/>
        </w:rPr>
        <w:t xml:space="preserve"> Pediatrics, University of Tenn</w:t>
      </w:r>
      <w:r w:rsidRPr="00D83188">
        <w:rPr>
          <w:sz w:val="22"/>
          <w:szCs w:val="22"/>
        </w:rPr>
        <w:t>essee Health Science Center, Memphis</w:t>
      </w:r>
      <w:r w:rsidR="00D41E59" w:rsidRPr="00D83188">
        <w:rPr>
          <w:sz w:val="22"/>
          <w:szCs w:val="22"/>
        </w:rPr>
        <w:t xml:space="preserve">, </w:t>
      </w:r>
      <w:r w:rsidR="00CB6C2E" w:rsidRPr="00D83188">
        <w:rPr>
          <w:sz w:val="22"/>
          <w:szCs w:val="22"/>
        </w:rPr>
        <w:t xml:space="preserve">Tennessee, 38103. </w:t>
      </w:r>
      <w:r w:rsidR="00CB6C2E" w:rsidRPr="00D83188">
        <w:rPr>
          <w:rFonts w:ascii="Times New Roman" w:eastAsia="Times New Roman" w:hAnsi="Times New Roman" w:cs="Times New Roman"/>
          <w:sz w:val="22"/>
          <w:szCs w:val="22"/>
          <w:vertAlign w:val="superscript"/>
        </w:rPr>
        <w:t>3</w:t>
      </w:r>
      <w:r w:rsidR="00CB6C2E" w:rsidRPr="00D83188">
        <w:rPr>
          <w:rFonts w:ascii="Times New Roman" w:eastAsia="Times New Roman" w:hAnsi="Times New Roman" w:cs="Times New Roman"/>
          <w:sz w:val="22"/>
          <w:szCs w:val="22"/>
        </w:rPr>
        <w:t>Children's Foundation Research Institute, Le Bonheur Children's Hospital, Memphis, Tennessee 38103, United States.</w:t>
      </w:r>
      <w:r w:rsidR="00E40A23" w:rsidRPr="00D83188">
        <w:rPr>
          <w:rFonts w:ascii="Times New Roman" w:eastAsia="Times New Roman" w:hAnsi="Times New Roman" w:cs="Times New Roman"/>
          <w:sz w:val="22"/>
          <w:szCs w:val="22"/>
        </w:rPr>
        <w:t xml:space="preserve"> </w:t>
      </w:r>
    </w:p>
    <w:p w14:paraId="62CFDC7F" w14:textId="1A8D7CB8" w:rsidR="00532F5A" w:rsidRDefault="00E40A23" w:rsidP="00D3063E">
      <w:pPr>
        <w:spacing w:line="480" w:lineRule="auto"/>
        <w:rPr>
          <w:sz w:val="22"/>
          <w:szCs w:val="22"/>
        </w:rPr>
      </w:pPr>
      <w:r w:rsidRPr="00D83188">
        <w:rPr>
          <w:sz w:val="22"/>
          <w:szCs w:val="22"/>
          <w:vertAlign w:val="superscript"/>
        </w:rPr>
        <w:t>4</w:t>
      </w:r>
      <w:r w:rsidRPr="00D83188">
        <w:rPr>
          <w:sz w:val="22"/>
          <w:szCs w:val="22"/>
        </w:rPr>
        <w:t>Corresponding author</w:t>
      </w:r>
    </w:p>
    <w:p w14:paraId="1AC89A74" w14:textId="77777777" w:rsidR="00C07A3D" w:rsidRPr="00D83188" w:rsidRDefault="00C07A3D" w:rsidP="00D3063E">
      <w:pPr>
        <w:spacing w:line="480" w:lineRule="auto"/>
        <w:rPr>
          <w:sz w:val="22"/>
          <w:szCs w:val="22"/>
        </w:rPr>
      </w:pPr>
    </w:p>
    <w:p w14:paraId="004E4473" w14:textId="17D99BC7" w:rsidR="00E40A23" w:rsidRDefault="00E40A23" w:rsidP="00D3063E">
      <w:pPr>
        <w:spacing w:line="480" w:lineRule="auto"/>
        <w:rPr>
          <w:sz w:val="22"/>
          <w:szCs w:val="22"/>
        </w:rPr>
      </w:pPr>
      <w:r w:rsidRPr="00BE50F9">
        <w:rPr>
          <w:b/>
          <w:sz w:val="22"/>
          <w:szCs w:val="22"/>
        </w:rPr>
        <w:t>Running head:</w:t>
      </w:r>
      <w:r w:rsidRPr="00D83188">
        <w:rPr>
          <w:sz w:val="22"/>
          <w:szCs w:val="22"/>
        </w:rPr>
        <w:t xml:space="preserve"> Gestational EPFR Exposure and </w:t>
      </w:r>
      <w:r w:rsidR="003E58BE">
        <w:rPr>
          <w:sz w:val="22"/>
          <w:szCs w:val="22"/>
        </w:rPr>
        <w:t>energy expenditure</w:t>
      </w:r>
    </w:p>
    <w:p w14:paraId="1CDA0CF0" w14:textId="77777777" w:rsidR="00C07A3D" w:rsidRPr="00D83188" w:rsidRDefault="00C07A3D" w:rsidP="00D3063E">
      <w:pPr>
        <w:spacing w:line="480" w:lineRule="auto"/>
        <w:rPr>
          <w:sz w:val="22"/>
          <w:szCs w:val="22"/>
        </w:rPr>
      </w:pPr>
    </w:p>
    <w:p w14:paraId="236ED9C8" w14:textId="08AE8197" w:rsidR="00E40A23" w:rsidRPr="00D83188" w:rsidRDefault="00E40A23" w:rsidP="00D3063E">
      <w:pPr>
        <w:spacing w:line="480" w:lineRule="auto"/>
        <w:rPr>
          <w:sz w:val="22"/>
          <w:szCs w:val="22"/>
        </w:rPr>
      </w:pPr>
      <w:commentRangeStart w:id="1"/>
      <w:r w:rsidRPr="00BE50F9">
        <w:rPr>
          <w:b/>
          <w:sz w:val="22"/>
          <w:szCs w:val="22"/>
        </w:rPr>
        <w:t>Address for corresponding author:</w:t>
      </w:r>
      <w:commentRangeEnd w:id="1"/>
      <w:r w:rsidR="00582A66">
        <w:rPr>
          <w:rStyle w:val="CommentReference"/>
        </w:rPr>
        <w:commentReference w:id="1"/>
      </w:r>
      <w:r w:rsidRPr="00D83188">
        <w:rPr>
          <w:sz w:val="22"/>
          <w:szCs w:val="22"/>
        </w:rPr>
        <w:t xml:space="preserve"> </w:t>
      </w:r>
      <w:r w:rsidR="0051397B">
        <w:rPr>
          <w:sz w:val="22"/>
          <w:szCs w:val="22"/>
        </w:rPr>
        <w:t xml:space="preserve">email: </w:t>
      </w:r>
      <w:hyperlink r:id="rId8" w:history="1">
        <w:r w:rsidRPr="00D83188">
          <w:rPr>
            <w:rStyle w:val="Hyperlink"/>
            <w:sz w:val="22"/>
            <w:szCs w:val="22"/>
          </w:rPr>
          <w:t>dbridge9@uthsc.edu</w:t>
        </w:r>
      </w:hyperlink>
      <w:r w:rsidRPr="00D83188">
        <w:rPr>
          <w:sz w:val="22"/>
          <w:szCs w:val="22"/>
        </w:rPr>
        <w:t xml:space="preserve"> </w:t>
      </w:r>
      <w:r w:rsidR="0051397B">
        <w:rPr>
          <w:sz w:val="22"/>
          <w:szCs w:val="22"/>
        </w:rPr>
        <w:t>mail: 894 Union Avenue, Suite 521, Memphis TN 38163</w:t>
      </w:r>
    </w:p>
    <w:p w14:paraId="03016776" w14:textId="2FF34A1C" w:rsidR="00532F5A" w:rsidRPr="001D4DDA" w:rsidRDefault="00532F5A" w:rsidP="00D3063E">
      <w:pPr>
        <w:spacing w:line="480" w:lineRule="auto"/>
        <w:rPr>
          <w:sz w:val="22"/>
          <w:szCs w:val="22"/>
        </w:rPr>
      </w:pPr>
    </w:p>
    <w:p w14:paraId="67EAC240" w14:textId="77777777" w:rsidR="00F10627" w:rsidRPr="001D4DDA" w:rsidRDefault="00F10627" w:rsidP="00D3063E">
      <w:pPr>
        <w:spacing w:line="480" w:lineRule="auto"/>
        <w:rPr>
          <w:sz w:val="22"/>
          <w:szCs w:val="22"/>
        </w:rPr>
      </w:pPr>
      <w:r w:rsidRPr="001D4DDA">
        <w:rPr>
          <w:sz w:val="22"/>
          <w:szCs w:val="22"/>
        </w:rPr>
        <w:br w:type="page"/>
      </w:r>
    </w:p>
    <w:p w14:paraId="342B0DC9" w14:textId="77777777" w:rsidR="00881AC0" w:rsidRPr="001D4DDA" w:rsidRDefault="007221E6" w:rsidP="00582A66">
      <w:pPr>
        <w:pStyle w:val="Heading1"/>
        <w:spacing w:before="0" w:line="480" w:lineRule="auto"/>
        <w:rPr>
          <w:sz w:val="22"/>
          <w:szCs w:val="22"/>
        </w:rPr>
      </w:pPr>
      <w:commentRangeStart w:id="2"/>
      <w:r w:rsidRPr="001D4DDA">
        <w:rPr>
          <w:sz w:val="22"/>
          <w:szCs w:val="22"/>
        </w:rPr>
        <w:lastRenderedPageBreak/>
        <w:t>Abstract</w:t>
      </w:r>
      <w:commentRangeEnd w:id="2"/>
      <w:r w:rsidR="00582A66">
        <w:rPr>
          <w:rStyle w:val="CommentReference"/>
          <w:rFonts w:asciiTheme="minorHAnsi" w:eastAsiaTheme="minorEastAsia" w:hAnsiTheme="minorHAnsi" w:cstheme="minorBidi"/>
          <w:b w:val="0"/>
          <w:bCs w:val="0"/>
          <w:color w:val="auto"/>
        </w:rPr>
        <w:commentReference w:id="2"/>
      </w:r>
    </w:p>
    <w:p w14:paraId="72BC9E26" w14:textId="1A8D4ADB" w:rsidR="001D1BE1" w:rsidRDefault="001F59A1" w:rsidP="00896FD8">
      <w:pPr>
        <w:spacing w:line="480" w:lineRule="auto"/>
        <w:rPr>
          <w:sz w:val="22"/>
          <w:szCs w:val="22"/>
        </w:rPr>
      </w:pPr>
      <w:r w:rsidRPr="001D4DDA">
        <w:rPr>
          <w:sz w:val="22"/>
          <w:szCs w:val="22"/>
        </w:rPr>
        <w:t xml:space="preserve">We have investigated the effects of </w:t>
      </w:r>
      <w:r w:rsidRPr="001D4DDA">
        <w:rPr>
          <w:i/>
          <w:sz w:val="22"/>
          <w:szCs w:val="22"/>
        </w:rPr>
        <w:t>in utero</w:t>
      </w:r>
      <w:r w:rsidRPr="001D4DDA">
        <w:rPr>
          <w:sz w:val="22"/>
          <w:szCs w:val="22"/>
        </w:rPr>
        <w:t xml:space="preserve"> exposure to Environmentally Persistent Free Radicals (EPFR’s) on growth, metabolism, energy utilization and skeletal muscle mitochondrial function in a mouse model of diet-induced obesity. Pregnant </w:t>
      </w:r>
      <w:r w:rsidR="00463BE7" w:rsidRPr="00677562">
        <w:rPr>
          <w:sz w:val="22"/>
          <w:szCs w:val="22"/>
        </w:rPr>
        <w:t>C57BL6/</w:t>
      </w:r>
      <w:proofErr w:type="spellStart"/>
      <w:r w:rsidR="00463BE7" w:rsidRPr="00677562">
        <w:rPr>
          <w:sz w:val="22"/>
          <w:szCs w:val="22"/>
        </w:rPr>
        <w:t>N</w:t>
      </w:r>
      <w:r w:rsidR="00677562">
        <w:rPr>
          <w:sz w:val="22"/>
          <w:szCs w:val="22"/>
        </w:rPr>
        <w:t>Hsd</w:t>
      </w:r>
      <w:proofErr w:type="spellEnd"/>
      <w:r w:rsidR="00463BE7" w:rsidRPr="00677562">
        <w:rPr>
          <w:sz w:val="22"/>
          <w:szCs w:val="22"/>
        </w:rPr>
        <w:t xml:space="preserve"> </w:t>
      </w:r>
      <w:r w:rsidRPr="001D4DDA">
        <w:rPr>
          <w:sz w:val="22"/>
          <w:szCs w:val="22"/>
        </w:rPr>
        <w:t xml:space="preserve">dams were treated with </w:t>
      </w:r>
      <w:r w:rsidR="00B251FC" w:rsidRPr="001D4DDA">
        <w:rPr>
          <w:sz w:val="22"/>
          <w:szCs w:val="22"/>
        </w:rPr>
        <w:t xml:space="preserve">either </w:t>
      </w:r>
      <w:r w:rsidR="00B0500E" w:rsidRPr="001D4DDA">
        <w:rPr>
          <w:sz w:val="22"/>
          <w:szCs w:val="22"/>
        </w:rPr>
        <w:t>a model particulate bound EPFR (</w:t>
      </w:r>
      <w:r w:rsidRPr="001D4DDA">
        <w:rPr>
          <w:sz w:val="22"/>
          <w:szCs w:val="22"/>
        </w:rPr>
        <w:t>MCP230</w:t>
      </w:r>
      <w:r w:rsidR="00B0500E" w:rsidRPr="001D4DDA">
        <w:rPr>
          <w:sz w:val="22"/>
          <w:szCs w:val="22"/>
        </w:rPr>
        <w:t>)</w:t>
      </w:r>
      <w:r w:rsidR="00E77DBA" w:rsidRPr="001D4DDA">
        <w:rPr>
          <w:sz w:val="22"/>
          <w:szCs w:val="22"/>
        </w:rPr>
        <w:t xml:space="preserve"> </w:t>
      </w:r>
      <w:r w:rsidR="00B251FC" w:rsidRPr="001D4DDA">
        <w:rPr>
          <w:sz w:val="22"/>
          <w:szCs w:val="22"/>
        </w:rPr>
        <w:t>or saline</w:t>
      </w:r>
      <w:r w:rsidRPr="001D4DDA">
        <w:rPr>
          <w:sz w:val="22"/>
          <w:szCs w:val="22"/>
        </w:rPr>
        <w:t xml:space="preserve">. </w:t>
      </w:r>
      <w:r w:rsidR="0052135D" w:rsidRPr="001D4DDA">
        <w:rPr>
          <w:sz w:val="22"/>
          <w:szCs w:val="22"/>
        </w:rPr>
        <w:t xml:space="preserve">The </w:t>
      </w:r>
      <w:r w:rsidR="00861088" w:rsidRPr="001D4DDA">
        <w:rPr>
          <w:sz w:val="22"/>
          <w:szCs w:val="22"/>
        </w:rPr>
        <w:t xml:space="preserve">adult </w:t>
      </w:r>
      <w:r w:rsidR="0052135D" w:rsidRPr="001D4DDA">
        <w:rPr>
          <w:sz w:val="22"/>
          <w:szCs w:val="22"/>
        </w:rPr>
        <w:t>offspring were placed on a high fat diet</w:t>
      </w:r>
      <w:r w:rsidR="000837E7" w:rsidRPr="001D4DDA">
        <w:rPr>
          <w:sz w:val="22"/>
          <w:szCs w:val="22"/>
        </w:rPr>
        <w:t xml:space="preserve"> for 12 w</w:t>
      </w:r>
      <w:r w:rsidR="00A33159">
        <w:rPr>
          <w:sz w:val="22"/>
          <w:szCs w:val="22"/>
        </w:rPr>
        <w:t>ee</w:t>
      </w:r>
      <w:r w:rsidR="000837E7" w:rsidRPr="001D4DDA">
        <w:rPr>
          <w:sz w:val="22"/>
          <w:szCs w:val="22"/>
        </w:rPr>
        <w:t>k</w:t>
      </w:r>
      <w:r w:rsidR="00A33159">
        <w:rPr>
          <w:sz w:val="22"/>
          <w:szCs w:val="22"/>
        </w:rPr>
        <w:t>s</w:t>
      </w:r>
      <w:r w:rsidR="0052135D" w:rsidRPr="001D4DDA">
        <w:rPr>
          <w:sz w:val="22"/>
          <w:szCs w:val="22"/>
        </w:rPr>
        <w:t xml:space="preserve">, </w:t>
      </w:r>
      <w:r w:rsidR="000837E7" w:rsidRPr="001D4DDA">
        <w:rPr>
          <w:sz w:val="22"/>
          <w:szCs w:val="22"/>
        </w:rPr>
        <w:t xml:space="preserve">after which </w:t>
      </w:r>
      <w:r w:rsidR="0052135D" w:rsidRPr="001D4DDA">
        <w:rPr>
          <w:sz w:val="22"/>
          <w:szCs w:val="22"/>
        </w:rPr>
        <w:t xml:space="preserve">we observed a </w:t>
      </w:r>
      <w:r w:rsidR="0037347F">
        <w:rPr>
          <w:sz w:val="22"/>
          <w:szCs w:val="22"/>
        </w:rPr>
        <w:t>9.8</w:t>
      </w:r>
      <w:r w:rsidR="0052135D" w:rsidRPr="001D4DDA">
        <w:rPr>
          <w:sz w:val="22"/>
          <w:szCs w:val="22"/>
        </w:rPr>
        <w:t xml:space="preserve">% increase in their body </w:t>
      </w:r>
      <w:r w:rsidR="0052135D" w:rsidRPr="00620ED0">
        <w:rPr>
          <w:sz w:val="22"/>
          <w:szCs w:val="22"/>
        </w:rPr>
        <w:t>weigh</w:t>
      </w:r>
      <w:r w:rsidR="000837E7" w:rsidRPr="00620ED0">
        <w:rPr>
          <w:sz w:val="22"/>
          <w:szCs w:val="22"/>
        </w:rPr>
        <w:t>t.</w:t>
      </w:r>
      <w:r w:rsidR="006F42DC" w:rsidRPr="00620ED0">
        <w:rPr>
          <w:sz w:val="22"/>
          <w:szCs w:val="22"/>
        </w:rPr>
        <w:t xml:space="preserve"> </w:t>
      </w:r>
      <w:r w:rsidR="00BD4AF5" w:rsidRPr="001D4DDA">
        <w:rPr>
          <w:sz w:val="22"/>
          <w:szCs w:val="22"/>
        </w:rPr>
        <w:t xml:space="preserve">The increase in body </w:t>
      </w:r>
      <w:r w:rsidR="00AD09F7" w:rsidRPr="001D4DDA">
        <w:rPr>
          <w:sz w:val="22"/>
          <w:szCs w:val="22"/>
        </w:rPr>
        <w:t>size</w:t>
      </w:r>
      <w:r w:rsidR="00BD4AF5" w:rsidRPr="001D4DDA">
        <w:rPr>
          <w:sz w:val="22"/>
          <w:szCs w:val="22"/>
        </w:rPr>
        <w:t xml:space="preserve"> </w:t>
      </w:r>
      <w:r w:rsidR="00475C6A" w:rsidRPr="001D4DDA">
        <w:rPr>
          <w:sz w:val="22"/>
          <w:szCs w:val="22"/>
        </w:rPr>
        <w:t xml:space="preserve">observed in the MCP230-exposed mice </w:t>
      </w:r>
      <w:r w:rsidR="00BD4AF5" w:rsidRPr="001D4DDA">
        <w:rPr>
          <w:sz w:val="22"/>
          <w:szCs w:val="22"/>
        </w:rPr>
        <w:t xml:space="preserve">was </w:t>
      </w:r>
      <w:r w:rsidR="00317755" w:rsidRPr="001D4DDA">
        <w:rPr>
          <w:sz w:val="22"/>
          <w:szCs w:val="22"/>
        </w:rPr>
        <w:t xml:space="preserve">not </w:t>
      </w:r>
      <w:r w:rsidR="00BD4AF5" w:rsidRPr="001D4DDA">
        <w:rPr>
          <w:sz w:val="22"/>
          <w:szCs w:val="22"/>
        </w:rPr>
        <w:t xml:space="preserve">associated with </w:t>
      </w:r>
      <w:r w:rsidR="00AD09F7" w:rsidRPr="001D4DDA">
        <w:rPr>
          <w:sz w:val="22"/>
          <w:szCs w:val="22"/>
        </w:rPr>
        <w:t>increases</w:t>
      </w:r>
      <w:r w:rsidR="001D1BE1" w:rsidRPr="001D4DDA">
        <w:rPr>
          <w:sz w:val="22"/>
          <w:szCs w:val="22"/>
        </w:rPr>
        <w:t xml:space="preserve"> in food intake</w:t>
      </w:r>
      <w:r w:rsidR="001D1BE1" w:rsidRPr="00A33159">
        <w:rPr>
          <w:sz w:val="22"/>
          <w:szCs w:val="22"/>
        </w:rPr>
        <w:t xml:space="preserve">, </w:t>
      </w:r>
      <w:r w:rsidR="00E71FFB" w:rsidRPr="00A33159">
        <w:rPr>
          <w:sz w:val="22"/>
          <w:szCs w:val="22"/>
        </w:rPr>
        <w:t xml:space="preserve">but was associated with a reduction in </w:t>
      </w:r>
      <w:r w:rsidR="00CA73E4" w:rsidRPr="00A33159">
        <w:rPr>
          <w:sz w:val="22"/>
          <w:szCs w:val="22"/>
        </w:rPr>
        <w:t xml:space="preserve">physical </w:t>
      </w:r>
      <w:r w:rsidR="001D1BE1" w:rsidRPr="00A33159">
        <w:rPr>
          <w:sz w:val="22"/>
          <w:szCs w:val="22"/>
        </w:rPr>
        <w:t>activ</w:t>
      </w:r>
      <w:r w:rsidR="00E71FFB" w:rsidRPr="00A33159">
        <w:rPr>
          <w:sz w:val="22"/>
          <w:szCs w:val="22"/>
        </w:rPr>
        <w:t>ity</w:t>
      </w:r>
      <w:r w:rsidR="001D1BE1" w:rsidRPr="00A33159">
        <w:rPr>
          <w:sz w:val="22"/>
          <w:szCs w:val="22"/>
        </w:rPr>
        <w:t xml:space="preserve"> </w:t>
      </w:r>
      <w:r w:rsidR="001D1BE1" w:rsidRPr="001D4DDA">
        <w:rPr>
          <w:sz w:val="22"/>
          <w:szCs w:val="22"/>
        </w:rPr>
        <w:t xml:space="preserve">and </w:t>
      </w:r>
      <w:r w:rsidR="00AD09F7" w:rsidRPr="001D4DDA">
        <w:rPr>
          <w:sz w:val="22"/>
          <w:szCs w:val="22"/>
        </w:rPr>
        <w:t>lower</w:t>
      </w:r>
      <w:r w:rsidR="001D1BE1" w:rsidRPr="001D4DDA">
        <w:rPr>
          <w:sz w:val="22"/>
          <w:szCs w:val="22"/>
        </w:rPr>
        <w:t xml:space="preserve"> </w:t>
      </w:r>
      <w:r w:rsidR="0052135D" w:rsidRPr="001D4DDA">
        <w:rPr>
          <w:sz w:val="22"/>
          <w:szCs w:val="22"/>
        </w:rPr>
        <w:t>energy expenditure</w:t>
      </w:r>
      <w:r w:rsidR="001D1BE1" w:rsidRPr="001D4DDA">
        <w:rPr>
          <w:sz w:val="22"/>
          <w:szCs w:val="22"/>
        </w:rPr>
        <w:t xml:space="preserve"> </w:t>
      </w:r>
      <w:r w:rsidR="00C8478A">
        <w:rPr>
          <w:sz w:val="22"/>
          <w:szCs w:val="22"/>
        </w:rPr>
        <w:t xml:space="preserve">when </w:t>
      </w:r>
      <w:r w:rsidR="000A286D" w:rsidRPr="001D4DDA">
        <w:rPr>
          <w:sz w:val="22"/>
          <w:szCs w:val="22"/>
        </w:rPr>
        <w:t>compared to the saline-exposed mice</w:t>
      </w:r>
      <w:r w:rsidR="0052135D" w:rsidRPr="001D4DDA">
        <w:rPr>
          <w:sz w:val="22"/>
          <w:szCs w:val="22"/>
        </w:rPr>
        <w:t xml:space="preserve">.  </w:t>
      </w:r>
      <w:r w:rsidR="00D166B0" w:rsidRPr="001D4DDA">
        <w:rPr>
          <w:sz w:val="22"/>
          <w:szCs w:val="22"/>
        </w:rPr>
        <w:t xml:space="preserve">The reduced energy expenditure in </w:t>
      </w:r>
      <w:r w:rsidR="0052135D" w:rsidRPr="001D4DDA">
        <w:rPr>
          <w:sz w:val="22"/>
          <w:szCs w:val="22"/>
        </w:rPr>
        <w:t xml:space="preserve">the mice exposed </w:t>
      </w:r>
      <w:r w:rsidR="0052135D" w:rsidRPr="00C8478A">
        <w:rPr>
          <w:sz w:val="22"/>
          <w:szCs w:val="22"/>
        </w:rPr>
        <w:t>t</w:t>
      </w:r>
      <w:r w:rsidR="0052135D" w:rsidRPr="001D4DDA">
        <w:rPr>
          <w:sz w:val="22"/>
          <w:szCs w:val="22"/>
        </w:rPr>
        <w:t xml:space="preserve">o </w:t>
      </w:r>
      <w:r w:rsidR="00D166B0" w:rsidRPr="001D4DDA">
        <w:rPr>
          <w:sz w:val="22"/>
          <w:szCs w:val="22"/>
        </w:rPr>
        <w:t xml:space="preserve">MCP230 </w:t>
      </w:r>
      <w:r w:rsidR="006529C8" w:rsidRPr="001D4DDA">
        <w:rPr>
          <w:sz w:val="22"/>
          <w:szCs w:val="22"/>
        </w:rPr>
        <w:t xml:space="preserve">was </w:t>
      </w:r>
      <w:r w:rsidR="00D166B0" w:rsidRPr="001D4DDA">
        <w:rPr>
          <w:sz w:val="22"/>
          <w:szCs w:val="22"/>
        </w:rPr>
        <w:t>associated with reduc</w:t>
      </w:r>
      <w:r w:rsidR="00B27EEE" w:rsidRPr="001D4DDA">
        <w:rPr>
          <w:sz w:val="22"/>
          <w:szCs w:val="22"/>
        </w:rPr>
        <w:t>tions in</w:t>
      </w:r>
      <w:r w:rsidR="00D166B0" w:rsidRPr="001D4DDA">
        <w:rPr>
          <w:sz w:val="22"/>
          <w:szCs w:val="22"/>
        </w:rPr>
        <w:t xml:space="preserve"> </w:t>
      </w:r>
      <w:r w:rsidR="00B27EEE" w:rsidRPr="001D4DDA">
        <w:rPr>
          <w:sz w:val="22"/>
          <w:szCs w:val="22"/>
        </w:rPr>
        <w:t xml:space="preserve">skeletal muscle </w:t>
      </w:r>
      <w:r w:rsidR="0052135D" w:rsidRPr="001D4DDA">
        <w:rPr>
          <w:sz w:val="22"/>
          <w:szCs w:val="22"/>
        </w:rPr>
        <w:t xml:space="preserve">mitochondrial </w:t>
      </w:r>
      <w:r w:rsidR="00D166B0" w:rsidRPr="001D4DDA">
        <w:rPr>
          <w:sz w:val="22"/>
          <w:szCs w:val="22"/>
        </w:rPr>
        <w:t xml:space="preserve">DNA </w:t>
      </w:r>
      <w:r w:rsidR="00D166B0" w:rsidRPr="008E0D09">
        <w:rPr>
          <w:sz w:val="22"/>
          <w:szCs w:val="22"/>
        </w:rPr>
        <w:t>copy number</w:t>
      </w:r>
      <w:r w:rsidR="00861088" w:rsidRPr="008E0D09">
        <w:rPr>
          <w:sz w:val="22"/>
          <w:szCs w:val="22"/>
        </w:rPr>
        <w:t>, lower</w:t>
      </w:r>
      <w:r w:rsidR="00BB4B9E">
        <w:rPr>
          <w:sz w:val="22"/>
          <w:szCs w:val="22"/>
        </w:rPr>
        <w:t xml:space="preserve"> </w:t>
      </w:r>
      <w:r w:rsidR="00F20707" w:rsidRPr="008E0D09">
        <w:rPr>
          <w:sz w:val="22"/>
          <w:szCs w:val="22"/>
        </w:rPr>
        <w:t xml:space="preserve">mRNA </w:t>
      </w:r>
      <w:r w:rsidR="008E5C58" w:rsidRPr="008E0D09">
        <w:rPr>
          <w:sz w:val="22"/>
          <w:szCs w:val="22"/>
        </w:rPr>
        <w:t>levels</w:t>
      </w:r>
      <w:r w:rsidR="00B27EEE" w:rsidRPr="008E0D09">
        <w:rPr>
          <w:sz w:val="22"/>
          <w:szCs w:val="22"/>
        </w:rPr>
        <w:t xml:space="preserve"> of electron transport genes</w:t>
      </w:r>
      <w:r w:rsidR="008E5C58" w:rsidRPr="008E0D09">
        <w:rPr>
          <w:sz w:val="22"/>
          <w:szCs w:val="22"/>
        </w:rPr>
        <w:t xml:space="preserve"> </w:t>
      </w:r>
      <w:r w:rsidR="00B27EEE" w:rsidRPr="008E0D09">
        <w:rPr>
          <w:sz w:val="22"/>
          <w:szCs w:val="22"/>
        </w:rPr>
        <w:t>and</w:t>
      </w:r>
      <w:r w:rsidR="00F20707" w:rsidRPr="008E0D09">
        <w:rPr>
          <w:sz w:val="22"/>
          <w:szCs w:val="22"/>
        </w:rPr>
        <w:t xml:space="preserve"> </w:t>
      </w:r>
      <w:r w:rsidR="00861088" w:rsidRPr="008E0D09">
        <w:rPr>
          <w:sz w:val="22"/>
          <w:szCs w:val="22"/>
        </w:rPr>
        <w:t xml:space="preserve">reduced </w:t>
      </w:r>
      <w:r w:rsidR="00F20707" w:rsidRPr="008E0D09">
        <w:rPr>
          <w:sz w:val="22"/>
          <w:szCs w:val="22"/>
        </w:rPr>
        <w:t>citrate synthase activity</w:t>
      </w:r>
      <w:r w:rsidR="00B27EEE" w:rsidRPr="008E0D09">
        <w:rPr>
          <w:sz w:val="22"/>
          <w:szCs w:val="22"/>
        </w:rPr>
        <w:t>.</w:t>
      </w:r>
      <w:r w:rsidR="00D166B0" w:rsidRPr="008E0D09">
        <w:rPr>
          <w:sz w:val="22"/>
          <w:szCs w:val="22"/>
        </w:rPr>
        <w:t xml:space="preserve"> </w:t>
      </w:r>
      <w:r w:rsidR="0033301A" w:rsidRPr="008E0D09">
        <w:rPr>
          <w:sz w:val="22"/>
          <w:szCs w:val="22"/>
        </w:rPr>
        <w:t xml:space="preserve">These observations suggest that gestational exposure to EPFR’s </w:t>
      </w:r>
      <w:r w:rsidR="00C8478A">
        <w:rPr>
          <w:sz w:val="22"/>
          <w:szCs w:val="22"/>
        </w:rPr>
        <w:t>leads to</w:t>
      </w:r>
      <w:r w:rsidR="00C8478A" w:rsidRPr="00C8478A">
        <w:rPr>
          <w:sz w:val="22"/>
          <w:szCs w:val="22"/>
        </w:rPr>
        <w:t xml:space="preserve"> </w:t>
      </w:r>
      <w:r w:rsidR="0033301A" w:rsidRPr="008E0D09">
        <w:rPr>
          <w:sz w:val="22"/>
          <w:szCs w:val="22"/>
        </w:rPr>
        <w:t>a reducti</w:t>
      </w:r>
      <w:r w:rsidR="00354B0D" w:rsidRPr="008E0D09">
        <w:rPr>
          <w:sz w:val="22"/>
          <w:szCs w:val="22"/>
        </w:rPr>
        <w:t>on in energy expenditure</w:t>
      </w:r>
      <w:r w:rsidR="007A7DA9" w:rsidRPr="008E0D09">
        <w:rPr>
          <w:sz w:val="22"/>
          <w:szCs w:val="22"/>
        </w:rPr>
        <w:t>, at least in part,</w:t>
      </w:r>
      <w:r w:rsidR="00354B0D" w:rsidRPr="008E0D09">
        <w:rPr>
          <w:sz w:val="22"/>
          <w:szCs w:val="22"/>
        </w:rPr>
        <w:t xml:space="preserve"> </w:t>
      </w:r>
      <w:r w:rsidR="007A7DA9" w:rsidRPr="008E0D09">
        <w:rPr>
          <w:sz w:val="22"/>
          <w:szCs w:val="22"/>
        </w:rPr>
        <w:t>through</w:t>
      </w:r>
      <w:r w:rsidR="0033301A" w:rsidRPr="008E0D09">
        <w:rPr>
          <w:sz w:val="22"/>
          <w:szCs w:val="22"/>
        </w:rPr>
        <w:t xml:space="preserve"> alterations to mitochondrial metabolism in the skeletal muscle</w:t>
      </w:r>
      <w:r w:rsidR="004B62B5" w:rsidRPr="008E0D09">
        <w:rPr>
          <w:sz w:val="22"/>
          <w:szCs w:val="22"/>
        </w:rPr>
        <w:t>.</w:t>
      </w:r>
    </w:p>
    <w:p w14:paraId="5812DF71" w14:textId="77777777" w:rsidR="004C12AE" w:rsidRPr="008E0D09" w:rsidRDefault="004C12AE" w:rsidP="00896FD8">
      <w:pPr>
        <w:spacing w:line="480" w:lineRule="auto"/>
        <w:rPr>
          <w:sz w:val="22"/>
          <w:szCs w:val="22"/>
        </w:rPr>
      </w:pPr>
    </w:p>
    <w:p w14:paraId="15219C2B" w14:textId="033B3CBB" w:rsidR="0017693D" w:rsidRPr="008E0D09" w:rsidRDefault="0017693D" w:rsidP="003E58BE">
      <w:pPr>
        <w:pStyle w:val="Heading1"/>
        <w:spacing w:before="0" w:line="480" w:lineRule="auto"/>
        <w:rPr>
          <w:sz w:val="22"/>
          <w:szCs w:val="22"/>
        </w:rPr>
      </w:pPr>
      <w:commentRangeStart w:id="3"/>
      <w:r w:rsidRPr="008E0D09">
        <w:rPr>
          <w:sz w:val="22"/>
          <w:szCs w:val="22"/>
        </w:rPr>
        <w:t>Key words</w:t>
      </w:r>
      <w:commentRangeEnd w:id="3"/>
      <w:r w:rsidR="003E58BE">
        <w:rPr>
          <w:rStyle w:val="CommentReference"/>
          <w:rFonts w:asciiTheme="minorHAnsi" w:eastAsiaTheme="minorEastAsia" w:hAnsiTheme="minorHAnsi" w:cstheme="minorBidi"/>
          <w:b w:val="0"/>
          <w:bCs w:val="0"/>
          <w:color w:val="auto"/>
        </w:rPr>
        <w:commentReference w:id="3"/>
      </w:r>
    </w:p>
    <w:p w14:paraId="490C189B" w14:textId="27FC44DD" w:rsidR="00F10627" w:rsidRPr="008E0D09" w:rsidRDefault="00F24E62" w:rsidP="00896FD8">
      <w:pPr>
        <w:spacing w:line="480" w:lineRule="auto"/>
        <w:rPr>
          <w:rFonts w:asciiTheme="majorHAnsi" w:eastAsiaTheme="majorEastAsia" w:hAnsiTheme="majorHAnsi" w:cstheme="majorBidi"/>
          <w:b/>
          <w:bCs/>
          <w:color w:val="345A8A" w:themeColor="accent1" w:themeShade="B5"/>
          <w:sz w:val="22"/>
          <w:szCs w:val="22"/>
        </w:rPr>
      </w:pPr>
      <w:r w:rsidRPr="008E0D09">
        <w:rPr>
          <w:i/>
          <w:sz w:val="22"/>
          <w:szCs w:val="22"/>
        </w:rPr>
        <w:t>In utero</w:t>
      </w:r>
      <w:r w:rsidRPr="008E0D09">
        <w:rPr>
          <w:sz w:val="22"/>
          <w:szCs w:val="22"/>
        </w:rPr>
        <w:t xml:space="preserve"> exposure, </w:t>
      </w:r>
      <w:proofErr w:type="gramStart"/>
      <w:r w:rsidRPr="008E0D09">
        <w:rPr>
          <w:sz w:val="22"/>
          <w:szCs w:val="22"/>
        </w:rPr>
        <w:t>Environmentally</w:t>
      </w:r>
      <w:proofErr w:type="gramEnd"/>
      <w:r w:rsidRPr="008E0D09">
        <w:rPr>
          <w:sz w:val="22"/>
          <w:szCs w:val="22"/>
        </w:rPr>
        <w:t xml:space="preserve"> persistent free radicals, Whole-body metabolism, Skeletal muscle, Mitochondria</w:t>
      </w:r>
    </w:p>
    <w:p w14:paraId="6CA5FC4B" w14:textId="77777777" w:rsidR="00602209" w:rsidRDefault="00602209" w:rsidP="00DB435F"/>
    <w:p w14:paraId="36CCC8DA" w14:textId="77777777" w:rsidR="00602209" w:rsidRPr="00602209" w:rsidRDefault="00602209"/>
    <w:p w14:paraId="7018D570" w14:textId="77777777" w:rsidR="007221E6" w:rsidRPr="008E0D09" w:rsidRDefault="007221E6" w:rsidP="003E58BE">
      <w:pPr>
        <w:pStyle w:val="Heading1"/>
        <w:spacing w:before="0" w:line="480" w:lineRule="auto"/>
        <w:rPr>
          <w:sz w:val="22"/>
          <w:szCs w:val="22"/>
        </w:rPr>
      </w:pPr>
      <w:r w:rsidRPr="008E0D09">
        <w:rPr>
          <w:sz w:val="22"/>
          <w:szCs w:val="22"/>
        </w:rPr>
        <w:t>Introduction</w:t>
      </w:r>
    </w:p>
    <w:p w14:paraId="03C10F72" w14:textId="47D1A919" w:rsidR="00F83FCA" w:rsidRPr="006039C0" w:rsidRDefault="003B4388" w:rsidP="00896FD8">
      <w:pPr>
        <w:spacing w:line="480" w:lineRule="auto"/>
        <w:rPr>
          <w:sz w:val="22"/>
          <w:szCs w:val="22"/>
        </w:rPr>
      </w:pPr>
      <w:r w:rsidRPr="00602209">
        <w:rPr>
          <w:sz w:val="22"/>
          <w:szCs w:val="22"/>
        </w:rPr>
        <w:t xml:space="preserve">Obesity is a major global </w:t>
      </w:r>
      <w:r w:rsidR="00691BA2" w:rsidRPr="00602209">
        <w:rPr>
          <w:sz w:val="22"/>
          <w:szCs w:val="22"/>
        </w:rPr>
        <w:t>health concern and emerging data supports a role for environmental pollutants in the pathogenesis of obesity and its comorbidities</w:t>
      </w:r>
      <w:r w:rsidR="006E0B93" w:rsidRPr="00602209">
        <w:rPr>
          <w:sz w:val="22"/>
          <w:szCs w:val="22"/>
        </w:rPr>
        <w:t xml:space="preserve"> </w:t>
      </w:r>
      <w:commentRangeStart w:id="4"/>
      <w:r w:rsidR="006E0B93" w:rsidRPr="00602209">
        <w:rPr>
          <w:sz w:val="22"/>
          <w:szCs w:val="22"/>
        </w:rPr>
        <w:fldChar w:fldCharType="begin" w:fldLock="1"/>
      </w:r>
      <w:r w:rsidR="006E0B93" w:rsidRPr="00602209">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"[10\u201313]", "plainTextFormattedCitation" : "[10\u201313]", "previouslyFormattedCitation" : "[10\u201313]" }, "properties" : { "noteIndex" : 0 }, "schema" : "https://github.com/citation-style-language/schema/raw/master/csl-citation.json" }</w:instrText>
      </w:r>
      <w:r w:rsidR="006E0B93" w:rsidRPr="00602209">
        <w:rPr>
          <w:sz w:val="22"/>
          <w:szCs w:val="22"/>
        </w:rPr>
        <w:fldChar w:fldCharType="separate"/>
      </w:r>
      <w:r w:rsidR="006E0B93" w:rsidRPr="00602209">
        <w:rPr>
          <w:noProof/>
          <w:sz w:val="22"/>
          <w:szCs w:val="22"/>
        </w:rPr>
        <w:t>[10–13]</w:t>
      </w:r>
      <w:r w:rsidR="006E0B93" w:rsidRPr="00602209">
        <w:rPr>
          <w:sz w:val="22"/>
          <w:szCs w:val="22"/>
        </w:rPr>
        <w:fldChar w:fldCharType="end"/>
      </w:r>
      <w:r w:rsidR="006E0B93" w:rsidRPr="00602209">
        <w:rPr>
          <w:sz w:val="22"/>
          <w:szCs w:val="22"/>
        </w:rPr>
        <w:t xml:space="preserve"> </w:t>
      </w:r>
      <w:r w:rsidR="006E0B93" w:rsidRPr="00602209">
        <w:rPr>
          <w:sz w:val="22"/>
          <w:szCs w:val="22"/>
        </w:rPr>
        <w:fldChar w:fldCharType="begin" w:fldLock="1"/>
      </w:r>
      <w:r w:rsidR="006E0B93" w:rsidRPr="00602209">
        <w:rPr>
          <w:sz w:val="22"/>
          <w:szCs w:val="22"/>
        </w:rPr>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"[1\u20134]", "plainTextFormattedCitation" : "[1\u20134]", "previouslyFormattedCitation" : "[1\u20134]" }, "properties" : { "noteIndex" : 0 }, "schema" : "https://github.com/citation-style-language/schema/raw/master/csl-citation.json" }</w:instrText>
      </w:r>
      <w:r w:rsidR="006E0B93" w:rsidRPr="00602209">
        <w:rPr>
          <w:sz w:val="22"/>
          <w:szCs w:val="22"/>
        </w:rPr>
        <w:fldChar w:fldCharType="separate"/>
      </w:r>
      <w:r w:rsidR="006E0B93" w:rsidRPr="00602209">
        <w:rPr>
          <w:noProof/>
          <w:sz w:val="22"/>
          <w:szCs w:val="22"/>
        </w:rPr>
        <w:t>[1–4]</w:t>
      </w:r>
      <w:r w:rsidR="006E0B93" w:rsidRPr="00602209">
        <w:rPr>
          <w:sz w:val="22"/>
          <w:szCs w:val="22"/>
        </w:rPr>
        <w:fldChar w:fldCharType="end"/>
      </w:r>
      <w:commentRangeEnd w:id="4"/>
      <w:r w:rsidR="006E0B93" w:rsidRPr="00602209">
        <w:rPr>
          <w:rStyle w:val="CommentReference"/>
          <w:sz w:val="22"/>
          <w:szCs w:val="22"/>
        </w:rPr>
        <w:commentReference w:id="4"/>
      </w:r>
      <w:r w:rsidR="00691BA2" w:rsidRPr="00602209">
        <w:rPr>
          <w:sz w:val="22"/>
          <w:szCs w:val="22"/>
        </w:rPr>
        <w:t xml:space="preserve">. </w:t>
      </w:r>
      <w:r w:rsidR="00084A93" w:rsidRPr="002C654E">
        <w:rPr>
          <w:sz w:val="22"/>
          <w:szCs w:val="22"/>
        </w:rPr>
        <w:t xml:space="preserve">Gestational and early-life exposure to combustion-derived particulate matter has been associated with an increased risk of obesity in humans </w:t>
      </w:r>
      <w:r w:rsidR="00084A93" w:rsidRPr="002C654E">
        <w:rPr>
          <w:sz w:val="22"/>
          <w:szCs w:val="22"/>
        </w:rPr>
        <w:fldChar w:fldCharType="begin" w:fldLock="1"/>
      </w:r>
      <w:r w:rsidR="00084A93" w:rsidRPr="002C654E">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"[10\u201313]", "plainTextFormattedCitation" : "[10\u201313]", "previouslyFormattedCitation" : "[10\u201313]" }, "properties" : { "noteIndex" : 0 }, "schema" : "https://github.com/citation-style-language/schema/raw/master/csl-citation.json" }</w:instrText>
      </w:r>
      <w:r w:rsidR="00084A93" w:rsidRPr="002C654E">
        <w:rPr>
          <w:sz w:val="22"/>
          <w:szCs w:val="22"/>
        </w:rPr>
        <w:fldChar w:fldCharType="separate"/>
      </w:r>
      <w:r w:rsidR="00084A93" w:rsidRPr="002C654E">
        <w:rPr>
          <w:noProof/>
          <w:sz w:val="22"/>
          <w:szCs w:val="22"/>
        </w:rPr>
        <w:t>[10–13]</w:t>
      </w:r>
      <w:r w:rsidR="00084A93" w:rsidRPr="002C654E">
        <w:rPr>
          <w:sz w:val="22"/>
          <w:szCs w:val="22"/>
        </w:rPr>
        <w:fldChar w:fldCharType="end"/>
      </w:r>
      <w:r w:rsidR="00084A93" w:rsidRPr="002C654E">
        <w:rPr>
          <w:sz w:val="22"/>
          <w:szCs w:val="22"/>
        </w:rPr>
        <w:t xml:space="preserve">. This association is supported by data obtained from animal studies, where the offspring of pregnant female mice, which have been exposed to diesel exhaust </w:t>
      </w:r>
      <w:r w:rsidR="00084A93" w:rsidRPr="002C654E">
        <w:rPr>
          <w:i/>
          <w:sz w:val="22"/>
          <w:szCs w:val="22"/>
        </w:rPr>
        <w:t>in utero</w:t>
      </w:r>
      <w:r w:rsidR="00084A93" w:rsidRPr="002C654E">
        <w:rPr>
          <w:sz w:val="22"/>
          <w:szCs w:val="22"/>
        </w:rPr>
        <w:t xml:space="preserve">, are predisposed to weight gain and increased body weight as adults </w:t>
      </w:r>
      <w:r w:rsidR="00084A93" w:rsidRPr="002C654E">
        <w:rPr>
          <w:sz w:val="22"/>
          <w:szCs w:val="22"/>
        </w:rPr>
        <w:fldChar w:fldCharType="begin" w:fldLock="1"/>
      </w:r>
      <w:r w:rsidR="00084A93" w:rsidRPr="002C654E">
        <w:rPr>
          <w:sz w:val="22"/>
          <w:szCs w:val="22"/>
        </w:rPr>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"[14]", "plainTextFormattedCitation" : "[14]", "previouslyFormattedCitation" : "[14]" }, "properties" : { "noteIndex" : 0 }, "schema" : "https://github.com/citation-style-language/schema/raw/master/csl-citation.json" }</w:instrText>
      </w:r>
      <w:r w:rsidR="00084A93" w:rsidRPr="002C654E">
        <w:rPr>
          <w:sz w:val="22"/>
          <w:szCs w:val="22"/>
        </w:rPr>
        <w:fldChar w:fldCharType="separate"/>
      </w:r>
      <w:r w:rsidR="00084A93" w:rsidRPr="002C654E">
        <w:rPr>
          <w:noProof/>
          <w:sz w:val="22"/>
          <w:szCs w:val="22"/>
        </w:rPr>
        <w:t>[14]</w:t>
      </w:r>
      <w:r w:rsidR="00084A93" w:rsidRPr="002C654E">
        <w:rPr>
          <w:sz w:val="22"/>
          <w:szCs w:val="22"/>
        </w:rPr>
        <w:fldChar w:fldCharType="end"/>
      </w:r>
      <w:r w:rsidR="00084A93" w:rsidRPr="002C654E">
        <w:rPr>
          <w:sz w:val="22"/>
          <w:szCs w:val="22"/>
        </w:rPr>
        <w:t xml:space="preserve">. </w:t>
      </w:r>
      <w:r w:rsidR="00FE6CCD">
        <w:rPr>
          <w:sz w:val="22"/>
          <w:szCs w:val="22"/>
        </w:rPr>
        <w:t>Furthermore</w:t>
      </w:r>
      <w:r w:rsidR="002F5891" w:rsidRPr="00602209">
        <w:rPr>
          <w:sz w:val="22"/>
          <w:szCs w:val="22"/>
        </w:rPr>
        <w:t>, s</w:t>
      </w:r>
      <w:r w:rsidR="006264DC" w:rsidRPr="00602209">
        <w:rPr>
          <w:sz w:val="22"/>
          <w:szCs w:val="22"/>
        </w:rPr>
        <w:t xml:space="preserve">everal studies have linked </w:t>
      </w:r>
      <w:r w:rsidR="00A60ADB" w:rsidRPr="00602209">
        <w:rPr>
          <w:sz w:val="22"/>
          <w:szCs w:val="22"/>
        </w:rPr>
        <w:t xml:space="preserve">the exposure to </w:t>
      </w:r>
      <w:r w:rsidR="006264DC" w:rsidRPr="00602209">
        <w:rPr>
          <w:sz w:val="22"/>
          <w:szCs w:val="22"/>
        </w:rPr>
        <w:t xml:space="preserve">environmentally persistent free radicals (EPFR’s), compounds that result from the incomplete combustion of organic materials, to </w:t>
      </w:r>
      <w:r w:rsidR="006D5ADE" w:rsidRPr="00602209">
        <w:rPr>
          <w:sz w:val="22"/>
          <w:szCs w:val="22"/>
        </w:rPr>
        <w:t>impaired</w:t>
      </w:r>
      <w:r w:rsidR="006264DC" w:rsidRPr="00602209">
        <w:rPr>
          <w:sz w:val="22"/>
          <w:szCs w:val="22"/>
        </w:rPr>
        <w:t xml:space="preserve"> metabolic health in humans</w:t>
      </w:r>
      <w:r w:rsidR="00362DC5" w:rsidRPr="00602209">
        <w:rPr>
          <w:sz w:val="22"/>
          <w:szCs w:val="22"/>
        </w:rPr>
        <w:t xml:space="preserve"> </w:t>
      </w:r>
      <w:r w:rsidR="00362DC5" w:rsidRPr="00602209">
        <w:rPr>
          <w:sz w:val="22"/>
          <w:szCs w:val="22"/>
        </w:rPr>
        <w:fldChar w:fldCharType="begin" w:fldLock="1"/>
      </w:r>
      <w:r w:rsidR="00CA643D" w:rsidRPr="00602209">
        <w:rPr>
          <w:sz w:val="22"/>
          <w:szCs w:val="22"/>
        </w:rPr>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"[1\u20134]", "plainTextFormattedCitation" : "[1\u20134]", "previouslyFormattedCitation" : "[1\u20134]" }, "properties" : { "noteIndex" : 0 }, "schema" : "https://github.com/citation-style-language/schema/raw/master/csl-citation.json" }</w:instrText>
      </w:r>
      <w:r w:rsidR="00362DC5" w:rsidRPr="00602209">
        <w:rPr>
          <w:sz w:val="22"/>
          <w:szCs w:val="22"/>
        </w:rPr>
        <w:fldChar w:fldCharType="separate"/>
      </w:r>
      <w:r w:rsidR="00CA643D" w:rsidRPr="00602209">
        <w:rPr>
          <w:noProof/>
          <w:sz w:val="22"/>
          <w:szCs w:val="22"/>
        </w:rPr>
        <w:t>[1–4]</w:t>
      </w:r>
      <w:r w:rsidR="00362DC5" w:rsidRPr="00602209">
        <w:rPr>
          <w:sz w:val="22"/>
          <w:szCs w:val="22"/>
        </w:rPr>
        <w:fldChar w:fldCharType="end"/>
      </w:r>
      <w:r w:rsidR="001640EF" w:rsidRPr="00602209">
        <w:rPr>
          <w:sz w:val="22"/>
          <w:szCs w:val="22"/>
        </w:rPr>
        <w:t xml:space="preserve"> </w:t>
      </w:r>
      <w:r w:rsidR="007F42AF" w:rsidRPr="00602209">
        <w:rPr>
          <w:sz w:val="22"/>
          <w:szCs w:val="22"/>
        </w:rPr>
        <w:t xml:space="preserve">and </w:t>
      </w:r>
      <w:r w:rsidR="00A60ADB" w:rsidRPr="00602209">
        <w:rPr>
          <w:sz w:val="22"/>
          <w:szCs w:val="22"/>
        </w:rPr>
        <w:t>animals</w:t>
      </w:r>
      <w:r w:rsidR="00362DC5" w:rsidRPr="00602209">
        <w:rPr>
          <w:sz w:val="22"/>
          <w:szCs w:val="22"/>
        </w:rPr>
        <w:t xml:space="preserve"> </w:t>
      </w:r>
      <w:r w:rsidR="007F42AF" w:rsidRPr="00602209">
        <w:rPr>
          <w:sz w:val="22"/>
          <w:szCs w:val="22"/>
        </w:rPr>
        <w:t xml:space="preserve"> </w:t>
      </w:r>
      <w:r w:rsidR="00362DC5" w:rsidRPr="00602209">
        <w:rPr>
          <w:sz w:val="22"/>
          <w:szCs w:val="22"/>
        </w:rPr>
        <w:fldChar w:fldCharType="begin" w:fldLock="1"/>
      </w:r>
      <w:r w:rsidR="00CA643D" w:rsidRPr="00602209">
        <w:rPr>
          <w:sz w:val="22"/>
          <w:szCs w:val="22"/>
        </w:rPr>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"[5\u20139]", "plainTextFormattedCitation" : "[5\u20139]", "previouslyFormattedCitation" : "[5\u20139]" }, "properties" : { "noteIndex" : 0 }, "schema" : "https://github.com/citation-style-language/schema/raw/master/csl-citation.json" }</w:instrText>
      </w:r>
      <w:r w:rsidR="00362DC5" w:rsidRPr="00602209">
        <w:rPr>
          <w:sz w:val="22"/>
          <w:szCs w:val="22"/>
        </w:rPr>
        <w:fldChar w:fldCharType="separate"/>
      </w:r>
      <w:r w:rsidR="00CA643D" w:rsidRPr="00602209">
        <w:rPr>
          <w:noProof/>
          <w:sz w:val="22"/>
          <w:szCs w:val="22"/>
        </w:rPr>
        <w:t>[5–9]</w:t>
      </w:r>
      <w:r w:rsidR="00362DC5" w:rsidRPr="00602209">
        <w:rPr>
          <w:sz w:val="22"/>
          <w:szCs w:val="22"/>
        </w:rPr>
        <w:fldChar w:fldCharType="end"/>
      </w:r>
      <w:r w:rsidR="00362DC5" w:rsidRPr="00602209">
        <w:rPr>
          <w:sz w:val="22"/>
          <w:szCs w:val="22"/>
        </w:rPr>
        <w:t>.</w:t>
      </w:r>
      <w:r w:rsidR="004F48E9" w:rsidRPr="00602209">
        <w:rPr>
          <w:sz w:val="22"/>
          <w:szCs w:val="22"/>
        </w:rPr>
        <w:t xml:space="preserve"> </w:t>
      </w:r>
      <w:r w:rsidR="002F5891" w:rsidRPr="00602209">
        <w:rPr>
          <w:sz w:val="22"/>
          <w:szCs w:val="22"/>
        </w:rPr>
        <w:t>Specifically, c</w:t>
      </w:r>
      <w:r w:rsidR="00F83FCA" w:rsidRPr="00602209">
        <w:rPr>
          <w:sz w:val="22"/>
          <w:szCs w:val="22"/>
        </w:rPr>
        <w:t xml:space="preserve">ross-sectional studies of human subjects who are chronically exposed to combustion derived particulate matter </w:t>
      </w:r>
      <w:r w:rsidR="00F83FCA" w:rsidRPr="00602209">
        <w:rPr>
          <w:sz w:val="22"/>
          <w:szCs w:val="22"/>
        </w:rPr>
        <w:lastRenderedPageBreak/>
        <w:t xml:space="preserve">have shown associations with type </w:t>
      </w:r>
      <w:r w:rsidR="009519A7" w:rsidRPr="00602209">
        <w:rPr>
          <w:sz w:val="22"/>
          <w:szCs w:val="22"/>
        </w:rPr>
        <w:t>2</w:t>
      </w:r>
      <w:r w:rsidR="00F83FCA" w:rsidRPr="00602209">
        <w:rPr>
          <w:sz w:val="22"/>
          <w:szCs w:val="22"/>
        </w:rPr>
        <w:t xml:space="preserve"> diabetes and cardiovascular disease </w:t>
      </w:r>
      <w:r w:rsidR="00F83FCA" w:rsidRPr="00602209">
        <w:rPr>
          <w:sz w:val="22"/>
          <w:szCs w:val="22"/>
        </w:rPr>
        <w:fldChar w:fldCharType="begin" w:fldLock="1"/>
      </w:r>
      <w:r w:rsidR="00CA643D" w:rsidRPr="00602209">
        <w:rPr>
          <w:sz w:val="22"/>
          <w:szCs w:val="22"/>
        </w:rPr>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"[1,3,4]", "plainTextFormattedCitation" : "[1,3,4]", "previouslyFormattedCitation" : "[1,3,4]" }, "properties" : { "noteIndex" : 0 }, "schema" : "https://github.com/citation-style-language/schema/raw/master/csl-citation.json" }</w:instrText>
      </w:r>
      <w:r w:rsidR="00F83FCA" w:rsidRPr="00602209">
        <w:rPr>
          <w:sz w:val="22"/>
          <w:szCs w:val="22"/>
        </w:rPr>
        <w:fldChar w:fldCharType="separate"/>
      </w:r>
      <w:r w:rsidR="00CA643D" w:rsidRPr="00602209">
        <w:rPr>
          <w:noProof/>
          <w:sz w:val="22"/>
          <w:szCs w:val="22"/>
        </w:rPr>
        <w:t>[1,3,4]</w:t>
      </w:r>
      <w:r w:rsidR="00F83FCA" w:rsidRPr="00602209">
        <w:rPr>
          <w:sz w:val="22"/>
          <w:szCs w:val="22"/>
        </w:rPr>
        <w:fldChar w:fldCharType="end"/>
      </w:r>
      <w:r w:rsidR="002F5891" w:rsidRPr="00602209">
        <w:rPr>
          <w:sz w:val="22"/>
          <w:szCs w:val="22"/>
        </w:rPr>
        <w:t>, whereas m</w:t>
      </w:r>
      <w:r w:rsidR="00F83FCA" w:rsidRPr="00602209">
        <w:rPr>
          <w:sz w:val="22"/>
          <w:szCs w:val="22"/>
        </w:rPr>
        <w:t xml:space="preserve">urine models of chronic particulate matter exposure </w:t>
      </w:r>
      <w:r w:rsidR="002F5891" w:rsidRPr="00602209">
        <w:rPr>
          <w:sz w:val="22"/>
          <w:szCs w:val="22"/>
        </w:rPr>
        <w:t>indicate</w:t>
      </w:r>
      <w:r w:rsidR="00F83FCA" w:rsidRPr="00602209">
        <w:rPr>
          <w:sz w:val="22"/>
          <w:szCs w:val="22"/>
        </w:rPr>
        <w:t xml:space="preserve"> that pollutants lead to eleva</w:t>
      </w:r>
      <w:r w:rsidR="00FA574A" w:rsidRPr="00602209">
        <w:rPr>
          <w:sz w:val="22"/>
          <w:szCs w:val="22"/>
        </w:rPr>
        <w:t>ted adipose tissue inflammation</w:t>
      </w:r>
      <w:r w:rsidR="00F83FCA" w:rsidRPr="00602209">
        <w:rPr>
          <w:sz w:val="22"/>
          <w:szCs w:val="22"/>
        </w:rPr>
        <w:t xml:space="preserve"> and insulin</w:t>
      </w:r>
      <w:r w:rsidR="00F83FCA" w:rsidRPr="006039C0">
        <w:rPr>
          <w:sz w:val="22"/>
          <w:szCs w:val="22"/>
        </w:rPr>
        <w:t xml:space="preserve"> resistance </w:t>
      </w:r>
      <w:r w:rsidR="00F83FCA" w:rsidRPr="006039C0">
        <w:rPr>
          <w:sz w:val="22"/>
          <w:szCs w:val="22"/>
        </w:rPr>
        <w:fldChar w:fldCharType="begin" w:fldLock="1"/>
      </w:r>
      <w:r w:rsidR="00CA643D" w:rsidRPr="006039C0">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"[6,7,9]", "plainTextFormattedCitation" : "[6,7,9]", "previouslyFormattedCitation" : "[6,7,9]" }, "properties" : { "noteIndex" : 0 }, "schema" : "https://github.com/citation-style-language/schema/raw/master/csl-citation.json" }</w:instrText>
      </w:r>
      <w:r w:rsidR="00F83FCA" w:rsidRPr="006039C0">
        <w:rPr>
          <w:sz w:val="22"/>
          <w:szCs w:val="22"/>
        </w:rPr>
        <w:fldChar w:fldCharType="separate"/>
      </w:r>
      <w:r w:rsidR="00CA643D" w:rsidRPr="006039C0">
        <w:rPr>
          <w:noProof/>
          <w:sz w:val="22"/>
          <w:szCs w:val="22"/>
        </w:rPr>
        <w:t>[6,7,9]</w:t>
      </w:r>
      <w:r w:rsidR="00F83FCA" w:rsidRPr="006039C0">
        <w:rPr>
          <w:sz w:val="22"/>
          <w:szCs w:val="22"/>
        </w:rPr>
        <w:fldChar w:fldCharType="end"/>
      </w:r>
      <w:r w:rsidR="00F83FCA" w:rsidRPr="006039C0">
        <w:rPr>
          <w:sz w:val="22"/>
          <w:szCs w:val="22"/>
        </w:rPr>
        <w:t>.</w:t>
      </w:r>
      <w:r w:rsidR="00575B7D" w:rsidRPr="006039C0">
        <w:rPr>
          <w:sz w:val="22"/>
          <w:szCs w:val="22"/>
        </w:rPr>
        <w:t xml:space="preserve"> </w:t>
      </w:r>
    </w:p>
    <w:p w14:paraId="207A2F4E" w14:textId="77777777" w:rsidR="003F46FE" w:rsidRPr="006039C0" w:rsidRDefault="003F46FE" w:rsidP="00896FD8">
      <w:pPr>
        <w:spacing w:line="480" w:lineRule="auto"/>
        <w:rPr>
          <w:sz w:val="22"/>
          <w:szCs w:val="22"/>
        </w:rPr>
      </w:pPr>
    </w:p>
    <w:p w14:paraId="0A75813B" w14:textId="6F6ADC25" w:rsidR="005E1B42" w:rsidRPr="006039C0" w:rsidRDefault="00EC7447" w:rsidP="00D3063E">
      <w:pPr>
        <w:spacing w:line="480" w:lineRule="auto"/>
        <w:rPr>
          <w:sz w:val="22"/>
          <w:szCs w:val="22"/>
        </w:rPr>
      </w:pPr>
      <w:r>
        <w:rPr>
          <w:sz w:val="22"/>
          <w:szCs w:val="22"/>
        </w:rPr>
        <w:t xml:space="preserve">From a mechanistic stand point, exactly how environmental pollutants </w:t>
      </w:r>
      <w:r w:rsidR="004D1C93">
        <w:rPr>
          <w:sz w:val="22"/>
          <w:szCs w:val="22"/>
        </w:rPr>
        <w:t xml:space="preserve">might </w:t>
      </w:r>
      <w:r>
        <w:rPr>
          <w:sz w:val="22"/>
          <w:szCs w:val="22"/>
        </w:rPr>
        <w:t xml:space="preserve">result in obesity and other metabolic abnormalities is currently unknown. However,  </w:t>
      </w:r>
      <w:r w:rsidRPr="00F8687F">
        <w:rPr>
          <w:sz w:val="22"/>
          <w:szCs w:val="22"/>
        </w:rPr>
        <w:t xml:space="preserve">mitochondrial deficiencies and structural abnormalities have been observed in adipose tissue </w:t>
      </w:r>
      <w:r w:rsidRPr="00F8687F">
        <w:rPr>
          <w:sz w:val="22"/>
          <w:szCs w:val="22"/>
        </w:rPr>
        <w:fldChar w:fldCharType="begin" w:fldLock="1"/>
      </w:r>
      <w:r w:rsidRPr="00F8687F">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"[7,8]", "plainTextFormattedCitation" : "[7,8]", "previouslyFormattedCitation" : "[7,8]" }, "properties" : { "noteIndex" : 0 }, "schema" : "https://github.com/citation-style-language/schema/raw/master/csl-citation.json" }</w:instrText>
      </w:r>
      <w:r w:rsidRPr="00F8687F">
        <w:rPr>
          <w:sz w:val="22"/>
          <w:szCs w:val="22"/>
        </w:rPr>
        <w:fldChar w:fldCharType="separate"/>
      </w:r>
      <w:r w:rsidRPr="00F8687F">
        <w:rPr>
          <w:noProof/>
          <w:sz w:val="22"/>
          <w:szCs w:val="22"/>
        </w:rPr>
        <w:t>[7,8]</w:t>
      </w:r>
      <w:r w:rsidRPr="00F8687F">
        <w:rPr>
          <w:sz w:val="22"/>
          <w:szCs w:val="22"/>
        </w:rPr>
        <w:fldChar w:fldCharType="end"/>
      </w:r>
      <w:r w:rsidRPr="00F8687F">
        <w:rPr>
          <w:sz w:val="22"/>
          <w:szCs w:val="22"/>
        </w:rPr>
        <w:t xml:space="preserve">  vascular tissue </w:t>
      </w:r>
      <w:r w:rsidRPr="00F8687F">
        <w:rPr>
          <w:sz w:val="22"/>
          <w:szCs w:val="22"/>
        </w:rPr>
        <w:fldChar w:fldCharType="begin" w:fldLock="1"/>
      </w:r>
      <w:r w:rsidRPr="00F8687F">
        <w:rPr>
          <w:sz w:val="22"/>
          <w:szCs w:val="22"/>
        </w:rPr>
        <w:instrText>ADDIN CSL_CITATION { "citationItems" : [ { "id" : "ITEM-1", "itemData" : { "DOI" : "10.1007/s12012-010-9085-8", "ISBN" : "1530-7905", "ISSN" : "15307905", "PMID" : "20668962", "abstract" : "Epidemiological studies suggest that events occurring during fetal and early childhood development influence disease susceptibility. Similarly, molecular studies in mice have shown that in utero exposure to cardiovascular disease (CVD) risk factors such as environmental tobacco smoke (ETS) increased adult atherogenic susceptibility and mitochondrial damage; however, the molecular effects of similar exposures in primates are not yet known. To determine whether perinatal ETS exposure increased mitochondrial damage, dysfunction and oxidant stress in primates, archived tissues from the non-human primate model Macaca mulatta (M. mulatta) were utilized. M. mulatta were exposed to low levels of ETS (1 mg/m(3) total suspended particulates) from gestation (day 40) to early childhood (1 year), and aortic tissues were assessed for oxidized proteins (protein carbonyls), antioxidant activity (SOD), mitochondrial function (cytochrome oxidase), and mitochondrial damage (mitochondrial DNA damage). Results revealed that perinatal ETS exposure resulted in significantly increased oxidative stress, mitochondrial dysfunction and damage which were accompanied by significantly decreased mitochondrial antioxidant capacity and mitochondrial copy number in vascular tissue. Increased mitochondrial damage was also detected in buffy coat tissues in exposed M. mulatta. These studies suggest that perinatal tobacco smoke exposure increases vascular oxidative stress and mitochondrial damage in primates, potentially increasing adult disease susceptibility.", "author" : [ { "dropping-particle" : "", "family" : "Westbrook", "given" : "David G.", "non-dropping-particle" : "", "parse-names" : false, "suffix" : "" }, { "dropping-particle" : "", "family" : "Anderson", "given" : "Peter G.", "non-dropping-particle" : "", "parse-names" : false, "suffix" : "" }, { "dropping-particle" : "", "family" : "Pinkerton", "given" : "Kent E.", "non-dropping-particle" : "", "parse-names" : false, "suffix" : "" }, { "dropping-particle" : "", "family" : "Ballinger", "given" : "Scott W.", "non-dropping-particle" : "", "parse-names" : false, "suffix" : "" } ], "container-title" : "Cardiovascular Toxicology", "id" : "ITEM-1", "issue" : "3", "issued" : { "date-parts" : [ [ "2010" ] ] }, "page" : "216-226", "title" : "Perinatal tobacco smoke exposure increases vascular oxidative stress and mitochondrial damage in non-human primates", "type" : "article-journal", "volume" : "10" }, "uris" : [ "http://www.mendeley.com/documents/?uuid=fd20e3b4-4563-4d67-bbdf-9aa828a1c69e" ] } ], "mendeley" : { "formattedCitation" : "[15]", "plainTextFormattedCitation" : "[15]", "previouslyFormattedCitation" : "[15]" }, "properties" : { "noteIndex" : 0 }, "schema" : "https://github.com/citation-style-language/schema/raw/master/csl-citation.json" }</w:instrText>
      </w:r>
      <w:r w:rsidRPr="00F8687F">
        <w:rPr>
          <w:sz w:val="22"/>
          <w:szCs w:val="22"/>
        </w:rPr>
        <w:fldChar w:fldCharType="separate"/>
      </w:r>
      <w:r w:rsidRPr="00F8687F">
        <w:rPr>
          <w:noProof/>
          <w:sz w:val="22"/>
          <w:szCs w:val="22"/>
        </w:rPr>
        <w:t>[15]</w:t>
      </w:r>
      <w:r w:rsidRPr="00F8687F">
        <w:rPr>
          <w:sz w:val="22"/>
          <w:szCs w:val="22"/>
        </w:rPr>
        <w:fldChar w:fldCharType="end"/>
      </w:r>
      <w:r w:rsidRPr="00F8687F">
        <w:rPr>
          <w:sz w:val="22"/>
          <w:szCs w:val="22"/>
        </w:rPr>
        <w:t xml:space="preserve"> and cardiac muscle </w:t>
      </w:r>
      <w:r w:rsidRPr="00F8687F">
        <w:rPr>
          <w:sz w:val="22"/>
          <w:szCs w:val="22"/>
        </w:rPr>
        <w:fldChar w:fldCharType="begin" w:fldLock="1"/>
      </w:r>
      <w:r w:rsidRPr="00F8687F">
        <w:rPr>
          <w:sz w:val="22"/>
          <w:szCs w:val="22"/>
        </w:rPr>
        <w:instrText>ADDIN CSL_CITATION { "citationItems" : [ { "id" : "ITEM-1", "itemData" : { "DOI" : "10.1016/j.jhazmat.2015.02.006", "ISSN" : "1873-3336", "PMID" : "25677476", "abstract" : "Epidemiological studies suggested that ambient fine particulate matter (PM2.5) exposure was associated with cardiovascular disease. However, the underlying mechanism, especially the mitochondrial damage mechanism, of PM2.5-induced heart acute injury is still unclear. In this study, the alterations of mitochondrial morphology and mitochondrial fission/fusion gene expression, oxidative stress, calcium homeostasis and inflammation in hearts of rats exposed to PM2.5 with different dosages (0.375, 1.5, 6.0 and 24.0mg/kg body weight) were investigated. The results indicated that the PM2.5 exposure induced pathological changes and ultra-structural damage in hearts such as mitochondrial swell and cristae disorder. Furthermore, PM2.5 exposure significantly increased specific mitochondrial fission/fusion gene (Fis1, Mfn1, Mfn2, Drp1 and OPA1) expression in rat hearts. These changes were accompanied by decreases of activities of superoxide dismutase (SOD), Na(+)K(+)-ATPase and Ca(2+)-ATPase and increases of levels of malondialdehyde (MDA), inducible nitric oxide synthase (iNOS) and nitric oxide (NO) as well as levels of pro-inflammatory mediators including TNF-\u03b1, IL-6 and IL-1\u03b2 in rat hearts. The results implicate that mitochondrial damage, oxidative stress, cellular homeostasis imbalance and inflammation are potentially important mechanisms for the PM2.5-induced heart injury, and may have relations with cardiovascular disease.", "author" : [ { "dropping-particle" : "", "family" : "Li", "given" : "Ruijin", "non-dropping-particle" : "", "parse-names" : false, "suffix" : "" }, { "dropping-particle" : "", "family" : "Kou", "given" : "Xiaojing", "non-dropping-particle" : "", "parse-names" : false, "suffix" : "" }, { "dropping-particle" : "", "family" : "Geng", "given" : "Hong", "non-dropping-particle" : "", "parse-names" : false, "suffix" : "" }, { "dropping-particle" : "", "family" : "Xie", "given" : "Jingfang", "non-dropping-particle" : "", "parse-names" : false, "suffix" : "" }, { "dropping-particle" : "", "family" : "Tian", "given" : "Jingjing", "non-dropping-particle" : "", "parse-names" : false, "suffix" : "" }, { "dropping-particle" : "", "family" : "Cai", "given" : "Zongwei", "non-dropping-particle" : "", "parse-names" : false, "suffix" : "" }, { "dropping-particle" : "", "family" : "Dong", "given" : "Chuan", "non-dropping-particle" : "", "parse-names" : false, "suffix" : "" } ], "container-title" : "Journal of hazardous materials", "id" : "ITEM-1", "issue" : "92", "issued" : { "date-parts" : [ [ "2015" ] ] }, "page" : "392-401", "publisher" : "Elsevier B.V.", "title" : "Mitochondrial damage: An important mechanism of ambient PM2.5 exposure-induced acute heart injury in rats.", "type" : "article-journal", "volume" : "287C" }, "uris" : [ "http://www.mendeley.com/documents/?uuid=e939341c-674b-4b7f-9f9e-01fa464b46aa" ] } ], "mendeley" : { "formattedCitation" : "[16]", "plainTextFormattedCitation" : "[16]", "previouslyFormattedCitation" : "[16]" }, "properties" : { "noteIndex" : 0 }, "schema" : "https://github.com/citation-style-language/schema/raw/master/csl-citation.json" }</w:instrText>
      </w:r>
      <w:r w:rsidRPr="00F8687F">
        <w:rPr>
          <w:sz w:val="22"/>
          <w:szCs w:val="22"/>
        </w:rPr>
        <w:fldChar w:fldCharType="separate"/>
      </w:r>
      <w:r w:rsidRPr="00F8687F">
        <w:rPr>
          <w:noProof/>
          <w:sz w:val="22"/>
          <w:szCs w:val="22"/>
        </w:rPr>
        <w:t>[16]</w:t>
      </w:r>
      <w:r w:rsidRPr="00F8687F">
        <w:rPr>
          <w:sz w:val="22"/>
          <w:szCs w:val="22"/>
        </w:rPr>
        <w:fldChar w:fldCharType="end"/>
      </w:r>
      <w:r w:rsidRPr="00F8687F">
        <w:rPr>
          <w:sz w:val="22"/>
          <w:szCs w:val="22"/>
        </w:rPr>
        <w:t xml:space="preserve"> following exposure to pollutants that should contain EPFR’s. </w:t>
      </w:r>
      <w:r w:rsidR="00FE6CCD">
        <w:rPr>
          <w:sz w:val="22"/>
          <w:szCs w:val="22"/>
        </w:rPr>
        <w:t>The m</w:t>
      </w:r>
      <w:r w:rsidR="005E1B42" w:rsidRPr="00FE6CCD">
        <w:rPr>
          <w:sz w:val="22"/>
          <w:szCs w:val="22"/>
        </w:rPr>
        <w:t xml:space="preserve">itochondria </w:t>
      </w:r>
      <w:r w:rsidR="005E1B42" w:rsidRPr="006039C0">
        <w:rPr>
          <w:sz w:val="22"/>
          <w:szCs w:val="22"/>
        </w:rPr>
        <w:t>are responsible for oxidative cellular energy production, reactive oxygen species production and are the primary site of the antioxidant defense system. Thus, defects in mitochondrial metabolism</w:t>
      </w:r>
      <w:r w:rsidR="004D1C93">
        <w:rPr>
          <w:sz w:val="22"/>
          <w:szCs w:val="22"/>
        </w:rPr>
        <w:t>, particularly in the context of obesity,</w:t>
      </w:r>
      <w:r w:rsidR="005E1B42" w:rsidRPr="006039C0">
        <w:rPr>
          <w:sz w:val="22"/>
          <w:szCs w:val="22"/>
        </w:rPr>
        <w:t xml:space="preserve"> </w:t>
      </w:r>
      <w:r w:rsidR="004D1C93">
        <w:rPr>
          <w:sz w:val="22"/>
          <w:szCs w:val="22"/>
        </w:rPr>
        <w:t>are likely to</w:t>
      </w:r>
      <w:r w:rsidR="004D1C93" w:rsidRPr="006039C0">
        <w:rPr>
          <w:sz w:val="22"/>
          <w:szCs w:val="22"/>
        </w:rPr>
        <w:t xml:space="preserve"> </w:t>
      </w:r>
      <w:r w:rsidR="005E1B42" w:rsidRPr="006039C0">
        <w:rPr>
          <w:sz w:val="22"/>
          <w:szCs w:val="22"/>
        </w:rPr>
        <w:t xml:space="preserve">have profound effects on whole body metabolic health. The </w:t>
      </w:r>
      <w:r w:rsidR="005E4209" w:rsidRPr="006039C0">
        <w:rPr>
          <w:sz w:val="22"/>
          <w:szCs w:val="22"/>
        </w:rPr>
        <w:t>importance</w:t>
      </w:r>
      <w:r w:rsidR="005E1B42" w:rsidRPr="006039C0">
        <w:rPr>
          <w:sz w:val="22"/>
          <w:szCs w:val="22"/>
        </w:rPr>
        <w:t xml:space="preserve"> of </w:t>
      </w:r>
      <w:r w:rsidR="005E4209" w:rsidRPr="006039C0">
        <w:rPr>
          <w:sz w:val="22"/>
          <w:szCs w:val="22"/>
        </w:rPr>
        <w:t xml:space="preserve">skeletal muscle mitochondrial </w:t>
      </w:r>
      <w:r w:rsidR="005E1B42" w:rsidRPr="006039C0">
        <w:rPr>
          <w:sz w:val="22"/>
          <w:szCs w:val="22"/>
        </w:rPr>
        <w:t>metabolism</w:t>
      </w:r>
      <w:r w:rsidR="005E4209" w:rsidRPr="006039C0">
        <w:rPr>
          <w:sz w:val="22"/>
          <w:szCs w:val="22"/>
        </w:rPr>
        <w:t xml:space="preserve"> for</w:t>
      </w:r>
      <w:r w:rsidR="005E1B42" w:rsidRPr="006039C0">
        <w:rPr>
          <w:sz w:val="22"/>
          <w:szCs w:val="22"/>
        </w:rPr>
        <w:t xml:space="preserve"> maintaining metabolic health is </w:t>
      </w:r>
      <w:r w:rsidR="005E4209" w:rsidRPr="006039C0">
        <w:rPr>
          <w:sz w:val="22"/>
          <w:szCs w:val="22"/>
        </w:rPr>
        <w:t xml:space="preserve">becoming well </w:t>
      </w:r>
      <w:r w:rsidR="00F53B31" w:rsidRPr="006039C0">
        <w:rPr>
          <w:sz w:val="22"/>
          <w:szCs w:val="22"/>
        </w:rPr>
        <w:t xml:space="preserve">recognized </w:t>
      </w:r>
      <w:r w:rsidR="00F53B31" w:rsidRPr="006039C0">
        <w:rPr>
          <w:sz w:val="22"/>
          <w:szCs w:val="22"/>
        </w:rPr>
        <w:fldChar w:fldCharType="begin" w:fldLock="1"/>
      </w:r>
      <w:r w:rsidR="00373BF3" w:rsidRPr="006039C0">
        <w:rPr>
          <w:sz w:val="22"/>
          <w:szCs w:val="22"/>
        </w:rPr>
        <w:instrText>ADDIN CSL_CITATION { "citationItems" : [ { "id" : "ITEM-1", "itemData" : { "DOI" : "10.1016/j.tem.2012.05.007", "ISBN" : "1879-3061 (Electronic) 1043-2760 (Linking)", "ISSN" : "1879-3061", "PMID" : "22726362", "abstract" : "Reduced mitochondrial capacity in skeletal muscle has been suggested to underlie the development of insulin resistance and type 2 diabetes mellitus (T2DM). However, data obtained from human subjects concerning this putative relation indicate that the mitochondrial defect observed in diabetic muscle might be secondary to the insulin-resistant state instead of being a causal factor. Nonetheless, diminished mitochondrial function, even secondary to insulin resistance, may accelerate lipid deposition in non-adipose tissues and aggravate insulin resistance. Indeed, improving mitochondrial capacity via exercise training and calorie restriction is associated with positive metabolic health effects. Here we review muscle mitochondrial dysfunction in humans and propose that targeting muscle mitochondria to improve muscle oxidative capacity should be considered as a strategy for improving metabolic health.", "author" : [ { "dropping-particle" : "", "family" : "Hoeks", "given" : "Joris", "non-dropping-particle" : "", "parse-names" : false, "suffix" : "" }, { "dropping-particle" : "", "family" : "Schrauwen", "given" : "Patrick", "non-dropping-particle" : "", "parse-names" : false, "suffix" : "" } ], "container-title" : "Trends in endocrinology and metabolism: TEM", "id" : "ITEM-1", "issue" : "9", "issued" : { "date-parts" : [ [ "2012" ] ] }, "page" : "444-450", "publisher" : "Elsevier Ltd", "title" : "Muscle mitochondria and insulin resistance: a human perspective", "type" : "article-journal", "volume" : "23" }, "uris" : [ "http://www.mendeley.com/documents/?uuid=22150de5-c319-4373-bf70-5de60d50bfb2" ] }, { "id" : "ITEM-2",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"ITEM-2", "issue" : "4", "issued" : { "date-parts" : [ [ "2014" ] ] }, "page" : "1276-1284", "publisher" : "Elsevier B.V.", "title" : "Skeletal muscle mitochondria: A major player in exercise, health and disease", "type" : "article-journal", "volume" : "1840" }, "uris" : [ "http://www.mendeley.com/documents/?uuid=f021cff5-980f-418a-973f-58c9e5989ae4" ] }, { "id" : "ITEM-3", "itemData" : { "DOI" : "10.1016/j.bbagen.2013.12.004", "ISBN" : "0006-3002 (Print)\\r0006-3002 (Linking)", "ISSN" : "18728006", "PMID" : "24345456", "abstract" : "Background The increased prevalence of obesity and its co-morbidities and their strong association with inactivity have produced an 'exercise-deficient phenotype' in which individuals with a particular combination of disease-susceptible genes collide with environmental influences to cross a biological 'threshold' that ultimately manifests as overt clinical conditions (i.e., risk-factors for disease states). These risk-factors have been linked to impairments in skeletal muscle mitochondrial function. Scope of review The question of whether 'inborn' mitochondrial deficiencies and/or defective mitochondrial metabolism contribute to metabolic disease, or if environmental factors are the major determinant, will be examined. Major conclusions We contend that impaired whole-body insulin resistance along with impaired skeletal muscle handling of carbohydrate and lipid fuels (i.e., metabolic inflexibility) is associated with a reduced skeletal muscle mitochondrial content which, in large part, is a maladaptive response to an 'inactivity cycle' which predisposes to a reduced level of habitual physical activity. While genetic components play a role in the pathogenesis of metabolic disease, exercise is a powerful environmental stimulus capable of restoring the metabolic flexibility of fuel selection and reduces risk-factors for metabolic disease in genetically- susceptible individuals. General significance Given the apathy towards voluntary physical activity in most Western societies, it is clear that there is an urgent need for innovative, clinically-effective exercise strategies, coupled with changes in current attitudes and methods of delivering exercise prescription and dietary advice, in order to improve metabolic health and reduce metabolic disease risk at the population level. This article is part of a Special Issue entitled Frontiers of Mitochondrial Research. \u00a9 2013 Elsevier B.V.", "author" : [ { "dropping-particle" : "", "family" : "Stephenson", "given" : "Erin J.", "non-dropping-particle" : "", "parse-names" : false, "suffix" : "" }, { "dropping-particle" : "", "family" : "Hawley", "given" : "John a.", "non-dropping-particle" : "", "parse-names" : false, "suffix" : "" } ], "container-title" : "Biochimica et Biophysica Acta - General Subjects", "id" : "ITEM-3", "issue" : "4", "issued" : { "date-parts" : [ [ "2014" ] ] }, "page" : "1285-1294", "publisher" : "Elsevier B.V.", "title" : "Mitochondrial function in metabolic health: A genetic and environmental tug of war", "type" : "article-journal", "volume" : "1840" }, "uris" : [ "http://www.mendeley.com/documents/?uuid=a9832e44-856e-4f2d-8cab-1da672e38d39" ] } ], "mendeley" : { "formattedCitation" : "[17\u201319]", "plainTextFormattedCitation" : "[17\u201319]", "previouslyFormattedCitation" : "[17\u201319]" }, "properties" : { "noteIndex" : 0 }, "schema" : "https://github.com/citation-style-language/schema/raw/master/csl-citation.json" }</w:instrText>
      </w:r>
      <w:r w:rsidR="00F53B31" w:rsidRPr="006039C0">
        <w:rPr>
          <w:sz w:val="22"/>
          <w:szCs w:val="22"/>
        </w:rPr>
        <w:fldChar w:fldCharType="separate"/>
      </w:r>
      <w:r w:rsidR="00CA643D" w:rsidRPr="006039C0">
        <w:rPr>
          <w:noProof/>
          <w:sz w:val="22"/>
          <w:szCs w:val="22"/>
        </w:rPr>
        <w:t>[17–19]</w:t>
      </w:r>
      <w:r w:rsidR="00F53B31" w:rsidRPr="006039C0">
        <w:rPr>
          <w:sz w:val="22"/>
          <w:szCs w:val="22"/>
        </w:rPr>
        <w:fldChar w:fldCharType="end"/>
      </w:r>
      <w:r w:rsidR="00F53B31" w:rsidRPr="006039C0">
        <w:rPr>
          <w:sz w:val="22"/>
          <w:szCs w:val="22"/>
        </w:rPr>
        <w:t xml:space="preserve"> w</w:t>
      </w:r>
      <w:r w:rsidR="005E1B42" w:rsidRPr="006039C0">
        <w:rPr>
          <w:sz w:val="22"/>
          <w:szCs w:val="22"/>
        </w:rPr>
        <w:t>ith deficits in muscle quality and function</w:t>
      </w:r>
      <w:r w:rsidR="009E18DB" w:rsidRPr="006039C0">
        <w:rPr>
          <w:sz w:val="22"/>
          <w:szCs w:val="22"/>
        </w:rPr>
        <w:t>, particularly during early development</w:t>
      </w:r>
      <w:r w:rsidR="00F53B31" w:rsidRPr="006039C0">
        <w:rPr>
          <w:sz w:val="22"/>
          <w:szCs w:val="22"/>
        </w:rPr>
        <w:t xml:space="preserve"> </w:t>
      </w:r>
      <w:r w:rsidR="00F53B31" w:rsidRPr="006039C0">
        <w:rPr>
          <w:sz w:val="22"/>
          <w:szCs w:val="22"/>
        </w:rPr>
        <w:fldChar w:fldCharType="begin" w:fldLock="1"/>
      </w:r>
      <w:r w:rsidR="00373BF3" w:rsidRPr="006039C0">
        <w:rPr>
          <w:sz w:val="22"/>
          <w:szCs w:val="22"/>
        </w:rPr>
        <w:instrText>ADDIN CSL_CITATION { "citationItems" : [ { "id" : "ITEM-1", "itemData" : { "DOI" : "10.1530/JOE-13-0567.Endocrine", "ISSN" : "1479-6805", "PMID" : "24532817", "abstract" : "Establishing sufficient skeletal muscle mass is essential for lifelong metabolic health. The intrauterine environment is a major determinant of the muscle mass that is present during the life course of an individual, because muscle fiber number is set at the time of birth. Thus, a compromised intrauterine environment from maternal nutrient restriction or placental insufficiency that restricts muscle fiber number can have permanent effects on the amount of muscle an individual will live with. Reduced muscle mass due to fewer muscle fibers persists even after compensatory or 'catch-up' postnatal growth occurs. Furthermore, muscle hypertrophy can only partially compensate for this limitation in fiber number. Compelling associations link low birth weight and decreased muscle mass to future insulin resistance, which can drive the development of the metabolic syndrome and type 2 diabetes, and the risk of cardiovascular events later in life. There are gaps in knowledge about the origins of reduced muscle growth at the cellular level and how these patterns are set during fetal development. By understanding the nutrient and endocrine regulation of fetal skeletal muscle growth and development, we can direct research efforts toward improving muscle growth early in life to prevent the development of chronic metabolic diseases later in life.", "author" : [ { "dropping-particle" : "", "family" : "Brown", "given" : "Laura D", "non-dropping-particle" : "", "parse-names" : false, "suffix" : "" } ], "container-title" : "The Journal of endocrinology", "id" : "ITEM-1", "issue" : "2", "issued" : { "date-parts" : [ [ "2014" ] ] }, "page" : "R13-29", "title" : "Endocrine regulation of fetal skeletal muscle growth: impact on future metabolic health.", "type" : "article-journal", "volume" : "221" }, "uris" : [ "http://www.mendeley.com/documents/?uuid=da0dff6f-5e8e-49e6-a5a2-84172138531b" ] } ], "mendeley" : { "formattedCitation" : "[20]", "plainTextFormattedCitation" : "[20]", "previouslyFormattedCitation" : "[20]" }, "properties" : { "noteIndex" : 0 }, "schema" : "https://github.com/citation-style-language/schema/raw/master/csl-citation.json" }</w:instrText>
      </w:r>
      <w:r w:rsidR="00F53B31" w:rsidRPr="006039C0">
        <w:rPr>
          <w:sz w:val="22"/>
          <w:szCs w:val="22"/>
        </w:rPr>
        <w:fldChar w:fldCharType="separate"/>
      </w:r>
      <w:r w:rsidR="00CA643D" w:rsidRPr="006039C0">
        <w:rPr>
          <w:noProof/>
          <w:sz w:val="22"/>
          <w:szCs w:val="22"/>
        </w:rPr>
        <w:t>[20]</w:t>
      </w:r>
      <w:r w:rsidR="00F53B31" w:rsidRPr="006039C0">
        <w:rPr>
          <w:sz w:val="22"/>
          <w:szCs w:val="22"/>
        </w:rPr>
        <w:fldChar w:fldCharType="end"/>
      </w:r>
      <w:r w:rsidR="00110461" w:rsidRPr="006039C0">
        <w:rPr>
          <w:sz w:val="22"/>
          <w:szCs w:val="22"/>
        </w:rPr>
        <w:t xml:space="preserve"> </w:t>
      </w:r>
      <w:r w:rsidR="005E1B42" w:rsidRPr="006039C0">
        <w:rPr>
          <w:sz w:val="22"/>
          <w:szCs w:val="22"/>
        </w:rPr>
        <w:t xml:space="preserve">being closely linked to many </w:t>
      </w:r>
      <w:r w:rsidR="009A7281" w:rsidRPr="006039C0">
        <w:rPr>
          <w:sz w:val="22"/>
          <w:szCs w:val="22"/>
        </w:rPr>
        <w:t xml:space="preserve">different </w:t>
      </w:r>
      <w:r w:rsidR="005E1B42" w:rsidRPr="006039C0">
        <w:rPr>
          <w:sz w:val="22"/>
          <w:szCs w:val="22"/>
        </w:rPr>
        <w:t xml:space="preserve">metabolic disease states </w:t>
      </w:r>
      <w:r w:rsidR="00F53B31" w:rsidRPr="006039C0">
        <w:rPr>
          <w:sz w:val="22"/>
          <w:szCs w:val="22"/>
        </w:rPr>
        <w:fldChar w:fldCharType="begin" w:fldLock="1"/>
      </w:r>
      <w:r w:rsidR="00373BF3" w:rsidRPr="006039C0">
        <w:rPr>
          <w:sz w:val="22"/>
          <w:szCs w:val="22"/>
        </w:rPr>
        <w:instrText>ADDIN CSL_CITATION { "citationItems" : [ { "id" : "ITEM-1",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"ITEM-1", "issue" : "4", "issued" : { "date-parts" : [ [ "2014" ] ] }, "page" : "1276-1284", "publisher" : "Elsevier B.V.", "title" : "Skeletal muscle mitochondria: A major player in exercise, health and disease", "type" : "article-journal", "volume" : "1840" }, "uris" : [ "http://www.mendeley.com/documents/?uuid=f021cff5-980f-418a-973f-58c9e5989ae4" ] } ], "mendeley" : { "formattedCitation" : "[18]", "plainTextFormattedCitation" : "[18]", "previouslyFormattedCitation" : "[18]" }, "properties" : { "noteIndex" : 0 }, "schema" : "https://github.com/citation-style-language/schema/raw/master/csl-citation.json" }</w:instrText>
      </w:r>
      <w:r w:rsidR="00F53B31" w:rsidRPr="006039C0">
        <w:rPr>
          <w:sz w:val="22"/>
          <w:szCs w:val="22"/>
        </w:rPr>
        <w:fldChar w:fldCharType="separate"/>
      </w:r>
      <w:r w:rsidR="00CA643D" w:rsidRPr="006039C0">
        <w:rPr>
          <w:noProof/>
          <w:sz w:val="22"/>
          <w:szCs w:val="22"/>
        </w:rPr>
        <w:t>[18]</w:t>
      </w:r>
      <w:r w:rsidR="00F53B31" w:rsidRPr="006039C0">
        <w:rPr>
          <w:sz w:val="22"/>
          <w:szCs w:val="22"/>
        </w:rPr>
        <w:fldChar w:fldCharType="end"/>
      </w:r>
      <w:r w:rsidR="00110461" w:rsidRPr="006039C0">
        <w:rPr>
          <w:sz w:val="22"/>
          <w:szCs w:val="22"/>
        </w:rPr>
        <w:t>.</w:t>
      </w:r>
      <w:r w:rsidR="00D778E7">
        <w:rPr>
          <w:sz w:val="22"/>
          <w:szCs w:val="22"/>
        </w:rPr>
        <w:t xml:space="preserve"> </w:t>
      </w:r>
      <w:r w:rsidR="00D778E7" w:rsidRPr="00F8687F">
        <w:rPr>
          <w:sz w:val="22"/>
          <w:szCs w:val="22"/>
        </w:rPr>
        <w:t xml:space="preserve">However, the effects of </w:t>
      </w:r>
      <w:r w:rsidR="00D778E7" w:rsidRPr="00F8687F">
        <w:rPr>
          <w:i/>
          <w:sz w:val="22"/>
          <w:szCs w:val="22"/>
        </w:rPr>
        <w:t>in utero</w:t>
      </w:r>
      <w:r w:rsidR="00D778E7" w:rsidRPr="00F8687F">
        <w:rPr>
          <w:sz w:val="22"/>
          <w:szCs w:val="22"/>
        </w:rPr>
        <w:t xml:space="preserve"> exposure to EPFR’s on skeletal muscle mitochondrial function remains to be determined.</w:t>
      </w:r>
      <w:r w:rsidR="00F53B31" w:rsidRPr="006039C0">
        <w:rPr>
          <w:sz w:val="22"/>
          <w:szCs w:val="22"/>
        </w:rPr>
        <w:t xml:space="preserve"> </w:t>
      </w:r>
      <w:r w:rsidR="0023247F" w:rsidRPr="006039C0">
        <w:rPr>
          <w:sz w:val="22"/>
          <w:szCs w:val="22"/>
        </w:rPr>
        <w:t xml:space="preserve">In this study, we have investigated the effects of </w:t>
      </w:r>
      <w:r w:rsidR="0023247F" w:rsidRPr="006039C0">
        <w:rPr>
          <w:i/>
          <w:sz w:val="22"/>
          <w:szCs w:val="22"/>
        </w:rPr>
        <w:t>in utero</w:t>
      </w:r>
      <w:r w:rsidR="0023247F" w:rsidRPr="006039C0">
        <w:rPr>
          <w:sz w:val="22"/>
          <w:szCs w:val="22"/>
        </w:rPr>
        <w:t xml:space="preserve"> exposure to EPFR’s on growth, metabolism, energy utilization and skeletal muscle mitochondrial function in a mouse model of diet-induced obesity. </w:t>
      </w:r>
      <w:r w:rsidR="00E35388">
        <w:rPr>
          <w:sz w:val="22"/>
          <w:szCs w:val="22"/>
        </w:rPr>
        <w:t>We hypothesize that gestational exposure to EPFR’s reduces energy expenditure and results in impairments to the skeletal muscle mitochondria.</w:t>
      </w:r>
    </w:p>
    <w:p w14:paraId="58EB6942" w14:textId="77777777" w:rsidR="00DE3439" w:rsidRPr="006039C0" w:rsidRDefault="00DE3439" w:rsidP="00AA41A9">
      <w:pPr>
        <w:spacing w:line="480" w:lineRule="auto"/>
        <w:rPr>
          <w:sz w:val="22"/>
          <w:szCs w:val="22"/>
        </w:rPr>
      </w:pPr>
    </w:p>
    <w:p w14:paraId="5A31E4FD" w14:textId="77777777" w:rsidR="007221E6" w:rsidRPr="006039C0" w:rsidRDefault="007221E6" w:rsidP="00C41BD7">
      <w:pPr>
        <w:pStyle w:val="Heading1"/>
        <w:spacing w:before="0" w:line="480" w:lineRule="auto"/>
        <w:rPr>
          <w:sz w:val="22"/>
          <w:szCs w:val="22"/>
        </w:rPr>
      </w:pPr>
      <w:r w:rsidRPr="006039C0">
        <w:rPr>
          <w:sz w:val="22"/>
          <w:szCs w:val="22"/>
        </w:rPr>
        <w:t>Methods and Materials</w:t>
      </w:r>
    </w:p>
    <w:p w14:paraId="472A99D9" w14:textId="77777777" w:rsidR="00230B4A" w:rsidRPr="006039C0" w:rsidRDefault="00230B4A" w:rsidP="00C41BD7">
      <w:pPr>
        <w:pStyle w:val="Heading2"/>
        <w:spacing w:before="0" w:line="480" w:lineRule="auto"/>
        <w:rPr>
          <w:sz w:val="22"/>
          <w:szCs w:val="22"/>
        </w:rPr>
      </w:pPr>
      <w:r w:rsidRPr="006039C0">
        <w:rPr>
          <w:sz w:val="22"/>
          <w:szCs w:val="22"/>
        </w:rPr>
        <w:t>MCP230 Preparation and Treatment</w:t>
      </w:r>
    </w:p>
    <w:p w14:paraId="485CEECD" w14:textId="41A0F742" w:rsidR="00FD626B" w:rsidRPr="006039C0" w:rsidRDefault="00191826" w:rsidP="00896FD8">
      <w:pPr>
        <w:spacing w:line="480" w:lineRule="auto"/>
        <w:rPr>
          <w:sz w:val="22"/>
          <w:szCs w:val="22"/>
        </w:rPr>
      </w:pPr>
      <w:r w:rsidRPr="006039C0">
        <w:rPr>
          <w:sz w:val="22"/>
          <w:szCs w:val="22"/>
        </w:rPr>
        <w:t>MCP230 particles were generated and characterized by our colleagu</w:t>
      </w:r>
      <w:r w:rsidR="00E92EEB" w:rsidRPr="006039C0">
        <w:rPr>
          <w:sz w:val="22"/>
          <w:szCs w:val="22"/>
        </w:rPr>
        <w:t xml:space="preserve">es as </w:t>
      </w:r>
      <w:r w:rsidR="00564EA8" w:rsidRPr="006039C0">
        <w:rPr>
          <w:sz w:val="22"/>
          <w:szCs w:val="22"/>
        </w:rPr>
        <w:t>previously described</w:t>
      </w:r>
      <w:r w:rsidR="00373BF3" w:rsidRPr="006039C0">
        <w:rPr>
          <w:sz w:val="22"/>
          <w:szCs w:val="22"/>
        </w:rPr>
        <w:t xml:space="preserve"> </w:t>
      </w:r>
      <w:r w:rsidR="00470311" w:rsidRPr="006039C0">
        <w:rPr>
          <w:sz w:val="22"/>
          <w:szCs w:val="22"/>
        </w:rPr>
        <w:fldChar w:fldCharType="begin" w:fldLock="1"/>
      </w:r>
      <w:r w:rsidR="00470311" w:rsidRPr="006039C0">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"mendeley" : { "formattedCitation" : "[21]", "plainTextFormattedCitation" : "[21]", "previouslyFormattedCitation" : "[21]" }, "properties" : { "noteIndex" : 0 }, "schema" : "https://github.com/citation-style-language/schema/raw/master/csl-citation.json" }</w:instrText>
      </w:r>
      <w:r w:rsidR="00470311" w:rsidRPr="006039C0">
        <w:rPr>
          <w:sz w:val="22"/>
          <w:szCs w:val="22"/>
        </w:rPr>
        <w:fldChar w:fldCharType="separate"/>
      </w:r>
      <w:r w:rsidR="00470311" w:rsidRPr="006039C0">
        <w:rPr>
          <w:noProof/>
          <w:sz w:val="22"/>
          <w:szCs w:val="22"/>
        </w:rPr>
        <w:t>[21]</w:t>
      </w:r>
      <w:r w:rsidR="00470311" w:rsidRPr="006039C0">
        <w:rPr>
          <w:sz w:val="22"/>
          <w:szCs w:val="22"/>
        </w:rPr>
        <w:fldChar w:fldCharType="end"/>
      </w:r>
      <w:r w:rsidRPr="006039C0">
        <w:rPr>
          <w:sz w:val="22"/>
          <w:szCs w:val="22"/>
        </w:rPr>
        <w:t xml:space="preserve">. </w:t>
      </w:r>
      <w:r w:rsidR="00564EA8" w:rsidRPr="006039C0">
        <w:rPr>
          <w:sz w:val="22"/>
          <w:szCs w:val="22"/>
        </w:rPr>
        <w:t>S</w:t>
      </w:r>
      <w:r w:rsidR="00602282" w:rsidRPr="006039C0">
        <w:rPr>
          <w:sz w:val="22"/>
          <w:szCs w:val="22"/>
        </w:rPr>
        <w:t xml:space="preserve">uspensions of MCP230 and </w:t>
      </w:r>
      <w:proofErr w:type="spellStart"/>
      <w:r w:rsidR="00602282" w:rsidRPr="006039C0">
        <w:rPr>
          <w:sz w:val="22"/>
          <w:szCs w:val="22"/>
        </w:rPr>
        <w:t>cabosil</w:t>
      </w:r>
      <w:proofErr w:type="spellEnd"/>
      <w:r w:rsidR="00602282" w:rsidRPr="006039C0">
        <w:rPr>
          <w:sz w:val="22"/>
          <w:szCs w:val="22"/>
        </w:rPr>
        <w:t xml:space="preserve"> </w:t>
      </w:r>
      <w:r w:rsidR="00564EA8" w:rsidRPr="006039C0">
        <w:rPr>
          <w:sz w:val="22"/>
          <w:szCs w:val="22"/>
        </w:rPr>
        <w:t xml:space="preserve">(1mg/ml) </w:t>
      </w:r>
      <w:r w:rsidR="00602282" w:rsidRPr="006039C0">
        <w:rPr>
          <w:sz w:val="22"/>
          <w:szCs w:val="22"/>
        </w:rPr>
        <w:t xml:space="preserve">were prepared in irrigation saline containing 0.02% tween 80 and the resulting particle suspension was monodispersed by probe sonication. </w:t>
      </w:r>
      <w:r w:rsidR="00564EA8" w:rsidRPr="006039C0">
        <w:rPr>
          <w:sz w:val="22"/>
          <w:szCs w:val="22"/>
        </w:rPr>
        <w:t>B</w:t>
      </w:r>
      <w:r w:rsidR="00602282" w:rsidRPr="006039C0">
        <w:rPr>
          <w:sz w:val="22"/>
          <w:szCs w:val="22"/>
        </w:rPr>
        <w:t>reeder mice</w:t>
      </w:r>
      <w:r w:rsidR="00564EA8" w:rsidRPr="006039C0">
        <w:rPr>
          <w:sz w:val="22"/>
          <w:szCs w:val="22"/>
        </w:rPr>
        <w:t xml:space="preserve"> (6 </w:t>
      </w:r>
      <w:proofErr w:type="spellStart"/>
      <w:r w:rsidR="00564EA8" w:rsidRPr="006039C0">
        <w:rPr>
          <w:sz w:val="22"/>
          <w:szCs w:val="22"/>
        </w:rPr>
        <w:t>wk</w:t>
      </w:r>
      <w:proofErr w:type="spellEnd"/>
      <w:r w:rsidR="00564EA8" w:rsidRPr="006039C0">
        <w:rPr>
          <w:sz w:val="22"/>
          <w:szCs w:val="22"/>
        </w:rPr>
        <w:t xml:space="preserve"> of age)</w:t>
      </w:r>
      <w:r w:rsidR="00602282" w:rsidRPr="006039C0">
        <w:rPr>
          <w:sz w:val="22"/>
          <w:szCs w:val="22"/>
        </w:rPr>
        <w:t xml:space="preserve"> were mated </w:t>
      </w:r>
      <w:r w:rsidR="00564EA8" w:rsidRPr="006039C0">
        <w:rPr>
          <w:sz w:val="22"/>
          <w:szCs w:val="22"/>
        </w:rPr>
        <w:t>and p</w:t>
      </w:r>
      <w:r w:rsidR="00602282" w:rsidRPr="006039C0">
        <w:rPr>
          <w:sz w:val="22"/>
          <w:szCs w:val="22"/>
        </w:rPr>
        <w:t xml:space="preserve">regnant dams were administered 50 µl of MCP230 particle suspension via oropharyngeal aspiration on days 10 and 17 </w:t>
      </w:r>
      <w:r w:rsidR="005D1436">
        <w:rPr>
          <w:sz w:val="22"/>
          <w:szCs w:val="22"/>
        </w:rPr>
        <w:t xml:space="preserve">of gestation, </w:t>
      </w:r>
      <w:r w:rsidR="00602282" w:rsidRPr="006039C0">
        <w:rPr>
          <w:sz w:val="22"/>
          <w:szCs w:val="22"/>
        </w:rPr>
        <w:t xml:space="preserve">as described earlier </w:t>
      </w:r>
      <w:ins w:id="5" w:author="Dave Bridges" w:date="2015-11-02T10:06:00Z">
        <w:r w:rsidR="00470311" w:rsidRPr="006039C0">
          <w:rPr>
            <w:sz w:val="22"/>
            <w:szCs w:val="22"/>
          </w:rPr>
          <w:fldChar w:fldCharType="begin" w:fldLock="1"/>
        </w:r>
      </w:ins>
      <w:r w:rsidR="00470311" w:rsidRPr="006039C0">
        <w:rPr>
          <w:sz w:val="22"/>
          <w:szCs w:val="22"/>
        </w:rPr>
        <w:instrText>ADDIN CSL_CITATION { "citationItems" : [ { "id" : "ITEM-1", "itemData" : { "DOI" : "10.1165/rcmb.2011-00010C", "ISSN" : "1535-4989", "PMID" : "21493781", "abstract" : "We have identified a previously unrecognized component of airborne particulate matter formed in combustion and thermal processes --- environmentally persistent free radicals (EPFRs). The pulmonary health effects of EPFRs are currently unknown. In the present study, we used a model EPFR-containing pollutant-particle system referred to as MCP230. We evaluated the effects of MCP230 on the phenotype and function of bone marrow-derived dendritic cells (BMDCs) in vitro and lung DCs in vivo, and the subsequent T cell response. We also investigated the adjuvant role of MCP230 on airway inflammation in a mouse model of asthma. MCP230 decreased the GSH and GSH/GSSG ratio in BMDCs and upregulated the expression of co-stimulatory molecules, CD80 and CD86, on DCs. DC maturation was blocked by inhibiting oxidative stress or uptake of MCP230. MCP230 exposed BMDCs increased antigen specific T-cell proliferation in vitro. In an asthma model, MCP230 exposure exacerbated pulmonary inflammation, which was due to the increase of neutrophils and macrophages but not eosinophils. This correlated with an increase in Th17 cells and cytokines compared with non-MCP230-treated but OVA challenged mice. The percentage of Th2 cells was comparable between OVA and OVA+MCP230 mice. Our data demonstrate that combustion-generated, EPFR-containing PM directly induce DC maturation in an uptake and oxidative stress dependent manner. Furthermore, EPFR-containing PM induces a Th17-biased phenotype in lung, which is accompanied by a significant pulmonary neutrophilia. EPFR-containing PM exposure may be an important and unrecognized risk factor in the exacerbation and development of a severe asthma phenotype in humans.", "author" : [ { "dropping-particle" : "", "family" : "Wang", "given" : "Pingli", "non-dropping-particle" : "", "parse-names" : false, "suffix" : "" }, { "dropping-particle" : "", "family" : "Thevenot", "given" : "Paul", "non-dropping-particle" : "", "parse-names" : false, "suffix" : "" }, { "dropping-particle" : "", "family" : "Saravia", "given" : "Jordy S", "non-dropping-particle" : "", "parse-names" : false, "suffix" : "" }, { "dropping-particle" : "", "family" : "Ahlert", "given" : "Terry", "non-dropping-particle" : "", "parse-names" : false, "suffix" : "" }, { "dropping-particle" : "", "family" : "Cormier", "given" : "Stephania A.", "non-dropping-particle" : "", "parse-names" : false, "suffix" : "" } ], "container-title" : "American journal of respiratory cell and molecular biology", "id" : "ITEM-1", "issued" : { "date-parts" : [ [ "2011" ] ] }, "page" : "977", "title" : "Radical Containing Particles Activate DCs and Enhance Th17 Inflammation in a Mouse Model of Asthma.", "type" : "article-journal", "volume" : "45" }, "uris" : [ "http://www.mendeley.com/documents/?uuid=cba16112-7866-43d1-8518-b82a714e8290" ] } ], "mendeley" : { "formattedCitation" : "[22]", "plainTextFormattedCitation" : "[22]" }, "properties" : { "noteIndex" : 0 }, "schema" : "https://github.com/citation-style-language/schema/raw/master/csl-citation.json" }</w:instrText>
      </w:r>
      <w:r w:rsidR="00470311" w:rsidRPr="006039C0">
        <w:rPr>
          <w:sz w:val="22"/>
          <w:szCs w:val="22"/>
        </w:rPr>
        <w:fldChar w:fldCharType="separate"/>
      </w:r>
      <w:r w:rsidR="00470311" w:rsidRPr="006039C0">
        <w:rPr>
          <w:noProof/>
          <w:sz w:val="22"/>
          <w:szCs w:val="22"/>
        </w:rPr>
        <w:t>[22]</w:t>
      </w:r>
      <w:ins w:id="6" w:author="Dave Bridges" w:date="2015-11-02T10:06:00Z">
        <w:r w:rsidR="00470311" w:rsidRPr="006039C0">
          <w:rPr>
            <w:sz w:val="22"/>
            <w:szCs w:val="22"/>
          </w:rPr>
          <w:fldChar w:fldCharType="end"/>
        </w:r>
        <w:r w:rsidR="00470311" w:rsidRPr="006039C0">
          <w:rPr>
            <w:sz w:val="22"/>
            <w:szCs w:val="22"/>
          </w:rPr>
          <w:t xml:space="preserve">.  </w:t>
        </w:r>
      </w:ins>
      <w:commentRangeStart w:id="7"/>
      <w:del w:id="8" w:author="Dave Bridges" w:date="2015-11-02T10:06:00Z">
        <w:r w:rsidR="00602282" w:rsidRPr="006039C0" w:rsidDel="00470311">
          <w:rPr>
            <w:sz w:val="22"/>
            <w:szCs w:val="22"/>
          </w:rPr>
          <w:fldChar w:fldCharType="begin">
            <w:fldData xml:space="preserve">PEVuZE5vdGU+PENpdGU+PEF1dGhvcj5XYW5nPC9BdXRob3I+PFllYXI+MjAxMTwvWWVhcj48UmVj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=
</w:fldData>
          </w:fldChar>
        </w:r>
      </w:del>
      <w:r w:rsidR="00891215">
        <w:rPr>
          <w:sz w:val="22"/>
          <w:szCs w:val="22"/>
        </w:rPr>
        <w:instrText xml:space="preserve"> ADDIN EN.CITE </w:instrText>
      </w:r>
      <w:r w:rsidR="00891215">
        <w:rPr>
          <w:sz w:val="22"/>
          <w:szCs w:val="22"/>
        </w:rPr>
        <w:fldChar w:fldCharType="begin">
          <w:fldData xml:space="preserve">PEVuZE5vdGU+PENpdGU+PEF1dGhvcj5XYW5nPC9BdXRob3I+PFllYXI+MjAxMTwvWWVhcj48UmVj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=
</w:fldData>
        </w:fldChar>
      </w:r>
      <w:r w:rsidR="00891215">
        <w:rPr>
          <w:sz w:val="22"/>
          <w:szCs w:val="22"/>
        </w:rPr>
        <w:instrText xml:space="preserve"> ADDIN EN.CITE.DATA </w:instrText>
      </w:r>
      <w:r w:rsidR="00891215">
        <w:rPr>
          <w:sz w:val="22"/>
          <w:szCs w:val="22"/>
        </w:rPr>
      </w:r>
      <w:r w:rsidR="00891215">
        <w:rPr>
          <w:sz w:val="22"/>
          <w:szCs w:val="22"/>
        </w:rPr>
        <w:fldChar w:fldCharType="end"/>
      </w:r>
      <w:del w:id="9" w:author="Dave Bridges" w:date="2015-11-02T10:06:00Z">
        <w:r w:rsidR="00602282" w:rsidRPr="006039C0" w:rsidDel="00470311">
          <w:rPr>
            <w:sz w:val="22"/>
            <w:szCs w:val="22"/>
          </w:rPr>
        </w:r>
        <w:r w:rsidR="00602282" w:rsidRPr="006039C0" w:rsidDel="00470311">
          <w:rPr>
            <w:sz w:val="22"/>
            <w:szCs w:val="22"/>
          </w:rPr>
          <w:fldChar w:fldCharType="separate"/>
        </w:r>
      </w:del>
      <w:r w:rsidR="00891215">
        <w:rPr>
          <w:noProof/>
          <w:sz w:val="22"/>
          <w:szCs w:val="22"/>
        </w:rPr>
        <w:t>[</w:t>
      </w:r>
      <w:hyperlink w:anchor="_ENREF_1" w:tooltip="Wang, 2011 #1" w:history="1">
        <w:r w:rsidR="001E0F38">
          <w:rPr>
            <w:noProof/>
            <w:sz w:val="22"/>
            <w:szCs w:val="22"/>
          </w:rPr>
          <w:t>1</w:t>
        </w:r>
      </w:hyperlink>
      <w:r w:rsidR="00891215">
        <w:rPr>
          <w:noProof/>
          <w:sz w:val="22"/>
          <w:szCs w:val="22"/>
        </w:rPr>
        <w:t>]</w:t>
      </w:r>
      <w:del w:id="10" w:author="Dave Bridges" w:date="2015-11-02T10:06:00Z">
        <w:r w:rsidR="00602282" w:rsidRPr="006039C0" w:rsidDel="00470311">
          <w:rPr>
            <w:sz w:val="22"/>
            <w:szCs w:val="22"/>
          </w:rPr>
          <w:fldChar w:fldCharType="end"/>
        </w:r>
        <w:commentRangeEnd w:id="7"/>
        <w:r w:rsidR="002A1643" w:rsidRPr="006039C0" w:rsidDel="00470311">
          <w:rPr>
            <w:rStyle w:val="CommentReference"/>
            <w:sz w:val="22"/>
            <w:szCs w:val="22"/>
          </w:rPr>
          <w:commentReference w:id="7"/>
        </w:r>
        <w:r w:rsidR="00602282" w:rsidRPr="006039C0" w:rsidDel="00470311">
          <w:rPr>
            <w:sz w:val="22"/>
            <w:szCs w:val="22"/>
          </w:rPr>
          <w:delText xml:space="preserve">. </w:delText>
        </w:r>
      </w:del>
      <w:r w:rsidR="00602282" w:rsidRPr="006039C0">
        <w:rPr>
          <w:sz w:val="22"/>
          <w:szCs w:val="22"/>
        </w:rPr>
        <w:t xml:space="preserve">Control mice received 50 µl saline or </w:t>
      </w:r>
      <w:proofErr w:type="spellStart"/>
      <w:r w:rsidR="00602282" w:rsidRPr="006039C0">
        <w:rPr>
          <w:sz w:val="22"/>
          <w:szCs w:val="22"/>
        </w:rPr>
        <w:t>cabosil</w:t>
      </w:r>
      <w:proofErr w:type="spellEnd"/>
      <w:r w:rsidR="00602282" w:rsidRPr="006039C0">
        <w:rPr>
          <w:sz w:val="22"/>
          <w:szCs w:val="22"/>
        </w:rPr>
        <w:t xml:space="preserve"> (</w:t>
      </w:r>
      <w:r w:rsidR="00564EA8" w:rsidRPr="006039C0">
        <w:rPr>
          <w:sz w:val="22"/>
          <w:szCs w:val="22"/>
        </w:rPr>
        <w:t>amorphous</w:t>
      </w:r>
      <w:r w:rsidR="00602282" w:rsidRPr="006039C0">
        <w:rPr>
          <w:sz w:val="22"/>
          <w:szCs w:val="22"/>
        </w:rPr>
        <w:t xml:space="preserve"> silica). Briefly, mice were anesthetized by inhalant anesthetic isoflurane (5%) and </w:t>
      </w:r>
      <w:r w:rsidR="00602282" w:rsidRPr="006039C0">
        <w:rPr>
          <w:sz w:val="22"/>
          <w:szCs w:val="22"/>
        </w:rPr>
        <w:lastRenderedPageBreak/>
        <w:t>a</w:t>
      </w:r>
      <w:r w:rsidRPr="006039C0">
        <w:rPr>
          <w:sz w:val="22"/>
          <w:szCs w:val="22"/>
        </w:rPr>
        <w:t>nesthetized mice were placed upright in a holder and physically supported in an upright position.</w:t>
      </w:r>
      <w:r w:rsidR="00E92EEB" w:rsidRPr="006039C0">
        <w:rPr>
          <w:sz w:val="22"/>
          <w:szCs w:val="22"/>
        </w:rPr>
        <w:t xml:space="preserve"> 50 µl of the suspension was instilled just above the vocal cords while holding the tongue with forceps to prevent swallowing</w:t>
      </w:r>
      <w:r w:rsidR="005074A0" w:rsidRPr="006039C0">
        <w:rPr>
          <w:sz w:val="22"/>
          <w:szCs w:val="22"/>
        </w:rPr>
        <w:t xml:space="preserve">. </w:t>
      </w:r>
    </w:p>
    <w:p w14:paraId="7028F806" w14:textId="77777777" w:rsidR="00230B4A" w:rsidRPr="006039C0" w:rsidRDefault="00230B4A" w:rsidP="009A3105">
      <w:pPr>
        <w:pStyle w:val="Heading2"/>
        <w:spacing w:before="0" w:line="480" w:lineRule="auto"/>
        <w:rPr>
          <w:sz w:val="22"/>
          <w:szCs w:val="22"/>
        </w:rPr>
      </w:pPr>
      <w:r w:rsidRPr="006039C0">
        <w:rPr>
          <w:sz w:val="22"/>
          <w:szCs w:val="22"/>
        </w:rPr>
        <w:t>Animal Housing and High Fat Diet</w:t>
      </w:r>
    </w:p>
    <w:p w14:paraId="6EC000C7" w14:textId="3B5C770C" w:rsidR="00493F6D" w:rsidRPr="001305B0" w:rsidRDefault="00191826" w:rsidP="00896FD8">
      <w:pPr>
        <w:spacing w:line="480" w:lineRule="auto"/>
        <w:rPr>
          <w:sz w:val="22"/>
          <w:szCs w:val="22"/>
        </w:rPr>
      </w:pPr>
      <w:r w:rsidRPr="001305B0">
        <w:rPr>
          <w:color w:val="000000" w:themeColor="text1"/>
          <w:sz w:val="22"/>
          <w:szCs w:val="22"/>
        </w:rPr>
        <w:t xml:space="preserve">C57BL/6NHsd </w:t>
      </w:r>
      <w:r w:rsidR="001305B0">
        <w:rPr>
          <w:color w:val="000000" w:themeColor="text1"/>
          <w:sz w:val="22"/>
          <w:szCs w:val="22"/>
        </w:rPr>
        <w:t xml:space="preserve">mice </w:t>
      </w:r>
      <w:r w:rsidRPr="001305B0">
        <w:rPr>
          <w:color w:val="000000" w:themeColor="text1"/>
          <w:sz w:val="22"/>
          <w:szCs w:val="22"/>
        </w:rPr>
        <w:t xml:space="preserve">were purchased from Harlan (Indianapolis, IN). </w:t>
      </w:r>
      <w:r w:rsidR="00B0780F" w:rsidRPr="001305B0">
        <w:rPr>
          <w:sz w:val="22"/>
          <w:szCs w:val="22"/>
        </w:rPr>
        <w:t xml:space="preserve">Mice were maintained in a 12h light/dark cycle room at constant temperature and humidity and allowed unrestricted access to food and water. </w:t>
      </w:r>
      <w:r w:rsidR="00B0780F" w:rsidRPr="001305B0">
        <w:rPr>
          <w:color w:val="000000" w:themeColor="text1"/>
          <w:sz w:val="22"/>
          <w:szCs w:val="22"/>
        </w:rPr>
        <w:t>Offspring were weaned at 4 weeks of age</w:t>
      </w:r>
      <w:r w:rsidR="002C3CD3" w:rsidRPr="001305B0">
        <w:rPr>
          <w:color w:val="000000" w:themeColor="text1"/>
          <w:sz w:val="22"/>
          <w:szCs w:val="22"/>
        </w:rPr>
        <w:t>. Male</w:t>
      </w:r>
      <w:r w:rsidR="00B0780F" w:rsidRPr="001305B0">
        <w:rPr>
          <w:color w:val="000000" w:themeColor="text1"/>
          <w:sz w:val="22"/>
          <w:szCs w:val="22"/>
        </w:rPr>
        <w:t xml:space="preserve"> mice were selected </w:t>
      </w:r>
      <w:r w:rsidR="00171013" w:rsidRPr="001305B0">
        <w:rPr>
          <w:color w:val="000000" w:themeColor="text1"/>
          <w:sz w:val="22"/>
          <w:szCs w:val="22"/>
        </w:rPr>
        <w:t xml:space="preserve">for the study </w:t>
      </w:r>
      <w:r w:rsidR="00B0780F" w:rsidRPr="001305B0">
        <w:rPr>
          <w:color w:val="000000" w:themeColor="text1"/>
          <w:sz w:val="22"/>
          <w:szCs w:val="22"/>
        </w:rPr>
        <w:t xml:space="preserve">and </w:t>
      </w:r>
      <w:r w:rsidR="00171013" w:rsidRPr="001305B0">
        <w:rPr>
          <w:color w:val="000000" w:themeColor="text1"/>
          <w:sz w:val="22"/>
          <w:szCs w:val="22"/>
        </w:rPr>
        <w:t>were fed</w:t>
      </w:r>
      <w:r w:rsidR="00B0780F" w:rsidRPr="001305B0">
        <w:rPr>
          <w:color w:val="000000" w:themeColor="text1"/>
          <w:sz w:val="22"/>
          <w:szCs w:val="22"/>
        </w:rPr>
        <w:t xml:space="preserve"> </w:t>
      </w:r>
      <w:r w:rsidR="001305B0">
        <w:rPr>
          <w:color w:val="000000" w:themeColor="text1"/>
          <w:sz w:val="22"/>
          <w:szCs w:val="22"/>
        </w:rPr>
        <w:t xml:space="preserve">standard rodent </w:t>
      </w:r>
      <w:r w:rsidR="00B0780F" w:rsidRPr="001305B0">
        <w:rPr>
          <w:color w:val="000000" w:themeColor="text1"/>
          <w:sz w:val="22"/>
          <w:szCs w:val="22"/>
        </w:rPr>
        <w:t xml:space="preserve">chow until 10 weeks of age. </w:t>
      </w:r>
      <w:r w:rsidR="00171013" w:rsidRPr="001305B0">
        <w:rPr>
          <w:sz w:val="22"/>
          <w:szCs w:val="22"/>
        </w:rPr>
        <w:t xml:space="preserve"> </w:t>
      </w:r>
      <w:r w:rsidR="0012599A" w:rsidRPr="001305B0">
        <w:rPr>
          <w:sz w:val="22"/>
          <w:szCs w:val="22"/>
        </w:rPr>
        <w:t>At 10 weeks of age, mice were switched from chow to a high fat diet, consisting of 45% of calories from fat (Research Diets catalog D12451)</w:t>
      </w:r>
      <w:r w:rsidR="00171013" w:rsidRPr="001305B0">
        <w:rPr>
          <w:sz w:val="22"/>
          <w:szCs w:val="22"/>
        </w:rPr>
        <w:t xml:space="preserve">. Mice were </w:t>
      </w:r>
      <w:r w:rsidR="001C1CAE" w:rsidRPr="001305B0">
        <w:rPr>
          <w:sz w:val="22"/>
          <w:szCs w:val="22"/>
        </w:rPr>
        <w:t>maintained on high fat diet for 12 weeks</w:t>
      </w:r>
      <w:r w:rsidR="0012599A" w:rsidRPr="001305B0">
        <w:rPr>
          <w:sz w:val="22"/>
          <w:szCs w:val="22"/>
        </w:rPr>
        <w:t xml:space="preserve">. </w:t>
      </w:r>
      <w:r w:rsidR="00493F6D" w:rsidRPr="001305B0">
        <w:rPr>
          <w:sz w:val="22"/>
          <w:szCs w:val="22"/>
        </w:rPr>
        <w:t>One mouse, a MCP230 treated animal</w:t>
      </w:r>
      <w:r w:rsidR="005D1436">
        <w:rPr>
          <w:sz w:val="22"/>
          <w:szCs w:val="22"/>
        </w:rPr>
        <w:t>,</w:t>
      </w:r>
      <w:r w:rsidR="00493F6D" w:rsidRPr="001305B0">
        <w:rPr>
          <w:sz w:val="22"/>
          <w:szCs w:val="22"/>
        </w:rPr>
        <w:t xml:space="preserve"> had a malocclusion and was removed from </w:t>
      </w:r>
      <w:r w:rsidR="00717233" w:rsidRPr="001305B0">
        <w:rPr>
          <w:sz w:val="22"/>
          <w:szCs w:val="22"/>
        </w:rPr>
        <w:t>all</w:t>
      </w:r>
      <w:r w:rsidR="00493F6D" w:rsidRPr="001305B0">
        <w:rPr>
          <w:sz w:val="22"/>
          <w:szCs w:val="22"/>
        </w:rPr>
        <w:t xml:space="preserve"> </w:t>
      </w:r>
      <w:r w:rsidR="005D1436">
        <w:rPr>
          <w:sz w:val="22"/>
          <w:szCs w:val="22"/>
        </w:rPr>
        <w:t xml:space="preserve">data </w:t>
      </w:r>
      <w:r w:rsidR="00493F6D" w:rsidRPr="001305B0">
        <w:rPr>
          <w:sz w:val="22"/>
          <w:szCs w:val="22"/>
        </w:rPr>
        <w:t>analyses.</w:t>
      </w:r>
      <w:r w:rsidR="0012599A" w:rsidRPr="001305B0">
        <w:rPr>
          <w:sz w:val="22"/>
          <w:szCs w:val="22"/>
        </w:rPr>
        <w:t xml:space="preserve"> The UTHSC Institutional Animal Care and Use Committee approved all mouse procedures.  </w:t>
      </w:r>
    </w:p>
    <w:p w14:paraId="56EAC335" w14:textId="77777777" w:rsidR="00A671EA" w:rsidRPr="006039C0" w:rsidRDefault="008A7513" w:rsidP="009A3105">
      <w:pPr>
        <w:pStyle w:val="Heading2"/>
        <w:spacing w:before="0" w:line="480" w:lineRule="auto"/>
        <w:rPr>
          <w:sz w:val="22"/>
          <w:szCs w:val="22"/>
        </w:rPr>
      </w:pPr>
      <w:r w:rsidRPr="006039C0">
        <w:rPr>
          <w:sz w:val="22"/>
          <w:szCs w:val="22"/>
        </w:rPr>
        <w:t xml:space="preserve">Metabolite Assays </w:t>
      </w:r>
    </w:p>
    <w:p w14:paraId="074FBE45" w14:textId="77777777" w:rsidR="008A7513" w:rsidRPr="006039C0" w:rsidRDefault="008A7513" w:rsidP="00896FD8">
      <w:pPr>
        <w:spacing w:line="480" w:lineRule="auto"/>
        <w:rPr>
          <w:sz w:val="22"/>
          <w:szCs w:val="22"/>
        </w:rPr>
      </w:pPr>
      <w:r w:rsidRPr="006039C0">
        <w:rPr>
          <w:sz w:val="22"/>
          <w:szCs w:val="22"/>
        </w:rPr>
        <w:t xml:space="preserve">Glucose was determined using an </w:t>
      </w:r>
      <w:proofErr w:type="spellStart"/>
      <w:r w:rsidRPr="006039C0">
        <w:rPr>
          <w:sz w:val="22"/>
          <w:szCs w:val="22"/>
        </w:rPr>
        <w:t>Accu</w:t>
      </w:r>
      <w:r w:rsidR="00A476F7" w:rsidRPr="006039C0">
        <w:rPr>
          <w:sz w:val="22"/>
          <w:szCs w:val="22"/>
        </w:rPr>
        <w:t>C</w:t>
      </w:r>
      <w:r w:rsidRPr="006039C0">
        <w:rPr>
          <w:sz w:val="22"/>
          <w:szCs w:val="22"/>
        </w:rPr>
        <w:t>heck</w:t>
      </w:r>
      <w:proofErr w:type="spellEnd"/>
      <w:r w:rsidRPr="006039C0">
        <w:rPr>
          <w:sz w:val="22"/>
          <w:szCs w:val="22"/>
        </w:rPr>
        <w:t xml:space="preserve"> glucometer.  Serum hormone levels were determined using a </w:t>
      </w:r>
      <w:r w:rsidR="00670D0F" w:rsidRPr="006039C0">
        <w:rPr>
          <w:sz w:val="22"/>
          <w:szCs w:val="22"/>
        </w:rPr>
        <w:t>Bio-</w:t>
      </w:r>
      <w:proofErr w:type="spellStart"/>
      <w:r w:rsidR="00670D0F" w:rsidRPr="006039C0">
        <w:rPr>
          <w:sz w:val="22"/>
          <w:szCs w:val="22"/>
        </w:rPr>
        <w:t>Plex</w:t>
      </w:r>
      <w:proofErr w:type="spellEnd"/>
      <w:r w:rsidR="00670D0F" w:rsidRPr="006039C0">
        <w:rPr>
          <w:sz w:val="22"/>
          <w:szCs w:val="22"/>
        </w:rPr>
        <w:t xml:space="preserve"> pro mouse diabetes multiplex immunoassay, </w:t>
      </w:r>
      <w:proofErr w:type="spellStart"/>
      <w:r w:rsidR="00670D0F" w:rsidRPr="006039C0">
        <w:rPr>
          <w:sz w:val="22"/>
          <w:szCs w:val="22"/>
        </w:rPr>
        <w:t>BioRad</w:t>
      </w:r>
      <w:proofErr w:type="spellEnd"/>
      <w:r w:rsidR="00C82568" w:rsidRPr="006039C0">
        <w:rPr>
          <w:sz w:val="22"/>
          <w:szCs w:val="22"/>
        </w:rPr>
        <w:t xml:space="preserve"> (</w:t>
      </w:r>
      <w:r w:rsidR="00A671EA" w:rsidRPr="006039C0">
        <w:rPr>
          <w:sz w:val="22"/>
          <w:szCs w:val="22"/>
        </w:rPr>
        <w:t xml:space="preserve">#171-F7001M) </w:t>
      </w:r>
      <w:r w:rsidRPr="006039C0">
        <w:rPr>
          <w:sz w:val="22"/>
          <w:szCs w:val="22"/>
        </w:rPr>
        <w:t xml:space="preserve">following the manufacturer’s instructions. </w:t>
      </w:r>
    </w:p>
    <w:p w14:paraId="194313C4" w14:textId="77777777" w:rsidR="00441A6B" w:rsidRPr="006039C0" w:rsidRDefault="00441A6B" w:rsidP="009A3105">
      <w:pPr>
        <w:pStyle w:val="Heading2"/>
        <w:spacing w:before="0" w:line="480" w:lineRule="auto"/>
        <w:rPr>
          <w:sz w:val="22"/>
          <w:szCs w:val="22"/>
        </w:rPr>
      </w:pPr>
      <w:r w:rsidRPr="006039C0">
        <w:rPr>
          <w:sz w:val="22"/>
          <w:szCs w:val="22"/>
        </w:rPr>
        <w:t>Body Composition</w:t>
      </w:r>
      <w:r w:rsidR="008A533B" w:rsidRPr="006039C0">
        <w:rPr>
          <w:sz w:val="22"/>
          <w:szCs w:val="22"/>
        </w:rPr>
        <w:t xml:space="preserve"> and Metabolic Cages</w:t>
      </w:r>
    </w:p>
    <w:p w14:paraId="3D5A109B" w14:textId="654FCB51" w:rsidR="00FC49AE" w:rsidRPr="006039C0" w:rsidRDefault="008A533B" w:rsidP="00896FD8">
      <w:pPr>
        <w:spacing w:line="480" w:lineRule="auto"/>
        <w:rPr>
          <w:sz w:val="22"/>
          <w:szCs w:val="22"/>
        </w:rPr>
      </w:pPr>
      <w:r w:rsidRPr="006039C0">
        <w:rPr>
          <w:sz w:val="22"/>
          <w:szCs w:val="22"/>
        </w:rPr>
        <w:t>Mice were weighed weekly</w:t>
      </w:r>
      <w:r w:rsidR="005D1436">
        <w:rPr>
          <w:sz w:val="22"/>
          <w:szCs w:val="22"/>
        </w:rPr>
        <w:t>, starting</w:t>
      </w:r>
      <w:r w:rsidRPr="006039C0">
        <w:rPr>
          <w:sz w:val="22"/>
          <w:szCs w:val="22"/>
        </w:rPr>
        <w:t xml:space="preserve"> at approximately ZT10.   </w:t>
      </w:r>
      <w:r w:rsidR="0012599A" w:rsidRPr="006039C0">
        <w:rPr>
          <w:sz w:val="22"/>
          <w:szCs w:val="22"/>
        </w:rPr>
        <w:t xml:space="preserve">Body composition was determined </w:t>
      </w:r>
      <w:r w:rsidRPr="006039C0">
        <w:rPr>
          <w:sz w:val="22"/>
          <w:szCs w:val="22"/>
        </w:rPr>
        <w:t xml:space="preserve">non-invasively </w:t>
      </w:r>
      <w:r w:rsidR="0012599A" w:rsidRPr="006039C0">
        <w:rPr>
          <w:sz w:val="22"/>
          <w:szCs w:val="22"/>
        </w:rPr>
        <w:t xml:space="preserve">using an echo-MRI </w:t>
      </w:r>
      <w:r w:rsidRPr="006039C0">
        <w:rPr>
          <w:sz w:val="22"/>
          <w:szCs w:val="22"/>
        </w:rPr>
        <w:t>100 at approximately ZT10.</w:t>
      </w:r>
      <w:r w:rsidR="00B425D2" w:rsidRPr="006039C0">
        <w:rPr>
          <w:sz w:val="22"/>
          <w:szCs w:val="22"/>
        </w:rPr>
        <w:t xml:space="preserve">  Food intake during the HFD phase was determined on a per-cage level by weigh</w:t>
      </w:r>
      <w:r w:rsidR="00740101" w:rsidRPr="006039C0">
        <w:rPr>
          <w:sz w:val="22"/>
          <w:szCs w:val="22"/>
        </w:rPr>
        <w:t>ing the food on a weekly basis.  For pre-HFD food intake</w:t>
      </w:r>
      <w:r w:rsidR="00FC49AE" w:rsidRPr="006039C0">
        <w:rPr>
          <w:sz w:val="22"/>
          <w:szCs w:val="22"/>
        </w:rPr>
        <w:t>, this was the sum of food eaten during the time in the metabolic cages, as determined by scaled feeder.</w:t>
      </w:r>
    </w:p>
    <w:p w14:paraId="433BF24F" w14:textId="77777777" w:rsidR="00FC49AE" w:rsidRPr="006039C0" w:rsidRDefault="00FC49AE" w:rsidP="00D3063E">
      <w:pPr>
        <w:spacing w:line="480" w:lineRule="auto"/>
        <w:rPr>
          <w:sz w:val="22"/>
          <w:szCs w:val="22"/>
        </w:rPr>
      </w:pPr>
    </w:p>
    <w:p w14:paraId="6DCB9F08" w14:textId="4137D8F6" w:rsidR="0012599A" w:rsidRPr="006039C0" w:rsidRDefault="00FC49AE" w:rsidP="00AA41A9">
      <w:pPr>
        <w:spacing w:line="480" w:lineRule="auto"/>
        <w:rPr>
          <w:sz w:val="22"/>
          <w:szCs w:val="22"/>
        </w:rPr>
      </w:pPr>
      <w:r w:rsidRPr="006039C0">
        <w:rPr>
          <w:sz w:val="22"/>
          <w:szCs w:val="22"/>
        </w:rPr>
        <w:t xml:space="preserve">Energy expenditure, ambulatory </w:t>
      </w:r>
      <w:proofErr w:type="spellStart"/>
      <w:r w:rsidRPr="006039C0">
        <w:rPr>
          <w:sz w:val="22"/>
          <w:szCs w:val="22"/>
        </w:rPr>
        <w:t>locomotor</w:t>
      </w:r>
      <w:proofErr w:type="spellEnd"/>
      <w:r w:rsidRPr="006039C0">
        <w:rPr>
          <w:sz w:val="22"/>
          <w:szCs w:val="22"/>
        </w:rPr>
        <w:t xml:space="preserve"> activity and respiratory exchange ratios were determined in a home-cage style comprehensive laboratory animal monitoring system (Columbus Instruments).  Mice were placed in the cages at approximately ZT10 and monitored for 3-4 days.  Data from the first 6</w:t>
      </w:r>
      <w:r w:rsidR="005D1436">
        <w:rPr>
          <w:sz w:val="22"/>
          <w:szCs w:val="22"/>
        </w:rPr>
        <w:t xml:space="preserve"> </w:t>
      </w:r>
      <w:r w:rsidRPr="006039C0">
        <w:rPr>
          <w:sz w:val="22"/>
          <w:szCs w:val="22"/>
        </w:rPr>
        <w:t xml:space="preserve">h were discarded as this was the amount of time for the mice to become accustomed to their new single-caged environment.  </w:t>
      </w:r>
      <w:r w:rsidR="009A6E08" w:rsidRPr="006039C0">
        <w:rPr>
          <w:sz w:val="22"/>
          <w:szCs w:val="22"/>
        </w:rPr>
        <w:t xml:space="preserve">The </w:t>
      </w:r>
      <w:proofErr w:type="spellStart"/>
      <w:r w:rsidR="009A6E08" w:rsidRPr="006039C0">
        <w:rPr>
          <w:sz w:val="22"/>
          <w:szCs w:val="22"/>
        </w:rPr>
        <w:t>Oxymax</w:t>
      </w:r>
      <w:proofErr w:type="spellEnd"/>
      <w:r w:rsidR="009A6E08" w:rsidRPr="006039C0">
        <w:rPr>
          <w:sz w:val="22"/>
          <w:szCs w:val="22"/>
        </w:rPr>
        <w:t xml:space="preserve"> software provided by the vendor calculated the volumes of O</w:t>
      </w:r>
      <w:r w:rsidR="009A6E08" w:rsidRPr="006039C0">
        <w:rPr>
          <w:sz w:val="22"/>
          <w:szCs w:val="22"/>
          <w:vertAlign w:val="subscript"/>
        </w:rPr>
        <w:t>2</w:t>
      </w:r>
      <w:r w:rsidR="009A6E08" w:rsidRPr="006039C0">
        <w:rPr>
          <w:sz w:val="22"/>
          <w:szCs w:val="22"/>
        </w:rPr>
        <w:t>, CO</w:t>
      </w:r>
      <w:r w:rsidR="009A6E08" w:rsidRPr="006039C0">
        <w:rPr>
          <w:sz w:val="22"/>
          <w:szCs w:val="22"/>
          <w:vertAlign w:val="subscript"/>
        </w:rPr>
        <w:t>2</w:t>
      </w:r>
      <w:r w:rsidR="009A6E08" w:rsidRPr="006039C0">
        <w:rPr>
          <w:sz w:val="22"/>
          <w:szCs w:val="22"/>
        </w:rPr>
        <w:t>, the respiratory exchange ratio, the ambulatory x-</w:t>
      </w:r>
      <w:r w:rsidR="00157E6E" w:rsidRPr="006039C0">
        <w:rPr>
          <w:sz w:val="22"/>
          <w:szCs w:val="22"/>
        </w:rPr>
        <w:t xml:space="preserve"> and y-</w:t>
      </w:r>
      <w:r w:rsidR="009A6E08" w:rsidRPr="006039C0">
        <w:rPr>
          <w:sz w:val="22"/>
          <w:szCs w:val="22"/>
        </w:rPr>
        <w:t>phase physical activity and the food consumption</w:t>
      </w:r>
      <w:r w:rsidR="00D56482" w:rsidRPr="006039C0">
        <w:rPr>
          <w:sz w:val="22"/>
          <w:szCs w:val="22"/>
        </w:rPr>
        <w:t>.</w:t>
      </w:r>
    </w:p>
    <w:p w14:paraId="37A0EA0C" w14:textId="77777777" w:rsidR="00310EE0" w:rsidRPr="006039C0" w:rsidRDefault="00310EE0" w:rsidP="009A3105">
      <w:pPr>
        <w:pStyle w:val="Heading2"/>
        <w:spacing w:before="0" w:line="480" w:lineRule="auto"/>
        <w:rPr>
          <w:sz w:val="22"/>
          <w:szCs w:val="22"/>
        </w:rPr>
      </w:pPr>
      <w:r w:rsidRPr="006039C0">
        <w:rPr>
          <w:sz w:val="22"/>
          <w:szCs w:val="22"/>
        </w:rPr>
        <w:lastRenderedPageBreak/>
        <w:t>Tissue C</w:t>
      </w:r>
      <w:r w:rsidR="00F659E1" w:rsidRPr="006039C0">
        <w:rPr>
          <w:sz w:val="22"/>
          <w:szCs w:val="22"/>
        </w:rPr>
        <w:t>ollection and</w:t>
      </w:r>
      <w:r w:rsidRPr="006039C0">
        <w:rPr>
          <w:sz w:val="22"/>
          <w:szCs w:val="22"/>
        </w:rPr>
        <w:t xml:space="preserve"> </w:t>
      </w:r>
      <w:r w:rsidR="006B76D5" w:rsidRPr="006039C0">
        <w:rPr>
          <w:sz w:val="22"/>
          <w:szCs w:val="22"/>
        </w:rPr>
        <w:t>Nucleic Acid Preparation</w:t>
      </w:r>
      <w:r w:rsidRPr="006039C0">
        <w:rPr>
          <w:sz w:val="22"/>
          <w:szCs w:val="22"/>
        </w:rPr>
        <w:t xml:space="preserve"> </w:t>
      </w:r>
    </w:p>
    <w:p w14:paraId="333F96D1" w14:textId="67936DF0" w:rsidR="00310EE0" w:rsidRPr="006039C0" w:rsidRDefault="00310EE0" w:rsidP="00896FD8">
      <w:pPr>
        <w:spacing w:line="480" w:lineRule="auto"/>
        <w:rPr>
          <w:sz w:val="22"/>
          <w:szCs w:val="22"/>
        </w:rPr>
      </w:pPr>
      <w:r w:rsidRPr="006039C0">
        <w:rPr>
          <w:sz w:val="22"/>
          <w:szCs w:val="22"/>
        </w:rPr>
        <w:t>After the 12 week high fat diet phase, mice were fasted overnight</w:t>
      </w:r>
      <w:ins w:id="11" w:author="Stephenson, Erin" w:date="2015-11-10T11:37:00Z">
        <w:r w:rsidR="005D1436">
          <w:rPr>
            <w:sz w:val="22"/>
            <w:szCs w:val="22"/>
          </w:rPr>
          <w:t xml:space="preserve">, </w:t>
        </w:r>
        <w:commentRangeStart w:id="12"/>
        <w:r w:rsidR="005D1436">
          <w:rPr>
            <w:sz w:val="22"/>
            <w:szCs w:val="22"/>
          </w:rPr>
          <w:t>anesthetized with XXX</w:t>
        </w:r>
      </w:ins>
      <w:r w:rsidRPr="006039C0">
        <w:rPr>
          <w:sz w:val="22"/>
          <w:szCs w:val="22"/>
        </w:rPr>
        <w:t xml:space="preserve"> </w:t>
      </w:r>
      <w:commentRangeEnd w:id="12"/>
      <w:r w:rsidR="005D1436">
        <w:rPr>
          <w:rStyle w:val="CommentReference"/>
        </w:rPr>
        <w:commentReference w:id="12"/>
      </w:r>
      <w:r w:rsidRPr="006039C0">
        <w:rPr>
          <w:sz w:val="22"/>
          <w:szCs w:val="22"/>
        </w:rPr>
        <w:t xml:space="preserve">and </w:t>
      </w:r>
      <w:r w:rsidR="00161BD9" w:rsidRPr="006039C0">
        <w:rPr>
          <w:sz w:val="22"/>
          <w:szCs w:val="22"/>
        </w:rPr>
        <w:t xml:space="preserve">euthanized for </w:t>
      </w:r>
      <w:commentRangeStart w:id="13"/>
      <w:r w:rsidR="00161BD9" w:rsidRPr="006039C0">
        <w:rPr>
          <w:sz w:val="22"/>
          <w:szCs w:val="22"/>
        </w:rPr>
        <w:t>tissue collection.</w:t>
      </w:r>
      <w:r w:rsidR="00A75A22" w:rsidRPr="006039C0">
        <w:rPr>
          <w:sz w:val="22"/>
          <w:szCs w:val="22"/>
        </w:rPr>
        <w:t xml:space="preserve"> </w:t>
      </w:r>
      <w:commentRangeEnd w:id="13"/>
      <w:r w:rsidR="00D765E2">
        <w:rPr>
          <w:rStyle w:val="CommentReference"/>
        </w:rPr>
        <w:commentReference w:id="13"/>
      </w:r>
      <w:r w:rsidR="00A75A22" w:rsidRPr="006039C0">
        <w:rPr>
          <w:sz w:val="22"/>
          <w:szCs w:val="22"/>
        </w:rPr>
        <w:t>Immediately after death, quadriceps muscles were carefully dissected</w:t>
      </w:r>
      <w:r w:rsidR="00533ED0" w:rsidRPr="006039C0">
        <w:rPr>
          <w:sz w:val="22"/>
          <w:szCs w:val="22"/>
        </w:rPr>
        <w:t xml:space="preserve"> out</w:t>
      </w:r>
      <w:r w:rsidR="00A75A22" w:rsidRPr="006039C0">
        <w:rPr>
          <w:sz w:val="22"/>
          <w:szCs w:val="22"/>
        </w:rPr>
        <w:t>, cleared of any visible adipose and connective tissue and snap frozen in liquid N</w:t>
      </w:r>
      <w:r w:rsidR="00A75A22" w:rsidRPr="006039C0">
        <w:rPr>
          <w:sz w:val="22"/>
          <w:szCs w:val="22"/>
          <w:vertAlign w:val="subscript"/>
        </w:rPr>
        <w:t>2</w:t>
      </w:r>
      <w:r w:rsidR="00A75A22" w:rsidRPr="006039C0">
        <w:rPr>
          <w:sz w:val="22"/>
          <w:szCs w:val="22"/>
        </w:rPr>
        <w:t>.</w:t>
      </w:r>
      <w:r w:rsidR="002E53C1" w:rsidRPr="006039C0">
        <w:rPr>
          <w:sz w:val="22"/>
          <w:szCs w:val="22"/>
        </w:rPr>
        <w:t xml:space="preserve"> </w:t>
      </w:r>
      <w:r w:rsidR="00533ED0" w:rsidRPr="006039C0">
        <w:rPr>
          <w:sz w:val="22"/>
          <w:szCs w:val="22"/>
        </w:rPr>
        <w:t>Nucleic acids</w:t>
      </w:r>
      <w:r w:rsidR="00DF4C91" w:rsidRPr="006039C0">
        <w:rPr>
          <w:sz w:val="22"/>
          <w:szCs w:val="22"/>
        </w:rPr>
        <w:t xml:space="preserve"> were</w:t>
      </w:r>
      <w:r w:rsidR="00A50501" w:rsidRPr="006039C0">
        <w:rPr>
          <w:sz w:val="22"/>
          <w:szCs w:val="22"/>
        </w:rPr>
        <w:t xml:space="preserve"> isolated from f</w:t>
      </w:r>
      <w:r w:rsidR="002E53C1" w:rsidRPr="006039C0">
        <w:rPr>
          <w:sz w:val="22"/>
          <w:szCs w:val="22"/>
        </w:rPr>
        <w:t xml:space="preserve">rozen </w:t>
      </w:r>
      <w:r w:rsidR="00DF4C91" w:rsidRPr="006039C0">
        <w:rPr>
          <w:sz w:val="22"/>
          <w:szCs w:val="22"/>
        </w:rPr>
        <w:t>quadriceps</w:t>
      </w:r>
      <w:r w:rsidR="002E53C1" w:rsidRPr="006039C0">
        <w:rPr>
          <w:sz w:val="22"/>
          <w:szCs w:val="22"/>
        </w:rPr>
        <w:t xml:space="preserve"> samples </w:t>
      </w:r>
      <w:r w:rsidR="00A50501" w:rsidRPr="006039C0">
        <w:rPr>
          <w:sz w:val="22"/>
          <w:szCs w:val="22"/>
        </w:rPr>
        <w:t xml:space="preserve">via </w:t>
      </w:r>
      <w:proofErr w:type="spellStart"/>
      <w:r w:rsidR="00A50501" w:rsidRPr="006039C0">
        <w:rPr>
          <w:sz w:val="22"/>
          <w:szCs w:val="22"/>
        </w:rPr>
        <w:t>Trizol</w:t>
      </w:r>
      <w:proofErr w:type="spellEnd"/>
      <w:r w:rsidR="00A50501" w:rsidRPr="006039C0">
        <w:rPr>
          <w:sz w:val="22"/>
          <w:szCs w:val="22"/>
        </w:rPr>
        <w:t xml:space="preserve"> extraction</w:t>
      </w:r>
      <w:r w:rsidR="00DF4C91" w:rsidRPr="006039C0">
        <w:rPr>
          <w:sz w:val="22"/>
          <w:szCs w:val="22"/>
        </w:rPr>
        <w:t xml:space="preserve">. </w:t>
      </w:r>
      <w:r w:rsidR="00533ED0" w:rsidRPr="006039C0">
        <w:rPr>
          <w:sz w:val="22"/>
          <w:szCs w:val="22"/>
        </w:rPr>
        <w:t>Following careful and complete removal of the RNA-containing aqueous phase and its subsequent column purification</w:t>
      </w:r>
      <w:r w:rsidR="00DF4C91" w:rsidRPr="006039C0">
        <w:rPr>
          <w:sz w:val="22"/>
          <w:szCs w:val="22"/>
        </w:rPr>
        <w:t xml:space="preserve"> (Life Technologies)</w:t>
      </w:r>
      <w:r w:rsidR="00533ED0" w:rsidRPr="006039C0">
        <w:rPr>
          <w:sz w:val="22"/>
          <w:szCs w:val="22"/>
        </w:rPr>
        <w:t>,</w:t>
      </w:r>
      <w:r w:rsidR="00DF4C91" w:rsidRPr="006039C0">
        <w:rPr>
          <w:sz w:val="22"/>
          <w:szCs w:val="22"/>
        </w:rPr>
        <w:t xml:space="preserve"> </w:t>
      </w:r>
      <w:r w:rsidR="006A47A3" w:rsidRPr="006039C0">
        <w:rPr>
          <w:sz w:val="22"/>
          <w:szCs w:val="22"/>
        </w:rPr>
        <w:t xml:space="preserve">genomic </w:t>
      </w:r>
      <w:r w:rsidR="00DF4C91" w:rsidRPr="006039C0">
        <w:rPr>
          <w:sz w:val="22"/>
          <w:szCs w:val="22"/>
        </w:rPr>
        <w:t xml:space="preserve">DNA </w:t>
      </w:r>
      <w:r w:rsidR="00533ED0" w:rsidRPr="006039C0">
        <w:rPr>
          <w:sz w:val="22"/>
          <w:szCs w:val="22"/>
        </w:rPr>
        <w:t>extraction buffer (</w:t>
      </w:r>
      <w:proofErr w:type="spellStart"/>
      <w:r w:rsidR="009543EA" w:rsidRPr="006039C0">
        <w:rPr>
          <w:sz w:val="22"/>
          <w:szCs w:val="22"/>
        </w:rPr>
        <w:t>T</w:t>
      </w:r>
      <w:r w:rsidR="00533ED0" w:rsidRPr="006039C0">
        <w:rPr>
          <w:sz w:val="22"/>
          <w:szCs w:val="22"/>
        </w:rPr>
        <w:t>ris</w:t>
      </w:r>
      <w:proofErr w:type="spellEnd"/>
      <w:r w:rsidR="00533ED0" w:rsidRPr="006039C0">
        <w:rPr>
          <w:sz w:val="22"/>
          <w:szCs w:val="22"/>
        </w:rPr>
        <w:t xml:space="preserve"> base [1 M], sodium citrate dibasic </w:t>
      </w:r>
      <w:proofErr w:type="spellStart"/>
      <w:r w:rsidR="00533ED0" w:rsidRPr="006039C0">
        <w:rPr>
          <w:sz w:val="22"/>
          <w:szCs w:val="22"/>
        </w:rPr>
        <w:t>trihydrate</w:t>
      </w:r>
      <w:proofErr w:type="spellEnd"/>
      <w:r w:rsidR="00533ED0" w:rsidRPr="006039C0">
        <w:rPr>
          <w:sz w:val="22"/>
          <w:szCs w:val="22"/>
        </w:rPr>
        <w:t xml:space="preserve"> [50 </w:t>
      </w:r>
      <w:proofErr w:type="spellStart"/>
      <w:r w:rsidR="00533ED0" w:rsidRPr="006039C0">
        <w:rPr>
          <w:sz w:val="22"/>
          <w:szCs w:val="22"/>
        </w:rPr>
        <w:t>mM</w:t>
      </w:r>
      <w:proofErr w:type="spellEnd"/>
      <w:r w:rsidR="00533ED0" w:rsidRPr="006039C0">
        <w:rPr>
          <w:sz w:val="22"/>
          <w:szCs w:val="22"/>
        </w:rPr>
        <w:t xml:space="preserve">], guanidine </w:t>
      </w:r>
      <w:proofErr w:type="spellStart"/>
      <w:r w:rsidR="00533ED0" w:rsidRPr="006039C0">
        <w:rPr>
          <w:sz w:val="22"/>
          <w:szCs w:val="22"/>
        </w:rPr>
        <w:t>thiocyanate</w:t>
      </w:r>
      <w:proofErr w:type="spellEnd"/>
      <w:r w:rsidR="00533ED0" w:rsidRPr="006039C0">
        <w:rPr>
          <w:sz w:val="22"/>
          <w:szCs w:val="22"/>
        </w:rPr>
        <w:t xml:space="preserve"> [4 M])</w:t>
      </w:r>
      <w:r w:rsidR="00DC51A6" w:rsidRPr="006039C0">
        <w:rPr>
          <w:sz w:val="22"/>
          <w:szCs w:val="22"/>
        </w:rPr>
        <w:t xml:space="preserve"> </w:t>
      </w:r>
      <w:r w:rsidR="00533ED0" w:rsidRPr="006039C0">
        <w:rPr>
          <w:sz w:val="22"/>
          <w:szCs w:val="22"/>
        </w:rPr>
        <w:t xml:space="preserve">was added to </w:t>
      </w:r>
      <w:r w:rsidR="00DC51A6" w:rsidRPr="006039C0">
        <w:rPr>
          <w:sz w:val="22"/>
          <w:szCs w:val="22"/>
        </w:rPr>
        <w:t xml:space="preserve">the tubes containing </w:t>
      </w:r>
      <w:r w:rsidR="003B1578" w:rsidRPr="006039C0">
        <w:rPr>
          <w:sz w:val="22"/>
          <w:szCs w:val="22"/>
        </w:rPr>
        <w:t>the remaining</w:t>
      </w:r>
      <w:r w:rsidR="00B47C5A">
        <w:rPr>
          <w:sz w:val="22"/>
          <w:szCs w:val="22"/>
        </w:rPr>
        <w:t xml:space="preserve"> </w:t>
      </w:r>
      <w:proofErr w:type="spellStart"/>
      <w:r w:rsidR="00B47C5A">
        <w:rPr>
          <w:sz w:val="22"/>
          <w:szCs w:val="22"/>
        </w:rPr>
        <w:t>Trizol</w:t>
      </w:r>
      <w:proofErr w:type="spellEnd"/>
      <w:r w:rsidR="00B47C5A">
        <w:rPr>
          <w:sz w:val="22"/>
          <w:szCs w:val="22"/>
        </w:rPr>
        <w:t>-separated</w:t>
      </w:r>
      <w:r w:rsidR="00B52DBA" w:rsidRPr="006039C0">
        <w:rPr>
          <w:sz w:val="22"/>
          <w:szCs w:val="22"/>
        </w:rPr>
        <w:t xml:space="preserve"> interphase and </w:t>
      </w:r>
      <w:proofErr w:type="spellStart"/>
      <w:r w:rsidR="00B52DBA" w:rsidRPr="006039C0">
        <w:rPr>
          <w:sz w:val="22"/>
          <w:szCs w:val="22"/>
        </w:rPr>
        <w:t>infranatant</w:t>
      </w:r>
      <w:proofErr w:type="spellEnd"/>
      <w:r w:rsidR="00DC51A6" w:rsidRPr="006039C0">
        <w:rPr>
          <w:sz w:val="22"/>
          <w:szCs w:val="22"/>
        </w:rPr>
        <w:t>.</w:t>
      </w:r>
      <w:r w:rsidR="00B52DBA" w:rsidRPr="006039C0">
        <w:rPr>
          <w:sz w:val="22"/>
          <w:szCs w:val="22"/>
        </w:rPr>
        <w:t xml:space="preserve"> Tubes were shaken vigorously and centrifuged at 12,000 G at room temperature for 30 minutes. The aqueous phase was</w:t>
      </w:r>
      <w:r w:rsidR="00995E55" w:rsidRPr="006039C0">
        <w:rPr>
          <w:sz w:val="22"/>
          <w:szCs w:val="22"/>
        </w:rPr>
        <w:t xml:space="preserve"> then </w:t>
      </w:r>
      <w:r w:rsidR="00B52DBA" w:rsidRPr="006039C0">
        <w:rPr>
          <w:sz w:val="22"/>
          <w:szCs w:val="22"/>
        </w:rPr>
        <w:t xml:space="preserve">collected and </w:t>
      </w:r>
      <w:r w:rsidR="00995E55" w:rsidRPr="006039C0">
        <w:rPr>
          <w:sz w:val="22"/>
          <w:szCs w:val="22"/>
        </w:rPr>
        <w:t xml:space="preserve">the </w:t>
      </w:r>
      <w:r w:rsidR="006A47A3" w:rsidRPr="006039C0">
        <w:rPr>
          <w:sz w:val="22"/>
          <w:szCs w:val="22"/>
        </w:rPr>
        <w:t xml:space="preserve">genomic </w:t>
      </w:r>
      <w:r w:rsidR="00995E55" w:rsidRPr="006039C0">
        <w:rPr>
          <w:sz w:val="22"/>
          <w:szCs w:val="22"/>
        </w:rPr>
        <w:t xml:space="preserve">DNA </w:t>
      </w:r>
      <w:r w:rsidR="00B52DBA" w:rsidRPr="006039C0">
        <w:rPr>
          <w:sz w:val="22"/>
          <w:szCs w:val="22"/>
        </w:rPr>
        <w:t xml:space="preserve">precipitated </w:t>
      </w:r>
      <w:r w:rsidR="00995E55" w:rsidRPr="006039C0">
        <w:rPr>
          <w:sz w:val="22"/>
          <w:szCs w:val="22"/>
        </w:rPr>
        <w:t>in</w:t>
      </w:r>
      <w:r w:rsidR="002D2D87" w:rsidRPr="006039C0">
        <w:rPr>
          <w:sz w:val="22"/>
          <w:szCs w:val="22"/>
        </w:rPr>
        <w:t xml:space="preserve"> isopropanol. Samples were re-spun at 12,000 G at 4</w:t>
      </w:r>
      <w:r w:rsidR="009543EA" w:rsidRPr="006039C0">
        <w:rPr>
          <w:rFonts w:ascii="Cambria" w:hAnsi="Cambria"/>
          <w:sz w:val="22"/>
          <w:szCs w:val="22"/>
        </w:rPr>
        <w:t>°</w:t>
      </w:r>
      <w:r w:rsidR="009543EA" w:rsidRPr="006039C0">
        <w:rPr>
          <w:sz w:val="22"/>
          <w:szCs w:val="22"/>
        </w:rPr>
        <w:t xml:space="preserve">C </w:t>
      </w:r>
      <w:r w:rsidR="002D2D87" w:rsidRPr="006039C0">
        <w:rPr>
          <w:sz w:val="22"/>
          <w:szCs w:val="22"/>
        </w:rPr>
        <w:t xml:space="preserve">to pellet the DNA. The DNA pellet was </w:t>
      </w:r>
      <w:r w:rsidR="003B1578" w:rsidRPr="006039C0">
        <w:rPr>
          <w:sz w:val="22"/>
          <w:szCs w:val="22"/>
        </w:rPr>
        <w:t xml:space="preserve">then </w:t>
      </w:r>
      <w:r w:rsidR="002D2D87" w:rsidRPr="006039C0">
        <w:rPr>
          <w:sz w:val="22"/>
          <w:szCs w:val="22"/>
        </w:rPr>
        <w:t>washed in 70% ethanol, re-spun and</w:t>
      </w:r>
      <w:r w:rsidR="003B1578" w:rsidRPr="006039C0">
        <w:rPr>
          <w:sz w:val="22"/>
          <w:szCs w:val="22"/>
        </w:rPr>
        <w:t>,</w:t>
      </w:r>
      <w:r w:rsidR="002D2D87" w:rsidRPr="006039C0">
        <w:rPr>
          <w:sz w:val="22"/>
          <w:szCs w:val="22"/>
        </w:rPr>
        <w:t xml:space="preserve"> after careful ethanol removal, re-suspended in 1x </w:t>
      </w:r>
      <w:proofErr w:type="spellStart"/>
      <w:r w:rsidR="009543EA" w:rsidRPr="006039C0">
        <w:rPr>
          <w:sz w:val="22"/>
          <w:szCs w:val="22"/>
        </w:rPr>
        <w:t>T</w:t>
      </w:r>
      <w:r w:rsidR="002D2D87" w:rsidRPr="006039C0">
        <w:rPr>
          <w:sz w:val="22"/>
          <w:szCs w:val="22"/>
        </w:rPr>
        <w:t>ris</w:t>
      </w:r>
      <w:proofErr w:type="spellEnd"/>
      <w:r w:rsidR="002D2D87" w:rsidRPr="006039C0">
        <w:rPr>
          <w:sz w:val="22"/>
          <w:szCs w:val="22"/>
        </w:rPr>
        <w:t xml:space="preserve">-EDTA buffer. </w:t>
      </w:r>
      <w:proofErr w:type="gramStart"/>
      <w:r w:rsidR="006A47A3" w:rsidRPr="006039C0">
        <w:rPr>
          <w:sz w:val="22"/>
          <w:szCs w:val="22"/>
        </w:rPr>
        <w:t>cDNA</w:t>
      </w:r>
      <w:proofErr w:type="gramEnd"/>
      <w:r w:rsidR="006A47A3" w:rsidRPr="006039C0">
        <w:rPr>
          <w:sz w:val="22"/>
          <w:szCs w:val="22"/>
        </w:rPr>
        <w:t xml:space="preserve"> was generated from purified RNA using the Applied </w:t>
      </w:r>
      <w:proofErr w:type="spellStart"/>
      <w:r w:rsidR="006A47A3" w:rsidRPr="006039C0">
        <w:rPr>
          <w:sz w:val="22"/>
          <w:szCs w:val="22"/>
        </w:rPr>
        <w:t>Biosystems</w:t>
      </w:r>
      <w:proofErr w:type="spellEnd"/>
      <w:r w:rsidR="006A47A3" w:rsidRPr="006039C0">
        <w:rPr>
          <w:sz w:val="22"/>
          <w:szCs w:val="22"/>
        </w:rPr>
        <w:t xml:space="preserve"> cDNA Synthesis Kit. </w:t>
      </w:r>
      <w:r w:rsidR="00B52DBA" w:rsidRPr="006039C0">
        <w:rPr>
          <w:sz w:val="22"/>
          <w:szCs w:val="22"/>
        </w:rPr>
        <w:t xml:space="preserve">  </w:t>
      </w:r>
      <w:r w:rsidR="0007239C" w:rsidRPr="006039C0">
        <w:rPr>
          <w:sz w:val="22"/>
          <w:szCs w:val="22"/>
        </w:rPr>
        <w:t xml:space="preserve"> </w:t>
      </w:r>
    </w:p>
    <w:p w14:paraId="29899C34" w14:textId="77777777" w:rsidR="003B1578" w:rsidRPr="006039C0" w:rsidRDefault="003B1578" w:rsidP="009A3105">
      <w:pPr>
        <w:pStyle w:val="Heading2"/>
        <w:spacing w:before="0" w:line="480" w:lineRule="auto"/>
        <w:rPr>
          <w:sz w:val="22"/>
          <w:szCs w:val="22"/>
        </w:rPr>
      </w:pPr>
      <w:proofErr w:type="gramStart"/>
      <w:r w:rsidRPr="006039C0">
        <w:rPr>
          <w:sz w:val="22"/>
          <w:szCs w:val="22"/>
        </w:rPr>
        <w:t>qPCR</w:t>
      </w:r>
      <w:proofErr w:type="gramEnd"/>
      <w:r w:rsidRPr="006039C0">
        <w:rPr>
          <w:sz w:val="22"/>
          <w:szCs w:val="22"/>
        </w:rPr>
        <w:t xml:space="preserve"> Analysis of Mitochondrial DNA Copy Number </w:t>
      </w:r>
      <w:r w:rsidR="00BA6E0E" w:rsidRPr="006039C0">
        <w:rPr>
          <w:sz w:val="22"/>
          <w:szCs w:val="22"/>
        </w:rPr>
        <w:t>and mRNA Transcripts</w:t>
      </w:r>
    </w:p>
    <w:p w14:paraId="1F3A4D49" w14:textId="68180E8A" w:rsidR="00551E2D" w:rsidRPr="006039C0" w:rsidRDefault="00551E2D" w:rsidP="009A3105">
      <w:pPr>
        <w:pStyle w:val="Heading2"/>
        <w:spacing w:before="0" w:line="480" w:lineRule="auto"/>
        <w:rPr>
          <w:rFonts w:asciiTheme="minorHAnsi" w:eastAsiaTheme="minorEastAsia" w:hAnsiTheme="minorHAnsi" w:cstheme="minorBidi"/>
          <w:b w:val="0"/>
          <w:bCs w:val="0"/>
          <w:color w:val="auto"/>
          <w:sz w:val="22"/>
          <w:szCs w:val="22"/>
        </w:rPr>
      </w:pPr>
      <w:r w:rsidRPr="006039C0">
        <w:rPr>
          <w:rFonts w:asciiTheme="minorHAnsi" w:eastAsiaTheme="minorEastAsia" w:hAnsiTheme="minorHAnsi" w:cstheme="minorBidi"/>
          <w:b w:val="0"/>
          <w:bCs w:val="0"/>
          <w:color w:val="auto"/>
          <w:sz w:val="22"/>
          <w:szCs w:val="22"/>
        </w:rPr>
        <w:t xml:space="preserve">Primers designed for three mitochondrial-encoded gene regions were used to assess </w:t>
      </w:r>
      <w:r w:rsidR="00AF1A7D" w:rsidRPr="006039C0">
        <w:rPr>
          <w:rFonts w:asciiTheme="minorHAnsi" w:eastAsiaTheme="minorEastAsia" w:hAnsiTheme="minorHAnsi" w:cstheme="minorBidi"/>
          <w:b w:val="0"/>
          <w:bCs w:val="0"/>
          <w:color w:val="auto"/>
          <w:sz w:val="22"/>
          <w:szCs w:val="22"/>
        </w:rPr>
        <w:t>mitochondrial DNA (</w:t>
      </w:r>
      <w:proofErr w:type="spellStart"/>
      <w:r w:rsidRPr="006039C0">
        <w:rPr>
          <w:rFonts w:asciiTheme="minorHAnsi" w:eastAsiaTheme="minorEastAsia" w:hAnsiTheme="minorHAnsi" w:cstheme="minorBidi"/>
          <w:b w:val="0"/>
          <w:bCs w:val="0"/>
          <w:color w:val="auto"/>
          <w:sz w:val="22"/>
          <w:szCs w:val="22"/>
        </w:rPr>
        <w:t>m</w:t>
      </w:r>
      <w:r w:rsidR="00AF1A7D" w:rsidRPr="006039C0">
        <w:rPr>
          <w:rFonts w:asciiTheme="minorHAnsi" w:eastAsiaTheme="minorEastAsia" w:hAnsiTheme="minorHAnsi" w:cstheme="minorBidi"/>
          <w:b w:val="0"/>
          <w:bCs w:val="0"/>
          <w:color w:val="auto"/>
          <w:sz w:val="22"/>
          <w:szCs w:val="22"/>
        </w:rPr>
        <w:t>t</w:t>
      </w:r>
      <w:r w:rsidRPr="006039C0">
        <w:rPr>
          <w:rFonts w:asciiTheme="minorHAnsi" w:eastAsiaTheme="minorEastAsia" w:hAnsiTheme="minorHAnsi" w:cstheme="minorBidi"/>
          <w:b w:val="0"/>
          <w:bCs w:val="0"/>
          <w:color w:val="auto"/>
          <w:sz w:val="22"/>
          <w:szCs w:val="22"/>
        </w:rPr>
        <w:t>DNA</w:t>
      </w:r>
      <w:proofErr w:type="spellEnd"/>
      <w:r w:rsidR="00AF1A7D" w:rsidRPr="006039C0">
        <w:rPr>
          <w:rFonts w:asciiTheme="minorHAnsi" w:eastAsiaTheme="minorEastAsia" w:hAnsiTheme="minorHAnsi" w:cstheme="minorBidi"/>
          <w:b w:val="0"/>
          <w:bCs w:val="0"/>
          <w:color w:val="auto"/>
          <w:sz w:val="22"/>
          <w:szCs w:val="22"/>
        </w:rPr>
        <w:t>)</w:t>
      </w:r>
      <w:r w:rsidRPr="006039C0">
        <w:rPr>
          <w:rFonts w:asciiTheme="minorHAnsi" w:eastAsiaTheme="minorEastAsia" w:hAnsiTheme="minorHAnsi" w:cstheme="minorBidi"/>
          <w:b w:val="0"/>
          <w:bCs w:val="0"/>
          <w:color w:val="auto"/>
          <w:sz w:val="22"/>
          <w:szCs w:val="22"/>
        </w:rPr>
        <w:t xml:space="preserve"> copy number in genomic DNA </w:t>
      </w:r>
      <w:r w:rsidR="007B6EF9" w:rsidRPr="006039C0">
        <w:rPr>
          <w:rFonts w:asciiTheme="minorHAnsi" w:eastAsiaTheme="minorEastAsia" w:hAnsiTheme="minorHAnsi" w:cstheme="minorBidi"/>
          <w:b w:val="0"/>
          <w:bCs w:val="0"/>
          <w:color w:val="auto"/>
          <w:sz w:val="22"/>
          <w:szCs w:val="22"/>
        </w:rPr>
        <w:t>and p</w:t>
      </w:r>
      <w:r w:rsidR="00BA6E0E" w:rsidRPr="006039C0">
        <w:rPr>
          <w:rFonts w:asciiTheme="minorHAnsi" w:eastAsiaTheme="minorEastAsia" w:hAnsiTheme="minorHAnsi" w:cstheme="minorBidi"/>
          <w:b w:val="0"/>
          <w:bCs w:val="0"/>
          <w:color w:val="auto"/>
          <w:sz w:val="22"/>
          <w:szCs w:val="22"/>
        </w:rPr>
        <w:t xml:space="preserve">rimers designed for both mitochondrial- and nuclear-encoded mitochondrial genes were used to assess mRNA transcript levels in cDNA </w:t>
      </w:r>
      <w:r w:rsidR="007B6EF9" w:rsidRPr="006039C0">
        <w:rPr>
          <w:rFonts w:asciiTheme="minorHAnsi" w:eastAsiaTheme="minorEastAsia" w:hAnsiTheme="minorHAnsi" w:cstheme="minorBidi"/>
          <w:b w:val="0"/>
          <w:bCs w:val="0"/>
          <w:color w:val="auto"/>
          <w:sz w:val="22"/>
          <w:szCs w:val="22"/>
        </w:rPr>
        <w:t>extracted from the quadriceps muscle (</w:t>
      </w:r>
      <w:r w:rsidR="00543742" w:rsidRPr="006039C0">
        <w:rPr>
          <w:rFonts w:asciiTheme="minorHAnsi" w:eastAsiaTheme="minorEastAsia" w:hAnsiTheme="minorHAnsi" w:cstheme="minorBidi"/>
          <w:b w:val="0"/>
          <w:bCs w:val="0"/>
          <w:color w:val="auto"/>
          <w:sz w:val="22"/>
          <w:szCs w:val="22"/>
        </w:rPr>
        <w:t>Table 1</w:t>
      </w:r>
      <w:r w:rsidR="007B6EF9" w:rsidRPr="006039C0">
        <w:rPr>
          <w:rFonts w:asciiTheme="minorHAnsi" w:eastAsiaTheme="minorEastAsia" w:hAnsiTheme="minorHAnsi" w:cstheme="minorBidi"/>
          <w:b w:val="0"/>
          <w:bCs w:val="0"/>
          <w:color w:val="auto"/>
          <w:sz w:val="22"/>
          <w:szCs w:val="22"/>
        </w:rPr>
        <w:t>).</w:t>
      </w:r>
      <w:r w:rsidRPr="006039C0">
        <w:rPr>
          <w:rFonts w:asciiTheme="minorHAnsi" w:eastAsiaTheme="minorEastAsia" w:hAnsiTheme="minorHAnsi" w:cstheme="minorBidi"/>
          <w:b w:val="0"/>
          <w:bCs w:val="0"/>
          <w:color w:val="auto"/>
          <w:sz w:val="22"/>
          <w:szCs w:val="22"/>
        </w:rPr>
        <w:t xml:space="preserve"> Briefly, genomic DNA </w:t>
      </w:r>
      <w:r w:rsidR="007B6EF9" w:rsidRPr="006039C0">
        <w:rPr>
          <w:rFonts w:asciiTheme="minorHAnsi" w:eastAsiaTheme="minorEastAsia" w:hAnsiTheme="minorHAnsi" w:cstheme="minorBidi"/>
          <w:b w:val="0"/>
          <w:bCs w:val="0"/>
          <w:color w:val="auto"/>
          <w:sz w:val="22"/>
          <w:szCs w:val="22"/>
        </w:rPr>
        <w:t xml:space="preserve">or cDNA </w:t>
      </w:r>
      <w:r w:rsidRPr="006039C0">
        <w:rPr>
          <w:rFonts w:asciiTheme="minorHAnsi" w:eastAsiaTheme="minorEastAsia" w:hAnsiTheme="minorHAnsi" w:cstheme="minorBidi"/>
          <w:b w:val="0"/>
          <w:bCs w:val="0"/>
          <w:color w:val="auto"/>
          <w:sz w:val="22"/>
          <w:szCs w:val="22"/>
        </w:rPr>
        <w:t xml:space="preserve">from each sample extraction was added to the appropriate working qPCR master mix (containing SYBR Green and the </w:t>
      </w:r>
      <w:r w:rsidR="001215E2" w:rsidRPr="006039C0">
        <w:rPr>
          <w:rFonts w:asciiTheme="minorHAnsi" w:eastAsiaTheme="minorEastAsia" w:hAnsiTheme="minorHAnsi" w:cstheme="minorBidi"/>
          <w:b w:val="0"/>
          <w:bCs w:val="0"/>
          <w:color w:val="auto"/>
          <w:sz w:val="22"/>
          <w:szCs w:val="22"/>
        </w:rPr>
        <w:t>relevant</w:t>
      </w:r>
      <w:r w:rsidRPr="006039C0">
        <w:rPr>
          <w:rFonts w:asciiTheme="minorHAnsi" w:eastAsiaTheme="minorEastAsia" w:hAnsiTheme="minorHAnsi" w:cstheme="minorBidi"/>
          <w:b w:val="0"/>
          <w:bCs w:val="0"/>
          <w:color w:val="auto"/>
          <w:sz w:val="22"/>
          <w:szCs w:val="22"/>
        </w:rPr>
        <w:t xml:space="preserve"> primers). PCR conditions included an activation cycle of 95 ⁰C for 10 min followed by 45 amplification cycles of 15 s at 95 ⁰C, 15 s at 60 ⁰C, and 10 s at 73 ⁰C. </w:t>
      </w:r>
      <w:proofErr w:type="spellStart"/>
      <w:r w:rsidRPr="006039C0">
        <w:rPr>
          <w:rFonts w:asciiTheme="minorHAnsi" w:eastAsiaTheme="minorEastAsia" w:hAnsiTheme="minorHAnsi" w:cstheme="minorBidi"/>
          <w:b w:val="0"/>
          <w:bCs w:val="0"/>
          <w:color w:val="auto"/>
          <w:sz w:val="22"/>
          <w:szCs w:val="22"/>
        </w:rPr>
        <w:t>Cp</w:t>
      </w:r>
      <w:proofErr w:type="spellEnd"/>
      <w:r w:rsidRPr="006039C0">
        <w:rPr>
          <w:rFonts w:asciiTheme="minorHAnsi" w:eastAsiaTheme="minorEastAsia" w:hAnsiTheme="minorHAnsi" w:cstheme="minorBidi"/>
          <w:b w:val="0"/>
          <w:bCs w:val="0"/>
          <w:color w:val="auto"/>
          <w:sz w:val="22"/>
          <w:szCs w:val="22"/>
        </w:rPr>
        <w:t xml:space="preserve"> values were quantified using Light Cycler 480 software. Values were calculated using the ∆Ct method, with data </w:t>
      </w:r>
      <w:r w:rsidR="007B6EF9" w:rsidRPr="006039C0">
        <w:rPr>
          <w:rFonts w:asciiTheme="minorHAnsi" w:eastAsiaTheme="minorEastAsia" w:hAnsiTheme="minorHAnsi" w:cstheme="minorBidi"/>
          <w:b w:val="0"/>
          <w:bCs w:val="0"/>
          <w:color w:val="auto"/>
          <w:sz w:val="22"/>
          <w:szCs w:val="22"/>
        </w:rPr>
        <w:t xml:space="preserve">for </w:t>
      </w:r>
      <w:proofErr w:type="spellStart"/>
      <w:r w:rsidR="007B6EF9" w:rsidRPr="006039C0">
        <w:rPr>
          <w:rFonts w:asciiTheme="minorHAnsi" w:eastAsiaTheme="minorEastAsia" w:hAnsiTheme="minorHAnsi" w:cstheme="minorBidi"/>
          <w:b w:val="0"/>
          <w:bCs w:val="0"/>
          <w:color w:val="auto"/>
          <w:sz w:val="22"/>
          <w:szCs w:val="22"/>
        </w:rPr>
        <w:t>mtDNA</w:t>
      </w:r>
      <w:proofErr w:type="spellEnd"/>
      <w:r w:rsidR="007B6EF9" w:rsidRPr="006039C0">
        <w:rPr>
          <w:rFonts w:asciiTheme="minorHAnsi" w:eastAsiaTheme="minorEastAsia" w:hAnsiTheme="minorHAnsi" w:cstheme="minorBidi"/>
          <w:b w:val="0"/>
          <w:bCs w:val="0"/>
          <w:color w:val="auto"/>
          <w:sz w:val="22"/>
          <w:szCs w:val="22"/>
        </w:rPr>
        <w:t xml:space="preserve"> copy number </w:t>
      </w:r>
      <w:r w:rsidRPr="006039C0">
        <w:rPr>
          <w:rFonts w:asciiTheme="minorHAnsi" w:eastAsiaTheme="minorEastAsia" w:hAnsiTheme="minorHAnsi" w:cstheme="minorBidi"/>
          <w:b w:val="0"/>
          <w:bCs w:val="0"/>
          <w:color w:val="auto"/>
          <w:sz w:val="22"/>
          <w:szCs w:val="22"/>
        </w:rPr>
        <w:t xml:space="preserve">being normalized to values obtained for </w:t>
      </w:r>
      <w:r w:rsidR="007B10F3" w:rsidRPr="006039C0">
        <w:rPr>
          <w:rFonts w:asciiTheme="minorHAnsi" w:eastAsiaTheme="minorEastAsia" w:hAnsiTheme="minorHAnsi" w:cstheme="minorBidi"/>
          <w:b w:val="0"/>
          <w:bCs w:val="0"/>
          <w:color w:val="auto"/>
          <w:sz w:val="22"/>
          <w:szCs w:val="22"/>
        </w:rPr>
        <w:t xml:space="preserve">a </w:t>
      </w:r>
      <w:r w:rsidRPr="006039C0">
        <w:rPr>
          <w:rFonts w:asciiTheme="minorHAnsi" w:eastAsiaTheme="minorEastAsia" w:hAnsiTheme="minorHAnsi" w:cstheme="minorBidi"/>
          <w:b w:val="0"/>
          <w:bCs w:val="0"/>
          <w:color w:val="auto"/>
          <w:sz w:val="22"/>
          <w:szCs w:val="22"/>
        </w:rPr>
        <w:t xml:space="preserve">nuclear-encoded </w:t>
      </w:r>
      <w:r w:rsidR="007B10F3" w:rsidRPr="006039C0">
        <w:rPr>
          <w:rFonts w:asciiTheme="minorHAnsi" w:eastAsiaTheme="minorEastAsia" w:hAnsiTheme="minorHAnsi" w:cstheme="minorBidi"/>
          <w:b w:val="0"/>
          <w:bCs w:val="0"/>
          <w:color w:val="auto"/>
          <w:sz w:val="22"/>
          <w:szCs w:val="22"/>
        </w:rPr>
        <w:t>genomic locus (</w:t>
      </w:r>
      <w:r w:rsidRPr="006039C0">
        <w:rPr>
          <w:rFonts w:asciiTheme="minorHAnsi" w:eastAsiaTheme="minorEastAsia" w:hAnsiTheme="minorHAnsi" w:cstheme="minorBidi"/>
          <w:b w:val="0"/>
          <w:bCs w:val="0"/>
          <w:i/>
          <w:color w:val="auto"/>
          <w:sz w:val="22"/>
          <w:szCs w:val="22"/>
        </w:rPr>
        <w:t>Tsc2</w:t>
      </w:r>
      <w:r w:rsidR="007B10F3" w:rsidRPr="006039C0">
        <w:rPr>
          <w:rFonts w:asciiTheme="minorHAnsi" w:eastAsiaTheme="minorEastAsia" w:hAnsiTheme="minorHAnsi" w:cstheme="minorBidi"/>
          <w:b w:val="0"/>
          <w:bCs w:val="0"/>
          <w:color w:val="auto"/>
          <w:sz w:val="22"/>
          <w:szCs w:val="22"/>
        </w:rPr>
        <w:t>)</w:t>
      </w:r>
      <w:r w:rsidR="007B6EF9" w:rsidRPr="006039C0">
        <w:rPr>
          <w:rFonts w:asciiTheme="minorHAnsi" w:eastAsiaTheme="minorEastAsia" w:hAnsiTheme="minorHAnsi" w:cstheme="minorBidi"/>
          <w:b w:val="0"/>
          <w:bCs w:val="0"/>
          <w:color w:val="auto"/>
          <w:sz w:val="22"/>
          <w:szCs w:val="22"/>
        </w:rPr>
        <w:t xml:space="preserve"> and mRNA levels being normalized to </w:t>
      </w:r>
      <w:r w:rsidR="007B6EF9" w:rsidRPr="006039C0">
        <w:rPr>
          <w:rFonts w:asciiTheme="minorHAnsi" w:eastAsiaTheme="minorEastAsia" w:hAnsiTheme="minorHAnsi" w:cstheme="minorBidi"/>
          <w:b w:val="0"/>
          <w:bCs w:val="0"/>
          <w:i/>
          <w:color w:val="auto"/>
          <w:sz w:val="22"/>
          <w:szCs w:val="22"/>
        </w:rPr>
        <w:t>Rpl13a</w:t>
      </w:r>
      <w:r w:rsidRPr="006039C0">
        <w:rPr>
          <w:rFonts w:asciiTheme="minorHAnsi" w:eastAsiaTheme="minorEastAsia" w:hAnsiTheme="minorHAnsi" w:cstheme="minorBidi"/>
          <w:b w:val="0"/>
          <w:bCs w:val="0"/>
          <w:color w:val="auto"/>
          <w:sz w:val="22"/>
          <w:szCs w:val="22"/>
        </w:rPr>
        <w:t xml:space="preserve">. </w:t>
      </w:r>
    </w:p>
    <w:p w14:paraId="37CD7DED" w14:textId="77777777" w:rsidR="007E4915" w:rsidRPr="006039C0" w:rsidRDefault="007E4915" w:rsidP="00C07A3D">
      <w:pPr>
        <w:pStyle w:val="Heading2"/>
        <w:spacing w:before="0" w:line="480" w:lineRule="auto"/>
        <w:rPr>
          <w:sz w:val="22"/>
          <w:szCs w:val="22"/>
        </w:rPr>
      </w:pPr>
      <w:r w:rsidRPr="006039C0">
        <w:rPr>
          <w:sz w:val="22"/>
          <w:szCs w:val="22"/>
        </w:rPr>
        <w:t>Preparation of protein lysates and western blotting</w:t>
      </w:r>
    </w:p>
    <w:p w14:paraId="6164C18A" w14:textId="18D3E18B" w:rsidR="007E4915" w:rsidRPr="006039C0" w:rsidRDefault="001E1AE7" w:rsidP="00896FD8">
      <w:pPr>
        <w:spacing w:line="480" w:lineRule="auto"/>
        <w:rPr>
          <w:sz w:val="22"/>
          <w:szCs w:val="22"/>
        </w:rPr>
      </w:pPr>
      <w:r w:rsidRPr="006039C0">
        <w:rPr>
          <w:sz w:val="22"/>
          <w:szCs w:val="22"/>
        </w:rPr>
        <w:t>Skeletal muscle homogenates</w:t>
      </w:r>
      <w:r w:rsidR="007E4915" w:rsidRPr="006039C0">
        <w:rPr>
          <w:sz w:val="22"/>
          <w:szCs w:val="22"/>
        </w:rPr>
        <w:t xml:space="preserve"> were</w:t>
      </w:r>
      <w:r w:rsidRPr="006039C0">
        <w:rPr>
          <w:sz w:val="22"/>
          <w:szCs w:val="22"/>
        </w:rPr>
        <w:t xml:space="preserve"> prepared from ~30-50 mg of frozen quadriceps in RIPA buffer using stainless steel beads and a </w:t>
      </w:r>
      <w:proofErr w:type="spellStart"/>
      <w:r w:rsidRPr="006039C0">
        <w:rPr>
          <w:sz w:val="22"/>
          <w:szCs w:val="22"/>
        </w:rPr>
        <w:t>Qiagen</w:t>
      </w:r>
      <w:proofErr w:type="spellEnd"/>
      <w:r w:rsidRPr="006039C0">
        <w:rPr>
          <w:sz w:val="22"/>
          <w:szCs w:val="22"/>
        </w:rPr>
        <w:t xml:space="preserve"> tissue </w:t>
      </w:r>
      <w:proofErr w:type="spellStart"/>
      <w:r w:rsidRPr="006039C0">
        <w:rPr>
          <w:sz w:val="22"/>
          <w:szCs w:val="22"/>
        </w:rPr>
        <w:t>lyser</w:t>
      </w:r>
      <w:proofErr w:type="spellEnd"/>
      <w:r w:rsidRPr="006039C0">
        <w:rPr>
          <w:sz w:val="22"/>
          <w:szCs w:val="22"/>
        </w:rPr>
        <w:t xml:space="preserve">. Homogenates were centrifuged at 4⁰C for 10 min at 14,000G, after which the protein concentration of supernatants was determined by Bradford assay. Lysates of equal </w:t>
      </w:r>
      <w:r w:rsidRPr="006039C0">
        <w:rPr>
          <w:sz w:val="22"/>
          <w:szCs w:val="22"/>
        </w:rPr>
        <w:lastRenderedPageBreak/>
        <w:t xml:space="preserve">protein concentration were prepared in 2x </w:t>
      </w:r>
      <w:proofErr w:type="spellStart"/>
      <w:r w:rsidRPr="006039C0">
        <w:rPr>
          <w:sz w:val="22"/>
          <w:szCs w:val="22"/>
        </w:rPr>
        <w:t>Laem</w:t>
      </w:r>
      <w:r w:rsidR="00FF7480" w:rsidRPr="006039C0">
        <w:rPr>
          <w:sz w:val="22"/>
          <w:szCs w:val="22"/>
        </w:rPr>
        <w:t>m</w:t>
      </w:r>
      <w:r w:rsidRPr="006039C0">
        <w:rPr>
          <w:sz w:val="22"/>
          <w:szCs w:val="22"/>
        </w:rPr>
        <w:t>li</w:t>
      </w:r>
      <w:proofErr w:type="spellEnd"/>
      <w:r w:rsidRPr="006039C0">
        <w:rPr>
          <w:sz w:val="22"/>
          <w:szCs w:val="22"/>
        </w:rPr>
        <w:t xml:space="preserve"> buffer containing 2-mercaptoethanol</w:t>
      </w:r>
      <w:r w:rsidR="005B27BD" w:rsidRPr="006039C0">
        <w:rPr>
          <w:sz w:val="22"/>
          <w:szCs w:val="22"/>
        </w:rPr>
        <w:t xml:space="preserve"> and heated at 37⁰C for 5 min</w:t>
      </w:r>
      <w:r w:rsidRPr="006039C0">
        <w:rPr>
          <w:sz w:val="22"/>
          <w:szCs w:val="22"/>
        </w:rPr>
        <w:t xml:space="preserve">. </w:t>
      </w:r>
      <w:r w:rsidR="00BB4A3B" w:rsidRPr="006039C0">
        <w:rPr>
          <w:sz w:val="22"/>
          <w:szCs w:val="22"/>
        </w:rPr>
        <w:t>P</w:t>
      </w:r>
      <w:r w:rsidRPr="006039C0">
        <w:rPr>
          <w:sz w:val="22"/>
          <w:szCs w:val="22"/>
        </w:rPr>
        <w:t xml:space="preserve">roteins were separated by SDS-PAGE and transferred to nitrocellulose membranes for western blotting. </w:t>
      </w:r>
      <w:r w:rsidR="00E64112" w:rsidRPr="006039C0">
        <w:rPr>
          <w:sz w:val="22"/>
          <w:szCs w:val="22"/>
        </w:rPr>
        <w:t xml:space="preserve">After </w:t>
      </w:r>
      <w:proofErr w:type="spellStart"/>
      <w:r w:rsidR="00E64112" w:rsidRPr="006039C0">
        <w:rPr>
          <w:sz w:val="22"/>
          <w:szCs w:val="22"/>
        </w:rPr>
        <w:t>ponceau</w:t>
      </w:r>
      <w:proofErr w:type="spellEnd"/>
      <w:r w:rsidR="00E64112" w:rsidRPr="006039C0">
        <w:rPr>
          <w:sz w:val="22"/>
          <w:szCs w:val="22"/>
        </w:rPr>
        <w:t xml:space="preserve"> staining to ensure equal protein loading, m</w:t>
      </w:r>
      <w:r w:rsidR="00CA7E4B" w:rsidRPr="006039C0">
        <w:rPr>
          <w:sz w:val="22"/>
          <w:szCs w:val="22"/>
        </w:rPr>
        <w:t>embranes w</w:t>
      </w:r>
      <w:r w:rsidR="00025F28" w:rsidRPr="006039C0">
        <w:rPr>
          <w:sz w:val="22"/>
          <w:szCs w:val="22"/>
        </w:rPr>
        <w:t xml:space="preserve">ere blocked in BSA for 1 </w:t>
      </w:r>
      <w:proofErr w:type="spellStart"/>
      <w:r w:rsidR="00025F28" w:rsidRPr="006039C0">
        <w:rPr>
          <w:sz w:val="22"/>
          <w:szCs w:val="22"/>
        </w:rPr>
        <w:t>hr</w:t>
      </w:r>
      <w:proofErr w:type="spellEnd"/>
      <w:r w:rsidR="00025F28" w:rsidRPr="006039C0">
        <w:rPr>
          <w:sz w:val="22"/>
          <w:szCs w:val="22"/>
        </w:rPr>
        <w:t xml:space="preserve"> and incubated overnight in total OXPHOS rodent WB antibody cocktail (</w:t>
      </w:r>
      <w:proofErr w:type="spellStart"/>
      <w:r w:rsidR="00025F28" w:rsidRPr="006039C0">
        <w:rPr>
          <w:sz w:val="22"/>
          <w:szCs w:val="22"/>
        </w:rPr>
        <w:t>Abcam</w:t>
      </w:r>
      <w:proofErr w:type="spellEnd"/>
      <w:r w:rsidR="00025F28" w:rsidRPr="006039C0">
        <w:rPr>
          <w:sz w:val="22"/>
          <w:szCs w:val="22"/>
        </w:rPr>
        <w:t>)</w:t>
      </w:r>
      <w:r w:rsidR="0089602A" w:rsidRPr="006039C0">
        <w:rPr>
          <w:sz w:val="22"/>
          <w:szCs w:val="22"/>
        </w:rPr>
        <w:t xml:space="preserve"> at 4⁰C</w:t>
      </w:r>
      <w:r w:rsidR="00025F28" w:rsidRPr="006039C0">
        <w:rPr>
          <w:sz w:val="22"/>
          <w:szCs w:val="22"/>
        </w:rPr>
        <w:t xml:space="preserve">. </w:t>
      </w:r>
      <w:r w:rsidR="002D6EE3" w:rsidRPr="006039C0">
        <w:rPr>
          <w:sz w:val="22"/>
          <w:szCs w:val="22"/>
        </w:rPr>
        <w:t>Blots were</w:t>
      </w:r>
      <w:r w:rsidR="0089602A" w:rsidRPr="006039C0">
        <w:rPr>
          <w:sz w:val="22"/>
          <w:szCs w:val="22"/>
        </w:rPr>
        <w:t xml:space="preserve"> </w:t>
      </w:r>
      <w:r w:rsidR="00445104" w:rsidRPr="006039C0">
        <w:rPr>
          <w:sz w:val="22"/>
          <w:szCs w:val="22"/>
        </w:rPr>
        <w:t>visualized</w:t>
      </w:r>
      <w:r w:rsidR="0089602A" w:rsidRPr="006039C0">
        <w:rPr>
          <w:sz w:val="22"/>
          <w:szCs w:val="22"/>
        </w:rPr>
        <w:t xml:space="preserve"> after </w:t>
      </w:r>
      <w:r w:rsidR="00E64112" w:rsidRPr="006039C0">
        <w:rPr>
          <w:sz w:val="22"/>
          <w:szCs w:val="22"/>
        </w:rPr>
        <w:t xml:space="preserve">a </w:t>
      </w:r>
      <w:r w:rsidR="0089602A" w:rsidRPr="006039C0">
        <w:rPr>
          <w:sz w:val="22"/>
          <w:szCs w:val="22"/>
        </w:rPr>
        <w:t xml:space="preserve">1 </w:t>
      </w:r>
      <w:proofErr w:type="spellStart"/>
      <w:r w:rsidR="0089602A" w:rsidRPr="006039C0">
        <w:rPr>
          <w:sz w:val="22"/>
          <w:szCs w:val="22"/>
        </w:rPr>
        <w:t>hr</w:t>
      </w:r>
      <w:proofErr w:type="spellEnd"/>
      <w:r w:rsidR="0089602A" w:rsidRPr="006039C0">
        <w:rPr>
          <w:sz w:val="22"/>
          <w:szCs w:val="22"/>
        </w:rPr>
        <w:t xml:space="preserve"> incubation with infrared</w:t>
      </w:r>
      <w:r w:rsidR="002D6EE3" w:rsidRPr="006039C0">
        <w:rPr>
          <w:sz w:val="22"/>
          <w:szCs w:val="22"/>
        </w:rPr>
        <w:t xml:space="preserve"> anti-mouse</w:t>
      </w:r>
      <w:r w:rsidR="0089602A" w:rsidRPr="006039C0">
        <w:rPr>
          <w:sz w:val="22"/>
          <w:szCs w:val="22"/>
        </w:rPr>
        <w:t xml:space="preserve"> secondary antibody</w:t>
      </w:r>
      <w:r w:rsidR="002D6EE3" w:rsidRPr="006039C0">
        <w:rPr>
          <w:sz w:val="22"/>
          <w:szCs w:val="22"/>
        </w:rPr>
        <w:t>, using a L</w:t>
      </w:r>
      <w:r w:rsidR="00E64112" w:rsidRPr="006039C0">
        <w:rPr>
          <w:sz w:val="22"/>
          <w:szCs w:val="22"/>
        </w:rPr>
        <w:t>I-</w:t>
      </w:r>
      <w:r w:rsidR="002D6EE3" w:rsidRPr="006039C0">
        <w:rPr>
          <w:sz w:val="22"/>
          <w:szCs w:val="22"/>
        </w:rPr>
        <w:t xml:space="preserve">COR </w:t>
      </w:r>
      <w:r w:rsidR="00445104" w:rsidRPr="006039C0">
        <w:rPr>
          <w:sz w:val="22"/>
          <w:szCs w:val="22"/>
        </w:rPr>
        <w:t xml:space="preserve">Odyssey </w:t>
      </w:r>
      <w:r w:rsidR="002D6EE3" w:rsidRPr="006039C0">
        <w:rPr>
          <w:sz w:val="22"/>
          <w:szCs w:val="22"/>
        </w:rPr>
        <w:t>fluorescent</w:t>
      </w:r>
      <w:r w:rsidR="00445104" w:rsidRPr="006039C0">
        <w:rPr>
          <w:sz w:val="22"/>
          <w:szCs w:val="22"/>
        </w:rPr>
        <w:t xml:space="preserve"> </w:t>
      </w:r>
      <w:r w:rsidR="002D6EE3" w:rsidRPr="006039C0">
        <w:rPr>
          <w:sz w:val="22"/>
          <w:szCs w:val="22"/>
        </w:rPr>
        <w:t>western blotting system.</w:t>
      </w:r>
      <w:r w:rsidR="00E64112" w:rsidRPr="006039C0">
        <w:rPr>
          <w:sz w:val="22"/>
          <w:szCs w:val="22"/>
        </w:rPr>
        <w:t xml:space="preserve"> Protein expression was quantified using densi</w:t>
      </w:r>
      <w:r w:rsidR="00161BD9" w:rsidRPr="006039C0">
        <w:rPr>
          <w:sz w:val="22"/>
          <w:szCs w:val="22"/>
        </w:rPr>
        <w:t>t</w:t>
      </w:r>
      <w:r w:rsidR="00E64112" w:rsidRPr="006039C0">
        <w:rPr>
          <w:sz w:val="22"/>
          <w:szCs w:val="22"/>
        </w:rPr>
        <w:t>ometry (Image Studio Lite, LI-COR).</w:t>
      </w:r>
    </w:p>
    <w:p w14:paraId="4E16272F" w14:textId="77777777" w:rsidR="009B2449" w:rsidRPr="006039C0" w:rsidRDefault="009B2449" w:rsidP="00C07A3D">
      <w:pPr>
        <w:pStyle w:val="Heading2"/>
        <w:spacing w:before="0" w:line="480" w:lineRule="auto"/>
        <w:rPr>
          <w:sz w:val="22"/>
          <w:szCs w:val="22"/>
        </w:rPr>
      </w:pPr>
      <w:r w:rsidRPr="006039C0">
        <w:rPr>
          <w:sz w:val="22"/>
          <w:szCs w:val="22"/>
        </w:rPr>
        <w:t>Citrate synthase activity</w:t>
      </w:r>
    </w:p>
    <w:p w14:paraId="42EA0FC3" w14:textId="2690DF1D" w:rsidR="009B2449" w:rsidRPr="006039C0" w:rsidRDefault="009B2449" w:rsidP="00896FD8">
      <w:pPr>
        <w:spacing w:line="480" w:lineRule="auto"/>
        <w:rPr>
          <w:sz w:val="22"/>
          <w:szCs w:val="22"/>
        </w:rPr>
      </w:pPr>
      <w:r w:rsidRPr="006039C0">
        <w:rPr>
          <w:sz w:val="22"/>
          <w:szCs w:val="22"/>
        </w:rPr>
        <w:t xml:space="preserve">Muscle homogenates were prepared in </w:t>
      </w:r>
      <w:proofErr w:type="spellStart"/>
      <w:r w:rsidRPr="006039C0">
        <w:rPr>
          <w:sz w:val="22"/>
          <w:szCs w:val="22"/>
        </w:rPr>
        <w:t>KCl</w:t>
      </w:r>
      <w:proofErr w:type="spellEnd"/>
      <w:r w:rsidRPr="006039C0">
        <w:rPr>
          <w:sz w:val="22"/>
          <w:szCs w:val="22"/>
        </w:rPr>
        <w:t xml:space="preserve">-EDTA buffer (pH 7.4) from ~10-40 mg of frozen quadriceps. Following 3 freeze-thaw cycles, samples were centrifuged at 4⁰C for 10 min at 1000 G to settle cellular debris. Supernatants were analyzed for citrate synthase activity using a modified method </w:t>
      </w:r>
      <w:r w:rsidR="0053409B" w:rsidRPr="006039C0">
        <w:rPr>
          <w:sz w:val="22"/>
          <w:szCs w:val="22"/>
        </w:rPr>
        <w:t xml:space="preserve">described in </w:t>
      </w:r>
      <w:r w:rsidR="007B10F3" w:rsidRPr="006039C0">
        <w:rPr>
          <w:sz w:val="22"/>
          <w:szCs w:val="22"/>
        </w:rPr>
        <w:fldChar w:fldCharType="begin" w:fldLock="1"/>
      </w:r>
      <w:r w:rsidR="00470311" w:rsidRPr="006039C0">
        <w:rPr>
          <w:sz w:val="22"/>
          <w:szCs w:val="22"/>
        </w:rPr>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"[23]", "plainTextFormattedCitation" : "[23]", "previouslyFormattedCitation" : "[22]" }, "properties" : { "noteIndex" : 0 }, "schema" : "https://github.com/citation-style-language/schema/raw/master/csl-citation.json" }</w:instrText>
      </w:r>
      <w:r w:rsidR="007B10F3" w:rsidRPr="006039C0">
        <w:rPr>
          <w:sz w:val="22"/>
          <w:szCs w:val="22"/>
        </w:rPr>
        <w:fldChar w:fldCharType="separate"/>
      </w:r>
      <w:r w:rsidR="00470311" w:rsidRPr="006039C0">
        <w:rPr>
          <w:noProof/>
          <w:sz w:val="22"/>
          <w:szCs w:val="22"/>
        </w:rPr>
        <w:t>[23]</w:t>
      </w:r>
      <w:r w:rsidR="007B10F3" w:rsidRPr="006039C0">
        <w:rPr>
          <w:sz w:val="22"/>
          <w:szCs w:val="22"/>
        </w:rPr>
        <w:fldChar w:fldCharType="end"/>
      </w:r>
      <w:r w:rsidR="007B10F3" w:rsidRPr="006039C0">
        <w:rPr>
          <w:sz w:val="22"/>
          <w:szCs w:val="22"/>
        </w:rPr>
        <w:t xml:space="preserve">.  </w:t>
      </w:r>
      <w:r w:rsidR="009C5457" w:rsidRPr="006039C0">
        <w:rPr>
          <w:sz w:val="22"/>
          <w:szCs w:val="22"/>
        </w:rPr>
        <w:t xml:space="preserve">Briefly, </w:t>
      </w:r>
      <w:r w:rsidR="00DA1B2B" w:rsidRPr="006039C0">
        <w:rPr>
          <w:sz w:val="22"/>
          <w:szCs w:val="22"/>
        </w:rPr>
        <w:t xml:space="preserve">aliquots of supernatant were added to the appropriate wells of a 96 well microplate containing an assay solution comprised of 72.5 </w:t>
      </w:r>
      <w:proofErr w:type="spellStart"/>
      <w:r w:rsidR="00DA1B2B" w:rsidRPr="006039C0">
        <w:rPr>
          <w:sz w:val="22"/>
          <w:szCs w:val="22"/>
        </w:rPr>
        <w:t>mM</w:t>
      </w:r>
      <w:proofErr w:type="spellEnd"/>
      <w:r w:rsidR="00DA1B2B" w:rsidRPr="006039C0">
        <w:rPr>
          <w:sz w:val="22"/>
          <w:szCs w:val="22"/>
        </w:rPr>
        <w:t xml:space="preserve"> </w:t>
      </w:r>
      <w:proofErr w:type="spellStart"/>
      <w:r w:rsidR="00DA1B2B" w:rsidRPr="006039C0">
        <w:rPr>
          <w:sz w:val="22"/>
          <w:szCs w:val="22"/>
        </w:rPr>
        <w:t>Tris</w:t>
      </w:r>
      <w:proofErr w:type="spellEnd"/>
      <w:r w:rsidR="00DA1B2B" w:rsidRPr="006039C0">
        <w:rPr>
          <w:sz w:val="22"/>
          <w:szCs w:val="22"/>
        </w:rPr>
        <w:t xml:space="preserve">, 0.45 </w:t>
      </w:r>
      <w:proofErr w:type="spellStart"/>
      <w:r w:rsidR="00DA1B2B" w:rsidRPr="006039C0">
        <w:rPr>
          <w:sz w:val="22"/>
          <w:szCs w:val="22"/>
        </w:rPr>
        <w:t>mM</w:t>
      </w:r>
      <w:proofErr w:type="spellEnd"/>
      <w:r w:rsidR="00DA1B2B" w:rsidRPr="006039C0">
        <w:rPr>
          <w:sz w:val="22"/>
          <w:szCs w:val="22"/>
        </w:rPr>
        <w:t xml:space="preserve"> acetyl CoA and 0.1 </w:t>
      </w:r>
      <w:proofErr w:type="spellStart"/>
      <w:r w:rsidR="00DA1B2B" w:rsidRPr="006039C0">
        <w:rPr>
          <w:sz w:val="22"/>
          <w:szCs w:val="22"/>
        </w:rPr>
        <w:t>mM</w:t>
      </w:r>
      <w:proofErr w:type="spellEnd"/>
      <w:r w:rsidR="00DA1B2B" w:rsidRPr="006039C0">
        <w:rPr>
          <w:sz w:val="22"/>
          <w:szCs w:val="22"/>
        </w:rPr>
        <w:t xml:space="preserve"> </w:t>
      </w:r>
      <w:r w:rsidR="00987462" w:rsidRPr="006039C0">
        <w:rPr>
          <w:sz w:val="22"/>
          <w:szCs w:val="22"/>
        </w:rPr>
        <w:t>5,5’-dithiobis-2-nitrobenzoate (</w:t>
      </w:r>
      <w:r w:rsidR="00DA1B2B" w:rsidRPr="006039C0">
        <w:rPr>
          <w:sz w:val="22"/>
          <w:szCs w:val="22"/>
        </w:rPr>
        <w:t>DTNB</w:t>
      </w:r>
      <w:r w:rsidR="00987462" w:rsidRPr="006039C0">
        <w:rPr>
          <w:sz w:val="22"/>
          <w:szCs w:val="22"/>
        </w:rPr>
        <w:t>)</w:t>
      </w:r>
      <w:r w:rsidR="00DA1B2B" w:rsidRPr="006039C0">
        <w:rPr>
          <w:sz w:val="22"/>
          <w:szCs w:val="22"/>
        </w:rPr>
        <w:t xml:space="preserve"> (pH 8.3). After monitoring the plate for </w:t>
      </w:r>
      <w:r w:rsidR="00355C40" w:rsidRPr="006039C0">
        <w:rPr>
          <w:sz w:val="22"/>
          <w:szCs w:val="22"/>
        </w:rPr>
        <w:t xml:space="preserve">possible </w:t>
      </w:r>
      <w:r w:rsidR="00DA1B2B" w:rsidRPr="006039C0">
        <w:rPr>
          <w:sz w:val="22"/>
          <w:szCs w:val="22"/>
        </w:rPr>
        <w:t xml:space="preserve">background activity, activity reactions were initiated by the addition of 0.5 </w:t>
      </w:r>
      <w:proofErr w:type="spellStart"/>
      <w:r w:rsidR="00DA1B2B" w:rsidRPr="006039C0">
        <w:rPr>
          <w:sz w:val="22"/>
          <w:szCs w:val="22"/>
        </w:rPr>
        <w:t>mM</w:t>
      </w:r>
      <w:proofErr w:type="spellEnd"/>
      <w:r w:rsidR="00DA1B2B" w:rsidRPr="006039C0">
        <w:rPr>
          <w:sz w:val="22"/>
          <w:szCs w:val="22"/>
        </w:rPr>
        <w:t xml:space="preserve"> </w:t>
      </w:r>
      <w:proofErr w:type="spellStart"/>
      <w:r w:rsidR="00DA1B2B" w:rsidRPr="006039C0">
        <w:rPr>
          <w:sz w:val="22"/>
          <w:szCs w:val="22"/>
        </w:rPr>
        <w:t>oxaloacetic</w:t>
      </w:r>
      <w:proofErr w:type="spellEnd"/>
      <w:r w:rsidR="00DA1B2B" w:rsidRPr="006039C0">
        <w:rPr>
          <w:sz w:val="22"/>
          <w:szCs w:val="22"/>
        </w:rPr>
        <w:t xml:space="preserve"> acid</w:t>
      </w:r>
      <w:r w:rsidR="00987462" w:rsidRPr="006039C0">
        <w:rPr>
          <w:sz w:val="22"/>
          <w:szCs w:val="22"/>
        </w:rPr>
        <w:t xml:space="preserve"> to each well</w:t>
      </w:r>
      <w:r w:rsidR="00355C40" w:rsidRPr="006039C0">
        <w:rPr>
          <w:sz w:val="22"/>
          <w:szCs w:val="22"/>
        </w:rPr>
        <w:t xml:space="preserve">. </w:t>
      </w:r>
      <w:r w:rsidR="001B0DE3" w:rsidRPr="006039C0">
        <w:rPr>
          <w:sz w:val="22"/>
          <w:szCs w:val="22"/>
        </w:rPr>
        <w:t>C</w:t>
      </w:r>
      <w:r w:rsidR="00F66BF3" w:rsidRPr="006039C0">
        <w:rPr>
          <w:sz w:val="22"/>
          <w:szCs w:val="22"/>
        </w:rPr>
        <w:t>hange</w:t>
      </w:r>
      <w:r w:rsidR="001B0DE3" w:rsidRPr="006039C0">
        <w:rPr>
          <w:sz w:val="22"/>
          <w:szCs w:val="22"/>
        </w:rPr>
        <w:t>s</w:t>
      </w:r>
      <w:r w:rsidR="00F66BF3" w:rsidRPr="006039C0">
        <w:rPr>
          <w:sz w:val="22"/>
          <w:szCs w:val="22"/>
        </w:rPr>
        <w:t xml:space="preserve"> in a</w:t>
      </w:r>
      <w:r w:rsidR="001B0DE3" w:rsidRPr="006039C0">
        <w:rPr>
          <w:sz w:val="22"/>
          <w:szCs w:val="22"/>
        </w:rPr>
        <w:t xml:space="preserve">bsorbance </w:t>
      </w:r>
      <w:r w:rsidR="00F66BF3" w:rsidRPr="006039C0">
        <w:rPr>
          <w:sz w:val="22"/>
          <w:szCs w:val="22"/>
        </w:rPr>
        <w:t>at 405 nm w</w:t>
      </w:r>
      <w:r w:rsidR="001B0DE3" w:rsidRPr="006039C0">
        <w:rPr>
          <w:sz w:val="22"/>
          <w:szCs w:val="22"/>
        </w:rPr>
        <w:t>ere</w:t>
      </w:r>
      <w:r w:rsidR="00F66BF3" w:rsidRPr="006039C0">
        <w:rPr>
          <w:sz w:val="22"/>
          <w:szCs w:val="22"/>
        </w:rPr>
        <w:t xml:space="preserve"> recorded </w:t>
      </w:r>
      <w:r w:rsidR="002B0297" w:rsidRPr="006039C0">
        <w:rPr>
          <w:sz w:val="22"/>
          <w:szCs w:val="22"/>
        </w:rPr>
        <w:t xml:space="preserve">for each well </w:t>
      </w:r>
      <w:r w:rsidR="00F66BF3" w:rsidRPr="006039C0">
        <w:rPr>
          <w:sz w:val="22"/>
          <w:szCs w:val="22"/>
        </w:rPr>
        <w:t>every 9-11 sec</w:t>
      </w:r>
      <w:r w:rsidR="00DA1B2B" w:rsidRPr="006039C0">
        <w:rPr>
          <w:sz w:val="22"/>
          <w:szCs w:val="22"/>
        </w:rPr>
        <w:t xml:space="preserve"> </w:t>
      </w:r>
      <w:r w:rsidR="00F66BF3" w:rsidRPr="006039C0">
        <w:rPr>
          <w:sz w:val="22"/>
          <w:szCs w:val="22"/>
        </w:rPr>
        <w:t xml:space="preserve">over 3 min at room temp. </w:t>
      </w:r>
      <w:r w:rsidR="00987462" w:rsidRPr="006039C0">
        <w:rPr>
          <w:sz w:val="22"/>
          <w:szCs w:val="22"/>
        </w:rPr>
        <w:t>Citrate synthase activity was calculated using the extinction coefficient for DTNB (which is reduced by the CoA-SH released during the cleavage of acetyl-CoA by citrate synthase)</w:t>
      </w:r>
      <w:r w:rsidR="00044C02" w:rsidRPr="006039C0">
        <w:rPr>
          <w:sz w:val="22"/>
          <w:szCs w:val="22"/>
        </w:rPr>
        <w:t>.</w:t>
      </w:r>
    </w:p>
    <w:p w14:paraId="4263F9D2" w14:textId="77777777" w:rsidR="00576C73" w:rsidRPr="006039C0" w:rsidRDefault="00576C73" w:rsidP="004A79CA">
      <w:pPr>
        <w:pStyle w:val="Heading2"/>
        <w:spacing w:before="0" w:line="480" w:lineRule="auto"/>
        <w:rPr>
          <w:sz w:val="22"/>
          <w:szCs w:val="22"/>
        </w:rPr>
      </w:pPr>
      <w:r w:rsidRPr="006039C0">
        <w:rPr>
          <w:sz w:val="22"/>
          <w:szCs w:val="22"/>
        </w:rPr>
        <w:t>Statistics</w:t>
      </w:r>
    </w:p>
    <w:p w14:paraId="1073BAC5" w14:textId="67E831AE" w:rsidR="00576C73" w:rsidRPr="006039C0" w:rsidRDefault="00501427" w:rsidP="00896FD8">
      <w:pPr>
        <w:spacing w:line="480" w:lineRule="auto"/>
        <w:rPr>
          <w:sz w:val="22"/>
          <w:szCs w:val="22"/>
        </w:rPr>
      </w:pPr>
      <w:r w:rsidRPr="006039C0">
        <w:rPr>
          <w:sz w:val="22"/>
          <w:szCs w:val="22"/>
        </w:rPr>
        <w:t xml:space="preserve">Statistics and calculations were performed using Microsoft Excel and R version 3.1.1 </w:t>
      </w:r>
      <w:r w:rsidRPr="006039C0">
        <w:rPr>
          <w:sz w:val="22"/>
          <w:szCs w:val="22"/>
        </w:rPr>
        <w:fldChar w:fldCharType="begin" w:fldLock="1"/>
      </w:r>
      <w:r w:rsidR="00470311" w:rsidRPr="006039C0">
        <w:rPr>
          <w:sz w:val="22"/>
          <w:szCs w:val="22"/>
        </w:rP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"[24]", "plainTextFormattedCitation" : "[24]", "previouslyFormattedCitation" : "[23]" }, "properties" : { "noteIndex" : 0 }, "schema" : "https://github.com/citation-style-language/schema/raw/master/csl-citation.json" }</w:instrText>
      </w:r>
      <w:r w:rsidRPr="006039C0">
        <w:rPr>
          <w:sz w:val="22"/>
          <w:szCs w:val="22"/>
        </w:rPr>
        <w:fldChar w:fldCharType="separate"/>
      </w:r>
      <w:r w:rsidR="00470311" w:rsidRPr="006039C0">
        <w:rPr>
          <w:noProof/>
          <w:sz w:val="22"/>
          <w:szCs w:val="22"/>
        </w:rPr>
        <w:t>[24]</w:t>
      </w:r>
      <w:r w:rsidRPr="006039C0">
        <w:rPr>
          <w:sz w:val="22"/>
          <w:szCs w:val="22"/>
        </w:rPr>
        <w:fldChar w:fldCharType="end"/>
      </w:r>
      <w:r w:rsidRPr="006039C0">
        <w:rPr>
          <w:sz w:val="22"/>
          <w:szCs w:val="22"/>
        </w:rPr>
        <w:t xml:space="preserve">.  </w:t>
      </w:r>
      <w:r w:rsidR="00576C73" w:rsidRPr="006039C0">
        <w:rPr>
          <w:sz w:val="22"/>
          <w:szCs w:val="22"/>
        </w:rPr>
        <w:t xml:space="preserve">For longitudinal data, mixed linear models were used </w:t>
      </w:r>
      <w:r w:rsidRPr="006039C0">
        <w:rPr>
          <w:sz w:val="22"/>
          <w:szCs w:val="22"/>
        </w:rPr>
        <w:t xml:space="preserve">and </w:t>
      </w:r>
      <w:r w:rsidRPr="006039C0">
        <w:rPr>
          <w:sz w:val="22"/>
          <w:szCs w:val="22"/>
        </w:rPr>
        <w:sym w:font="Symbol" w:char="F063"/>
      </w:r>
      <w:r w:rsidRPr="006039C0">
        <w:rPr>
          <w:sz w:val="22"/>
          <w:szCs w:val="22"/>
          <w:vertAlign w:val="superscript"/>
        </w:rPr>
        <w:t xml:space="preserve">2 </w:t>
      </w:r>
      <w:r w:rsidRPr="006039C0">
        <w:rPr>
          <w:sz w:val="22"/>
          <w:szCs w:val="22"/>
        </w:rPr>
        <w:t xml:space="preserve">tests were performed to determine the significance of the MCP230 treatment.  Mixed linear models used the R package lme4 (version 1.1-7 </w:t>
      </w:r>
      <w:r w:rsidRPr="006039C0">
        <w:rPr>
          <w:sz w:val="22"/>
          <w:szCs w:val="22"/>
        </w:rPr>
        <w:fldChar w:fldCharType="begin" w:fldLock="1"/>
      </w:r>
      <w:r w:rsidR="00470311" w:rsidRPr="006039C0">
        <w:rPr>
          <w:sz w:val="22"/>
          <w:szCs w:val="22"/>
        </w:rPr>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"[25]", "plainTextFormattedCitation" : "[25]", "previouslyFormattedCitation" : "[24]" }, "properties" : { "noteIndex" : 0 }, "schema" : "https://github.com/citation-style-language/schema/raw/master/csl-citation.json" }</w:instrText>
      </w:r>
      <w:r w:rsidRPr="006039C0">
        <w:rPr>
          <w:sz w:val="22"/>
          <w:szCs w:val="22"/>
        </w:rPr>
        <w:fldChar w:fldCharType="separate"/>
      </w:r>
      <w:r w:rsidR="00470311" w:rsidRPr="006039C0">
        <w:rPr>
          <w:noProof/>
          <w:sz w:val="22"/>
          <w:szCs w:val="22"/>
        </w:rPr>
        <w:t>[25]</w:t>
      </w:r>
      <w:r w:rsidRPr="006039C0">
        <w:rPr>
          <w:sz w:val="22"/>
          <w:szCs w:val="22"/>
        </w:rPr>
        <w:fldChar w:fldCharType="end"/>
      </w:r>
      <w:r w:rsidRPr="006039C0">
        <w:rPr>
          <w:sz w:val="22"/>
          <w:szCs w:val="22"/>
        </w:rPr>
        <w:t>).  In all cases, normality of the data and models were d</w:t>
      </w:r>
      <w:r w:rsidR="0012599A" w:rsidRPr="006039C0">
        <w:rPr>
          <w:sz w:val="22"/>
          <w:szCs w:val="22"/>
        </w:rPr>
        <w:t>etermined via Shapiro-Wilk Test</w:t>
      </w:r>
      <w:r w:rsidRPr="006039C0">
        <w:rPr>
          <w:sz w:val="22"/>
          <w:szCs w:val="22"/>
        </w:rPr>
        <w:t xml:space="preserve"> and equal variance was tested using </w:t>
      </w:r>
      <w:proofErr w:type="spellStart"/>
      <w:r w:rsidRPr="006039C0">
        <w:rPr>
          <w:sz w:val="22"/>
          <w:szCs w:val="22"/>
        </w:rPr>
        <w:t>Levene’s</w:t>
      </w:r>
      <w:proofErr w:type="spellEnd"/>
      <w:r w:rsidRPr="006039C0">
        <w:rPr>
          <w:sz w:val="22"/>
          <w:szCs w:val="22"/>
        </w:rPr>
        <w:t xml:space="preserve"> test from the car package (version 2.0-21 </w:t>
      </w:r>
      <w:r w:rsidRPr="006039C0">
        <w:rPr>
          <w:sz w:val="22"/>
          <w:szCs w:val="22"/>
        </w:rPr>
        <w:fldChar w:fldCharType="begin" w:fldLock="1"/>
      </w:r>
      <w:r w:rsidR="00470311" w:rsidRPr="006039C0">
        <w:rPr>
          <w:sz w:val="22"/>
          <w:szCs w:val="22"/>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"[26]", "plainTextFormattedCitation" : "[26]", "previouslyFormattedCitation" : "[25]" }, "properties" : { "noteIndex" : 0 }, "schema" : "https://github.com/citation-style-language/schema/raw/master/csl-citation.json" }</w:instrText>
      </w:r>
      <w:r w:rsidRPr="006039C0">
        <w:rPr>
          <w:sz w:val="22"/>
          <w:szCs w:val="22"/>
        </w:rPr>
        <w:fldChar w:fldCharType="separate"/>
      </w:r>
      <w:r w:rsidR="00470311" w:rsidRPr="006039C0">
        <w:rPr>
          <w:noProof/>
          <w:sz w:val="22"/>
          <w:szCs w:val="22"/>
        </w:rPr>
        <w:t>[26]</w:t>
      </w:r>
      <w:r w:rsidRPr="006039C0">
        <w:rPr>
          <w:sz w:val="22"/>
          <w:szCs w:val="22"/>
        </w:rPr>
        <w:fldChar w:fldCharType="end"/>
      </w:r>
      <w:r w:rsidR="00031FF5" w:rsidRPr="006039C0">
        <w:rPr>
          <w:sz w:val="22"/>
          <w:szCs w:val="22"/>
        </w:rPr>
        <w:t xml:space="preserve">). </w:t>
      </w:r>
      <w:r w:rsidR="0012599A" w:rsidRPr="006039C0">
        <w:rPr>
          <w:sz w:val="22"/>
          <w:szCs w:val="22"/>
        </w:rPr>
        <w:t xml:space="preserve">In cases where </w:t>
      </w:r>
      <w:proofErr w:type="spellStart"/>
      <w:r w:rsidR="0012599A" w:rsidRPr="006039C0">
        <w:rPr>
          <w:sz w:val="22"/>
          <w:szCs w:val="22"/>
        </w:rPr>
        <w:t>cabosil</w:t>
      </w:r>
      <w:proofErr w:type="spellEnd"/>
      <w:r w:rsidR="0012599A" w:rsidRPr="006039C0">
        <w:rPr>
          <w:sz w:val="22"/>
          <w:szCs w:val="22"/>
        </w:rPr>
        <w:t xml:space="preserve"> and saline treatment were not significantly different, these data were combined and designated as “Control”.  </w:t>
      </w:r>
      <w:r w:rsidR="00622E03" w:rsidRPr="006039C0">
        <w:rPr>
          <w:sz w:val="22"/>
          <w:szCs w:val="22"/>
        </w:rPr>
        <w:t>For energy expenditure calculations, we performed an ANCOVA analysis with lean body mass and the treatment group as non-interacting covariates and the averaged light or dark VO</w:t>
      </w:r>
      <w:r w:rsidR="00622E03" w:rsidRPr="006039C0">
        <w:rPr>
          <w:sz w:val="22"/>
          <w:szCs w:val="22"/>
          <w:vertAlign w:val="subscript"/>
        </w:rPr>
        <w:t xml:space="preserve">2 </w:t>
      </w:r>
      <w:r w:rsidR="00622E03" w:rsidRPr="006039C0">
        <w:rPr>
          <w:sz w:val="22"/>
          <w:szCs w:val="22"/>
        </w:rPr>
        <w:t>as the responding variable</w:t>
      </w:r>
      <w:r w:rsidR="009332E7" w:rsidRPr="006039C0">
        <w:rPr>
          <w:sz w:val="22"/>
          <w:szCs w:val="22"/>
        </w:rPr>
        <w:t xml:space="preserve"> as described in </w:t>
      </w:r>
      <w:r w:rsidR="009332E7" w:rsidRPr="006039C0">
        <w:rPr>
          <w:sz w:val="22"/>
          <w:szCs w:val="22"/>
        </w:rPr>
        <w:fldChar w:fldCharType="begin" w:fldLock="1"/>
      </w:r>
      <w:r w:rsidR="00470311" w:rsidRPr="006039C0">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"[27]", "plainTextFormattedCitation" : "[27]", "previouslyFormattedCitation" : "[26]" }, "properties" : { "noteIndex" : 0 }, "schema" : "https://github.com/citation-style-language/schema/raw/master/csl-citation.json" }</w:instrText>
      </w:r>
      <w:r w:rsidR="009332E7" w:rsidRPr="006039C0">
        <w:rPr>
          <w:sz w:val="22"/>
          <w:szCs w:val="22"/>
        </w:rPr>
        <w:fldChar w:fldCharType="separate"/>
      </w:r>
      <w:r w:rsidR="00470311" w:rsidRPr="006039C0">
        <w:rPr>
          <w:noProof/>
          <w:sz w:val="22"/>
          <w:szCs w:val="22"/>
        </w:rPr>
        <w:t>[27]</w:t>
      </w:r>
      <w:r w:rsidR="009332E7" w:rsidRPr="006039C0">
        <w:rPr>
          <w:sz w:val="22"/>
          <w:szCs w:val="22"/>
        </w:rPr>
        <w:fldChar w:fldCharType="end"/>
      </w:r>
      <w:r w:rsidR="00622E03" w:rsidRPr="006039C0">
        <w:rPr>
          <w:sz w:val="22"/>
          <w:szCs w:val="22"/>
        </w:rPr>
        <w:t xml:space="preserve">. </w:t>
      </w:r>
      <w:r w:rsidRPr="006039C0">
        <w:rPr>
          <w:sz w:val="22"/>
          <w:szCs w:val="22"/>
        </w:rPr>
        <w:t>Statistical significance was designated as a p-value &lt;0.05.</w:t>
      </w:r>
      <w:r w:rsidR="009D2C30" w:rsidRPr="006039C0">
        <w:rPr>
          <w:sz w:val="22"/>
          <w:szCs w:val="22"/>
        </w:rPr>
        <w:t xml:space="preserve">  </w:t>
      </w:r>
    </w:p>
    <w:p w14:paraId="42D0C400" w14:textId="77777777" w:rsidR="007221E6" w:rsidRPr="006039C0" w:rsidRDefault="007221E6" w:rsidP="00FA15C4">
      <w:pPr>
        <w:pStyle w:val="Heading1"/>
        <w:spacing w:before="0" w:line="480" w:lineRule="auto"/>
        <w:rPr>
          <w:sz w:val="22"/>
          <w:szCs w:val="22"/>
        </w:rPr>
      </w:pPr>
      <w:r w:rsidRPr="006039C0">
        <w:rPr>
          <w:sz w:val="22"/>
          <w:szCs w:val="22"/>
        </w:rPr>
        <w:lastRenderedPageBreak/>
        <w:t>Results</w:t>
      </w:r>
    </w:p>
    <w:p w14:paraId="5DFC02D3" w14:textId="23E4A279" w:rsidR="007221E6" w:rsidRPr="006039C0" w:rsidRDefault="00230B4A" w:rsidP="00FA15C4">
      <w:pPr>
        <w:pStyle w:val="Heading2"/>
        <w:spacing w:before="0" w:line="480" w:lineRule="auto"/>
        <w:rPr>
          <w:sz w:val="22"/>
          <w:szCs w:val="22"/>
        </w:rPr>
      </w:pPr>
      <w:r w:rsidRPr="006039C0">
        <w:rPr>
          <w:sz w:val="22"/>
          <w:szCs w:val="22"/>
        </w:rPr>
        <w:t xml:space="preserve">Gestational exposure to MCP230 leads to increased </w:t>
      </w:r>
      <w:r w:rsidR="00EC3194">
        <w:rPr>
          <w:sz w:val="22"/>
          <w:szCs w:val="22"/>
        </w:rPr>
        <w:t>body size</w:t>
      </w:r>
      <w:r w:rsidRPr="006039C0">
        <w:rPr>
          <w:sz w:val="22"/>
          <w:szCs w:val="22"/>
        </w:rPr>
        <w:t xml:space="preserve"> </w:t>
      </w:r>
      <w:r w:rsidR="00245A81">
        <w:rPr>
          <w:sz w:val="22"/>
          <w:szCs w:val="22"/>
        </w:rPr>
        <w:t>on a high fat diet</w:t>
      </w:r>
    </w:p>
    <w:p w14:paraId="280535CA" w14:textId="2DA61A4B" w:rsidR="00230B4A" w:rsidRPr="006039C0" w:rsidRDefault="00230B4A" w:rsidP="00896FD8">
      <w:pPr>
        <w:spacing w:line="480" w:lineRule="auto"/>
        <w:rPr>
          <w:sz w:val="22"/>
          <w:szCs w:val="22"/>
        </w:rPr>
      </w:pPr>
      <w:r w:rsidRPr="006039C0">
        <w:rPr>
          <w:sz w:val="22"/>
          <w:szCs w:val="22"/>
        </w:rPr>
        <w:t xml:space="preserve">To test </w:t>
      </w:r>
      <w:r w:rsidR="00245A81">
        <w:rPr>
          <w:sz w:val="22"/>
          <w:szCs w:val="22"/>
        </w:rPr>
        <w:t>the whole-body metabolic effects of</w:t>
      </w:r>
      <w:r w:rsidR="00245A81" w:rsidRPr="006039C0">
        <w:rPr>
          <w:sz w:val="22"/>
          <w:szCs w:val="22"/>
        </w:rPr>
        <w:t xml:space="preserve"> </w:t>
      </w:r>
      <w:r w:rsidRPr="006039C0">
        <w:rPr>
          <w:sz w:val="22"/>
          <w:szCs w:val="22"/>
        </w:rPr>
        <w:t>gestational exposure to an environmentally persistent free radical</w:t>
      </w:r>
      <w:r w:rsidR="00536D79" w:rsidRPr="006039C0">
        <w:rPr>
          <w:sz w:val="22"/>
          <w:szCs w:val="22"/>
        </w:rPr>
        <w:t xml:space="preserve"> (EPFR)</w:t>
      </w:r>
      <w:r w:rsidRPr="006039C0">
        <w:rPr>
          <w:sz w:val="22"/>
          <w:szCs w:val="22"/>
        </w:rPr>
        <w:t xml:space="preserve">, we treated pregnant females with two exposures of MCP230 </w:t>
      </w:r>
      <w:r w:rsidR="000D0EF1" w:rsidRPr="006039C0">
        <w:rPr>
          <w:sz w:val="22"/>
          <w:szCs w:val="22"/>
        </w:rPr>
        <w:t xml:space="preserve">on </w:t>
      </w:r>
      <w:r w:rsidR="005E42A8" w:rsidRPr="006039C0">
        <w:rPr>
          <w:sz w:val="22"/>
          <w:szCs w:val="22"/>
        </w:rPr>
        <w:t>day 10 and 17</w:t>
      </w:r>
      <w:r w:rsidR="000D0EF1" w:rsidRPr="006039C0">
        <w:rPr>
          <w:sz w:val="22"/>
          <w:szCs w:val="22"/>
        </w:rPr>
        <w:t xml:space="preserve"> of gestation</w:t>
      </w:r>
      <w:r w:rsidR="005E42A8" w:rsidRPr="006039C0">
        <w:rPr>
          <w:sz w:val="22"/>
          <w:szCs w:val="22"/>
        </w:rPr>
        <w:t xml:space="preserve">.  </w:t>
      </w:r>
      <w:r w:rsidR="00D06C03" w:rsidRPr="006039C0">
        <w:rPr>
          <w:sz w:val="22"/>
          <w:szCs w:val="22"/>
        </w:rPr>
        <w:t xml:space="preserve">As controls, mice were either exposed to </w:t>
      </w:r>
      <w:proofErr w:type="spellStart"/>
      <w:r w:rsidR="00D06C03" w:rsidRPr="006039C0">
        <w:rPr>
          <w:sz w:val="22"/>
          <w:szCs w:val="22"/>
        </w:rPr>
        <w:t>cabosil</w:t>
      </w:r>
      <w:proofErr w:type="spellEnd"/>
      <w:r w:rsidR="00D06C03" w:rsidRPr="006039C0">
        <w:rPr>
          <w:sz w:val="22"/>
          <w:szCs w:val="22"/>
        </w:rPr>
        <w:t xml:space="preserve"> (the non-conjugated particulate without the EPFR group) or saline.  </w:t>
      </w:r>
      <w:r w:rsidR="00245A81">
        <w:rPr>
          <w:sz w:val="22"/>
          <w:szCs w:val="22"/>
        </w:rPr>
        <w:t>After birth, t</w:t>
      </w:r>
      <w:r w:rsidR="005E42A8" w:rsidRPr="006039C0">
        <w:rPr>
          <w:sz w:val="22"/>
          <w:szCs w:val="22"/>
        </w:rPr>
        <w:t xml:space="preserve">hese mice were left with their dams </w:t>
      </w:r>
      <w:r w:rsidR="00245A81">
        <w:rPr>
          <w:sz w:val="22"/>
          <w:szCs w:val="22"/>
        </w:rPr>
        <w:t>until</w:t>
      </w:r>
      <w:r w:rsidR="00245A81" w:rsidRPr="006039C0">
        <w:rPr>
          <w:sz w:val="22"/>
          <w:szCs w:val="22"/>
        </w:rPr>
        <w:t xml:space="preserve"> wean</w:t>
      </w:r>
      <w:r w:rsidR="00245A81">
        <w:rPr>
          <w:sz w:val="22"/>
          <w:szCs w:val="22"/>
        </w:rPr>
        <w:t>ing</w:t>
      </w:r>
      <w:r w:rsidR="00626940">
        <w:rPr>
          <w:sz w:val="22"/>
          <w:szCs w:val="22"/>
        </w:rPr>
        <w:t xml:space="preserve"> onto standard rodent chow</w:t>
      </w:r>
      <w:r w:rsidR="00245A81" w:rsidRPr="006039C0">
        <w:rPr>
          <w:sz w:val="22"/>
          <w:szCs w:val="22"/>
        </w:rPr>
        <w:t xml:space="preserve"> </w:t>
      </w:r>
      <w:r w:rsidR="005E42A8" w:rsidRPr="006039C0">
        <w:rPr>
          <w:sz w:val="22"/>
          <w:szCs w:val="22"/>
        </w:rPr>
        <w:t xml:space="preserve">at </w:t>
      </w:r>
      <w:r w:rsidR="00161BD9" w:rsidRPr="006039C0">
        <w:rPr>
          <w:sz w:val="22"/>
          <w:szCs w:val="22"/>
        </w:rPr>
        <w:t xml:space="preserve">28 </w:t>
      </w:r>
      <w:r w:rsidR="005E42A8" w:rsidRPr="006039C0">
        <w:rPr>
          <w:sz w:val="22"/>
          <w:szCs w:val="22"/>
        </w:rPr>
        <w:t xml:space="preserve">days of age.  At 10 weeks of age, mice were placed on a high fat diet consisting of 45% of calories from </w:t>
      </w:r>
      <w:r w:rsidR="002D6D93">
        <w:rPr>
          <w:sz w:val="22"/>
          <w:szCs w:val="22"/>
        </w:rPr>
        <w:t>lard</w:t>
      </w:r>
      <w:r w:rsidR="002D6D93" w:rsidRPr="006039C0">
        <w:rPr>
          <w:sz w:val="22"/>
          <w:szCs w:val="22"/>
        </w:rPr>
        <w:t xml:space="preserve"> </w:t>
      </w:r>
      <w:r w:rsidR="005E42A8" w:rsidRPr="006039C0">
        <w:rPr>
          <w:sz w:val="22"/>
          <w:szCs w:val="22"/>
        </w:rPr>
        <w:t>(see Figure 1</w:t>
      </w:r>
      <w:r w:rsidR="00513EA2">
        <w:rPr>
          <w:sz w:val="22"/>
          <w:szCs w:val="22"/>
        </w:rPr>
        <w:t>A</w:t>
      </w:r>
      <w:r w:rsidR="005E42A8" w:rsidRPr="006039C0">
        <w:rPr>
          <w:sz w:val="22"/>
          <w:szCs w:val="22"/>
        </w:rPr>
        <w:t xml:space="preserve">).  </w:t>
      </w:r>
    </w:p>
    <w:p w14:paraId="6AED57C1" w14:textId="77777777" w:rsidR="005E42A8" w:rsidRPr="006039C0" w:rsidRDefault="005E42A8" w:rsidP="00D3063E">
      <w:pPr>
        <w:spacing w:line="480" w:lineRule="auto"/>
        <w:rPr>
          <w:sz w:val="22"/>
          <w:szCs w:val="22"/>
        </w:rPr>
      </w:pPr>
    </w:p>
    <w:p w14:paraId="2E4C6AFE" w14:textId="37B215EB" w:rsidR="005E42A8" w:rsidRDefault="005E42A8" w:rsidP="00AA41A9">
      <w:pPr>
        <w:spacing w:line="480" w:lineRule="auto"/>
        <w:rPr>
          <w:sz w:val="22"/>
          <w:szCs w:val="22"/>
        </w:rPr>
      </w:pPr>
      <w:r w:rsidRPr="006039C0">
        <w:rPr>
          <w:sz w:val="22"/>
          <w:szCs w:val="22"/>
        </w:rPr>
        <w:t xml:space="preserve">As shown in Figure </w:t>
      </w:r>
      <w:r w:rsidR="00513EA2">
        <w:rPr>
          <w:sz w:val="22"/>
          <w:szCs w:val="22"/>
        </w:rPr>
        <w:t>1B</w:t>
      </w:r>
      <w:r w:rsidRPr="006039C0">
        <w:rPr>
          <w:sz w:val="22"/>
          <w:szCs w:val="22"/>
        </w:rPr>
        <w:t xml:space="preserve">, </w:t>
      </w:r>
      <w:r w:rsidR="00245A81">
        <w:rPr>
          <w:sz w:val="22"/>
          <w:szCs w:val="22"/>
        </w:rPr>
        <w:t xml:space="preserve">at 10 weeks of age, </w:t>
      </w:r>
      <w:r w:rsidRPr="006039C0">
        <w:rPr>
          <w:sz w:val="22"/>
          <w:szCs w:val="22"/>
        </w:rPr>
        <w:t xml:space="preserve">mice that were </w:t>
      </w:r>
      <w:r w:rsidR="00B80BFC">
        <w:rPr>
          <w:sz w:val="22"/>
          <w:szCs w:val="22"/>
        </w:rPr>
        <w:t>exposed to</w:t>
      </w:r>
      <w:r w:rsidRPr="006039C0">
        <w:rPr>
          <w:sz w:val="22"/>
          <w:szCs w:val="22"/>
        </w:rPr>
        <w:t xml:space="preserve"> MCP230 </w:t>
      </w:r>
      <w:r w:rsidR="00145233" w:rsidRPr="006039C0">
        <w:rPr>
          <w:sz w:val="22"/>
          <w:szCs w:val="22"/>
        </w:rPr>
        <w:t>had</w:t>
      </w:r>
      <w:r w:rsidRPr="006039C0">
        <w:rPr>
          <w:sz w:val="22"/>
          <w:szCs w:val="22"/>
        </w:rPr>
        <w:t xml:space="preserve"> a</w:t>
      </w:r>
      <w:r w:rsidR="005D6504">
        <w:rPr>
          <w:sz w:val="22"/>
          <w:szCs w:val="22"/>
        </w:rPr>
        <w:t xml:space="preserve"> 7.6%</w:t>
      </w:r>
      <w:r w:rsidRPr="006039C0">
        <w:rPr>
          <w:sz w:val="22"/>
          <w:szCs w:val="22"/>
        </w:rPr>
        <w:t xml:space="preserve"> higher body weight </w:t>
      </w:r>
      <w:r w:rsidR="00245A81">
        <w:rPr>
          <w:sz w:val="22"/>
          <w:szCs w:val="22"/>
        </w:rPr>
        <w:t xml:space="preserve">than the saline-exposed mice </w:t>
      </w:r>
      <w:r w:rsidRPr="006039C0">
        <w:rPr>
          <w:sz w:val="22"/>
          <w:szCs w:val="22"/>
        </w:rPr>
        <w:t xml:space="preserve">and </w:t>
      </w:r>
      <w:r w:rsidR="00245A81">
        <w:rPr>
          <w:sz w:val="22"/>
          <w:szCs w:val="22"/>
        </w:rPr>
        <w:t>remained heavier</w:t>
      </w:r>
      <w:r w:rsidR="006E6786">
        <w:rPr>
          <w:sz w:val="22"/>
          <w:szCs w:val="22"/>
        </w:rPr>
        <w:t xml:space="preserve">,  gaining more weight </w:t>
      </w:r>
      <w:r w:rsidR="00245A81">
        <w:rPr>
          <w:sz w:val="22"/>
          <w:szCs w:val="22"/>
        </w:rPr>
        <w:t>throughout</w:t>
      </w:r>
      <w:r w:rsidRPr="006039C0">
        <w:rPr>
          <w:sz w:val="22"/>
          <w:szCs w:val="22"/>
        </w:rPr>
        <w:t xml:space="preserve"> the </w:t>
      </w:r>
      <w:r w:rsidR="00245A81">
        <w:rPr>
          <w:sz w:val="22"/>
          <w:szCs w:val="22"/>
        </w:rPr>
        <w:t xml:space="preserve">high fat </w:t>
      </w:r>
      <w:r w:rsidRPr="006039C0">
        <w:rPr>
          <w:sz w:val="22"/>
          <w:szCs w:val="22"/>
        </w:rPr>
        <w:t>diet</w:t>
      </w:r>
      <w:r w:rsidR="00245A81">
        <w:rPr>
          <w:sz w:val="22"/>
          <w:szCs w:val="22"/>
        </w:rPr>
        <w:t xml:space="preserve"> phase</w:t>
      </w:r>
      <w:r w:rsidR="006E6786">
        <w:rPr>
          <w:sz w:val="22"/>
          <w:szCs w:val="22"/>
        </w:rPr>
        <w:t xml:space="preserve"> (</w:t>
      </w:r>
      <w:r w:rsidR="006E6786" w:rsidRPr="006039C0">
        <w:rPr>
          <w:sz w:val="22"/>
          <w:szCs w:val="22"/>
        </w:rPr>
        <w:t>p=</w:t>
      </w:r>
      <w:r w:rsidR="006E6786">
        <w:rPr>
          <w:sz w:val="22"/>
          <w:szCs w:val="22"/>
        </w:rPr>
        <w:t>3</w:t>
      </w:r>
      <w:r w:rsidR="006E6786" w:rsidRPr="006039C0">
        <w:rPr>
          <w:sz w:val="22"/>
          <w:szCs w:val="22"/>
        </w:rPr>
        <w:t>.</w:t>
      </w:r>
      <w:r w:rsidR="006E6786">
        <w:rPr>
          <w:sz w:val="22"/>
          <w:szCs w:val="22"/>
        </w:rPr>
        <w:t>5</w:t>
      </w:r>
      <w:r w:rsidR="006E6786" w:rsidRPr="006039C0">
        <w:rPr>
          <w:sz w:val="22"/>
          <w:szCs w:val="22"/>
        </w:rPr>
        <w:t>x10</w:t>
      </w:r>
      <w:r w:rsidR="006E6786" w:rsidRPr="006039C0">
        <w:rPr>
          <w:sz w:val="22"/>
          <w:szCs w:val="22"/>
          <w:vertAlign w:val="superscript"/>
        </w:rPr>
        <w:t>-</w:t>
      </w:r>
      <w:r w:rsidR="006E6786">
        <w:rPr>
          <w:sz w:val="22"/>
          <w:szCs w:val="22"/>
          <w:vertAlign w:val="superscript"/>
        </w:rPr>
        <w:t>5</w:t>
      </w:r>
      <w:r w:rsidR="006E6786">
        <w:rPr>
          <w:sz w:val="22"/>
          <w:szCs w:val="22"/>
        </w:rPr>
        <w:t>)</w:t>
      </w:r>
      <w:r w:rsidRPr="006039C0">
        <w:rPr>
          <w:sz w:val="22"/>
          <w:szCs w:val="22"/>
        </w:rPr>
        <w:t>.</w:t>
      </w:r>
      <w:r w:rsidR="00441A6B" w:rsidRPr="006039C0">
        <w:rPr>
          <w:sz w:val="22"/>
          <w:szCs w:val="22"/>
        </w:rPr>
        <w:t xml:space="preserve">  A</w:t>
      </w:r>
      <w:r w:rsidR="00510CFE">
        <w:rPr>
          <w:sz w:val="22"/>
          <w:szCs w:val="22"/>
        </w:rPr>
        <w:t>fter 12 weeks of high fat diet</w:t>
      </w:r>
      <w:r w:rsidR="00441A6B" w:rsidRPr="006039C0">
        <w:rPr>
          <w:sz w:val="22"/>
          <w:szCs w:val="22"/>
        </w:rPr>
        <w:t xml:space="preserve">, </w:t>
      </w:r>
      <w:r w:rsidR="00510CFE">
        <w:rPr>
          <w:sz w:val="22"/>
          <w:szCs w:val="22"/>
        </w:rPr>
        <w:t xml:space="preserve">the MCP230-exposed mice </w:t>
      </w:r>
      <w:r w:rsidR="00FC1213">
        <w:rPr>
          <w:sz w:val="22"/>
          <w:szCs w:val="22"/>
        </w:rPr>
        <w:t xml:space="preserve">were </w:t>
      </w:r>
      <w:r w:rsidR="000B435A" w:rsidRPr="006039C0">
        <w:rPr>
          <w:sz w:val="22"/>
          <w:szCs w:val="22"/>
        </w:rPr>
        <w:t>4.5 g</w:t>
      </w:r>
      <w:r w:rsidR="00FC1213">
        <w:rPr>
          <w:sz w:val="22"/>
          <w:szCs w:val="22"/>
        </w:rPr>
        <w:t xml:space="preserve"> heavier than saline-exposed mice</w:t>
      </w:r>
      <w:r w:rsidR="000B435A" w:rsidRPr="006039C0">
        <w:rPr>
          <w:sz w:val="22"/>
          <w:szCs w:val="22"/>
        </w:rPr>
        <w:t xml:space="preserve"> </w:t>
      </w:r>
      <w:r w:rsidR="00FC1213">
        <w:rPr>
          <w:sz w:val="22"/>
          <w:szCs w:val="22"/>
        </w:rPr>
        <w:t>(</w:t>
      </w:r>
      <w:r w:rsidR="00A43CC7">
        <w:rPr>
          <w:sz w:val="22"/>
          <w:szCs w:val="22"/>
        </w:rPr>
        <w:t>9.8</w:t>
      </w:r>
      <w:r w:rsidR="000B435A" w:rsidRPr="006039C0">
        <w:rPr>
          <w:sz w:val="22"/>
          <w:szCs w:val="22"/>
        </w:rPr>
        <w:t xml:space="preserve">%, p&lt;0.001; </w:t>
      </w:r>
      <w:r w:rsidR="004C2FCD" w:rsidRPr="006039C0">
        <w:rPr>
          <w:sz w:val="22"/>
          <w:szCs w:val="22"/>
        </w:rPr>
        <w:t xml:space="preserve">Figure </w:t>
      </w:r>
      <w:r w:rsidR="00513EA2">
        <w:rPr>
          <w:sz w:val="22"/>
          <w:szCs w:val="22"/>
        </w:rPr>
        <w:t>1B</w:t>
      </w:r>
      <w:r w:rsidR="00A107BF" w:rsidRPr="006039C0">
        <w:rPr>
          <w:sz w:val="22"/>
          <w:szCs w:val="22"/>
        </w:rPr>
        <w:t xml:space="preserve">).  We </w:t>
      </w:r>
      <w:r w:rsidR="00441A6B" w:rsidRPr="006039C0">
        <w:rPr>
          <w:sz w:val="22"/>
          <w:szCs w:val="22"/>
        </w:rPr>
        <w:t xml:space="preserve">assessed </w:t>
      </w:r>
      <w:r w:rsidR="00D63FB0" w:rsidRPr="006039C0">
        <w:rPr>
          <w:sz w:val="22"/>
          <w:szCs w:val="22"/>
        </w:rPr>
        <w:t xml:space="preserve">body composition </w:t>
      </w:r>
      <w:r w:rsidR="00040586">
        <w:rPr>
          <w:sz w:val="22"/>
          <w:szCs w:val="22"/>
        </w:rPr>
        <w:t xml:space="preserve">after 12 weeks of high fat diet </w:t>
      </w:r>
      <w:r w:rsidR="00D63FB0" w:rsidRPr="006039C0">
        <w:rPr>
          <w:sz w:val="22"/>
          <w:szCs w:val="22"/>
        </w:rPr>
        <w:t xml:space="preserve">and observed significant elevations in both </w:t>
      </w:r>
      <w:r w:rsidR="007F0C91" w:rsidRPr="006039C0">
        <w:rPr>
          <w:sz w:val="22"/>
          <w:szCs w:val="22"/>
        </w:rPr>
        <w:t>fat</w:t>
      </w:r>
      <w:r w:rsidR="00D63FB0" w:rsidRPr="006039C0">
        <w:rPr>
          <w:sz w:val="22"/>
          <w:szCs w:val="22"/>
        </w:rPr>
        <w:t xml:space="preserve"> </w:t>
      </w:r>
      <w:r w:rsidR="007F0C91" w:rsidRPr="006039C0">
        <w:rPr>
          <w:sz w:val="22"/>
          <w:szCs w:val="22"/>
        </w:rPr>
        <w:t>mass (10.</w:t>
      </w:r>
      <w:r w:rsidR="006E6786">
        <w:rPr>
          <w:sz w:val="22"/>
          <w:szCs w:val="22"/>
        </w:rPr>
        <w:t>1</w:t>
      </w:r>
      <w:r w:rsidR="007F0C91" w:rsidRPr="006039C0">
        <w:rPr>
          <w:sz w:val="22"/>
          <w:szCs w:val="22"/>
        </w:rPr>
        <w:t xml:space="preserve">% increase, p=0.011) </w:t>
      </w:r>
      <w:r w:rsidR="00D63FB0" w:rsidRPr="006039C0">
        <w:rPr>
          <w:sz w:val="22"/>
          <w:szCs w:val="22"/>
        </w:rPr>
        <w:t xml:space="preserve">and </w:t>
      </w:r>
      <w:r w:rsidR="00161BD9" w:rsidRPr="006039C0">
        <w:rPr>
          <w:sz w:val="22"/>
          <w:szCs w:val="22"/>
        </w:rPr>
        <w:t>lean</w:t>
      </w:r>
      <w:r w:rsidR="005402D3" w:rsidRPr="006039C0">
        <w:rPr>
          <w:sz w:val="22"/>
          <w:szCs w:val="22"/>
        </w:rPr>
        <w:t xml:space="preserve"> </w:t>
      </w:r>
      <w:r w:rsidR="00D63FB0" w:rsidRPr="006039C0">
        <w:rPr>
          <w:sz w:val="22"/>
          <w:szCs w:val="22"/>
        </w:rPr>
        <w:t xml:space="preserve">mass </w:t>
      </w:r>
      <w:r w:rsidR="007F0C91" w:rsidRPr="006039C0">
        <w:rPr>
          <w:sz w:val="22"/>
          <w:szCs w:val="22"/>
        </w:rPr>
        <w:t>(10.</w:t>
      </w:r>
      <w:r w:rsidR="006E6786">
        <w:rPr>
          <w:sz w:val="22"/>
          <w:szCs w:val="22"/>
        </w:rPr>
        <w:t>2</w:t>
      </w:r>
      <w:r w:rsidR="007F0C91" w:rsidRPr="006039C0">
        <w:rPr>
          <w:sz w:val="22"/>
          <w:szCs w:val="22"/>
        </w:rPr>
        <w:t>% increase, p=2.2x10</w:t>
      </w:r>
      <w:r w:rsidR="007F0C91" w:rsidRPr="006039C0">
        <w:rPr>
          <w:sz w:val="22"/>
          <w:szCs w:val="22"/>
          <w:vertAlign w:val="superscript"/>
        </w:rPr>
        <w:t>-4</w:t>
      </w:r>
      <w:r w:rsidR="007F0C91" w:rsidRPr="006039C0">
        <w:rPr>
          <w:sz w:val="22"/>
          <w:szCs w:val="22"/>
        </w:rPr>
        <w:t xml:space="preserve">) </w:t>
      </w:r>
      <w:r w:rsidR="004C2FCD" w:rsidRPr="006039C0">
        <w:rPr>
          <w:sz w:val="22"/>
          <w:szCs w:val="22"/>
        </w:rPr>
        <w:t>in the</w:t>
      </w:r>
      <w:r w:rsidR="00510CFE">
        <w:rPr>
          <w:sz w:val="22"/>
          <w:szCs w:val="22"/>
        </w:rPr>
        <w:t xml:space="preserve"> MCP230-exposed</w:t>
      </w:r>
      <w:r w:rsidR="004C2FCD" w:rsidRPr="006039C0">
        <w:rPr>
          <w:sz w:val="22"/>
          <w:szCs w:val="22"/>
        </w:rPr>
        <w:t xml:space="preserve"> mice (Figures </w:t>
      </w:r>
      <w:r w:rsidR="00513EA2">
        <w:rPr>
          <w:sz w:val="22"/>
          <w:szCs w:val="22"/>
        </w:rPr>
        <w:t>1C</w:t>
      </w:r>
      <w:r w:rsidR="00513EA2" w:rsidRPr="006039C0">
        <w:rPr>
          <w:sz w:val="22"/>
          <w:szCs w:val="22"/>
        </w:rPr>
        <w:t xml:space="preserve"> </w:t>
      </w:r>
      <w:r w:rsidR="004C2FCD" w:rsidRPr="006039C0">
        <w:rPr>
          <w:sz w:val="22"/>
          <w:szCs w:val="22"/>
        </w:rPr>
        <w:t xml:space="preserve">and </w:t>
      </w:r>
      <w:r w:rsidR="00513EA2">
        <w:rPr>
          <w:sz w:val="22"/>
          <w:szCs w:val="22"/>
        </w:rPr>
        <w:t>D</w:t>
      </w:r>
      <w:r w:rsidR="00D63FB0" w:rsidRPr="006039C0">
        <w:rPr>
          <w:sz w:val="22"/>
          <w:szCs w:val="22"/>
        </w:rPr>
        <w:t>).  The relative adiposity</w:t>
      </w:r>
      <w:r w:rsidR="007F0C91" w:rsidRPr="006039C0">
        <w:rPr>
          <w:sz w:val="22"/>
          <w:szCs w:val="22"/>
        </w:rPr>
        <w:t xml:space="preserve"> of these mice</w:t>
      </w:r>
      <w:r w:rsidR="00FC73B6">
        <w:rPr>
          <w:sz w:val="22"/>
          <w:szCs w:val="22"/>
        </w:rPr>
        <w:t>,</w:t>
      </w:r>
      <w:r w:rsidR="007F0C91" w:rsidRPr="006039C0">
        <w:rPr>
          <w:sz w:val="22"/>
          <w:szCs w:val="22"/>
        </w:rPr>
        <w:t xml:space="preserve"> as determined by the percent fat mass</w:t>
      </w:r>
      <w:r w:rsidR="00FC73B6">
        <w:rPr>
          <w:sz w:val="22"/>
          <w:szCs w:val="22"/>
        </w:rPr>
        <w:t>,</w:t>
      </w:r>
      <w:r w:rsidR="00D63FB0" w:rsidRPr="006039C0">
        <w:rPr>
          <w:sz w:val="22"/>
          <w:szCs w:val="22"/>
        </w:rPr>
        <w:t xml:space="preserve"> </w:t>
      </w:r>
      <w:r w:rsidR="004C2FCD" w:rsidRPr="006039C0">
        <w:rPr>
          <w:sz w:val="22"/>
          <w:szCs w:val="22"/>
        </w:rPr>
        <w:t xml:space="preserve">was </w:t>
      </w:r>
      <w:r w:rsidR="00F73D0F" w:rsidRPr="006039C0">
        <w:rPr>
          <w:sz w:val="22"/>
          <w:szCs w:val="22"/>
        </w:rPr>
        <w:t>not different between groups</w:t>
      </w:r>
      <w:r w:rsidR="004C2FCD" w:rsidRPr="006039C0">
        <w:rPr>
          <w:sz w:val="22"/>
          <w:szCs w:val="22"/>
        </w:rPr>
        <w:t xml:space="preserve"> (Figure </w:t>
      </w:r>
      <w:r w:rsidR="00513EA2">
        <w:rPr>
          <w:sz w:val="22"/>
          <w:szCs w:val="22"/>
        </w:rPr>
        <w:t>1E</w:t>
      </w:r>
      <w:r w:rsidR="00D63FB0" w:rsidRPr="006039C0">
        <w:rPr>
          <w:sz w:val="22"/>
          <w:szCs w:val="22"/>
        </w:rPr>
        <w:t>).</w:t>
      </w:r>
    </w:p>
    <w:p w14:paraId="230B354B" w14:textId="77777777" w:rsidR="00413414" w:rsidRDefault="00413414" w:rsidP="00625C45">
      <w:pPr>
        <w:spacing w:line="480" w:lineRule="auto"/>
        <w:rPr>
          <w:sz w:val="22"/>
          <w:szCs w:val="22"/>
        </w:rPr>
      </w:pPr>
    </w:p>
    <w:p w14:paraId="58BB3199" w14:textId="13183C6B" w:rsidR="00413414" w:rsidRPr="00122C75" w:rsidRDefault="00413414" w:rsidP="00FA15C4">
      <w:pPr>
        <w:pStyle w:val="Heading2"/>
        <w:spacing w:before="0" w:line="480" w:lineRule="auto"/>
        <w:rPr>
          <w:sz w:val="22"/>
          <w:szCs w:val="22"/>
        </w:rPr>
      </w:pPr>
      <w:r w:rsidRPr="00122C75">
        <w:rPr>
          <w:sz w:val="22"/>
          <w:szCs w:val="22"/>
        </w:rPr>
        <w:t>MCP230-</w:t>
      </w:r>
      <w:r w:rsidR="005C62DD">
        <w:rPr>
          <w:sz w:val="22"/>
          <w:szCs w:val="22"/>
        </w:rPr>
        <w:t>e</w:t>
      </w:r>
      <w:r w:rsidR="005C62DD" w:rsidRPr="00122C75">
        <w:rPr>
          <w:sz w:val="22"/>
          <w:szCs w:val="22"/>
        </w:rPr>
        <w:t xml:space="preserve">xposed </w:t>
      </w:r>
      <w:r w:rsidR="005C62DD">
        <w:rPr>
          <w:sz w:val="22"/>
          <w:szCs w:val="22"/>
        </w:rPr>
        <w:t>m</w:t>
      </w:r>
      <w:r w:rsidR="005C62DD" w:rsidRPr="00122C75">
        <w:rPr>
          <w:sz w:val="22"/>
          <w:szCs w:val="22"/>
        </w:rPr>
        <w:t xml:space="preserve">ice </w:t>
      </w:r>
      <w:r w:rsidR="005C62DD">
        <w:rPr>
          <w:sz w:val="22"/>
          <w:szCs w:val="22"/>
        </w:rPr>
        <w:t>h</w:t>
      </w:r>
      <w:r w:rsidR="005C62DD" w:rsidRPr="00122C75">
        <w:rPr>
          <w:sz w:val="22"/>
          <w:szCs w:val="22"/>
        </w:rPr>
        <w:t xml:space="preserve">ave </w:t>
      </w:r>
      <w:r w:rsidR="005C62DD">
        <w:rPr>
          <w:sz w:val="22"/>
          <w:szCs w:val="22"/>
        </w:rPr>
        <w:t>r</w:t>
      </w:r>
      <w:r w:rsidR="005C62DD" w:rsidRPr="00122C75">
        <w:rPr>
          <w:sz w:val="22"/>
          <w:szCs w:val="22"/>
        </w:rPr>
        <w:t xml:space="preserve">educed </w:t>
      </w:r>
      <w:r w:rsidR="005C62DD">
        <w:rPr>
          <w:sz w:val="22"/>
          <w:szCs w:val="22"/>
        </w:rPr>
        <w:t>c</w:t>
      </w:r>
      <w:r w:rsidR="005C62DD" w:rsidRPr="00122C75">
        <w:rPr>
          <w:sz w:val="22"/>
          <w:szCs w:val="22"/>
        </w:rPr>
        <w:t xml:space="preserve">aloric </w:t>
      </w:r>
      <w:r w:rsidR="005C62DD">
        <w:rPr>
          <w:sz w:val="22"/>
          <w:szCs w:val="22"/>
        </w:rPr>
        <w:t>i</w:t>
      </w:r>
      <w:r w:rsidR="005C62DD" w:rsidRPr="00122C75">
        <w:rPr>
          <w:sz w:val="22"/>
          <w:szCs w:val="22"/>
        </w:rPr>
        <w:t>ntake</w:t>
      </w:r>
      <w:r w:rsidR="005C62DD">
        <w:rPr>
          <w:sz w:val="22"/>
          <w:szCs w:val="22"/>
        </w:rPr>
        <w:t xml:space="preserve"> </w:t>
      </w:r>
      <w:r w:rsidR="008D7401">
        <w:rPr>
          <w:sz w:val="22"/>
          <w:szCs w:val="22"/>
        </w:rPr>
        <w:t>and increased serum concentrations of leptin, ghrelin and GLP-1</w:t>
      </w:r>
    </w:p>
    <w:p w14:paraId="206A9BC5" w14:textId="759AE6E9" w:rsidR="00413414" w:rsidRPr="00122C75" w:rsidRDefault="00413414" w:rsidP="00896FD8">
      <w:pPr>
        <w:spacing w:line="480" w:lineRule="auto"/>
        <w:rPr>
          <w:sz w:val="22"/>
          <w:szCs w:val="22"/>
        </w:rPr>
      </w:pPr>
      <w:r w:rsidRPr="00122C75">
        <w:rPr>
          <w:sz w:val="22"/>
          <w:szCs w:val="22"/>
        </w:rPr>
        <w:t xml:space="preserve">To determine how energy balance was affected in </w:t>
      </w:r>
      <w:r w:rsidR="008D7401">
        <w:rPr>
          <w:sz w:val="22"/>
          <w:szCs w:val="22"/>
        </w:rPr>
        <w:t>MCP230-exposed</w:t>
      </w:r>
      <w:r w:rsidR="008D7401" w:rsidRPr="00122C75">
        <w:rPr>
          <w:sz w:val="22"/>
          <w:szCs w:val="22"/>
        </w:rPr>
        <w:t xml:space="preserve"> </w:t>
      </w:r>
      <w:r w:rsidRPr="00122C75">
        <w:rPr>
          <w:sz w:val="22"/>
          <w:szCs w:val="22"/>
        </w:rPr>
        <w:t xml:space="preserve">mice, we examined their food intake longitudinally throughout the study.  As shown in Figure </w:t>
      </w:r>
      <w:r w:rsidR="007F21DA">
        <w:rPr>
          <w:sz w:val="22"/>
          <w:szCs w:val="22"/>
        </w:rPr>
        <w:t>2A</w:t>
      </w:r>
      <w:r w:rsidRPr="00122C75">
        <w:rPr>
          <w:sz w:val="22"/>
          <w:szCs w:val="22"/>
        </w:rPr>
        <w:t>, all mice tended to eat less food each week, though this did not reach statistical significance.  Cumulatively, the MCP230</w:t>
      </w:r>
      <w:r w:rsidR="00EC3194">
        <w:rPr>
          <w:sz w:val="22"/>
          <w:szCs w:val="22"/>
        </w:rPr>
        <w:t>-exposed mice</w:t>
      </w:r>
      <w:r w:rsidRPr="00122C75">
        <w:rPr>
          <w:sz w:val="22"/>
          <w:szCs w:val="22"/>
        </w:rPr>
        <w:t xml:space="preserve"> ate less food throughout the diet (-6.3 +/- 1.8 kcal/week/mouse, </w:t>
      </w:r>
      <w:r w:rsidRPr="00122C75">
        <w:rPr>
          <w:sz w:val="22"/>
          <w:szCs w:val="22"/>
        </w:rPr>
        <w:sym w:font="Symbol" w:char="F063"/>
      </w:r>
      <w:r w:rsidRPr="00122C75">
        <w:rPr>
          <w:sz w:val="22"/>
          <w:szCs w:val="22"/>
          <w:vertAlign w:val="superscript"/>
        </w:rPr>
        <w:t>2</w:t>
      </w:r>
      <w:r w:rsidRPr="00122C75">
        <w:rPr>
          <w:sz w:val="22"/>
          <w:szCs w:val="22"/>
        </w:rPr>
        <w:t>=11.6, p=8.0 x 10</w:t>
      </w:r>
      <w:r w:rsidRPr="00122C75">
        <w:rPr>
          <w:sz w:val="22"/>
          <w:szCs w:val="22"/>
          <w:vertAlign w:val="superscript"/>
        </w:rPr>
        <w:t>-4</w:t>
      </w:r>
      <w:r w:rsidRPr="00122C75">
        <w:rPr>
          <w:sz w:val="22"/>
          <w:szCs w:val="22"/>
        </w:rPr>
        <w:t xml:space="preserve">, Figure </w:t>
      </w:r>
      <w:r w:rsidR="007F21DA">
        <w:rPr>
          <w:sz w:val="22"/>
          <w:szCs w:val="22"/>
        </w:rPr>
        <w:t>2B</w:t>
      </w:r>
      <w:r w:rsidRPr="00122C75">
        <w:rPr>
          <w:sz w:val="22"/>
          <w:szCs w:val="22"/>
        </w:rPr>
        <w:t>).  Through</w:t>
      </w:r>
      <w:r w:rsidR="00DC1776">
        <w:rPr>
          <w:sz w:val="22"/>
          <w:szCs w:val="22"/>
        </w:rPr>
        <w:t>out</w:t>
      </w:r>
      <w:r w:rsidRPr="00122C75">
        <w:rPr>
          <w:sz w:val="22"/>
          <w:szCs w:val="22"/>
        </w:rPr>
        <w:t xml:space="preserve"> the 12 week high fat diet treatment</w:t>
      </w:r>
      <w:r w:rsidR="00DC1776">
        <w:rPr>
          <w:sz w:val="22"/>
          <w:szCs w:val="22"/>
        </w:rPr>
        <w:t>,</w:t>
      </w:r>
      <w:r w:rsidRPr="00122C75">
        <w:rPr>
          <w:sz w:val="22"/>
          <w:szCs w:val="22"/>
        </w:rPr>
        <w:t xml:space="preserve"> this corresponds to a 20% reduction in total caloric intake.  These data suggest that the increased body mass of MCP230</w:t>
      </w:r>
      <w:r w:rsidR="00524A1C">
        <w:rPr>
          <w:sz w:val="22"/>
          <w:szCs w:val="22"/>
        </w:rPr>
        <w:t>-</w:t>
      </w:r>
      <w:r w:rsidRPr="00122C75">
        <w:rPr>
          <w:sz w:val="22"/>
          <w:szCs w:val="22"/>
        </w:rPr>
        <w:t xml:space="preserve">exposed mice </w:t>
      </w:r>
      <w:r w:rsidR="00DC1776">
        <w:rPr>
          <w:sz w:val="22"/>
          <w:szCs w:val="22"/>
        </w:rPr>
        <w:t xml:space="preserve">(Figure 1B) </w:t>
      </w:r>
      <w:r w:rsidRPr="00122C75">
        <w:rPr>
          <w:sz w:val="22"/>
          <w:szCs w:val="22"/>
        </w:rPr>
        <w:t xml:space="preserve">was not due to increased caloric intake, as </w:t>
      </w:r>
      <w:r w:rsidR="004017CD" w:rsidRPr="00122C75">
        <w:rPr>
          <w:sz w:val="22"/>
          <w:szCs w:val="22"/>
        </w:rPr>
        <w:t>th</w:t>
      </w:r>
      <w:r w:rsidR="004017CD">
        <w:rPr>
          <w:sz w:val="22"/>
          <w:szCs w:val="22"/>
        </w:rPr>
        <w:t>e caloric intake of MCP230-exposed mice</w:t>
      </w:r>
      <w:r w:rsidR="004017CD" w:rsidRPr="00122C75">
        <w:rPr>
          <w:sz w:val="22"/>
          <w:szCs w:val="22"/>
        </w:rPr>
        <w:t xml:space="preserve"> </w:t>
      </w:r>
      <w:r w:rsidRPr="00122C75">
        <w:rPr>
          <w:sz w:val="22"/>
          <w:szCs w:val="22"/>
        </w:rPr>
        <w:t xml:space="preserve">was </w:t>
      </w:r>
      <w:r w:rsidR="004017CD">
        <w:rPr>
          <w:sz w:val="22"/>
          <w:szCs w:val="22"/>
        </w:rPr>
        <w:t xml:space="preserve">19.2% </w:t>
      </w:r>
      <w:r w:rsidRPr="00122C75">
        <w:rPr>
          <w:sz w:val="22"/>
          <w:szCs w:val="22"/>
        </w:rPr>
        <w:t xml:space="preserve">less </w:t>
      </w:r>
      <w:r w:rsidR="004017CD">
        <w:rPr>
          <w:sz w:val="22"/>
          <w:szCs w:val="22"/>
        </w:rPr>
        <w:t>than</w:t>
      </w:r>
      <w:r w:rsidRPr="00122C75">
        <w:rPr>
          <w:sz w:val="22"/>
          <w:szCs w:val="22"/>
        </w:rPr>
        <w:t xml:space="preserve"> </w:t>
      </w:r>
      <w:r w:rsidR="009802D6">
        <w:rPr>
          <w:sz w:val="22"/>
          <w:szCs w:val="22"/>
        </w:rPr>
        <w:t>that of</w:t>
      </w:r>
      <w:r w:rsidR="004017CD">
        <w:rPr>
          <w:sz w:val="22"/>
          <w:szCs w:val="22"/>
        </w:rPr>
        <w:t xml:space="preserve"> the saline-exposed </w:t>
      </w:r>
      <w:r w:rsidRPr="00122C75">
        <w:rPr>
          <w:sz w:val="22"/>
          <w:szCs w:val="22"/>
        </w:rPr>
        <w:t>mice</w:t>
      </w:r>
      <w:r w:rsidR="004017CD">
        <w:rPr>
          <w:sz w:val="22"/>
          <w:szCs w:val="22"/>
        </w:rPr>
        <w:t xml:space="preserve"> at the end of the high fat diet period</w:t>
      </w:r>
      <w:r w:rsidR="00DC1776">
        <w:rPr>
          <w:sz w:val="22"/>
          <w:szCs w:val="22"/>
        </w:rPr>
        <w:t xml:space="preserve"> (Figure 2.B).</w:t>
      </w:r>
    </w:p>
    <w:p w14:paraId="44B1710F" w14:textId="77777777" w:rsidR="008A533B" w:rsidRDefault="008A533B" w:rsidP="00896FD8">
      <w:pPr>
        <w:spacing w:line="480" w:lineRule="auto"/>
        <w:rPr>
          <w:sz w:val="22"/>
          <w:szCs w:val="22"/>
        </w:rPr>
      </w:pPr>
    </w:p>
    <w:p w14:paraId="505FD17C" w14:textId="0BD61D61" w:rsidR="00AC6D6E" w:rsidRDefault="00B2595D" w:rsidP="00D3063E">
      <w:pPr>
        <w:spacing w:line="480" w:lineRule="auto"/>
        <w:rPr>
          <w:sz w:val="22"/>
          <w:szCs w:val="22"/>
        </w:rPr>
      </w:pPr>
      <w:r>
        <w:rPr>
          <w:sz w:val="22"/>
          <w:szCs w:val="22"/>
        </w:rPr>
        <w:t>L</w:t>
      </w:r>
      <w:r w:rsidR="00AC6D6E" w:rsidRPr="00122C75">
        <w:rPr>
          <w:sz w:val="22"/>
          <w:szCs w:val="22"/>
        </w:rPr>
        <w:t xml:space="preserve">eptin </w:t>
      </w:r>
      <w:r>
        <w:rPr>
          <w:sz w:val="22"/>
          <w:szCs w:val="22"/>
        </w:rPr>
        <w:t>concentrations were</w:t>
      </w:r>
      <w:r w:rsidR="00AC6D6E" w:rsidRPr="00122C75">
        <w:rPr>
          <w:sz w:val="22"/>
          <w:szCs w:val="22"/>
        </w:rPr>
        <w:t xml:space="preserve"> modestly elevated in both fasted and fed </w:t>
      </w:r>
      <w:r w:rsidR="004F5139">
        <w:rPr>
          <w:sz w:val="22"/>
          <w:szCs w:val="22"/>
        </w:rPr>
        <w:t xml:space="preserve">state serum from MCP230-exposed mice </w:t>
      </w:r>
      <w:r w:rsidR="00AC6D6E" w:rsidRPr="00122C75">
        <w:rPr>
          <w:sz w:val="22"/>
          <w:szCs w:val="22"/>
        </w:rPr>
        <w:t>(</w:t>
      </w:r>
      <w:r w:rsidR="00C40BED">
        <w:rPr>
          <w:sz w:val="22"/>
          <w:szCs w:val="22"/>
        </w:rPr>
        <w:t xml:space="preserve">main effects for both feeding state, p=0.002, and treatment, </w:t>
      </w:r>
      <w:r w:rsidR="00AC6D6E" w:rsidRPr="00122C75">
        <w:rPr>
          <w:sz w:val="22"/>
          <w:szCs w:val="22"/>
        </w:rPr>
        <w:t>p</w:t>
      </w:r>
      <w:r w:rsidR="00C40BED">
        <w:rPr>
          <w:sz w:val="22"/>
          <w:szCs w:val="22"/>
        </w:rPr>
        <w:t>=</w:t>
      </w:r>
      <w:r w:rsidR="00AC6D6E" w:rsidRPr="00122C75">
        <w:rPr>
          <w:sz w:val="22"/>
          <w:szCs w:val="22"/>
        </w:rPr>
        <w:t>0.011</w:t>
      </w:r>
      <w:r w:rsidR="00D72273">
        <w:rPr>
          <w:sz w:val="22"/>
          <w:szCs w:val="22"/>
        </w:rPr>
        <w:t>,</w:t>
      </w:r>
      <w:r w:rsidR="00C40BED">
        <w:rPr>
          <w:sz w:val="22"/>
          <w:szCs w:val="22"/>
        </w:rPr>
        <w:t xml:space="preserve"> by 2-way ANOVA, with</w:t>
      </w:r>
      <w:r w:rsidR="00AC6D6E" w:rsidRPr="00122C75">
        <w:rPr>
          <w:sz w:val="22"/>
          <w:szCs w:val="22"/>
        </w:rPr>
        <w:t xml:space="preserve"> post-hoc </w:t>
      </w:r>
      <w:r w:rsidR="00AC6D6E" w:rsidRPr="00122C75">
        <w:rPr>
          <w:i/>
          <w:sz w:val="22"/>
          <w:szCs w:val="22"/>
        </w:rPr>
        <w:t>t-</w:t>
      </w:r>
      <w:r w:rsidR="00AC6D6E" w:rsidRPr="00122C75">
        <w:rPr>
          <w:sz w:val="22"/>
          <w:szCs w:val="22"/>
        </w:rPr>
        <w:t xml:space="preserve">test p-values </w:t>
      </w:r>
      <w:r w:rsidR="00D72273">
        <w:rPr>
          <w:sz w:val="22"/>
          <w:szCs w:val="22"/>
        </w:rPr>
        <w:t>of</w:t>
      </w:r>
      <w:r w:rsidR="00AC6D6E" w:rsidRPr="00122C75">
        <w:rPr>
          <w:sz w:val="22"/>
          <w:szCs w:val="22"/>
        </w:rPr>
        <w:t xml:space="preserve"> 0.058 for</w:t>
      </w:r>
      <w:r w:rsidR="00D72273">
        <w:rPr>
          <w:sz w:val="22"/>
          <w:szCs w:val="22"/>
        </w:rPr>
        <w:t xml:space="preserve"> fasting </w:t>
      </w:r>
      <w:r w:rsidR="00AC6D6E" w:rsidRPr="00122C75">
        <w:rPr>
          <w:sz w:val="22"/>
          <w:szCs w:val="22"/>
        </w:rPr>
        <w:t xml:space="preserve">and p=0.097 for fed leptin </w:t>
      </w:r>
      <w:r w:rsidR="00D72273">
        <w:rPr>
          <w:sz w:val="22"/>
          <w:szCs w:val="22"/>
        </w:rPr>
        <w:t>concentrations</w:t>
      </w:r>
      <w:r>
        <w:rPr>
          <w:sz w:val="22"/>
          <w:szCs w:val="22"/>
        </w:rPr>
        <w:t xml:space="preserve">, Figure </w:t>
      </w:r>
      <w:r w:rsidR="007F21DA">
        <w:rPr>
          <w:sz w:val="22"/>
          <w:szCs w:val="22"/>
        </w:rPr>
        <w:t>2</w:t>
      </w:r>
      <w:r w:rsidR="004624F8">
        <w:rPr>
          <w:sz w:val="22"/>
          <w:szCs w:val="22"/>
        </w:rPr>
        <w:t>C</w:t>
      </w:r>
      <w:r w:rsidR="00AC6D6E" w:rsidRPr="00122C75">
        <w:rPr>
          <w:sz w:val="22"/>
          <w:szCs w:val="22"/>
        </w:rPr>
        <w:t xml:space="preserve">).  </w:t>
      </w:r>
      <w:r w:rsidR="004F5139">
        <w:rPr>
          <w:sz w:val="22"/>
          <w:szCs w:val="22"/>
        </w:rPr>
        <w:t>E</w:t>
      </w:r>
      <w:r w:rsidR="00AC6D6E" w:rsidRPr="00122C75">
        <w:rPr>
          <w:sz w:val="22"/>
          <w:szCs w:val="22"/>
        </w:rPr>
        <w:t xml:space="preserve">levations in circulating leptin levels are consistent with </w:t>
      </w:r>
      <w:r w:rsidR="004F5139">
        <w:rPr>
          <w:sz w:val="22"/>
          <w:szCs w:val="22"/>
        </w:rPr>
        <w:t xml:space="preserve">the </w:t>
      </w:r>
      <w:r w:rsidR="00AC6D6E" w:rsidRPr="00122C75">
        <w:rPr>
          <w:sz w:val="22"/>
          <w:szCs w:val="22"/>
        </w:rPr>
        <w:t>increase</w:t>
      </w:r>
      <w:r w:rsidR="004F5139">
        <w:rPr>
          <w:sz w:val="22"/>
          <w:szCs w:val="22"/>
        </w:rPr>
        <w:t>d</w:t>
      </w:r>
      <w:r w:rsidR="00AC6D6E" w:rsidRPr="00122C75">
        <w:rPr>
          <w:sz w:val="22"/>
          <w:szCs w:val="22"/>
        </w:rPr>
        <w:t xml:space="preserve"> fat mass </w:t>
      </w:r>
      <w:r w:rsidR="004F5139">
        <w:rPr>
          <w:sz w:val="22"/>
          <w:szCs w:val="22"/>
        </w:rPr>
        <w:t xml:space="preserve">observed </w:t>
      </w:r>
      <w:r w:rsidR="004624F8">
        <w:rPr>
          <w:sz w:val="22"/>
          <w:szCs w:val="22"/>
        </w:rPr>
        <w:t>in MCP230-exposed mice (</w:t>
      </w:r>
      <w:r w:rsidR="00AC6D6E" w:rsidRPr="00122C75">
        <w:rPr>
          <w:sz w:val="22"/>
          <w:szCs w:val="22"/>
        </w:rPr>
        <w:t>Figure 1C</w:t>
      </w:r>
      <w:r w:rsidR="004624F8">
        <w:rPr>
          <w:sz w:val="22"/>
          <w:szCs w:val="22"/>
        </w:rPr>
        <w:t>)</w:t>
      </w:r>
      <w:r w:rsidR="00AC6D6E" w:rsidRPr="00122C75">
        <w:rPr>
          <w:sz w:val="22"/>
          <w:szCs w:val="22"/>
        </w:rPr>
        <w:t xml:space="preserve">.  We observed significant </w:t>
      </w:r>
      <w:r w:rsidR="00D3063E">
        <w:rPr>
          <w:sz w:val="22"/>
          <w:szCs w:val="22"/>
        </w:rPr>
        <w:t xml:space="preserve">serum </w:t>
      </w:r>
      <w:r w:rsidR="00AC6D6E" w:rsidRPr="00122C75">
        <w:rPr>
          <w:sz w:val="22"/>
          <w:szCs w:val="22"/>
        </w:rPr>
        <w:t xml:space="preserve">elevations in both the fasting and fed state for </w:t>
      </w:r>
      <w:r w:rsidR="00126EC7">
        <w:rPr>
          <w:sz w:val="22"/>
          <w:szCs w:val="22"/>
        </w:rPr>
        <w:t xml:space="preserve">the hunger-stimulating hormone </w:t>
      </w:r>
      <w:r w:rsidR="00AC6D6E" w:rsidRPr="00122C75">
        <w:rPr>
          <w:sz w:val="22"/>
          <w:szCs w:val="22"/>
        </w:rPr>
        <w:t>Ghrelin</w:t>
      </w:r>
      <w:r w:rsidR="004F5139">
        <w:rPr>
          <w:sz w:val="22"/>
          <w:szCs w:val="22"/>
        </w:rPr>
        <w:t xml:space="preserve"> (</w:t>
      </w:r>
      <w:r w:rsidR="00A4373B">
        <w:rPr>
          <w:sz w:val="22"/>
          <w:szCs w:val="22"/>
        </w:rPr>
        <w:t xml:space="preserve">main effects for both feeding state, p=0.001, and treatment, </w:t>
      </w:r>
      <w:r w:rsidR="00A4373B" w:rsidRPr="00122C75">
        <w:rPr>
          <w:sz w:val="22"/>
          <w:szCs w:val="22"/>
        </w:rPr>
        <w:t>p</w:t>
      </w:r>
      <w:r w:rsidR="00A4373B">
        <w:rPr>
          <w:sz w:val="22"/>
          <w:szCs w:val="22"/>
        </w:rPr>
        <w:t>=6.5 x 10</w:t>
      </w:r>
      <w:r w:rsidR="00A4373B" w:rsidRPr="00305B55">
        <w:rPr>
          <w:sz w:val="22"/>
          <w:szCs w:val="22"/>
          <w:vertAlign w:val="superscript"/>
        </w:rPr>
        <w:t>-</w:t>
      </w:r>
      <w:r w:rsidR="004556EF">
        <w:rPr>
          <w:sz w:val="22"/>
          <w:szCs w:val="22"/>
          <w:vertAlign w:val="superscript"/>
        </w:rPr>
        <w:t>6</w:t>
      </w:r>
      <w:r w:rsidR="00A4373B">
        <w:rPr>
          <w:sz w:val="22"/>
          <w:szCs w:val="22"/>
        </w:rPr>
        <w:t>, by 2-way ANOVA, with</w:t>
      </w:r>
      <w:r w:rsidR="00A4373B" w:rsidRPr="00122C75">
        <w:rPr>
          <w:sz w:val="22"/>
          <w:szCs w:val="22"/>
        </w:rPr>
        <w:t xml:space="preserve"> post-hoc </w:t>
      </w:r>
      <w:r w:rsidR="00A4373B" w:rsidRPr="00122C75">
        <w:rPr>
          <w:i/>
          <w:sz w:val="22"/>
          <w:szCs w:val="22"/>
        </w:rPr>
        <w:t>t-</w:t>
      </w:r>
      <w:r w:rsidR="00A4373B" w:rsidRPr="00122C75">
        <w:rPr>
          <w:sz w:val="22"/>
          <w:szCs w:val="22"/>
        </w:rPr>
        <w:t xml:space="preserve">test p-values </w:t>
      </w:r>
      <w:r w:rsidR="00A4373B">
        <w:rPr>
          <w:sz w:val="22"/>
          <w:szCs w:val="22"/>
        </w:rPr>
        <w:t>of</w:t>
      </w:r>
      <w:r w:rsidR="00A4373B" w:rsidRPr="00122C75">
        <w:rPr>
          <w:sz w:val="22"/>
          <w:szCs w:val="22"/>
        </w:rPr>
        <w:t xml:space="preserve"> 0.0</w:t>
      </w:r>
      <w:r w:rsidR="00590158">
        <w:rPr>
          <w:sz w:val="22"/>
          <w:szCs w:val="22"/>
        </w:rPr>
        <w:t>24</w:t>
      </w:r>
      <w:r w:rsidR="00A4373B" w:rsidRPr="00122C75">
        <w:rPr>
          <w:sz w:val="22"/>
          <w:szCs w:val="22"/>
        </w:rPr>
        <w:t xml:space="preserve"> for</w:t>
      </w:r>
      <w:r w:rsidR="00A4373B">
        <w:rPr>
          <w:sz w:val="22"/>
          <w:szCs w:val="22"/>
        </w:rPr>
        <w:t xml:space="preserve"> fasting </w:t>
      </w:r>
      <w:r w:rsidR="00A4373B" w:rsidRPr="00122C75">
        <w:rPr>
          <w:sz w:val="22"/>
          <w:szCs w:val="22"/>
        </w:rPr>
        <w:t>and p=0.0</w:t>
      </w:r>
      <w:r w:rsidR="00590158">
        <w:rPr>
          <w:sz w:val="22"/>
          <w:szCs w:val="22"/>
        </w:rPr>
        <w:t>002 for fed ghrelin</w:t>
      </w:r>
      <w:r w:rsidR="00A4373B" w:rsidRPr="00122C75">
        <w:rPr>
          <w:sz w:val="22"/>
          <w:szCs w:val="22"/>
        </w:rPr>
        <w:t xml:space="preserve"> </w:t>
      </w:r>
      <w:r w:rsidR="00A4373B">
        <w:rPr>
          <w:sz w:val="22"/>
          <w:szCs w:val="22"/>
        </w:rPr>
        <w:t>concentrations, Figure 2</w:t>
      </w:r>
      <w:r w:rsidR="00590158">
        <w:rPr>
          <w:sz w:val="22"/>
          <w:szCs w:val="22"/>
        </w:rPr>
        <w:t>D)</w:t>
      </w:r>
      <w:r w:rsidR="00AC6D6E" w:rsidRPr="00122C75">
        <w:rPr>
          <w:sz w:val="22"/>
          <w:szCs w:val="22"/>
        </w:rPr>
        <w:t>,</w:t>
      </w:r>
      <w:r w:rsidR="00126EC7">
        <w:rPr>
          <w:sz w:val="22"/>
          <w:szCs w:val="22"/>
        </w:rPr>
        <w:t xml:space="preserve"> which is consistent with the reduced food intake (Figure 2A and B)</w:t>
      </w:r>
      <w:r w:rsidR="00F541F0">
        <w:rPr>
          <w:sz w:val="22"/>
          <w:szCs w:val="22"/>
        </w:rPr>
        <w:t xml:space="preserve"> and reduced energy expenditure (Figure </w:t>
      </w:r>
      <w:r w:rsidR="0082606D">
        <w:rPr>
          <w:sz w:val="22"/>
          <w:szCs w:val="22"/>
        </w:rPr>
        <w:t>4</w:t>
      </w:r>
      <w:r w:rsidR="00F541F0">
        <w:rPr>
          <w:sz w:val="22"/>
          <w:szCs w:val="22"/>
        </w:rPr>
        <w:t>A, B and C) observed in the MCP230-exposed mice</w:t>
      </w:r>
      <w:r w:rsidR="00081D4E">
        <w:rPr>
          <w:sz w:val="22"/>
          <w:szCs w:val="22"/>
        </w:rPr>
        <w:t xml:space="preserve"> </w:t>
      </w:r>
      <w:r w:rsidR="00081D4E" w:rsidRPr="004746C8">
        <w:rPr>
          <w:sz w:val="22"/>
          <w:szCs w:val="22"/>
        </w:rPr>
        <w:fldChar w:fldCharType="begin" w:fldLock="1"/>
      </w:r>
      <w:r w:rsidR="00081D4E" w:rsidRPr="004746C8">
        <w:rPr>
          <w:sz w:val="22"/>
          <w:szCs w:val="22"/>
        </w:rPr>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"mendeley" : { "formattedCitation" : "[37,40]", "plainTextFormattedCitation" : "[37,40]", "previouslyFormattedCitation" : "[36,39]" }, "properties" : { "noteIndex" : 0 }, "schema" : "https://github.com/citation-style-language/schema/raw/master/csl-citation.json" }</w:instrText>
      </w:r>
      <w:r w:rsidR="00081D4E" w:rsidRPr="004746C8">
        <w:rPr>
          <w:sz w:val="22"/>
          <w:szCs w:val="22"/>
        </w:rPr>
        <w:fldChar w:fldCharType="separate"/>
      </w:r>
      <w:r w:rsidR="00081D4E" w:rsidRPr="004746C8">
        <w:rPr>
          <w:noProof/>
          <w:sz w:val="22"/>
          <w:szCs w:val="22"/>
        </w:rPr>
        <w:t>[37,40]</w:t>
      </w:r>
      <w:r w:rsidR="00081D4E" w:rsidRPr="004746C8">
        <w:rPr>
          <w:sz w:val="22"/>
          <w:szCs w:val="22"/>
        </w:rPr>
        <w:fldChar w:fldCharType="end"/>
      </w:r>
      <w:r w:rsidR="00081D4E" w:rsidRPr="00081D4E">
        <w:rPr>
          <w:sz w:val="22"/>
          <w:szCs w:val="22"/>
        </w:rPr>
        <w:t xml:space="preserve"> </w:t>
      </w:r>
      <w:r w:rsidR="00081D4E" w:rsidRPr="004746C8">
        <w:rPr>
          <w:sz w:val="22"/>
          <w:szCs w:val="22"/>
        </w:rPr>
        <w:fldChar w:fldCharType="begin" w:fldLock="1"/>
      </w:r>
      <w:r w:rsidR="00081D4E" w:rsidRPr="004746C8">
        <w:rPr>
          <w:sz w:val="22"/>
          <w:szCs w:val="22"/>
        </w:rPr>
        <w:instrText>ADDIN CSL_CITATION { "citationItems" : [ { "id" : "ITEM-1",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"ITEM-1", "issue" : "6806", "issued" : { "date-parts" : [ [ "2000", "10", "19" ] ] }, "page" : "908-13", "title" : "Ghrelin induces adiposity in rodents.", "type" : "article-journal", "volume" : "407" }, "uris" : [ "http://www.mendeley.com/documents/?uuid=c7c479d3-a8a7-4cdd-8b7c-47f5fd4496f5" ] }, { "id" : "ITEM-2",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"ITEM-2",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"[38,39]", "plainTextFormattedCitation" : "[38,39]", "previouslyFormattedCitation" : "[37,38]" }, "properties" : { "noteIndex" : 0 }, "schema" : "https://github.com/citation-style-language/schema/raw/master/csl-citation.json" }</w:instrText>
      </w:r>
      <w:r w:rsidR="00081D4E" w:rsidRPr="004746C8">
        <w:rPr>
          <w:sz w:val="22"/>
          <w:szCs w:val="22"/>
        </w:rPr>
        <w:fldChar w:fldCharType="separate"/>
      </w:r>
      <w:r w:rsidR="00081D4E" w:rsidRPr="004746C8">
        <w:rPr>
          <w:noProof/>
          <w:sz w:val="22"/>
          <w:szCs w:val="22"/>
        </w:rPr>
        <w:t>[38,39]</w:t>
      </w:r>
      <w:r w:rsidR="00081D4E" w:rsidRPr="004746C8">
        <w:rPr>
          <w:sz w:val="22"/>
          <w:szCs w:val="22"/>
        </w:rPr>
        <w:fldChar w:fldCharType="end"/>
      </w:r>
      <w:r w:rsidR="00126EC7">
        <w:rPr>
          <w:sz w:val="22"/>
          <w:szCs w:val="22"/>
        </w:rPr>
        <w:t>.</w:t>
      </w:r>
      <w:r w:rsidR="00F541F0">
        <w:rPr>
          <w:sz w:val="22"/>
          <w:szCs w:val="22"/>
        </w:rPr>
        <w:t xml:space="preserve"> Similarly, </w:t>
      </w:r>
      <w:r w:rsidR="00AC6D6E" w:rsidRPr="00122C75">
        <w:rPr>
          <w:sz w:val="22"/>
          <w:szCs w:val="22"/>
        </w:rPr>
        <w:t>GLP-1</w:t>
      </w:r>
      <w:r w:rsidR="00E11973">
        <w:rPr>
          <w:sz w:val="22"/>
          <w:szCs w:val="22"/>
        </w:rPr>
        <w:t xml:space="preserve"> </w:t>
      </w:r>
      <w:r w:rsidR="00D806D5">
        <w:rPr>
          <w:sz w:val="22"/>
          <w:szCs w:val="22"/>
        </w:rPr>
        <w:t>was elevated in serum from MCP230-exposed mice in both the fasting and fed state (</w:t>
      </w:r>
      <w:r w:rsidR="0082606D">
        <w:rPr>
          <w:sz w:val="22"/>
          <w:szCs w:val="22"/>
        </w:rPr>
        <w:t xml:space="preserve">main effects for both feeding state, p=0.002, and treatment, </w:t>
      </w:r>
      <w:r w:rsidR="0082606D" w:rsidRPr="00122C75">
        <w:rPr>
          <w:sz w:val="22"/>
          <w:szCs w:val="22"/>
        </w:rPr>
        <w:t>p</w:t>
      </w:r>
      <w:r w:rsidR="0082606D">
        <w:rPr>
          <w:sz w:val="22"/>
          <w:szCs w:val="22"/>
        </w:rPr>
        <w:t>=3.6 x 10</w:t>
      </w:r>
      <w:r w:rsidR="0082606D" w:rsidRPr="00305B55">
        <w:rPr>
          <w:sz w:val="22"/>
          <w:szCs w:val="22"/>
          <w:vertAlign w:val="superscript"/>
        </w:rPr>
        <w:t>-</w:t>
      </w:r>
      <w:r w:rsidR="007D51FD" w:rsidRPr="00305B55">
        <w:rPr>
          <w:sz w:val="22"/>
          <w:szCs w:val="22"/>
          <w:vertAlign w:val="superscript"/>
        </w:rPr>
        <w:t>5</w:t>
      </w:r>
      <w:r w:rsidR="0082606D">
        <w:rPr>
          <w:sz w:val="22"/>
          <w:szCs w:val="22"/>
        </w:rPr>
        <w:t>, by 2-way ANOVA, with</w:t>
      </w:r>
      <w:r w:rsidR="0082606D" w:rsidRPr="00122C75">
        <w:rPr>
          <w:sz w:val="22"/>
          <w:szCs w:val="22"/>
        </w:rPr>
        <w:t xml:space="preserve"> post-hoc </w:t>
      </w:r>
      <w:r w:rsidR="0082606D" w:rsidRPr="00122C75">
        <w:rPr>
          <w:i/>
          <w:sz w:val="22"/>
          <w:szCs w:val="22"/>
        </w:rPr>
        <w:t>t-</w:t>
      </w:r>
      <w:r w:rsidR="0082606D" w:rsidRPr="00122C75">
        <w:rPr>
          <w:sz w:val="22"/>
          <w:szCs w:val="22"/>
        </w:rPr>
        <w:t xml:space="preserve">test p-values </w:t>
      </w:r>
      <w:r w:rsidR="0082606D">
        <w:rPr>
          <w:sz w:val="22"/>
          <w:szCs w:val="22"/>
        </w:rPr>
        <w:t>of</w:t>
      </w:r>
      <w:r w:rsidR="0082606D" w:rsidRPr="00122C75">
        <w:rPr>
          <w:sz w:val="22"/>
          <w:szCs w:val="22"/>
        </w:rPr>
        <w:t xml:space="preserve"> 0.0</w:t>
      </w:r>
      <w:r w:rsidR="00887128">
        <w:rPr>
          <w:sz w:val="22"/>
          <w:szCs w:val="22"/>
        </w:rPr>
        <w:t>24</w:t>
      </w:r>
      <w:r w:rsidR="0082606D" w:rsidRPr="00122C75">
        <w:rPr>
          <w:sz w:val="22"/>
          <w:szCs w:val="22"/>
        </w:rPr>
        <w:t xml:space="preserve"> for</w:t>
      </w:r>
      <w:r w:rsidR="0082606D">
        <w:rPr>
          <w:sz w:val="22"/>
          <w:szCs w:val="22"/>
        </w:rPr>
        <w:t xml:space="preserve"> fasting </w:t>
      </w:r>
      <w:r w:rsidR="0082606D" w:rsidRPr="00122C75">
        <w:rPr>
          <w:sz w:val="22"/>
          <w:szCs w:val="22"/>
        </w:rPr>
        <w:t>and p=0.0</w:t>
      </w:r>
      <w:r w:rsidR="00887128">
        <w:rPr>
          <w:sz w:val="22"/>
          <w:szCs w:val="22"/>
        </w:rPr>
        <w:t>01</w:t>
      </w:r>
      <w:r w:rsidR="0082606D" w:rsidRPr="00122C75">
        <w:rPr>
          <w:sz w:val="22"/>
          <w:szCs w:val="22"/>
        </w:rPr>
        <w:t xml:space="preserve"> for fed </w:t>
      </w:r>
      <w:r w:rsidR="00887128">
        <w:rPr>
          <w:sz w:val="22"/>
          <w:szCs w:val="22"/>
        </w:rPr>
        <w:t>GLP-1</w:t>
      </w:r>
      <w:r w:rsidR="0082606D" w:rsidRPr="00122C75">
        <w:rPr>
          <w:sz w:val="22"/>
          <w:szCs w:val="22"/>
        </w:rPr>
        <w:t xml:space="preserve"> </w:t>
      </w:r>
      <w:r w:rsidR="0082606D">
        <w:rPr>
          <w:sz w:val="22"/>
          <w:szCs w:val="22"/>
        </w:rPr>
        <w:t>concentrations,</w:t>
      </w:r>
      <w:r w:rsidR="00887128">
        <w:rPr>
          <w:sz w:val="22"/>
          <w:szCs w:val="22"/>
        </w:rPr>
        <w:t xml:space="preserve"> </w:t>
      </w:r>
      <w:r w:rsidR="00D806D5">
        <w:rPr>
          <w:sz w:val="22"/>
          <w:szCs w:val="22"/>
        </w:rPr>
        <w:t xml:space="preserve">Figure </w:t>
      </w:r>
      <w:r w:rsidR="00255A78">
        <w:rPr>
          <w:sz w:val="22"/>
          <w:szCs w:val="22"/>
        </w:rPr>
        <w:t>2D</w:t>
      </w:r>
      <w:r w:rsidR="00D806D5">
        <w:rPr>
          <w:sz w:val="22"/>
          <w:szCs w:val="22"/>
        </w:rPr>
        <w:t xml:space="preserve">), which is also consistent with the MCP230-exposed mice eating less (Figure </w:t>
      </w:r>
      <w:r w:rsidR="00CF0D67">
        <w:rPr>
          <w:sz w:val="22"/>
          <w:szCs w:val="22"/>
        </w:rPr>
        <w:t>2</w:t>
      </w:r>
      <w:r w:rsidR="00D806D5">
        <w:rPr>
          <w:sz w:val="22"/>
          <w:szCs w:val="22"/>
        </w:rPr>
        <w:t>A and B)</w:t>
      </w:r>
      <w:r w:rsidR="00C33783">
        <w:rPr>
          <w:sz w:val="22"/>
          <w:szCs w:val="22"/>
        </w:rPr>
        <w:t xml:space="preserve"> </w:t>
      </w:r>
      <w:r w:rsidR="00C33783" w:rsidRPr="004746C8">
        <w:rPr>
          <w:sz w:val="22"/>
          <w:szCs w:val="22"/>
        </w:rPr>
        <w:fldChar w:fldCharType="begin" w:fldLock="1"/>
      </w:r>
      <w:r w:rsidR="00C33783" w:rsidRPr="004746C8">
        <w:rPr>
          <w:sz w:val="22"/>
          <w:szCs w:val="22"/>
        </w:rPr>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"[44,45]", "plainTextFormattedCitation" : "[44,45]", "previouslyFormattedCitation" : "[43,44]" }, "properties" : { "noteIndex" : 0 }, "schema" : "https://github.com/citation-style-language/schema/raw/master/csl-citation.json" }</w:instrText>
      </w:r>
      <w:r w:rsidR="00C33783" w:rsidRPr="004746C8">
        <w:rPr>
          <w:sz w:val="22"/>
          <w:szCs w:val="22"/>
        </w:rPr>
        <w:fldChar w:fldCharType="separate"/>
      </w:r>
      <w:r w:rsidR="00C33783" w:rsidRPr="004746C8">
        <w:rPr>
          <w:noProof/>
          <w:sz w:val="22"/>
          <w:szCs w:val="22"/>
        </w:rPr>
        <w:t>[44,45]</w:t>
      </w:r>
      <w:r w:rsidR="00C33783" w:rsidRPr="004746C8">
        <w:rPr>
          <w:sz w:val="22"/>
          <w:szCs w:val="22"/>
        </w:rPr>
        <w:fldChar w:fldCharType="end"/>
      </w:r>
      <w:r w:rsidR="00D806D5">
        <w:rPr>
          <w:sz w:val="22"/>
          <w:szCs w:val="22"/>
        </w:rPr>
        <w:t xml:space="preserve">. </w:t>
      </w:r>
      <w:r w:rsidR="00E36E1D">
        <w:rPr>
          <w:sz w:val="22"/>
          <w:szCs w:val="22"/>
        </w:rPr>
        <w:t xml:space="preserve">There was a main effect of feeding state for </w:t>
      </w:r>
      <w:r w:rsidR="00E11973" w:rsidRPr="004746C8">
        <w:rPr>
          <w:sz w:val="22"/>
          <w:szCs w:val="22"/>
        </w:rPr>
        <w:t>GIP</w:t>
      </w:r>
      <w:r w:rsidR="00E36E1D">
        <w:rPr>
          <w:sz w:val="22"/>
          <w:szCs w:val="22"/>
        </w:rPr>
        <w:t xml:space="preserve"> concentrations</w:t>
      </w:r>
      <w:r w:rsidR="00E11973">
        <w:rPr>
          <w:sz w:val="22"/>
          <w:szCs w:val="22"/>
        </w:rPr>
        <w:t xml:space="preserve"> (</w:t>
      </w:r>
      <w:r w:rsidR="00E36E1D">
        <w:rPr>
          <w:sz w:val="22"/>
          <w:szCs w:val="22"/>
        </w:rPr>
        <w:t>p=6.0 x 10</w:t>
      </w:r>
      <w:r w:rsidR="00E36E1D" w:rsidRPr="00305B55">
        <w:rPr>
          <w:sz w:val="22"/>
          <w:szCs w:val="22"/>
          <w:vertAlign w:val="superscript"/>
        </w:rPr>
        <w:t>-9</w:t>
      </w:r>
      <w:r w:rsidR="00E36E1D">
        <w:rPr>
          <w:sz w:val="22"/>
          <w:szCs w:val="22"/>
        </w:rPr>
        <w:t xml:space="preserve"> by 2-way ANOVA, </w:t>
      </w:r>
      <w:r w:rsidR="00E11973">
        <w:rPr>
          <w:sz w:val="22"/>
          <w:szCs w:val="22"/>
        </w:rPr>
        <w:t>Figure 3</w:t>
      </w:r>
      <w:r w:rsidR="00777ACC">
        <w:rPr>
          <w:sz w:val="22"/>
          <w:szCs w:val="22"/>
        </w:rPr>
        <w:t>E</w:t>
      </w:r>
      <w:r w:rsidR="00E11973">
        <w:rPr>
          <w:sz w:val="22"/>
          <w:szCs w:val="22"/>
        </w:rPr>
        <w:t>)</w:t>
      </w:r>
      <w:r w:rsidR="009560BA">
        <w:rPr>
          <w:sz w:val="22"/>
          <w:szCs w:val="22"/>
        </w:rPr>
        <w:t xml:space="preserve"> </w:t>
      </w:r>
      <w:r w:rsidR="00E36E1D">
        <w:rPr>
          <w:sz w:val="22"/>
          <w:szCs w:val="22"/>
        </w:rPr>
        <w:t xml:space="preserve">and </w:t>
      </w:r>
      <w:r w:rsidR="00103D39">
        <w:rPr>
          <w:sz w:val="22"/>
          <w:szCs w:val="22"/>
        </w:rPr>
        <w:t>GIP was</w:t>
      </w:r>
      <w:r w:rsidR="00777ACC">
        <w:rPr>
          <w:sz w:val="22"/>
          <w:szCs w:val="22"/>
        </w:rPr>
        <w:t xml:space="preserve"> elevated in serum from MCP230-exposed mice in the </w:t>
      </w:r>
      <w:r w:rsidR="009560BA">
        <w:rPr>
          <w:sz w:val="22"/>
          <w:szCs w:val="22"/>
        </w:rPr>
        <w:t>fasting state</w:t>
      </w:r>
      <w:r w:rsidR="00E11973" w:rsidRPr="004746C8">
        <w:rPr>
          <w:sz w:val="22"/>
          <w:szCs w:val="22"/>
        </w:rPr>
        <w:t xml:space="preserve">, </w:t>
      </w:r>
      <w:r w:rsidR="00E11973">
        <w:rPr>
          <w:sz w:val="22"/>
          <w:szCs w:val="22"/>
        </w:rPr>
        <w:t>al</w:t>
      </w:r>
      <w:r w:rsidR="00E11973" w:rsidRPr="004746C8">
        <w:rPr>
          <w:sz w:val="22"/>
          <w:szCs w:val="22"/>
        </w:rPr>
        <w:t>though the</w:t>
      </w:r>
      <w:r w:rsidR="009560BA">
        <w:rPr>
          <w:sz w:val="22"/>
          <w:szCs w:val="22"/>
        </w:rPr>
        <w:t>se values</w:t>
      </w:r>
      <w:r w:rsidR="00E11973" w:rsidRPr="004746C8">
        <w:rPr>
          <w:sz w:val="22"/>
          <w:szCs w:val="22"/>
        </w:rPr>
        <w:t xml:space="preserve"> did not attain statistical significance (p=0.069 for fasted GIP-1 levels by Wilcoxon Rank Sum Test).</w:t>
      </w:r>
      <w:r w:rsidR="00FE5CB5">
        <w:rPr>
          <w:sz w:val="22"/>
          <w:szCs w:val="22"/>
        </w:rPr>
        <w:t xml:space="preserve"> Although there was a main effect of feeding state for PAI-1 via 2-way ANOVA, neither PAI-1 </w:t>
      </w:r>
      <w:r w:rsidR="005647F3">
        <w:rPr>
          <w:sz w:val="22"/>
          <w:szCs w:val="22"/>
        </w:rPr>
        <w:t>n</w:t>
      </w:r>
      <w:r w:rsidR="00FE5CB5">
        <w:rPr>
          <w:sz w:val="22"/>
          <w:szCs w:val="22"/>
        </w:rPr>
        <w:t xml:space="preserve">or </w:t>
      </w:r>
      <w:proofErr w:type="spellStart"/>
      <w:r w:rsidR="00FE5CB5">
        <w:rPr>
          <w:sz w:val="22"/>
          <w:szCs w:val="22"/>
        </w:rPr>
        <w:t>resistin</w:t>
      </w:r>
      <w:proofErr w:type="spellEnd"/>
      <w:r w:rsidR="00FE5CB5">
        <w:rPr>
          <w:sz w:val="22"/>
          <w:szCs w:val="22"/>
        </w:rPr>
        <w:t xml:space="preserve"> concentrations were different between the two groups </w:t>
      </w:r>
      <w:r w:rsidR="006A6379">
        <w:rPr>
          <w:sz w:val="22"/>
          <w:szCs w:val="22"/>
        </w:rPr>
        <w:t xml:space="preserve">at either time point </w:t>
      </w:r>
      <w:r w:rsidR="00FE5CB5">
        <w:rPr>
          <w:sz w:val="22"/>
          <w:szCs w:val="22"/>
        </w:rPr>
        <w:t>(data not shown).</w:t>
      </w:r>
      <w:r w:rsidR="00E11973" w:rsidRPr="004746C8">
        <w:rPr>
          <w:sz w:val="22"/>
          <w:szCs w:val="22"/>
        </w:rPr>
        <w:t xml:space="preserve"> </w:t>
      </w:r>
    </w:p>
    <w:p w14:paraId="77DBFBAB" w14:textId="77777777" w:rsidR="005F69DA" w:rsidRDefault="005F69DA" w:rsidP="00D3063E">
      <w:pPr>
        <w:spacing w:line="480" w:lineRule="auto"/>
        <w:rPr>
          <w:sz w:val="22"/>
          <w:szCs w:val="22"/>
        </w:rPr>
      </w:pPr>
    </w:p>
    <w:p w14:paraId="664B1DAB" w14:textId="3D22A2AA" w:rsidR="00BE555B" w:rsidRPr="00030A94" w:rsidRDefault="008A533B" w:rsidP="00DB435F">
      <w:pPr>
        <w:spacing w:line="480" w:lineRule="auto"/>
        <w:rPr>
          <w:sz w:val="22"/>
          <w:szCs w:val="22"/>
        </w:rPr>
      </w:pPr>
      <w:r w:rsidRPr="006039C0">
        <w:rPr>
          <w:sz w:val="22"/>
          <w:szCs w:val="22"/>
        </w:rPr>
        <w:t>W</w:t>
      </w:r>
      <w:r w:rsidR="00140BB6" w:rsidRPr="006039C0">
        <w:rPr>
          <w:sz w:val="22"/>
          <w:szCs w:val="22"/>
        </w:rPr>
        <w:t>e next evaluated the extent of obesity related co-morbidities in these mice</w:t>
      </w:r>
      <w:r w:rsidRPr="006039C0">
        <w:rPr>
          <w:sz w:val="22"/>
          <w:szCs w:val="22"/>
        </w:rPr>
        <w:t xml:space="preserve">.  </w:t>
      </w:r>
      <w:r w:rsidR="00550987" w:rsidRPr="006039C0">
        <w:rPr>
          <w:sz w:val="22"/>
          <w:szCs w:val="22"/>
        </w:rPr>
        <w:t>We observed no</w:t>
      </w:r>
      <w:r w:rsidR="008A7513" w:rsidRPr="006039C0">
        <w:rPr>
          <w:sz w:val="22"/>
          <w:szCs w:val="22"/>
        </w:rPr>
        <w:t xml:space="preserve"> changes in </w:t>
      </w:r>
      <w:r w:rsidR="00550987" w:rsidRPr="006039C0">
        <w:rPr>
          <w:sz w:val="22"/>
          <w:szCs w:val="22"/>
        </w:rPr>
        <w:t xml:space="preserve">fasting </w:t>
      </w:r>
      <w:r w:rsidR="008A7513" w:rsidRPr="006039C0">
        <w:rPr>
          <w:sz w:val="22"/>
          <w:szCs w:val="22"/>
        </w:rPr>
        <w:t>blood</w:t>
      </w:r>
      <w:r w:rsidR="00535157" w:rsidRPr="006039C0">
        <w:rPr>
          <w:sz w:val="22"/>
          <w:szCs w:val="22"/>
        </w:rPr>
        <w:t xml:space="preserve"> glucose </w:t>
      </w:r>
      <w:r w:rsidR="00550987" w:rsidRPr="006039C0">
        <w:rPr>
          <w:sz w:val="22"/>
          <w:szCs w:val="22"/>
        </w:rPr>
        <w:t xml:space="preserve">as a result of MCP230 exposure </w:t>
      </w:r>
      <w:r w:rsidR="00535157" w:rsidRPr="006039C0">
        <w:rPr>
          <w:sz w:val="22"/>
          <w:szCs w:val="22"/>
        </w:rPr>
        <w:t xml:space="preserve">(Figure </w:t>
      </w:r>
      <w:r w:rsidR="00891215">
        <w:rPr>
          <w:sz w:val="22"/>
          <w:szCs w:val="22"/>
        </w:rPr>
        <w:t>3A</w:t>
      </w:r>
      <w:r w:rsidR="008A7513" w:rsidRPr="006039C0">
        <w:rPr>
          <w:sz w:val="22"/>
          <w:szCs w:val="22"/>
        </w:rPr>
        <w:t xml:space="preserve">). </w:t>
      </w:r>
      <w:r w:rsidR="00BE555B" w:rsidRPr="005F69DA">
        <w:rPr>
          <w:sz w:val="22"/>
          <w:szCs w:val="22"/>
        </w:rPr>
        <w:t xml:space="preserve">As shown in Figure </w:t>
      </w:r>
      <w:r w:rsidR="00891215">
        <w:rPr>
          <w:sz w:val="22"/>
          <w:szCs w:val="22"/>
        </w:rPr>
        <w:t>3B</w:t>
      </w:r>
      <w:r w:rsidR="00BE555B" w:rsidRPr="005F69DA">
        <w:rPr>
          <w:sz w:val="22"/>
          <w:szCs w:val="22"/>
        </w:rPr>
        <w:t xml:space="preserve">, </w:t>
      </w:r>
      <w:r w:rsidR="00891215">
        <w:rPr>
          <w:sz w:val="22"/>
          <w:szCs w:val="22"/>
        </w:rPr>
        <w:t>there was a main effect of feeding state on serum insulin concentrations (p=3.3 x 10</w:t>
      </w:r>
      <w:r w:rsidR="00891215" w:rsidRPr="00896803">
        <w:rPr>
          <w:sz w:val="22"/>
          <w:szCs w:val="22"/>
          <w:vertAlign w:val="superscript"/>
        </w:rPr>
        <w:t>-6</w:t>
      </w:r>
      <w:r w:rsidR="00891215">
        <w:rPr>
          <w:sz w:val="22"/>
          <w:szCs w:val="22"/>
        </w:rPr>
        <w:t xml:space="preserve">), however, MCP230 exposure </w:t>
      </w:r>
      <w:r w:rsidR="00896803">
        <w:rPr>
          <w:sz w:val="22"/>
          <w:szCs w:val="22"/>
        </w:rPr>
        <w:t xml:space="preserve">had </w:t>
      </w:r>
      <w:r w:rsidR="00891215">
        <w:rPr>
          <w:sz w:val="22"/>
          <w:szCs w:val="22"/>
        </w:rPr>
        <w:t>no</w:t>
      </w:r>
      <w:r w:rsidR="00896803">
        <w:rPr>
          <w:sz w:val="22"/>
          <w:szCs w:val="22"/>
        </w:rPr>
        <w:t xml:space="preserve"> effect,</w:t>
      </w:r>
      <w:r w:rsidR="00891215">
        <w:rPr>
          <w:sz w:val="22"/>
          <w:szCs w:val="22"/>
        </w:rPr>
        <w:t xml:space="preserve"> </w:t>
      </w:r>
      <w:r w:rsidR="00BE555B" w:rsidRPr="005F69DA">
        <w:rPr>
          <w:sz w:val="22"/>
          <w:szCs w:val="22"/>
        </w:rPr>
        <w:t xml:space="preserve">suggesting </w:t>
      </w:r>
      <w:r w:rsidR="0098057C" w:rsidRPr="005F69DA">
        <w:rPr>
          <w:sz w:val="22"/>
          <w:szCs w:val="22"/>
        </w:rPr>
        <w:t xml:space="preserve">that </w:t>
      </w:r>
      <w:r w:rsidR="00BE555B" w:rsidRPr="005F69DA">
        <w:rPr>
          <w:sz w:val="22"/>
          <w:szCs w:val="22"/>
        </w:rPr>
        <w:t xml:space="preserve">insulin </w:t>
      </w:r>
      <w:r w:rsidR="00896803" w:rsidRPr="005F69DA">
        <w:rPr>
          <w:sz w:val="22"/>
          <w:szCs w:val="22"/>
        </w:rPr>
        <w:t>sensitivity</w:t>
      </w:r>
      <w:r w:rsidR="00896803">
        <w:rPr>
          <w:sz w:val="22"/>
          <w:szCs w:val="22"/>
        </w:rPr>
        <w:t xml:space="preserve"> of both </w:t>
      </w:r>
      <w:r w:rsidR="00BE555B" w:rsidRPr="005F69DA">
        <w:rPr>
          <w:sz w:val="22"/>
          <w:szCs w:val="22"/>
        </w:rPr>
        <w:t xml:space="preserve">the saline and MCP230 </w:t>
      </w:r>
      <w:r w:rsidR="00896803">
        <w:rPr>
          <w:sz w:val="22"/>
          <w:szCs w:val="22"/>
        </w:rPr>
        <w:t>exposed</w:t>
      </w:r>
      <w:r w:rsidR="00896803" w:rsidRPr="005F69DA">
        <w:rPr>
          <w:sz w:val="22"/>
          <w:szCs w:val="22"/>
        </w:rPr>
        <w:t xml:space="preserve"> </w:t>
      </w:r>
      <w:r w:rsidR="00BE555B" w:rsidRPr="005F69DA">
        <w:rPr>
          <w:sz w:val="22"/>
          <w:szCs w:val="22"/>
        </w:rPr>
        <w:t xml:space="preserve">mice </w:t>
      </w:r>
      <w:r w:rsidR="00896803">
        <w:rPr>
          <w:sz w:val="22"/>
          <w:szCs w:val="22"/>
        </w:rPr>
        <w:t>was similar in response to the</w:t>
      </w:r>
      <w:r w:rsidR="00BE555B" w:rsidRPr="005F69DA">
        <w:rPr>
          <w:sz w:val="22"/>
          <w:szCs w:val="22"/>
        </w:rPr>
        <w:t xml:space="preserve"> high fat diet.</w:t>
      </w:r>
      <w:r w:rsidR="00140BB6" w:rsidRPr="005F69DA">
        <w:rPr>
          <w:sz w:val="22"/>
          <w:szCs w:val="22"/>
        </w:rPr>
        <w:t xml:space="preserve"> </w:t>
      </w:r>
      <w:r w:rsidR="009C2BA1">
        <w:rPr>
          <w:sz w:val="22"/>
          <w:szCs w:val="22"/>
        </w:rPr>
        <w:t>A main effect of both feeding state (p=7.3 x 10</w:t>
      </w:r>
      <w:r w:rsidR="009C2BA1" w:rsidRPr="00E84C4C">
        <w:rPr>
          <w:sz w:val="22"/>
          <w:szCs w:val="22"/>
          <w:vertAlign w:val="superscript"/>
        </w:rPr>
        <w:t>-5</w:t>
      </w:r>
      <w:r w:rsidR="009C2BA1">
        <w:rPr>
          <w:sz w:val="22"/>
          <w:szCs w:val="22"/>
        </w:rPr>
        <w:t>) and treatment (p=4.0 x 10</w:t>
      </w:r>
      <w:r w:rsidR="009C2BA1" w:rsidRPr="00E84C4C">
        <w:rPr>
          <w:sz w:val="22"/>
          <w:szCs w:val="22"/>
          <w:vertAlign w:val="superscript"/>
        </w:rPr>
        <w:t>-3</w:t>
      </w:r>
      <w:r w:rsidR="009C2BA1">
        <w:rPr>
          <w:sz w:val="22"/>
          <w:szCs w:val="22"/>
        </w:rPr>
        <w:t xml:space="preserve">) </w:t>
      </w:r>
      <w:r w:rsidR="00030A94">
        <w:rPr>
          <w:sz w:val="22"/>
          <w:szCs w:val="22"/>
        </w:rPr>
        <w:t>w</w:t>
      </w:r>
      <w:r w:rsidR="009C2BA1">
        <w:rPr>
          <w:sz w:val="22"/>
          <w:szCs w:val="22"/>
        </w:rPr>
        <w:t>as observed for serum glucagon concentrations</w:t>
      </w:r>
      <w:r w:rsidR="00030A94">
        <w:rPr>
          <w:sz w:val="22"/>
          <w:szCs w:val="22"/>
        </w:rPr>
        <w:t xml:space="preserve">, with MCP230-exposed mice having elevated glucagon </w:t>
      </w:r>
      <w:r w:rsidR="00030A94">
        <w:rPr>
          <w:sz w:val="22"/>
          <w:szCs w:val="22"/>
        </w:rPr>
        <w:lastRenderedPageBreak/>
        <w:t xml:space="preserve">concentrations in the fasted and fed state, although fed state levels did not quite attain statistical significance (p=0.009 and p=0.059, respectively, by post-hoc </w:t>
      </w:r>
      <w:r w:rsidR="00030A94">
        <w:rPr>
          <w:i/>
          <w:sz w:val="22"/>
          <w:szCs w:val="22"/>
        </w:rPr>
        <w:t>t</w:t>
      </w:r>
      <w:r w:rsidR="00030A94">
        <w:rPr>
          <w:sz w:val="22"/>
          <w:szCs w:val="22"/>
        </w:rPr>
        <w:t>-test analysis</w:t>
      </w:r>
      <w:r w:rsidR="002E5C51">
        <w:rPr>
          <w:sz w:val="22"/>
          <w:szCs w:val="22"/>
        </w:rPr>
        <w:t>; Figure 3C</w:t>
      </w:r>
      <w:r w:rsidR="00030A94">
        <w:rPr>
          <w:sz w:val="22"/>
          <w:szCs w:val="22"/>
        </w:rPr>
        <w:t>).</w:t>
      </w:r>
      <w:r w:rsidR="002E5C51">
        <w:rPr>
          <w:sz w:val="22"/>
          <w:szCs w:val="22"/>
        </w:rPr>
        <w:t xml:space="preserve"> </w:t>
      </w:r>
    </w:p>
    <w:p w14:paraId="0B68B146" w14:textId="77777777" w:rsidR="00EF01EC" w:rsidRPr="005F69DA" w:rsidRDefault="00EF01EC">
      <w:pPr>
        <w:spacing w:line="480" w:lineRule="auto"/>
        <w:rPr>
          <w:sz w:val="22"/>
          <w:szCs w:val="22"/>
        </w:rPr>
      </w:pPr>
    </w:p>
    <w:p w14:paraId="4A6593B6" w14:textId="77777777" w:rsidR="00FB2906" w:rsidRPr="005F69DA" w:rsidRDefault="00FB2906" w:rsidP="00300CA9">
      <w:pPr>
        <w:pStyle w:val="Heading2"/>
        <w:spacing w:before="0" w:line="480" w:lineRule="auto"/>
        <w:rPr>
          <w:sz w:val="22"/>
          <w:szCs w:val="22"/>
        </w:rPr>
      </w:pPr>
      <w:r w:rsidRPr="005F69DA">
        <w:rPr>
          <w:sz w:val="22"/>
          <w:szCs w:val="22"/>
        </w:rPr>
        <w:t xml:space="preserve">MCP230 Mice Have </w:t>
      </w:r>
      <w:r w:rsidR="008A533B" w:rsidRPr="005F69DA">
        <w:rPr>
          <w:sz w:val="22"/>
          <w:szCs w:val="22"/>
        </w:rPr>
        <w:t>Reduced</w:t>
      </w:r>
      <w:r w:rsidRPr="005F69DA">
        <w:rPr>
          <w:sz w:val="22"/>
          <w:szCs w:val="22"/>
        </w:rPr>
        <w:t xml:space="preserve"> Energy Expenditure</w:t>
      </w:r>
    </w:p>
    <w:p w14:paraId="7A7D1C22" w14:textId="30BDA941" w:rsidR="00622E03" w:rsidRPr="005F69DA" w:rsidRDefault="004A4358" w:rsidP="00AA41A9">
      <w:pPr>
        <w:spacing w:line="480" w:lineRule="auto"/>
        <w:rPr>
          <w:sz w:val="22"/>
          <w:szCs w:val="22"/>
        </w:rPr>
      </w:pPr>
      <w:r w:rsidRPr="005F69DA">
        <w:rPr>
          <w:sz w:val="22"/>
          <w:szCs w:val="22"/>
        </w:rPr>
        <w:t>Since the MCP230 mice did not appear</w:t>
      </w:r>
      <w:r w:rsidR="00FB1BC5" w:rsidRPr="005F69DA">
        <w:rPr>
          <w:sz w:val="22"/>
          <w:szCs w:val="22"/>
        </w:rPr>
        <w:t xml:space="preserve"> to be</w:t>
      </w:r>
      <w:r w:rsidRPr="005F69DA">
        <w:rPr>
          <w:sz w:val="22"/>
          <w:szCs w:val="22"/>
        </w:rPr>
        <w:t xml:space="preserve"> larger due to excessive caloric intake, we next examined their energy utilization.  </w:t>
      </w:r>
      <w:r w:rsidR="00FB2906" w:rsidRPr="005F69DA">
        <w:rPr>
          <w:sz w:val="22"/>
          <w:szCs w:val="22"/>
        </w:rPr>
        <w:t xml:space="preserve">To evaluate energy expenditure, we </w:t>
      </w:r>
      <w:r w:rsidR="00D25ECD">
        <w:rPr>
          <w:sz w:val="22"/>
          <w:szCs w:val="22"/>
        </w:rPr>
        <w:t xml:space="preserve">individually housed </w:t>
      </w:r>
      <w:r w:rsidR="00243797" w:rsidRPr="005F69DA">
        <w:rPr>
          <w:sz w:val="22"/>
          <w:szCs w:val="22"/>
        </w:rPr>
        <w:t>9</w:t>
      </w:r>
      <w:r w:rsidR="00FB2906" w:rsidRPr="005F69DA">
        <w:rPr>
          <w:sz w:val="22"/>
          <w:szCs w:val="22"/>
        </w:rPr>
        <w:t xml:space="preserve"> week</w:t>
      </w:r>
      <w:r w:rsidR="00D25ECD">
        <w:rPr>
          <w:sz w:val="22"/>
          <w:szCs w:val="22"/>
        </w:rPr>
        <w:t xml:space="preserve"> old mice</w:t>
      </w:r>
      <w:r w:rsidR="00FB2906" w:rsidRPr="005F69DA">
        <w:rPr>
          <w:sz w:val="22"/>
          <w:szCs w:val="22"/>
        </w:rPr>
        <w:t xml:space="preserve"> (prior to HFD)</w:t>
      </w:r>
      <w:r w:rsidR="00243797" w:rsidRPr="005F69DA">
        <w:rPr>
          <w:sz w:val="22"/>
          <w:szCs w:val="22"/>
        </w:rPr>
        <w:t xml:space="preserve"> in </w:t>
      </w:r>
      <w:r w:rsidR="00D25ECD">
        <w:rPr>
          <w:sz w:val="22"/>
          <w:szCs w:val="22"/>
        </w:rPr>
        <w:t xml:space="preserve">metabolic </w:t>
      </w:r>
      <w:r w:rsidR="00243797" w:rsidRPr="005F69DA">
        <w:rPr>
          <w:sz w:val="22"/>
          <w:szCs w:val="22"/>
        </w:rPr>
        <w:t>cages for indirect calorimetry, physical activity monitoring and evaluation of gas exchange rates.</w:t>
      </w:r>
      <w:r w:rsidR="00983BBE">
        <w:rPr>
          <w:sz w:val="22"/>
          <w:szCs w:val="22"/>
        </w:rPr>
        <w:t xml:space="preserve"> </w:t>
      </w:r>
      <w:r w:rsidR="00126ED1" w:rsidRPr="005F69DA">
        <w:rPr>
          <w:sz w:val="22"/>
          <w:szCs w:val="22"/>
        </w:rPr>
        <w:t xml:space="preserve">As shown in Figure </w:t>
      </w:r>
      <w:r w:rsidR="00CA7BAA">
        <w:rPr>
          <w:sz w:val="22"/>
          <w:szCs w:val="22"/>
        </w:rPr>
        <w:t>4A</w:t>
      </w:r>
      <w:r w:rsidR="00126ED1" w:rsidRPr="005F69DA">
        <w:rPr>
          <w:sz w:val="22"/>
          <w:szCs w:val="22"/>
        </w:rPr>
        <w:t xml:space="preserve">, the MCP230 </w:t>
      </w:r>
      <w:r w:rsidR="00CA7BAA">
        <w:rPr>
          <w:sz w:val="22"/>
          <w:szCs w:val="22"/>
        </w:rPr>
        <w:t>exposed</w:t>
      </w:r>
      <w:r w:rsidR="00CA7BAA" w:rsidRPr="005F69DA">
        <w:rPr>
          <w:sz w:val="22"/>
          <w:szCs w:val="22"/>
        </w:rPr>
        <w:t xml:space="preserve"> </w:t>
      </w:r>
      <w:r w:rsidR="00126ED1" w:rsidRPr="005F69DA">
        <w:rPr>
          <w:sz w:val="22"/>
          <w:szCs w:val="22"/>
        </w:rPr>
        <w:t>mice had lower energy expenditure</w:t>
      </w:r>
      <w:r w:rsidR="00FB1BC5" w:rsidRPr="005F69DA">
        <w:rPr>
          <w:sz w:val="22"/>
          <w:szCs w:val="22"/>
        </w:rPr>
        <w:t>,</w:t>
      </w:r>
      <w:r w:rsidR="00126ED1" w:rsidRPr="005F69DA">
        <w:rPr>
          <w:sz w:val="22"/>
          <w:szCs w:val="22"/>
        </w:rPr>
        <w:t xml:space="preserve"> as determined by </w:t>
      </w:r>
      <w:r w:rsidR="00893D24">
        <w:rPr>
          <w:sz w:val="22"/>
          <w:szCs w:val="22"/>
        </w:rPr>
        <w:t>O</w:t>
      </w:r>
      <w:r w:rsidR="00893D24">
        <w:rPr>
          <w:sz w:val="22"/>
          <w:szCs w:val="22"/>
          <w:vertAlign w:val="subscript"/>
        </w:rPr>
        <w:t>2</w:t>
      </w:r>
      <w:r w:rsidR="00893D24" w:rsidRPr="005F69DA">
        <w:rPr>
          <w:sz w:val="22"/>
          <w:szCs w:val="22"/>
        </w:rPr>
        <w:t xml:space="preserve"> </w:t>
      </w:r>
      <w:r w:rsidR="007B2AFE" w:rsidRPr="005F69DA">
        <w:rPr>
          <w:sz w:val="22"/>
          <w:szCs w:val="22"/>
        </w:rPr>
        <w:t>consumption</w:t>
      </w:r>
      <w:r w:rsidR="00FB7EF8" w:rsidRPr="005F69DA">
        <w:rPr>
          <w:sz w:val="22"/>
          <w:szCs w:val="22"/>
        </w:rPr>
        <w:t xml:space="preserve"> (VO</w:t>
      </w:r>
      <w:r w:rsidR="00FB7EF8" w:rsidRPr="005F69DA">
        <w:rPr>
          <w:sz w:val="22"/>
          <w:szCs w:val="22"/>
          <w:vertAlign w:val="subscript"/>
        </w:rPr>
        <w:t>2</w:t>
      </w:r>
      <w:r w:rsidR="00FB7EF8" w:rsidRPr="005F69DA">
        <w:rPr>
          <w:sz w:val="22"/>
          <w:szCs w:val="22"/>
        </w:rPr>
        <w:t>)</w:t>
      </w:r>
      <w:r w:rsidR="00126ED1" w:rsidRPr="005F69DA">
        <w:rPr>
          <w:sz w:val="22"/>
          <w:szCs w:val="22"/>
        </w:rPr>
        <w:t xml:space="preserve">.  Figure </w:t>
      </w:r>
      <w:r w:rsidR="00CA7BAA">
        <w:rPr>
          <w:sz w:val="22"/>
          <w:szCs w:val="22"/>
        </w:rPr>
        <w:t>4B</w:t>
      </w:r>
      <w:r w:rsidR="00CA7BAA" w:rsidRPr="005F69DA">
        <w:rPr>
          <w:sz w:val="22"/>
          <w:szCs w:val="22"/>
        </w:rPr>
        <w:t xml:space="preserve"> </w:t>
      </w:r>
      <w:r w:rsidR="00126ED1" w:rsidRPr="005F69DA">
        <w:rPr>
          <w:sz w:val="22"/>
          <w:szCs w:val="22"/>
        </w:rPr>
        <w:t>de</w:t>
      </w:r>
      <w:r w:rsidR="00952844" w:rsidRPr="005F69DA">
        <w:rPr>
          <w:sz w:val="22"/>
          <w:szCs w:val="22"/>
        </w:rPr>
        <w:t>picts</w:t>
      </w:r>
      <w:r w:rsidR="00622E03" w:rsidRPr="005F69DA">
        <w:rPr>
          <w:sz w:val="22"/>
          <w:szCs w:val="22"/>
        </w:rPr>
        <w:t xml:space="preserve"> the energy expenditure, as determined by the </w:t>
      </w:r>
      <w:r w:rsidR="00952844" w:rsidRPr="005F69DA">
        <w:rPr>
          <w:sz w:val="22"/>
          <w:szCs w:val="22"/>
        </w:rPr>
        <w:t>V</w:t>
      </w:r>
      <w:r w:rsidR="00622E03" w:rsidRPr="005F69DA">
        <w:rPr>
          <w:sz w:val="22"/>
          <w:szCs w:val="22"/>
        </w:rPr>
        <w:t>O</w:t>
      </w:r>
      <w:r w:rsidR="00622E03" w:rsidRPr="005F69DA">
        <w:rPr>
          <w:sz w:val="22"/>
          <w:szCs w:val="22"/>
          <w:vertAlign w:val="subscript"/>
        </w:rPr>
        <w:t>2</w:t>
      </w:r>
      <w:r w:rsidR="00622E03" w:rsidRPr="005F69DA">
        <w:rPr>
          <w:sz w:val="22"/>
          <w:szCs w:val="22"/>
        </w:rPr>
        <w:t xml:space="preserve"> for each mouse, plotted against </w:t>
      </w:r>
      <w:r w:rsidR="00126ED1" w:rsidRPr="005F69DA">
        <w:rPr>
          <w:sz w:val="22"/>
          <w:szCs w:val="22"/>
        </w:rPr>
        <w:t>the animal’s</w:t>
      </w:r>
      <w:r w:rsidR="00622E03" w:rsidRPr="005F69DA">
        <w:rPr>
          <w:sz w:val="22"/>
          <w:szCs w:val="22"/>
        </w:rPr>
        <w:t xml:space="preserve"> </w:t>
      </w:r>
      <w:r w:rsidR="00D74A69" w:rsidRPr="005F69DA">
        <w:rPr>
          <w:sz w:val="22"/>
          <w:szCs w:val="22"/>
        </w:rPr>
        <w:t>fat-free</w:t>
      </w:r>
      <w:r w:rsidR="00622E03" w:rsidRPr="005F69DA">
        <w:rPr>
          <w:sz w:val="22"/>
          <w:szCs w:val="22"/>
        </w:rPr>
        <w:t xml:space="preserve"> mass.  </w:t>
      </w:r>
      <w:r w:rsidR="004C3CD7" w:rsidRPr="005F69DA">
        <w:rPr>
          <w:sz w:val="22"/>
          <w:szCs w:val="22"/>
        </w:rPr>
        <w:t xml:space="preserve">Accounting for change in </w:t>
      </w:r>
      <w:r w:rsidR="00FC28B9" w:rsidRPr="005F69DA">
        <w:rPr>
          <w:sz w:val="22"/>
          <w:szCs w:val="22"/>
        </w:rPr>
        <w:t xml:space="preserve">lean </w:t>
      </w:r>
      <w:r w:rsidR="009332E7" w:rsidRPr="005F69DA">
        <w:rPr>
          <w:sz w:val="22"/>
          <w:szCs w:val="22"/>
        </w:rPr>
        <w:t xml:space="preserve">mass is necessary due to known associations between this covariate </w:t>
      </w:r>
      <w:r w:rsidR="00CA7BAA" w:rsidRPr="005F69DA">
        <w:rPr>
          <w:sz w:val="22"/>
          <w:szCs w:val="22"/>
        </w:rPr>
        <w:t>and</w:t>
      </w:r>
      <w:r w:rsidR="00CA7BAA">
        <w:rPr>
          <w:sz w:val="22"/>
          <w:szCs w:val="22"/>
        </w:rPr>
        <w:t xml:space="preserve"> rates of </w:t>
      </w:r>
      <w:r w:rsidR="009332E7" w:rsidRPr="005F69DA">
        <w:rPr>
          <w:sz w:val="22"/>
          <w:szCs w:val="22"/>
        </w:rPr>
        <w:t>oxygen consumption</w:t>
      </w:r>
      <w:r w:rsidR="004C3CD7" w:rsidRPr="005F69DA">
        <w:rPr>
          <w:sz w:val="22"/>
          <w:szCs w:val="22"/>
        </w:rPr>
        <w:t xml:space="preserve"> </w:t>
      </w:r>
      <w:r w:rsidR="004C3CD7" w:rsidRPr="005F69DA">
        <w:rPr>
          <w:sz w:val="22"/>
          <w:szCs w:val="22"/>
        </w:rPr>
        <w:fldChar w:fldCharType="begin" w:fldLock="1"/>
      </w:r>
      <w:r w:rsidR="00470311" w:rsidRPr="005F69DA">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"[27]", "plainTextFormattedCitation" : "[27]", "previouslyFormattedCitation" : "[26]" }, "properties" : { "noteIndex" : 0 }, "schema" : "https://github.com/citation-style-language/schema/raw/master/csl-citation.json" }</w:instrText>
      </w:r>
      <w:r w:rsidR="004C3CD7" w:rsidRPr="005F69DA">
        <w:rPr>
          <w:sz w:val="22"/>
          <w:szCs w:val="22"/>
        </w:rPr>
        <w:fldChar w:fldCharType="separate"/>
      </w:r>
      <w:r w:rsidR="00470311" w:rsidRPr="005F69DA">
        <w:rPr>
          <w:noProof/>
          <w:sz w:val="22"/>
          <w:szCs w:val="22"/>
        </w:rPr>
        <w:t>[27]</w:t>
      </w:r>
      <w:r w:rsidR="004C3CD7" w:rsidRPr="005F69DA">
        <w:rPr>
          <w:sz w:val="22"/>
          <w:szCs w:val="22"/>
        </w:rPr>
        <w:fldChar w:fldCharType="end"/>
      </w:r>
      <w:r w:rsidR="009332E7" w:rsidRPr="005F69DA">
        <w:rPr>
          <w:sz w:val="22"/>
          <w:szCs w:val="22"/>
        </w:rPr>
        <w:t xml:space="preserve">.  </w:t>
      </w:r>
      <w:r w:rsidR="00126ED1" w:rsidRPr="005F69DA">
        <w:rPr>
          <w:sz w:val="22"/>
          <w:szCs w:val="22"/>
        </w:rPr>
        <w:t>Based on these calculations, w</w:t>
      </w:r>
      <w:r w:rsidR="009332E7" w:rsidRPr="005F69DA">
        <w:rPr>
          <w:sz w:val="22"/>
          <w:szCs w:val="22"/>
        </w:rPr>
        <w:t xml:space="preserve">e observed decreased energy expenditure of the MCP230 </w:t>
      </w:r>
      <w:r w:rsidR="00CA7BAA">
        <w:rPr>
          <w:sz w:val="22"/>
          <w:szCs w:val="22"/>
        </w:rPr>
        <w:t>exposed</w:t>
      </w:r>
      <w:r w:rsidR="009332E7" w:rsidRPr="005F69DA">
        <w:rPr>
          <w:sz w:val="22"/>
          <w:szCs w:val="22"/>
        </w:rPr>
        <w:t xml:space="preserve"> mice in both the dark (-19.1%, p=0.020) and light (-16.8%, p=0.031)</w:t>
      </w:r>
      <w:r w:rsidR="00126ED1" w:rsidRPr="005F69DA">
        <w:rPr>
          <w:sz w:val="22"/>
          <w:szCs w:val="22"/>
        </w:rPr>
        <w:t xml:space="preserve"> phases</w:t>
      </w:r>
      <w:r w:rsidR="009332E7" w:rsidRPr="005F69DA">
        <w:rPr>
          <w:sz w:val="22"/>
          <w:szCs w:val="22"/>
        </w:rPr>
        <w:t>.</w:t>
      </w:r>
    </w:p>
    <w:p w14:paraId="2CAD418F" w14:textId="77777777" w:rsidR="001E12F3" w:rsidRPr="005F69DA" w:rsidRDefault="001E12F3" w:rsidP="00625C45">
      <w:pPr>
        <w:spacing w:line="480" w:lineRule="auto"/>
        <w:rPr>
          <w:sz w:val="22"/>
          <w:szCs w:val="22"/>
        </w:rPr>
      </w:pPr>
    </w:p>
    <w:p w14:paraId="0DB8D282" w14:textId="6DA0FF0F" w:rsidR="001E12F3" w:rsidRPr="005F69DA" w:rsidRDefault="001E12F3" w:rsidP="000634B1">
      <w:pPr>
        <w:spacing w:line="480" w:lineRule="auto"/>
        <w:rPr>
          <w:sz w:val="22"/>
          <w:szCs w:val="22"/>
        </w:rPr>
      </w:pPr>
      <w:r w:rsidRPr="005F69DA">
        <w:rPr>
          <w:sz w:val="22"/>
          <w:szCs w:val="22"/>
        </w:rPr>
        <w:t xml:space="preserve">To determine whether these decreases in energy expenditure were </w:t>
      </w:r>
      <w:r w:rsidR="00983BBE">
        <w:rPr>
          <w:sz w:val="22"/>
          <w:szCs w:val="22"/>
        </w:rPr>
        <w:t>associated</w:t>
      </w:r>
      <w:r w:rsidR="00983BBE" w:rsidRPr="005F69DA">
        <w:rPr>
          <w:sz w:val="22"/>
          <w:szCs w:val="22"/>
        </w:rPr>
        <w:t xml:space="preserve"> </w:t>
      </w:r>
      <w:r w:rsidR="008612D1" w:rsidRPr="005F69DA">
        <w:rPr>
          <w:sz w:val="22"/>
          <w:szCs w:val="22"/>
        </w:rPr>
        <w:t>with changes in</w:t>
      </w:r>
      <w:r w:rsidRPr="005F69DA">
        <w:rPr>
          <w:sz w:val="22"/>
          <w:szCs w:val="22"/>
        </w:rPr>
        <w:t xml:space="preserve"> </w:t>
      </w:r>
      <w:r w:rsidR="00983BBE">
        <w:rPr>
          <w:sz w:val="22"/>
          <w:szCs w:val="22"/>
        </w:rPr>
        <w:t>physical</w:t>
      </w:r>
      <w:r w:rsidR="00983BBE" w:rsidRPr="005F69DA">
        <w:rPr>
          <w:sz w:val="22"/>
          <w:szCs w:val="22"/>
        </w:rPr>
        <w:t xml:space="preserve"> </w:t>
      </w:r>
      <w:r w:rsidRPr="005F69DA">
        <w:rPr>
          <w:sz w:val="22"/>
          <w:szCs w:val="22"/>
        </w:rPr>
        <w:t xml:space="preserve">activity, we monitored </w:t>
      </w:r>
      <w:r w:rsidR="00983BBE">
        <w:rPr>
          <w:sz w:val="22"/>
          <w:szCs w:val="22"/>
        </w:rPr>
        <w:t xml:space="preserve">the </w:t>
      </w:r>
      <w:r w:rsidRPr="005F69DA">
        <w:rPr>
          <w:sz w:val="22"/>
          <w:szCs w:val="22"/>
        </w:rPr>
        <w:t xml:space="preserve">ambulatory </w:t>
      </w:r>
      <w:r w:rsidR="00983BBE">
        <w:rPr>
          <w:sz w:val="22"/>
          <w:szCs w:val="22"/>
        </w:rPr>
        <w:t>movements</w:t>
      </w:r>
      <w:r w:rsidR="00983BBE" w:rsidRPr="005F69DA">
        <w:rPr>
          <w:sz w:val="22"/>
          <w:szCs w:val="22"/>
        </w:rPr>
        <w:t xml:space="preserve"> </w:t>
      </w:r>
      <w:r w:rsidRPr="005F69DA">
        <w:rPr>
          <w:sz w:val="22"/>
          <w:szCs w:val="22"/>
        </w:rPr>
        <w:t>of these mice</w:t>
      </w:r>
      <w:r w:rsidR="00D67262">
        <w:rPr>
          <w:sz w:val="22"/>
          <w:szCs w:val="22"/>
        </w:rPr>
        <w:t xml:space="preserve"> while they were housed in the metabolic cages</w:t>
      </w:r>
      <w:r w:rsidRPr="005F69DA">
        <w:rPr>
          <w:sz w:val="22"/>
          <w:szCs w:val="22"/>
        </w:rPr>
        <w:t xml:space="preserve">.  As shown in Figure </w:t>
      </w:r>
      <w:r w:rsidR="00D67262">
        <w:rPr>
          <w:sz w:val="22"/>
          <w:szCs w:val="22"/>
        </w:rPr>
        <w:t>4C</w:t>
      </w:r>
      <w:r w:rsidRPr="005F69DA">
        <w:rPr>
          <w:sz w:val="22"/>
          <w:szCs w:val="22"/>
        </w:rPr>
        <w:t xml:space="preserve">, </w:t>
      </w:r>
      <w:r w:rsidR="008438CD">
        <w:rPr>
          <w:sz w:val="22"/>
          <w:szCs w:val="22"/>
        </w:rPr>
        <w:t xml:space="preserve">compared to the control groups, </w:t>
      </w:r>
      <w:r w:rsidRPr="005F69DA">
        <w:rPr>
          <w:sz w:val="22"/>
          <w:szCs w:val="22"/>
        </w:rPr>
        <w:t xml:space="preserve">we observed </w:t>
      </w:r>
      <w:r w:rsidR="00DE49ED" w:rsidRPr="005F69DA">
        <w:rPr>
          <w:sz w:val="22"/>
          <w:szCs w:val="22"/>
        </w:rPr>
        <w:t xml:space="preserve">21.4% (p=0.040) and </w:t>
      </w:r>
      <w:r w:rsidR="00B425D2" w:rsidRPr="005F69DA">
        <w:rPr>
          <w:sz w:val="22"/>
          <w:szCs w:val="22"/>
        </w:rPr>
        <w:t xml:space="preserve">26.2% </w:t>
      </w:r>
      <w:r w:rsidR="00D67262" w:rsidRPr="005F69DA">
        <w:rPr>
          <w:sz w:val="22"/>
          <w:szCs w:val="22"/>
        </w:rPr>
        <w:t>(p=0.0099)</w:t>
      </w:r>
      <w:r w:rsidR="00D67262">
        <w:rPr>
          <w:sz w:val="22"/>
          <w:szCs w:val="22"/>
        </w:rPr>
        <w:t xml:space="preserve"> </w:t>
      </w:r>
      <w:r w:rsidR="00D67262" w:rsidRPr="005F69DA">
        <w:rPr>
          <w:sz w:val="22"/>
          <w:szCs w:val="22"/>
        </w:rPr>
        <w:t>reduction</w:t>
      </w:r>
      <w:r w:rsidR="00D67262">
        <w:rPr>
          <w:sz w:val="22"/>
          <w:szCs w:val="22"/>
        </w:rPr>
        <w:t>s</w:t>
      </w:r>
      <w:r w:rsidR="00D67262" w:rsidRPr="005F69DA">
        <w:rPr>
          <w:sz w:val="22"/>
          <w:szCs w:val="22"/>
        </w:rPr>
        <w:t xml:space="preserve"> in physical activity </w:t>
      </w:r>
      <w:r w:rsidR="009060CD">
        <w:rPr>
          <w:sz w:val="22"/>
          <w:szCs w:val="22"/>
        </w:rPr>
        <w:t xml:space="preserve">for the </w:t>
      </w:r>
      <w:r w:rsidR="00D67262">
        <w:rPr>
          <w:sz w:val="22"/>
          <w:szCs w:val="22"/>
        </w:rPr>
        <w:t xml:space="preserve">MCP230-exposed mice </w:t>
      </w:r>
      <w:r w:rsidR="00D67262" w:rsidRPr="005F69DA">
        <w:rPr>
          <w:sz w:val="22"/>
          <w:szCs w:val="22"/>
        </w:rPr>
        <w:t xml:space="preserve">in the dark </w:t>
      </w:r>
      <w:r w:rsidR="00D67262">
        <w:rPr>
          <w:sz w:val="22"/>
          <w:szCs w:val="22"/>
        </w:rPr>
        <w:t xml:space="preserve">and light </w:t>
      </w:r>
      <w:r w:rsidR="00D67262" w:rsidRPr="005F69DA">
        <w:rPr>
          <w:sz w:val="22"/>
          <w:szCs w:val="22"/>
        </w:rPr>
        <w:t>phase</w:t>
      </w:r>
      <w:r w:rsidR="00D67262">
        <w:rPr>
          <w:sz w:val="22"/>
          <w:szCs w:val="22"/>
        </w:rPr>
        <w:t>s, respectively.</w:t>
      </w:r>
      <w:r w:rsidR="00D67262" w:rsidRPr="005F69DA">
        <w:rPr>
          <w:sz w:val="22"/>
          <w:szCs w:val="22"/>
        </w:rPr>
        <w:t xml:space="preserve"> </w:t>
      </w:r>
    </w:p>
    <w:p w14:paraId="06708A9D" w14:textId="77777777" w:rsidR="007B2AFE" w:rsidRPr="005F69DA" w:rsidRDefault="007B2AFE" w:rsidP="00DB435F">
      <w:pPr>
        <w:spacing w:line="480" w:lineRule="auto"/>
        <w:rPr>
          <w:sz w:val="22"/>
          <w:szCs w:val="22"/>
        </w:rPr>
      </w:pPr>
    </w:p>
    <w:p w14:paraId="26826428" w14:textId="7C1151B1" w:rsidR="007B2AFE" w:rsidRPr="005F69DA" w:rsidRDefault="007B2AFE">
      <w:pPr>
        <w:spacing w:line="480" w:lineRule="auto"/>
        <w:rPr>
          <w:sz w:val="22"/>
          <w:szCs w:val="22"/>
        </w:rPr>
      </w:pPr>
      <w:r w:rsidRPr="005F69DA">
        <w:rPr>
          <w:sz w:val="22"/>
          <w:szCs w:val="22"/>
        </w:rPr>
        <w:t xml:space="preserve">We next evaluated </w:t>
      </w:r>
      <w:r w:rsidR="00125748" w:rsidRPr="005F69DA">
        <w:rPr>
          <w:sz w:val="22"/>
          <w:szCs w:val="22"/>
        </w:rPr>
        <w:t xml:space="preserve">energy </w:t>
      </w:r>
      <w:r w:rsidRPr="005F69DA">
        <w:rPr>
          <w:sz w:val="22"/>
          <w:szCs w:val="22"/>
        </w:rPr>
        <w:t xml:space="preserve">substrate preference by analyzing the respiratory exchange ratio of the three groups.  When this ratio nears 1, that indicates preference </w:t>
      </w:r>
      <w:r w:rsidR="005259C7">
        <w:rPr>
          <w:sz w:val="22"/>
          <w:szCs w:val="22"/>
        </w:rPr>
        <w:t xml:space="preserve">for </w:t>
      </w:r>
      <w:r w:rsidR="00FA19E4">
        <w:rPr>
          <w:sz w:val="22"/>
          <w:szCs w:val="22"/>
        </w:rPr>
        <w:t xml:space="preserve">predominately </w:t>
      </w:r>
      <w:r w:rsidRPr="005F69DA">
        <w:rPr>
          <w:sz w:val="22"/>
          <w:szCs w:val="22"/>
        </w:rPr>
        <w:t>carbohydrate</w:t>
      </w:r>
      <w:r w:rsidR="00125748" w:rsidRPr="005F69DA">
        <w:rPr>
          <w:sz w:val="22"/>
          <w:szCs w:val="22"/>
        </w:rPr>
        <w:t xml:space="preserve"> </w:t>
      </w:r>
      <w:r w:rsidR="005259C7">
        <w:rPr>
          <w:sz w:val="22"/>
          <w:szCs w:val="22"/>
        </w:rPr>
        <w:t xml:space="preserve">as </w:t>
      </w:r>
      <w:r w:rsidR="005259C7" w:rsidRPr="005F69DA">
        <w:rPr>
          <w:sz w:val="22"/>
          <w:szCs w:val="22"/>
        </w:rPr>
        <w:t xml:space="preserve"> </w:t>
      </w:r>
      <w:r w:rsidR="00125748" w:rsidRPr="005F69DA">
        <w:rPr>
          <w:sz w:val="22"/>
          <w:szCs w:val="22"/>
        </w:rPr>
        <w:t>fuel</w:t>
      </w:r>
      <w:r w:rsidRPr="005F69DA">
        <w:rPr>
          <w:sz w:val="22"/>
          <w:szCs w:val="22"/>
        </w:rPr>
        <w:t xml:space="preserve"> and as it nears 0.7 it indicates utilization of </w:t>
      </w:r>
      <w:r w:rsidR="00125748" w:rsidRPr="005F69DA">
        <w:rPr>
          <w:sz w:val="22"/>
          <w:szCs w:val="22"/>
        </w:rPr>
        <w:t xml:space="preserve">mainly </w:t>
      </w:r>
      <w:r w:rsidRPr="005F69DA">
        <w:rPr>
          <w:sz w:val="22"/>
          <w:szCs w:val="22"/>
        </w:rPr>
        <w:t>lipids</w:t>
      </w:r>
      <w:r w:rsidR="00462A1C" w:rsidRPr="005F69DA">
        <w:rPr>
          <w:sz w:val="22"/>
          <w:szCs w:val="22"/>
        </w:rPr>
        <w:t xml:space="preserve"> </w:t>
      </w:r>
      <w:r w:rsidR="00462A1C" w:rsidRPr="005F69DA">
        <w:rPr>
          <w:sz w:val="22"/>
          <w:szCs w:val="22"/>
        </w:rPr>
        <w:fldChar w:fldCharType="begin" w:fldLock="1"/>
      </w:r>
      <w:r w:rsidR="00470311" w:rsidRPr="005F69DA">
        <w:rPr>
          <w:sz w:val="22"/>
          <w:szCs w:val="22"/>
        </w:rPr>
        <w: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"[28]", "plainTextFormattedCitation" : "[28]", "previouslyFormattedCitation" : "[27]" }, "properties" : { "noteIndex" : 0 }, "schema" : "https://github.com/citation-style-language/schema/raw/master/csl-citation.json" }</w:instrText>
      </w:r>
      <w:r w:rsidR="00462A1C" w:rsidRPr="005F69DA">
        <w:rPr>
          <w:sz w:val="22"/>
          <w:szCs w:val="22"/>
        </w:rPr>
        <w:fldChar w:fldCharType="separate"/>
      </w:r>
      <w:r w:rsidR="00470311" w:rsidRPr="005F69DA">
        <w:rPr>
          <w:noProof/>
          <w:sz w:val="22"/>
          <w:szCs w:val="22"/>
        </w:rPr>
        <w:t>[28]</w:t>
      </w:r>
      <w:r w:rsidR="00462A1C" w:rsidRPr="005F69DA">
        <w:rPr>
          <w:sz w:val="22"/>
          <w:szCs w:val="22"/>
        </w:rPr>
        <w:fldChar w:fldCharType="end"/>
      </w:r>
      <w:r w:rsidRPr="005F69DA">
        <w:rPr>
          <w:sz w:val="22"/>
          <w:szCs w:val="22"/>
        </w:rPr>
        <w:t xml:space="preserve">.  Although there was no difference </w:t>
      </w:r>
      <w:r w:rsidR="009918AD">
        <w:rPr>
          <w:sz w:val="22"/>
          <w:szCs w:val="22"/>
        </w:rPr>
        <w:t xml:space="preserve">in the respiratory exchange ratio </w:t>
      </w:r>
      <w:r w:rsidRPr="005F69DA">
        <w:rPr>
          <w:sz w:val="22"/>
          <w:szCs w:val="22"/>
        </w:rPr>
        <w:t xml:space="preserve">between MCP230 and </w:t>
      </w:r>
      <w:proofErr w:type="spellStart"/>
      <w:r w:rsidRPr="005F69DA">
        <w:rPr>
          <w:sz w:val="22"/>
          <w:szCs w:val="22"/>
        </w:rPr>
        <w:t>cabosil</w:t>
      </w:r>
      <w:proofErr w:type="spellEnd"/>
      <w:r w:rsidRPr="005F69DA">
        <w:rPr>
          <w:sz w:val="22"/>
          <w:szCs w:val="22"/>
        </w:rPr>
        <w:t xml:space="preserve"> </w:t>
      </w:r>
      <w:r w:rsidR="00FA19E4">
        <w:rPr>
          <w:sz w:val="22"/>
          <w:szCs w:val="22"/>
        </w:rPr>
        <w:t>exposed</w:t>
      </w:r>
      <w:r w:rsidR="00FA19E4" w:rsidRPr="005F69DA">
        <w:rPr>
          <w:sz w:val="22"/>
          <w:szCs w:val="22"/>
        </w:rPr>
        <w:t xml:space="preserve"> </w:t>
      </w:r>
      <w:r w:rsidRPr="005F69DA">
        <w:rPr>
          <w:sz w:val="22"/>
          <w:szCs w:val="22"/>
        </w:rPr>
        <w:t xml:space="preserve">mice, we did observe a significant elevation (carbohydrate preference) </w:t>
      </w:r>
      <w:r w:rsidR="00FA19E4">
        <w:rPr>
          <w:sz w:val="22"/>
          <w:szCs w:val="22"/>
        </w:rPr>
        <w:t>in</w:t>
      </w:r>
      <w:r w:rsidR="00FA19E4" w:rsidRPr="005F69DA">
        <w:rPr>
          <w:sz w:val="22"/>
          <w:szCs w:val="22"/>
        </w:rPr>
        <w:t xml:space="preserve"> </w:t>
      </w:r>
      <w:r w:rsidRPr="005F69DA">
        <w:rPr>
          <w:sz w:val="22"/>
          <w:szCs w:val="22"/>
        </w:rPr>
        <w:t xml:space="preserve">the saline </w:t>
      </w:r>
      <w:r w:rsidR="00FA19E4">
        <w:rPr>
          <w:sz w:val="22"/>
          <w:szCs w:val="22"/>
        </w:rPr>
        <w:t>exposed</w:t>
      </w:r>
      <w:r w:rsidR="00FA19E4" w:rsidRPr="005F69DA">
        <w:rPr>
          <w:sz w:val="22"/>
          <w:szCs w:val="22"/>
        </w:rPr>
        <w:t xml:space="preserve"> </w:t>
      </w:r>
      <w:r w:rsidRPr="005F69DA">
        <w:rPr>
          <w:sz w:val="22"/>
          <w:szCs w:val="22"/>
        </w:rPr>
        <w:t>mice</w:t>
      </w:r>
      <w:r w:rsidR="005259C7">
        <w:rPr>
          <w:sz w:val="22"/>
          <w:szCs w:val="22"/>
        </w:rPr>
        <w:t xml:space="preserve"> during</w:t>
      </w:r>
      <w:r w:rsidR="005259C7" w:rsidRPr="005F69DA">
        <w:rPr>
          <w:sz w:val="22"/>
          <w:szCs w:val="22"/>
        </w:rPr>
        <w:t xml:space="preserve"> both the light and dark phases</w:t>
      </w:r>
      <w:r w:rsidR="000A578E" w:rsidRPr="005F69DA">
        <w:rPr>
          <w:sz w:val="22"/>
          <w:szCs w:val="22"/>
        </w:rPr>
        <w:t xml:space="preserve"> relative to </w:t>
      </w:r>
      <w:r w:rsidR="00145BFA">
        <w:rPr>
          <w:sz w:val="22"/>
          <w:szCs w:val="22"/>
        </w:rPr>
        <w:t xml:space="preserve">mice exposed to </w:t>
      </w:r>
      <w:r w:rsidR="005259C7">
        <w:rPr>
          <w:sz w:val="22"/>
          <w:szCs w:val="22"/>
        </w:rPr>
        <w:t xml:space="preserve">either the </w:t>
      </w:r>
      <w:r w:rsidR="006776BE">
        <w:rPr>
          <w:sz w:val="22"/>
          <w:szCs w:val="22"/>
        </w:rPr>
        <w:t xml:space="preserve">vehicle </w:t>
      </w:r>
      <w:r w:rsidR="000A578E" w:rsidRPr="005F69DA">
        <w:rPr>
          <w:sz w:val="22"/>
          <w:szCs w:val="22"/>
        </w:rPr>
        <w:t>control (</w:t>
      </w:r>
      <w:proofErr w:type="spellStart"/>
      <w:r w:rsidR="000A578E" w:rsidRPr="005F69DA">
        <w:rPr>
          <w:sz w:val="22"/>
          <w:szCs w:val="22"/>
        </w:rPr>
        <w:t>cabosil</w:t>
      </w:r>
      <w:proofErr w:type="spellEnd"/>
      <w:r w:rsidR="000A578E" w:rsidRPr="005F69DA">
        <w:rPr>
          <w:sz w:val="22"/>
          <w:szCs w:val="22"/>
        </w:rPr>
        <w:t xml:space="preserve">) or EPFR (MCP230) </w:t>
      </w:r>
      <w:r w:rsidR="009D54BB" w:rsidRPr="005F69DA">
        <w:rPr>
          <w:sz w:val="22"/>
          <w:szCs w:val="22"/>
        </w:rPr>
        <w:t xml:space="preserve">(Figure </w:t>
      </w:r>
      <w:r w:rsidR="00FA19E4">
        <w:rPr>
          <w:sz w:val="22"/>
          <w:szCs w:val="22"/>
        </w:rPr>
        <w:t>4D</w:t>
      </w:r>
      <w:r w:rsidR="00462A1C" w:rsidRPr="005F69DA">
        <w:rPr>
          <w:sz w:val="22"/>
          <w:szCs w:val="22"/>
        </w:rPr>
        <w:t>)</w:t>
      </w:r>
      <w:r w:rsidRPr="005F69DA">
        <w:rPr>
          <w:sz w:val="22"/>
          <w:szCs w:val="22"/>
        </w:rPr>
        <w:t xml:space="preserve">.  These data indicate that the </w:t>
      </w:r>
      <w:r w:rsidRPr="005F69DA">
        <w:rPr>
          <w:sz w:val="22"/>
          <w:szCs w:val="22"/>
        </w:rPr>
        <w:lastRenderedPageBreak/>
        <w:t>unconjugated particle exposure itself (though not the EPFR group) may alter substrate preference in these mice.</w:t>
      </w:r>
    </w:p>
    <w:p w14:paraId="73491211" w14:textId="77777777" w:rsidR="008A533B" w:rsidRPr="005F69DA" w:rsidRDefault="008A533B">
      <w:pPr>
        <w:spacing w:line="480" w:lineRule="auto"/>
        <w:rPr>
          <w:sz w:val="22"/>
          <w:szCs w:val="22"/>
        </w:rPr>
      </w:pPr>
    </w:p>
    <w:p w14:paraId="55471793" w14:textId="77777777" w:rsidR="008A533B" w:rsidRPr="005F69DA" w:rsidRDefault="00631F34" w:rsidP="00FA15C4">
      <w:pPr>
        <w:pStyle w:val="Heading2"/>
        <w:spacing w:before="0" w:line="480" w:lineRule="auto"/>
        <w:rPr>
          <w:sz w:val="22"/>
          <w:szCs w:val="22"/>
        </w:rPr>
      </w:pPr>
      <w:r w:rsidRPr="005F69DA">
        <w:rPr>
          <w:sz w:val="22"/>
          <w:szCs w:val="22"/>
        </w:rPr>
        <w:t>Skeletal Muscle</w:t>
      </w:r>
      <w:r w:rsidR="008A533B" w:rsidRPr="005F69DA">
        <w:rPr>
          <w:sz w:val="22"/>
          <w:szCs w:val="22"/>
        </w:rPr>
        <w:t xml:space="preserve"> from MCP230 Treated Mice Have Reduced Mitochondrial </w:t>
      </w:r>
      <w:r w:rsidR="00795012" w:rsidRPr="005F69DA">
        <w:rPr>
          <w:sz w:val="22"/>
          <w:szCs w:val="22"/>
        </w:rPr>
        <w:t>DNA Copy Number</w:t>
      </w:r>
      <w:r w:rsidR="00743FA3" w:rsidRPr="005F69DA">
        <w:rPr>
          <w:sz w:val="22"/>
          <w:szCs w:val="22"/>
        </w:rPr>
        <w:t xml:space="preserve"> and a Lower Citrate Synthase Activity</w:t>
      </w:r>
    </w:p>
    <w:p w14:paraId="236056EB" w14:textId="189A2689" w:rsidR="0036482C" w:rsidRPr="005F69DA" w:rsidRDefault="00410F14" w:rsidP="00896FD8">
      <w:pPr>
        <w:spacing w:line="480" w:lineRule="auto"/>
        <w:rPr>
          <w:sz w:val="22"/>
          <w:szCs w:val="22"/>
        </w:rPr>
      </w:pPr>
      <w:r w:rsidRPr="005F69DA">
        <w:rPr>
          <w:sz w:val="22"/>
          <w:szCs w:val="22"/>
        </w:rPr>
        <w:t xml:space="preserve">Due to the observed reductions in </w:t>
      </w:r>
      <w:r w:rsidR="00147DCC" w:rsidRPr="005F69DA">
        <w:rPr>
          <w:sz w:val="22"/>
          <w:szCs w:val="22"/>
        </w:rPr>
        <w:t xml:space="preserve">whole-body </w:t>
      </w:r>
      <w:r w:rsidRPr="005F69DA">
        <w:rPr>
          <w:sz w:val="22"/>
          <w:szCs w:val="22"/>
        </w:rPr>
        <w:t xml:space="preserve">oxygen consumption and </w:t>
      </w:r>
      <w:r w:rsidR="00147DCC" w:rsidRPr="005F69DA">
        <w:rPr>
          <w:sz w:val="22"/>
          <w:szCs w:val="22"/>
        </w:rPr>
        <w:t xml:space="preserve">total </w:t>
      </w:r>
      <w:r w:rsidRPr="005F69DA">
        <w:rPr>
          <w:sz w:val="22"/>
          <w:szCs w:val="22"/>
        </w:rPr>
        <w:t xml:space="preserve">energy expenditure, we next explored the hypothesis that </w:t>
      </w:r>
      <w:r w:rsidR="00E449B0">
        <w:rPr>
          <w:sz w:val="22"/>
          <w:szCs w:val="22"/>
        </w:rPr>
        <w:t xml:space="preserve">MCP230 exposed mice have </w:t>
      </w:r>
      <w:r w:rsidR="00147DCC" w:rsidRPr="005F69DA">
        <w:rPr>
          <w:sz w:val="22"/>
          <w:szCs w:val="22"/>
        </w:rPr>
        <w:t xml:space="preserve">skeletal </w:t>
      </w:r>
      <w:r w:rsidRPr="005F69DA">
        <w:rPr>
          <w:sz w:val="22"/>
          <w:szCs w:val="22"/>
        </w:rPr>
        <w:t>muscle mitochondria</w:t>
      </w:r>
      <w:r w:rsidR="00E5057E">
        <w:rPr>
          <w:sz w:val="22"/>
          <w:szCs w:val="22"/>
        </w:rPr>
        <w:t>l deficits</w:t>
      </w:r>
      <w:r w:rsidRPr="005F69DA">
        <w:rPr>
          <w:sz w:val="22"/>
          <w:szCs w:val="22"/>
        </w:rPr>
        <w:t xml:space="preserve">.  To test this, we first determined </w:t>
      </w:r>
      <w:proofErr w:type="spellStart"/>
      <w:r w:rsidR="000D3EBA" w:rsidRPr="005F69DA">
        <w:rPr>
          <w:sz w:val="22"/>
          <w:szCs w:val="22"/>
        </w:rPr>
        <w:t>m</w:t>
      </w:r>
      <w:r w:rsidR="00AF1A7D" w:rsidRPr="005F69DA">
        <w:rPr>
          <w:sz w:val="22"/>
          <w:szCs w:val="22"/>
        </w:rPr>
        <w:t>t</w:t>
      </w:r>
      <w:r w:rsidR="000D3EBA" w:rsidRPr="005F69DA">
        <w:rPr>
          <w:sz w:val="22"/>
          <w:szCs w:val="22"/>
        </w:rPr>
        <w:t>DNA</w:t>
      </w:r>
      <w:proofErr w:type="spellEnd"/>
      <w:r w:rsidR="000D3EBA" w:rsidRPr="005F69DA">
        <w:rPr>
          <w:sz w:val="22"/>
          <w:szCs w:val="22"/>
        </w:rPr>
        <w:t xml:space="preserve"> copy number in quadriceps muscle after the 12 week high fat diet phase. </w:t>
      </w:r>
      <w:r w:rsidR="0058343B" w:rsidRPr="005F69DA">
        <w:rPr>
          <w:sz w:val="22"/>
          <w:szCs w:val="22"/>
        </w:rPr>
        <w:t xml:space="preserve">Figure </w:t>
      </w:r>
      <w:r w:rsidR="00663C6E">
        <w:rPr>
          <w:sz w:val="22"/>
          <w:szCs w:val="22"/>
        </w:rPr>
        <w:t>5</w:t>
      </w:r>
      <w:r w:rsidR="00663C6E" w:rsidRPr="005F69DA">
        <w:rPr>
          <w:sz w:val="22"/>
          <w:szCs w:val="22"/>
        </w:rPr>
        <w:t xml:space="preserve">A </w:t>
      </w:r>
      <w:r w:rsidR="0058343B" w:rsidRPr="005F69DA">
        <w:rPr>
          <w:sz w:val="22"/>
          <w:szCs w:val="22"/>
        </w:rPr>
        <w:t xml:space="preserve">demonstrates that </w:t>
      </w:r>
      <w:r w:rsidR="00AF1A7D" w:rsidRPr="005F69DA">
        <w:rPr>
          <w:sz w:val="22"/>
          <w:szCs w:val="22"/>
        </w:rPr>
        <w:t>MCP230-exposed mice ha</w:t>
      </w:r>
      <w:r w:rsidR="0058343B" w:rsidRPr="005F69DA">
        <w:rPr>
          <w:sz w:val="22"/>
          <w:szCs w:val="22"/>
        </w:rPr>
        <w:t>ve</w:t>
      </w:r>
      <w:r w:rsidR="00AF1A7D" w:rsidRPr="005F69DA">
        <w:rPr>
          <w:sz w:val="22"/>
          <w:szCs w:val="22"/>
        </w:rPr>
        <w:t xml:space="preserve"> </w:t>
      </w:r>
      <w:r w:rsidR="00606930" w:rsidRPr="005F69DA">
        <w:rPr>
          <w:sz w:val="22"/>
          <w:szCs w:val="22"/>
        </w:rPr>
        <w:t>a</w:t>
      </w:r>
      <w:r w:rsidR="000966F1" w:rsidRPr="005F69DA">
        <w:rPr>
          <w:sz w:val="22"/>
          <w:szCs w:val="22"/>
        </w:rPr>
        <w:t xml:space="preserve"> </w:t>
      </w:r>
      <w:r w:rsidR="00EF0ECE" w:rsidRPr="005F69DA">
        <w:rPr>
          <w:sz w:val="22"/>
          <w:szCs w:val="22"/>
        </w:rPr>
        <w:t>marked reduction</w:t>
      </w:r>
      <w:r w:rsidR="000966F1" w:rsidRPr="005F69DA">
        <w:rPr>
          <w:sz w:val="22"/>
          <w:szCs w:val="22"/>
        </w:rPr>
        <w:t xml:space="preserve"> in </w:t>
      </w:r>
      <w:proofErr w:type="spellStart"/>
      <w:r w:rsidR="00AF1A7D" w:rsidRPr="005F69DA">
        <w:rPr>
          <w:sz w:val="22"/>
          <w:szCs w:val="22"/>
        </w:rPr>
        <w:t>mtDNA</w:t>
      </w:r>
      <w:proofErr w:type="spellEnd"/>
      <w:r w:rsidR="00245CF5" w:rsidRPr="005F69DA">
        <w:rPr>
          <w:sz w:val="22"/>
          <w:szCs w:val="22"/>
        </w:rPr>
        <w:t xml:space="preserve"> copy number</w:t>
      </w:r>
      <w:r w:rsidR="00E74D94" w:rsidRPr="005F69DA">
        <w:rPr>
          <w:sz w:val="22"/>
          <w:szCs w:val="22"/>
        </w:rPr>
        <w:t xml:space="preserve"> relative to the saline-exposed mice</w:t>
      </w:r>
      <w:r w:rsidR="00AF1A7D" w:rsidRPr="005F69DA">
        <w:rPr>
          <w:sz w:val="22"/>
          <w:szCs w:val="22"/>
        </w:rPr>
        <w:t xml:space="preserve">, as determined using primers designed for three distinct </w:t>
      </w:r>
      <w:proofErr w:type="spellStart"/>
      <w:r w:rsidR="0050340E" w:rsidRPr="005F69DA">
        <w:rPr>
          <w:sz w:val="22"/>
          <w:szCs w:val="22"/>
        </w:rPr>
        <w:t>mtDNA</w:t>
      </w:r>
      <w:proofErr w:type="spellEnd"/>
      <w:r w:rsidR="00AF1A7D" w:rsidRPr="005F69DA">
        <w:rPr>
          <w:sz w:val="22"/>
          <w:szCs w:val="22"/>
        </w:rPr>
        <w:t>-</w:t>
      </w:r>
      <w:r w:rsidR="004F3E87" w:rsidRPr="005F69DA">
        <w:rPr>
          <w:sz w:val="22"/>
          <w:szCs w:val="22"/>
        </w:rPr>
        <w:t xml:space="preserve">encoded </w:t>
      </w:r>
      <w:r w:rsidR="0050340E" w:rsidRPr="005F69DA">
        <w:rPr>
          <w:sz w:val="22"/>
          <w:szCs w:val="22"/>
        </w:rPr>
        <w:t>gene</w:t>
      </w:r>
      <w:r w:rsidR="00AF1A7D" w:rsidRPr="005F69DA">
        <w:rPr>
          <w:sz w:val="22"/>
          <w:szCs w:val="22"/>
        </w:rPr>
        <w:t xml:space="preserve"> regions</w:t>
      </w:r>
      <w:r w:rsidR="00914587" w:rsidRPr="005F69DA">
        <w:rPr>
          <w:sz w:val="22"/>
          <w:szCs w:val="22"/>
        </w:rPr>
        <w:t>. D</w:t>
      </w:r>
      <w:r w:rsidR="00606930" w:rsidRPr="005F69DA">
        <w:rPr>
          <w:sz w:val="22"/>
          <w:szCs w:val="22"/>
        </w:rPr>
        <w:t>ecreases of 61.2%, 68.0% and 51.9%</w:t>
      </w:r>
      <w:r w:rsidR="00914587" w:rsidRPr="005F69DA">
        <w:rPr>
          <w:sz w:val="22"/>
          <w:szCs w:val="22"/>
        </w:rPr>
        <w:t xml:space="preserve"> were observed</w:t>
      </w:r>
      <w:r w:rsidR="00606930" w:rsidRPr="005F69DA">
        <w:rPr>
          <w:sz w:val="22"/>
          <w:szCs w:val="22"/>
        </w:rPr>
        <w:t xml:space="preserve"> for the </w:t>
      </w:r>
      <w:r w:rsidR="001C6C61" w:rsidRPr="005F69DA">
        <w:rPr>
          <w:sz w:val="22"/>
          <w:szCs w:val="22"/>
        </w:rPr>
        <w:t>mitochondrial D-l</w:t>
      </w:r>
      <w:r w:rsidR="00606930" w:rsidRPr="005F69DA">
        <w:rPr>
          <w:sz w:val="22"/>
          <w:szCs w:val="22"/>
        </w:rPr>
        <w:t xml:space="preserve">oop, </w:t>
      </w:r>
      <w:proofErr w:type="spellStart"/>
      <w:r w:rsidR="008F73FF" w:rsidRPr="005F69DA">
        <w:rPr>
          <w:i/>
          <w:sz w:val="22"/>
          <w:szCs w:val="22"/>
        </w:rPr>
        <w:t>mt-C</w:t>
      </w:r>
      <w:r w:rsidR="00606930" w:rsidRPr="005F69DA">
        <w:rPr>
          <w:i/>
          <w:sz w:val="22"/>
          <w:szCs w:val="22"/>
        </w:rPr>
        <w:t>yt</w:t>
      </w:r>
      <w:r w:rsidR="001F72A7" w:rsidRPr="005F69DA">
        <w:rPr>
          <w:i/>
          <w:sz w:val="22"/>
          <w:szCs w:val="22"/>
        </w:rPr>
        <w:t>b</w:t>
      </w:r>
      <w:proofErr w:type="spellEnd"/>
      <w:r w:rsidR="00606930" w:rsidRPr="005F69DA">
        <w:rPr>
          <w:sz w:val="22"/>
          <w:szCs w:val="22"/>
        </w:rPr>
        <w:t xml:space="preserve"> and </w:t>
      </w:r>
      <w:r w:rsidR="008F73FF" w:rsidRPr="005F69DA">
        <w:rPr>
          <w:i/>
          <w:sz w:val="22"/>
          <w:szCs w:val="22"/>
        </w:rPr>
        <w:t>mt-N</w:t>
      </w:r>
      <w:r w:rsidR="00606930" w:rsidRPr="005F69DA">
        <w:rPr>
          <w:i/>
          <w:sz w:val="22"/>
          <w:szCs w:val="22"/>
        </w:rPr>
        <w:t>d1</w:t>
      </w:r>
      <w:r w:rsidR="00606930" w:rsidRPr="005F69DA">
        <w:rPr>
          <w:sz w:val="22"/>
          <w:szCs w:val="22"/>
        </w:rPr>
        <w:t>, respectively</w:t>
      </w:r>
      <w:r w:rsidR="00331D2C" w:rsidRPr="005F69DA">
        <w:rPr>
          <w:sz w:val="22"/>
          <w:szCs w:val="22"/>
        </w:rPr>
        <w:t xml:space="preserve"> (p=0.039, p=0.031 and p=0.032, respectively)</w:t>
      </w:r>
      <w:r w:rsidR="00CA5E31" w:rsidRPr="005F69DA">
        <w:rPr>
          <w:sz w:val="22"/>
          <w:szCs w:val="22"/>
        </w:rPr>
        <w:t xml:space="preserve"> </w:t>
      </w:r>
      <w:r w:rsidR="007C51D0" w:rsidRPr="005F69DA">
        <w:rPr>
          <w:sz w:val="22"/>
          <w:szCs w:val="22"/>
        </w:rPr>
        <w:t xml:space="preserve">suggesting </w:t>
      </w:r>
      <w:r w:rsidR="00663C6E">
        <w:rPr>
          <w:sz w:val="22"/>
          <w:szCs w:val="22"/>
        </w:rPr>
        <w:t xml:space="preserve">that MCP230 exposed mice have </w:t>
      </w:r>
      <w:r w:rsidR="00CA5E31" w:rsidRPr="005F69DA">
        <w:rPr>
          <w:sz w:val="22"/>
          <w:szCs w:val="22"/>
        </w:rPr>
        <w:t xml:space="preserve">reduced </w:t>
      </w:r>
      <w:r w:rsidR="00663C6E">
        <w:rPr>
          <w:sz w:val="22"/>
          <w:szCs w:val="22"/>
        </w:rPr>
        <w:t xml:space="preserve">skeletal muscle </w:t>
      </w:r>
      <w:r w:rsidR="00CA5E31" w:rsidRPr="005F69DA">
        <w:rPr>
          <w:sz w:val="22"/>
          <w:szCs w:val="22"/>
        </w:rPr>
        <w:t>mitochondrial content</w:t>
      </w:r>
      <w:r w:rsidR="00AF1A7D" w:rsidRPr="005F69DA">
        <w:rPr>
          <w:sz w:val="22"/>
          <w:szCs w:val="22"/>
        </w:rPr>
        <w:t>.</w:t>
      </w:r>
      <w:r w:rsidR="00691583" w:rsidRPr="005F69DA">
        <w:rPr>
          <w:sz w:val="22"/>
          <w:szCs w:val="22"/>
        </w:rPr>
        <w:t xml:space="preserve"> </w:t>
      </w:r>
      <w:r w:rsidR="007C51D0" w:rsidRPr="005F69DA">
        <w:rPr>
          <w:sz w:val="22"/>
          <w:szCs w:val="22"/>
        </w:rPr>
        <w:t>Since c</w:t>
      </w:r>
      <w:r w:rsidR="003A4037" w:rsidRPr="005F69DA">
        <w:rPr>
          <w:sz w:val="22"/>
          <w:szCs w:val="22"/>
        </w:rPr>
        <w:t xml:space="preserve">itrate </w:t>
      </w:r>
      <w:r w:rsidR="0036482C" w:rsidRPr="005F69DA">
        <w:rPr>
          <w:sz w:val="22"/>
          <w:szCs w:val="22"/>
        </w:rPr>
        <w:t xml:space="preserve">synthase activity </w:t>
      </w:r>
      <w:r w:rsidR="00B77D60" w:rsidRPr="005F69DA">
        <w:rPr>
          <w:sz w:val="22"/>
          <w:szCs w:val="22"/>
        </w:rPr>
        <w:t>i</w:t>
      </w:r>
      <w:r w:rsidR="0036482C" w:rsidRPr="005F69DA">
        <w:rPr>
          <w:sz w:val="22"/>
          <w:szCs w:val="22"/>
        </w:rPr>
        <w:t>s strongly</w:t>
      </w:r>
      <w:r w:rsidR="00B77D60" w:rsidRPr="005F69DA">
        <w:rPr>
          <w:sz w:val="22"/>
          <w:szCs w:val="22"/>
        </w:rPr>
        <w:t xml:space="preserve"> associated</w:t>
      </w:r>
      <w:r w:rsidR="0036482C" w:rsidRPr="005F69DA">
        <w:rPr>
          <w:sz w:val="22"/>
          <w:szCs w:val="22"/>
        </w:rPr>
        <w:t xml:space="preserve"> with skeletal muscle mitochondrial content </w:t>
      </w:r>
      <w:r w:rsidR="000109CF" w:rsidRPr="005F69DA">
        <w:rPr>
          <w:sz w:val="22"/>
          <w:szCs w:val="22"/>
        </w:rPr>
        <w:fldChar w:fldCharType="begin" w:fldLock="1"/>
      </w:r>
      <w:r w:rsidR="00470311" w:rsidRPr="005F69DA">
        <w:rPr>
          <w:sz w:val="22"/>
          <w:szCs w:val="22"/>
        </w:rPr>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"[29]", "plainTextFormattedCitation" : "[29]", "previouslyFormattedCitation" : "[28]" }, "properties" : { "noteIndex" : 0 }, "schema" : "https://github.com/citation-style-language/schema/raw/master/csl-citation.json" }</w:instrText>
      </w:r>
      <w:r w:rsidR="000109CF" w:rsidRPr="005F69DA">
        <w:rPr>
          <w:sz w:val="22"/>
          <w:szCs w:val="22"/>
        </w:rPr>
        <w:fldChar w:fldCharType="separate"/>
      </w:r>
      <w:r w:rsidR="00470311" w:rsidRPr="005F69DA">
        <w:rPr>
          <w:noProof/>
          <w:sz w:val="22"/>
          <w:szCs w:val="22"/>
        </w:rPr>
        <w:t>[29]</w:t>
      </w:r>
      <w:r w:rsidR="000109CF" w:rsidRPr="005F69DA">
        <w:rPr>
          <w:sz w:val="22"/>
          <w:szCs w:val="22"/>
        </w:rPr>
        <w:fldChar w:fldCharType="end"/>
      </w:r>
      <w:r w:rsidR="000109CF" w:rsidRPr="005F69DA">
        <w:rPr>
          <w:sz w:val="22"/>
          <w:szCs w:val="22"/>
        </w:rPr>
        <w:t xml:space="preserve"> </w:t>
      </w:r>
      <w:r w:rsidR="007802ED" w:rsidRPr="005F69DA">
        <w:rPr>
          <w:sz w:val="22"/>
          <w:szCs w:val="22"/>
        </w:rPr>
        <w:t xml:space="preserve">and given that </w:t>
      </w:r>
      <w:proofErr w:type="spellStart"/>
      <w:r w:rsidR="007802ED" w:rsidRPr="005F69DA">
        <w:rPr>
          <w:sz w:val="22"/>
          <w:szCs w:val="22"/>
        </w:rPr>
        <w:t>mtDNA</w:t>
      </w:r>
      <w:proofErr w:type="spellEnd"/>
      <w:r w:rsidR="007802ED" w:rsidRPr="005F69DA">
        <w:rPr>
          <w:sz w:val="22"/>
          <w:szCs w:val="22"/>
        </w:rPr>
        <w:t xml:space="preserve"> copy number was reduced with </w:t>
      </w:r>
      <w:r w:rsidR="007802ED">
        <w:rPr>
          <w:i/>
          <w:sz w:val="22"/>
          <w:szCs w:val="22"/>
        </w:rPr>
        <w:t xml:space="preserve">in utero </w:t>
      </w:r>
      <w:r w:rsidR="007802ED" w:rsidRPr="005F69DA">
        <w:rPr>
          <w:sz w:val="22"/>
          <w:szCs w:val="22"/>
        </w:rPr>
        <w:t>MCP230 exposure</w:t>
      </w:r>
      <w:r w:rsidR="007802ED">
        <w:rPr>
          <w:sz w:val="22"/>
          <w:szCs w:val="22"/>
        </w:rPr>
        <w:t xml:space="preserve">, we measured citrate synthase activity to further evaluate mitochondrial content and function </w:t>
      </w:r>
      <w:r w:rsidR="003A4037" w:rsidRPr="005F69DA">
        <w:rPr>
          <w:sz w:val="22"/>
          <w:szCs w:val="22"/>
        </w:rPr>
        <w:t xml:space="preserve">in the skeletal muscle from </w:t>
      </w:r>
      <w:r w:rsidR="00E263F4">
        <w:rPr>
          <w:sz w:val="22"/>
          <w:szCs w:val="22"/>
        </w:rPr>
        <w:t xml:space="preserve">MCP230 </w:t>
      </w:r>
      <w:r w:rsidR="003A4037" w:rsidRPr="005F69DA">
        <w:rPr>
          <w:sz w:val="22"/>
          <w:szCs w:val="22"/>
        </w:rPr>
        <w:t>exposed mice</w:t>
      </w:r>
      <w:r w:rsidR="007B65B7">
        <w:rPr>
          <w:sz w:val="22"/>
          <w:szCs w:val="22"/>
        </w:rPr>
        <w:t>.</w:t>
      </w:r>
      <w:r w:rsidR="00077036">
        <w:rPr>
          <w:sz w:val="22"/>
          <w:szCs w:val="22"/>
        </w:rPr>
        <w:t xml:space="preserve"> </w:t>
      </w:r>
      <w:r w:rsidR="00C5110D" w:rsidRPr="005F69DA">
        <w:rPr>
          <w:sz w:val="22"/>
          <w:szCs w:val="22"/>
        </w:rPr>
        <w:t xml:space="preserve">As shown in Figure </w:t>
      </w:r>
      <w:r w:rsidR="00E263F4">
        <w:rPr>
          <w:sz w:val="22"/>
          <w:szCs w:val="22"/>
        </w:rPr>
        <w:t>5</w:t>
      </w:r>
      <w:r w:rsidR="00E263F4" w:rsidRPr="005F69DA">
        <w:rPr>
          <w:sz w:val="22"/>
          <w:szCs w:val="22"/>
        </w:rPr>
        <w:t>B</w:t>
      </w:r>
      <w:r w:rsidR="00C5110D" w:rsidRPr="005F69DA">
        <w:rPr>
          <w:sz w:val="22"/>
          <w:szCs w:val="22"/>
        </w:rPr>
        <w:t>, maximal citrate synthase activity was reduced 24</w:t>
      </w:r>
      <w:r w:rsidR="00F24FBA" w:rsidRPr="005F69DA">
        <w:rPr>
          <w:sz w:val="22"/>
          <w:szCs w:val="22"/>
        </w:rPr>
        <w:t>.1</w:t>
      </w:r>
      <w:r w:rsidR="00C5110D" w:rsidRPr="005F69DA">
        <w:rPr>
          <w:sz w:val="22"/>
          <w:szCs w:val="22"/>
        </w:rPr>
        <w:t>% in the quadriceps from MCP230</w:t>
      </w:r>
      <w:r w:rsidR="00E263F4">
        <w:rPr>
          <w:sz w:val="22"/>
          <w:szCs w:val="22"/>
        </w:rPr>
        <w:t xml:space="preserve"> </w:t>
      </w:r>
      <w:r w:rsidR="00C5110D" w:rsidRPr="005F69DA">
        <w:rPr>
          <w:sz w:val="22"/>
          <w:szCs w:val="22"/>
        </w:rPr>
        <w:t>exposed mice (p=0.03).</w:t>
      </w:r>
      <w:r w:rsidR="00F24FBA" w:rsidRPr="005F69DA">
        <w:rPr>
          <w:sz w:val="22"/>
          <w:szCs w:val="22"/>
        </w:rPr>
        <w:t xml:space="preserve"> Taken together, </w:t>
      </w:r>
      <w:r w:rsidR="00112CDD">
        <w:rPr>
          <w:sz w:val="22"/>
          <w:szCs w:val="22"/>
        </w:rPr>
        <w:t xml:space="preserve">reduced </w:t>
      </w:r>
      <w:proofErr w:type="spellStart"/>
      <w:r w:rsidR="00112CDD">
        <w:rPr>
          <w:sz w:val="22"/>
          <w:szCs w:val="22"/>
        </w:rPr>
        <w:t>mtDNA</w:t>
      </w:r>
      <w:proofErr w:type="spellEnd"/>
      <w:r w:rsidR="00112CDD">
        <w:rPr>
          <w:sz w:val="22"/>
          <w:szCs w:val="22"/>
        </w:rPr>
        <w:t xml:space="preserve"> copy number and lower citrate synthase activity</w:t>
      </w:r>
      <w:r w:rsidR="00F24FBA" w:rsidRPr="005F69DA">
        <w:rPr>
          <w:sz w:val="22"/>
          <w:szCs w:val="22"/>
        </w:rPr>
        <w:t xml:space="preserve"> suggest that mice exposed to MCP230 are likely to have reduced mitochondrial oxidative enzyme content and, as a result, reduced skeletal muscle oxidative capacity</w:t>
      </w:r>
      <w:r w:rsidR="00820C95" w:rsidRPr="005F69DA">
        <w:rPr>
          <w:sz w:val="22"/>
          <w:szCs w:val="22"/>
        </w:rPr>
        <w:t>,</w:t>
      </w:r>
      <w:r w:rsidR="00F24FBA" w:rsidRPr="005F69DA">
        <w:rPr>
          <w:sz w:val="22"/>
          <w:szCs w:val="22"/>
        </w:rPr>
        <w:t xml:space="preserve"> which</w:t>
      </w:r>
      <w:r w:rsidR="00820C95" w:rsidRPr="005F69DA">
        <w:rPr>
          <w:sz w:val="22"/>
          <w:szCs w:val="22"/>
        </w:rPr>
        <w:t>, along with the reduction in physical activity,</w:t>
      </w:r>
      <w:r w:rsidR="00F24FBA" w:rsidRPr="005F69DA">
        <w:rPr>
          <w:sz w:val="22"/>
          <w:szCs w:val="22"/>
        </w:rPr>
        <w:t xml:space="preserve"> would likely contribute to the reduced VO</w:t>
      </w:r>
      <w:r w:rsidR="00F24FBA" w:rsidRPr="005F69DA">
        <w:rPr>
          <w:sz w:val="22"/>
          <w:szCs w:val="22"/>
          <w:vertAlign w:val="subscript"/>
        </w:rPr>
        <w:t>2</w:t>
      </w:r>
      <w:r w:rsidR="00F24FBA" w:rsidRPr="005F69DA">
        <w:rPr>
          <w:sz w:val="22"/>
          <w:szCs w:val="22"/>
        </w:rPr>
        <w:t xml:space="preserve"> seen in these mice.</w:t>
      </w:r>
    </w:p>
    <w:p w14:paraId="41F33A28" w14:textId="77777777" w:rsidR="0036482C" w:rsidRPr="005F69DA" w:rsidRDefault="0036482C" w:rsidP="00D3063E">
      <w:pPr>
        <w:spacing w:line="480" w:lineRule="auto"/>
        <w:rPr>
          <w:sz w:val="22"/>
          <w:szCs w:val="22"/>
        </w:rPr>
      </w:pPr>
    </w:p>
    <w:p w14:paraId="2B0AE0A2" w14:textId="680055DC" w:rsidR="005D172E" w:rsidRDefault="001C6C61" w:rsidP="00AA41A9">
      <w:pPr>
        <w:spacing w:line="480" w:lineRule="auto"/>
        <w:rPr>
          <w:sz w:val="22"/>
          <w:szCs w:val="22"/>
        </w:rPr>
      </w:pPr>
      <w:r w:rsidRPr="005F69DA">
        <w:rPr>
          <w:sz w:val="22"/>
          <w:szCs w:val="22"/>
        </w:rPr>
        <w:t>Consistent with this hypothesis</w:t>
      </w:r>
      <w:r w:rsidR="00CF173F" w:rsidRPr="005F69DA">
        <w:rPr>
          <w:sz w:val="22"/>
          <w:szCs w:val="22"/>
        </w:rPr>
        <w:t xml:space="preserve">, </w:t>
      </w:r>
      <w:r w:rsidR="00691583" w:rsidRPr="005F69DA">
        <w:rPr>
          <w:sz w:val="22"/>
          <w:szCs w:val="22"/>
        </w:rPr>
        <w:t>mRNA transcript levels for the mitochondrial-</w:t>
      </w:r>
      <w:r w:rsidR="009857B0" w:rsidRPr="005F69DA">
        <w:rPr>
          <w:sz w:val="22"/>
          <w:szCs w:val="22"/>
        </w:rPr>
        <w:t xml:space="preserve"> and nuclear-</w:t>
      </w:r>
      <w:r w:rsidR="00691583" w:rsidRPr="005F69DA">
        <w:rPr>
          <w:sz w:val="22"/>
          <w:szCs w:val="22"/>
        </w:rPr>
        <w:t>encoded electro</w:t>
      </w:r>
      <w:r w:rsidR="007425D4" w:rsidRPr="005F69DA">
        <w:rPr>
          <w:sz w:val="22"/>
          <w:szCs w:val="22"/>
        </w:rPr>
        <w:t xml:space="preserve">n transport genes </w:t>
      </w:r>
      <w:r w:rsidR="008F73FF" w:rsidRPr="005F69DA">
        <w:rPr>
          <w:i/>
          <w:sz w:val="22"/>
          <w:szCs w:val="22"/>
        </w:rPr>
        <w:t>mt-</w:t>
      </w:r>
      <w:r w:rsidR="007425D4" w:rsidRPr="005F69DA">
        <w:rPr>
          <w:i/>
          <w:sz w:val="22"/>
          <w:szCs w:val="22"/>
        </w:rPr>
        <w:t>Nd4</w:t>
      </w:r>
      <w:r w:rsidR="001E01AC" w:rsidRPr="005F69DA">
        <w:rPr>
          <w:sz w:val="22"/>
          <w:szCs w:val="22"/>
        </w:rPr>
        <w:t xml:space="preserve"> (25.2%)</w:t>
      </w:r>
      <w:r w:rsidR="007425D4" w:rsidRPr="005F69DA">
        <w:rPr>
          <w:sz w:val="22"/>
          <w:szCs w:val="22"/>
        </w:rPr>
        <w:t xml:space="preserve">, </w:t>
      </w:r>
      <w:proofErr w:type="spellStart"/>
      <w:r w:rsidR="007425D4" w:rsidRPr="005F69DA">
        <w:rPr>
          <w:i/>
          <w:sz w:val="22"/>
          <w:szCs w:val="22"/>
        </w:rPr>
        <w:t>Sdha</w:t>
      </w:r>
      <w:proofErr w:type="spellEnd"/>
      <w:r w:rsidR="001E01AC" w:rsidRPr="005F69DA">
        <w:rPr>
          <w:sz w:val="22"/>
          <w:szCs w:val="22"/>
        </w:rPr>
        <w:t xml:space="preserve"> (35.9%),</w:t>
      </w:r>
      <w:r w:rsidR="007425D4" w:rsidRPr="005F69DA">
        <w:rPr>
          <w:sz w:val="22"/>
          <w:szCs w:val="22"/>
        </w:rPr>
        <w:t xml:space="preserve"> </w:t>
      </w:r>
      <w:proofErr w:type="spellStart"/>
      <w:r w:rsidR="008F73FF" w:rsidRPr="005F69DA">
        <w:rPr>
          <w:i/>
          <w:sz w:val="22"/>
          <w:szCs w:val="22"/>
        </w:rPr>
        <w:t>mt-</w:t>
      </w:r>
      <w:r w:rsidR="00691583" w:rsidRPr="005F69DA">
        <w:rPr>
          <w:i/>
          <w:sz w:val="22"/>
          <w:szCs w:val="22"/>
        </w:rPr>
        <w:t>Cytb</w:t>
      </w:r>
      <w:proofErr w:type="spellEnd"/>
      <w:r w:rsidR="001E01AC" w:rsidRPr="005F69DA">
        <w:rPr>
          <w:sz w:val="22"/>
          <w:szCs w:val="22"/>
        </w:rPr>
        <w:t xml:space="preserve"> (35.4%)</w:t>
      </w:r>
      <w:r w:rsidR="007425D4" w:rsidRPr="005F69DA">
        <w:rPr>
          <w:sz w:val="22"/>
          <w:szCs w:val="22"/>
        </w:rPr>
        <w:t xml:space="preserve"> and </w:t>
      </w:r>
      <w:r w:rsidR="008F73FF" w:rsidRPr="005F69DA">
        <w:rPr>
          <w:i/>
          <w:sz w:val="22"/>
          <w:szCs w:val="22"/>
        </w:rPr>
        <w:t>mt-Co2</w:t>
      </w:r>
      <w:r w:rsidR="008F73FF" w:rsidRPr="005F69DA">
        <w:rPr>
          <w:sz w:val="22"/>
          <w:szCs w:val="22"/>
        </w:rPr>
        <w:t xml:space="preserve"> </w:t>
      </w:r>
      <w:r w:rsidR="001E01AC" w:rsidRPr="005F69DA">
        <w:rPr>
          <w:sz w:val="22"/>
          <w:szCs w:val="22"/>
        </w:rPr>
        <w:t xml:space="preserve">(35.1%) </w:t>
      </w:r>
      <w:r w:rsidR="00691583" w:rsidRPr="005F69DA">
        <w:rPr>
          <w:sz w:val="22"/>
          <w:szCs w:val="22"/>
        </w:rPr>
        <w:t>were</w:t>
      </w:r>
      <w:r w:rsidR="00825679" w:rsidRPr="005F69DA">
        <w:rPr>
          <w:sz w:val="22"/>
          <w:szCs w:val="22"/>
        </w:rPr>
        <w:t xml:space="preserve"> </w:t>
      </w:r>
      <w:r w:rsidR="00691583" w:rsidRPr="005F69DA">
        <w:rPr>
          <w:sz w:val="22"/>
          <w:szCs w:val="22"/>
        </w:rPr>
        <w:t>reduced</w:t>
      </w:r>
      <w:r w:rsidR="00D07A92" w:rsidRPr="005F69DA">
        <w:rPr>
          <w:sz w:val="22"/>
          <w:szCs w:val="22"/>
        </w:rPr>
        <w:t xml:space="preserve"> in the quadriceps from MCP230-exposed mice</w:t>
      </w:r>
      <w:r w:rsidR="00691583" w:rsidRPr="005F69DA">
        <w:rPr>
          <w:sz w:val="22"/>
          <w:szCs w:val="22"/>
        </w:rPr>
        <w:t>, although not all of these</w:t>
      </w:r>
      <w:r w:rsidR="00A51087" w:rsidRPr="005F69DA">
        <w:rPr>
          <w:sz w:val="22"/>
          <w:szCs w:val="22"/>
        </w:rPr>
        <w:t xml:space="preserve"> reductions </w:t>
      </w:r>
      <w:r w:rsidR="00691583" w:rsidRPr="005F69DA">
        <w:rPr>
          <w:sz w:val="22"/>
          <w:szCs w:val="22"/>
        </w:rPr>
        <w:t>attained statistical significance</w:t>
      </w:r>
      <w:r w:rsidR="001E01AC" w:rsidRPr="005F69DA">
        <w:rPr>
          <w:sz w:val="22"/>
          <w:szCs w:val="22"/>
        </w:rPr>
        <w:t xml:space="preserve"> (p=0.12, p=0.08, p=0.04 and p=0.10, respectively</w:t>
      </w:r>
      <w:r w:rsidRPr="005F69DA">
        <w:rPr>
          <w:sz w:val="22"/>
          <w:szCs w:val="22"/>
        </w:rPr>
        <w:t xml:space="preserve">; see </w:t>
      </w:r>
      <w:r w:rsidR="00E56245" w:rsidRPr="005F69DA">
        <w:rPr>
          <w:sz w:val="22"/>
          <w:szCs w:val="22"/>
        </w:rPr>
        <w:t>Figure 5</w:t>
      </w:r>
      <w:r w:rsidR="0085539E">
        <w:rPr>
          <w:sz w:val="22"/>
          <w:szCs w:val="22"/>
        </w:rPr>
        <w:t>C</w:t>
      </w:r>
      <w:r w:rsidR="001E01AC" w:rsidRPr="005F69DA">
        <w:rPr>
          <w:sz w:val="22"/>
          <w:szCs w:val="22"/>
        </w:rPr>
        <w:t>)</w:t>
      </w:r>
      <w:r w:rsidR="001417C8" w:rsidRPr="005F69DA">
        <w:rPr>
          <w:sz w:val="22"/>
          <w:szCs w:val="22"/>
        </w:rPr>
        <w:t xml:space="preserve">. </w:t>
      </w:r>
      <w:r w:rsidR="00766DB4" w:rsidRPr="005F69DA">
        <w:rPr>
          <w:sz w:val="22"/>
          <w:szCs w:val="22"/>
        </w:rPr>
        <w:t xml:space="preserve"> </w:t>
      </w:r>
      <w:r w:rsidR="002167AD" w:rsidRPr="005F69DA">
        <w:rPr>
          <w:sz w:val="22"/>
          <w:szCs w:val="22"/>
        </w:rPr>
        <w:t xml:space="preserve">To determine </w:t>
      </w:r>
      <w:r w:rsidR="00AA53B5" w:rsidRPr="005F69DA">
        <w:rPr>
          <w:sz w:val="22"/>
          <w:szCs w:val="22"/>
        </w:rPr>
        <w:t>whether</w:t>
      </w:r>
      <w:r w:rsidR="002167AD" w:rsidRPr="005F69DA">
        <w:rPr>
          <w:sz w:val="22"/>
          <w:szCs w:val="22"/>
        </w:rPr>
        <w:t xml:space="preserve"> </w:t>
      </w:r>
      <w:r w:rsidR="00AA53B5" w:rsidRPr="005F69DA">
        <w:rPr>
          <w:sz w:val="22"/>
          <w:szCs w:val="22"/>
        </w:rPr>
        <w:t>similar differences</w:t>
      </w:r>
      <w:r w:rsidR="002167AD" w:rsidRPr="005F69DA">
        <w:rPr>
          <w:sz w:val="22"/>
          <w:szCs w:val="22"/>
        </w:rPr>
        <w:t xml:space="preserve"> in </w:t>
      </w:r>
      <w:r w:rsidR="00A10E45" w:rsidRPr="005F69DA">
        <w:rPr>
          <w:sz w:val="22"/>
          <w:szCs w:val="22"/>
        </w:rPr>
        <w:t xml:space="preserve">skeletal muscle </w:t>
      </w:r>
      <w:r w:rsidR="002167AD" w:rsidRPr="005F69DA">
        <w:rPr>
          <w:sz w:val="22"/>
          <w:szCs w:val="22"/>
        </w:rPr>
        <w:t xml:space="preserve">mitochondrial </w:t>
      </w:r>
      <w:r w:rsidR="00CF173F" w:rsidRPr="005F69DA">
        <w:rPr>
          <w:sz w:val="22"/>
          <w:szCs w:val="22"/>
        </w:rPr>
        <w:t>electron transport enzymes</w:t>
      </w:r>
      <w:r w:rsidR="002167AD" w:rsidRPr="005F69DA">
        <w:rPr>
          <w:sz w:val="22"/>
          <w:szCs w:val="22"/>
        </w:rPr>
        <w:t xml:space="preserve"> </w:t>
      </w:r>
      <w:r w:rsidR="00AA53B5" w:rsidRPr="005F69DA">
        <w:rPr>
          <w:sz w:val="22"/>
          <w:szCs w:val="22"/>
        </w:rPr>
        <w:t>were also present</w:t>
      </w:r>
      <w:r w:rsidR="00E6527D" w:rsidRPr="005F69DA">
        <w:rPr>
          <w:sz w:val="22"/>
          <w:szCs w:val="22"/>
        </w:rPr>
        <w:t xml:space="preserve"> </w:t>
      </w:r>
      <w:r w:rsidR="002167AD" w:rsidRPr="005F69DA">
        <w:rPr>
          <w:sz w:val="22"/>
          <w:szCs w:val="22"/>
        </w:rPr>
        <w:t>at the protein level, w</w:t>
      </w:r>
      <w:r w:rsidR="00A440F3" w:rsidRPr="005F69DA">
        <w:rPr>
          <w:sz w:val="22"/>
          <w:szCs w:val="22"/>
        </w:rPr>
        <w:t xml:space="preserve">e </w:t>
      </w:r>
      <w:r w:rsidR="00A440F3" w:rsidRPr="005F69DA">
        <w:rPr>
          <w:sz w:val="22"/>
          <w:szCs w:val="22"/>
        </w:rPr>
        <w:lastRenderedPageBreak/>
        <w:t>measured</w:t>
      </w:r>
      <w:r w:rsidR="00A432D6" w:rsidRPr="005F69DA">
        <w:rPr>
          <w:sz w:val="22"/>
          <w:szCs w:val="22"/>
        </w:rPr>
        <w:t xml:space="preserve"> the relative expression</w:t>
      </w:r>
      <w:r w:rsidR="00A440F3" w:rsidRPr="005F69DA">
        <w:rPr>
          <w:sz w:val="22"/>
          <w:szCs w:val="22"/>
        </w:rPr>
        <w:t xml:space="preserve"> </w:t>
      </w:r>
      <w:r w:rsidR="00A432D6" w:rsidRPr="005F69DA">
        <w:rPr>
          <w:sz w:val="22"/>
          <w:szCs w:val="22"/>
        </w:rPr>
        <w:t xml:space="preserve">of </w:t>
      </w:r>
      <w:r w:rsidR="002167AD" w:rsidRPr="005F69DA">
        <w:rPr>
          <w:sz w:val="22"/>
          <w:szCs w:val="22"/>
        </w:rPr>
        <w:t>several</w:t>
      </w:r>
      <w:r w:rsidR="00A440F3" w:rsidRPr="005F69DA">
        <w:rPr>
          <w:sz w:val="22"/>
          <w:szCs w:val="22"/>
        </w:rPr>
        <w:t xml:space="preserve"> electron transport chain proteins </w:t>
      </w:r>
      <w:r w:rsidR="00E6527D" w:rsidRPr="005F69DA">
        <w:rPr>
          <w:sz w:val="22"/>
          <w:szCs w:val="22"/>
        </w:rPr>
        <w:t>via</w:t>
      </w:r>
      <w:r w:rsidR="00A432D6" w:rsidRPr="005F69DA">
        <w:rPr>
          <w:sz w:val="22"/>
          <w:szCs w:val="22"/>
        </w:rPr>
        <w:t xml:space="preserve"> western blotting </w:t>
      </w:r>
      <w:r w:rsidR="00A440F3" w:rsidRPr="005F69DA">
        <w:rPr>
          <w:sz w:val="22"/>
          <w:szCs w:val="22"/>
        </w:rPr>
        <w:t xml:space="preserve">(Figure </w:t>
      </w:r>
      <w:r w:rsidR="00FB0FFE">
        <w:rPr>
          <w:sz w:val="22"/>
          <w:szCs w:val="22"/>
        </w:rPr>
        <w:t>5D</w:t>
      </w:r>
      <w:r w:rsidR="00A440F3" w:rsidRPr="005F69DA">
        <w:rPr>
          <w:sz w:val="22"/>
          <w:szCs w:val="22"/>
        </w:rPr>
        <w:t xml:space="preserve">). </w:t>
      </w:r>
      <w:r w:rsidR="005D172E" w:rsidRPr="005F69DA">
        <w:rPr>
          <w:sz w:val="22"/>
          <w:szCs w:val="22"/>
        </w:rPr>
        <w:t xml:space="preserve">Interestingly, we observed </w:t>
      </w:r>
      <w:r w:rsidR="0043113B" w:rsidRPr="005F69DA">
        <w:rPr>
          <w:sz w:val="22"/>
          <w:szCs w:val="22"/>
        </w:rPr>
        <w:t>an inc</w:t>
      </w:r>
      <w:r w:rsidR="005D172E" w:rsidRPr="005F69DA">
        <w:rPr>
          <w:sz w:val="22"/>
          <w:szCs w:val="22"/>
        </w:rPr>
        <w:t xml:space="preserve">rease </w:t>
      </w:r>
      <w:r w:rsidR="0043113B" w:rsidRPr="005F69DA">
        <w:rPr>
          <w:sz w:val="22"/>
          <w:szCs w:val="22"/>
        </w:rPr>
        <w:t>in the relative abundance</w:t>
      </w:r>
      <w:r w:rsidR="005D172E" w:rsidRPr="005F69DA">
        <w:rPr>
          <w:sz w:val="22"/>
          <w:szCs w:val="22"/>
        </w:rPr>
        <w:t xml:space="preserve"> of the </w:t>
      </w:r>
      <w:r w:rsidR="00CF173F" w:rsidRPr="005F69DA">
        <w:rPr>
          <w:sz w:val="22"/>
          <w:szCs w:val="22"/>
        </w:rPr>
        <w:t xml:space="preserve">two of the five </w:t>
      </w:r>
      <w:r w:rsidR="005D172E" w:rsidRPr="005F69DA">
        <w:rPr>
          <w:sz w:val="22"/>
          <w:szCs w:val="22"/>
        </w:rPr>
        <w:t xml:space="preserve">proteins </w:t>
      </w:r>
      <w:r w:rsidR="00CF173F" w:rsidRPr="005F69DA">
        <w:rPr>
          <w:sz w:val="22"/>
          <w:szCs w:val="22"/>
        </w:rPr>
        <w:t xml:space="preserve">measured in skeletal muscle from mice </w:t>
      </w:r>
      <w:r w:rsidR="00FB0FFE">
        <w:rPr>
          <w:sz w:val="22"/>
          <w:szCs w:val="22"/>
        </w:rPr>
        <w:t>exposed to</w:t>
      </w:r>
      <w:r w:rsidR="00CF173F" w:rsidRPr="005F69DA">
        <w:rPr>
          <w:sz w:val="22"/>
          <w:szCs w:val="22"/>
        </w:rPr>
        <w:t xml:space="preserve"> MPC230 compared to the saline-treated mice</w:t>
      </w:r>
      <w:r w:rsidR="00794142" w:rsidRPr="005F69DA">
        <w:rPr>
          <w:sz w:val="22"/>
          <w:szCs w:val="22"/>
        </w:rPr>
        <w:t>;</w:t>
      </w:r>
      <w:r w:rsidR="00CF173F" w:rsidRPr="005F69DA">
        <w:rPr>
          <w:sz w:val="22"/>
          <w:szCs w:val="22"/>
        </w:rPr>
        <w:t xml:space="preserve"> </w:t>
      </w:r>
      <w:r w:rsidR="005D172E" w:rsidRPr="005F69DA">
        <w:rPr>
          <w:sz w:val="22"/>
          <w:szCs w:val="22"/>
        </w:rPr>
        <w:t xml:space="preserve">NDUFB8 </w:t>
      </w:r>
      <w:r w:rsidR="00794142" w:rsidRPr="005F69DA">
        <w:rPr>
          <w:sz w:val="22"/>
          <w:szCs w:val="22"/>
        </w:rPr>
        <w:t>and ATP5A were elevated 66.2% (</w:t>
      </w:r>
      <w:r w:rsidR="005D172E" w:rsidRPr="005F69DA">
        <w:rPr>
          <w:sz w:val="22"/>
          <w:szCs w:val="22"/>
        </w:rPr>
        <w:t>p=0.042</w:t>
      </w:r>
      <w:r w:rsidR="00794142" w:rsidRPr="005F69DA">
        <w:rPr>
          <w:sz w:val="22"/>
          <w:szCs w:val="22"/>
        </w:rPr>
        <w:t>) and 64.2% (</w:t>
      </w:r>
      <w:r w:rsidR="005D172E" w:rsidRPr="005F69DA">
        <w:rPr>
          <w:sz w:val="22"/>
          <w:szCs w:val="22"/>
        </w:rPr>
        <w:t>p=0.022</w:t>
      </w:r>
      <w:r w:rsidR="00794142" w:rsidRPr="005F69DA">
        <w:rPr>
          <w:sz w:val="22"/>
          <w:szCs w:val="22"/>
        </w:rPr>
        <w:t>), respectively</w:t>
      </w:r>
      <w:r w:rsidR="00186195" w:rsidRPr="005F69DA">
        <w:rPr>
          <w:sz w:val="22"/>
          <w:szCs w:val="22"/>
        </w:rPr>
        <w:t xml:space="preserve">, whereas the other three electron transport proteins measured were </w:t>
      </w:r>
      <w:r w:rsidR="0054682B" w:rsidRPr="005F69DA">
        <w:rPr>
          <w:sz w:val="22"/>
          <w:szCs w:val="22"/>
        </w:rPr>
        <w:t xml:space="preserve">expressed </w:t>
      </w:r>
      <w:r w:rsidR="00186195" w:rsidRPr="005F69DA">
        <w:rPr>
          <w:sz w:val="22"/>
          <w:szCs w:val="22"/>
        </w:rPr>
        <w:t>similar</w:t>
      </w:r>
      <w:r w:rsidR="0054682B" w:rsidRPr="005F69DA">
        <w:rPr>
          <w:sz w:val="22"/>
          <w:szCs w:val="22"/>
        </w:rPr>
        <w:t>ly</w:t>
      </w:r>
      <w:r w:rsidR="00186195" w:rsidRPr="005F69DA">
        <w:rPr>
          <w:sz w:val="22"/>
          <w:szCs w:val="22"/>
        </w:rPr>
        <w:t xml:space="preserve"> between </w:t>
      </w:r>
      <w:r w:rsidR="0054682B" w:rsidRPr="005F69DA">
        <w:rPr>
          <w:sz w:val="22"/>
          <w:szCs w:val="22"/>
        </w:rPr>
        <w:t xml:space="preserve">the </w:t>
      </w:r>
      <w:r w:rsidR="00186195" w:rsidRPr="005F69DA">
        <w:rPr>
          <w:sz w:val="22"/>
          <w:szCs w:val="22"/>
        </w:rPr>
        <w:t>groups</w:t>
      </w:r>
      <w:r w:rsidR="00481D40">
        <w:rPr>
          <w:sz w:val="22"/>
          <w:szCs w:val="22"/>
        </w:rPr>
        <w:t xml:space="preserve"> (Figure 5E)</w:t>
      </w:r>
      <w:r w:rsidR="005D172E" w:rsidRPr="005F69DA">
        <w:rPr>
          <w:sz w:val="22"/>
          <w:szCs w:val="22"/>
        </w:rPr>
        <w:t>.</w:t>
      </w:r>
      <w:r w:rsidR="000D59B5" w:rsidRPr="005F69DA">
        <w:rPr>
          <w:sz w:val="22"/>
          <w:szCs w:val="22"/>
        </w:rPr>
        <w:t xml:space="preserve"> </w:t>
      </w:r>
      <w:r w:rsidR="001C3B10" w:rsidRPr="005F69DA">
        <w:rPr>
          <w:sz w:val="22"/>
          <w:szCs w:val="22"/>
        </w:rPr>
        <w:t xml:space="preserve">This finding suggests that </w:t>
      </w:r>
      <w:r w:rsidR="00DE79FB" w:rsidRPr="005F69DA">
        <w:rPr>
          <w:sz w:val="22"/>
          <w:szCs w:val="22"/>
        </w:rPr>
        <w:t xml:space="preserve">functional </w:t>
      </w:r>
      <w:r w:rsidR="001C3B10" w:rsidRPr="005F69DA">
        <w:rPr>
          <w:sz w:val="22"/>
          <w:szCs w:val="22"/>
        </w:rPr>
        <w:t xml:space="preserve">impairments in the oxidative capacity of the skeletal muscle are </w:t>
      </w:r>
      <w:r w:rsidR="00DE79FB" w:rsidRPr="005F69DA">
        <w:rPr>
          <w:sz w:val="22"/>
          <w:szCs w:val="22"/>
        </w:rPr>
        <w:t xml:space="preserve">likely to be </w:t>
      </w:r>
      <w:r w:rsidR="001C3B10" w:rsidRPr="005F69DA">
        <w:rPr>
          <w:sz w:val="22"/>
          <w:szCs w:val="22"/>
        </w:rPr>
        <w:t xml:space="preserve">secondary to the ability of the </w:t>
      </w:r>
      <w:r w:rsidR="00DE79FB" w:rsidRPr="005F69DA">
        <w:rPr>
          <w:sz w:val="22"/>
          <w:szCs w:val="22"/>
        </w:rPr>
        <w:t>myocyte</w:t>
      </w:r>
      <w:r w:rsidR="001C3B10" w:rsidRPr="005F69DA">
        <w:rPr>
          <w:sz w:val="22"/>
          <w:szCs w:val="22"/>
        </w:rPr>
        <w:t xml:space="preserve"> to </w:t>
      </w:r>
      <w:r w:rsidR="009249F9" w:rsidRPr="005F69DA">
        <w:rPr>
          <w:sz w:val="22"/>
          <w:szCs w:val="22"/>
        </w:rPr>
        <w:t>generate</w:t>
      </w:r>
      <w:r w:rsidR="001C3B10" w:rsidRPr="005F69DA">
        <w:rPr>
          <w:sz w:val="22"/>
          <w:szCs w:val="22"/>
        </w:rPr>
        <w:t xml:space="preserve"> mitochondrial </w:t>
      </w:r>
      <w:r w:rsidR="00186195" w:rsidRPr="005F69DA">
        <w:rPr>
          <w:sz w:val="22"/>
          <w:szCs w:val="22"/>
        </w:rPr>
        <w:t>enzymes</w:t>
      </w:r>
      <w:r w:rsidR="00DE79FB" w:rsidRPr="005F69DA">
        <w:rPr>
          <w:sz w:val="22"/>
          <w:szCs w:val="22"/>
        </w:rPr>
        <w:t xml:space="preserve"> at the protein level</w:t>
      </w:r>
      <w:r w:rsidR="009249F9" w:rsidRPr="005F69DA">
        <w:rPr>
          <w:sz w:val="22"/>
          <w:szCs w:val="22"/>
        </w:rPr>
        <w:t>.</w:t>
      </w:r>
    </w:p>
    <w:p w14:paraId="4EE2D188" w14:textId="77777777" w:rsidR="0026204D" w:rsidRPr="005F69DA" w:rsidRDefault="0026204D" w:rsidP="00AA41A9">
      <w:pPr>
        <w:spacing w:line="480" w:lineRule="auto"/>
        <w:rPr>
          <w:sz w:val="22"/>
          <w:szCs w:val="22"/>
        </w:rPr>
      </w:pPr>
    </w:p>
    <w:p w14:paraId="5B5860FF" w14:textId="77777777" w:rsidR="007221E6" w:rsidRPr="005F69DA" w:rsidRDefault="007221E6" w:rsidP="0026204D">
      <w:pPr>
        <w:pStyle w:val="Heading1"/>
        <w:spacing w:before="0" w:line="480" w:lineRule="auto"/>
        <w:rPr>
          <w:sz w:val="22"/>
          <w:szCs w:val="22"/>
        </w:rPr>
      </w:pPr>
      <w:commentRangeStart w:id="14"/>
      <w:r w:rsidRPr="005F69DA">
        <w:rPr>
          <w:sz w:val="22"/>
          <w:szCs w:val="22"/>
        </w:rPr>
        <w:t>Discussion</w:t>
      </w:r>
      <w:commentRangeEnd w:id="14"/>
      <w:r w:rsidR="00B10F5C">
        <w:rPr>
          <w:rStyle w:val="CommentReference"/>
          <w:rFonts w:asciiTheme="minorHAnsi" w:eastAsiaTheme="minorEastAsia" w:hAnsiTheme="minorHAnsi" w:cstheme="minorBidi"/>
          <w:b w:val="0"/>
          <w:bCs w:val="0"/>
          <w:color w:val="auto"/>
        </w:rPr>
        <w:commentReference w:id="14"/>
      </w:r>
    </w:p>
    <w:p w14:paraId="688DEEAD" w14:textId="77777777" w:rsidR="0098441B" w:rsidRPr="005F69DA" w:rsidRDefault="00317C44" w:rsidP="00896FD8">
      <w:pPr>
        <w:spacing w:line="480" w:lineRule="auto"/>
        <w:rPr>
          <w:sz w:val="22"/>
          <w:szCs w:val="22"/>
        </w:rPr>
      </w:pPr>
      <w:r w:rsidRPr="005F69DA">
        <w:rPr>
          <w:sz w:val="22"/>
          <w:szCs w:val="22"/>
        </w:rPr>
        <w:t>In this study</w:t>
      </w:r>
      <w:r w:rsidR="008C306C" w:rsidRPr="005F69DA">
        <w:rPr>
          <w:sz w:val="22"/>
          <w:szCs w:val="22"/>
        </w:rPr>
        <w:t>,</w:t>
      </w:r>
      <w:r w:rsidRPr="005F69DA">
        <w:rPr>
          <w:sz w:val="22"/>
          <w:szCs w:val="22"/>
        </w:rPr>
        <w:t xml:space="preserve"> we have </w:t>
      </w:r>
      <w:r w:rsidR="0098441B" w:rsidRPr="005F69DA">
        <w:rPr>
          <w:sz w:val="22"/>
          <w:szCs w:val="22"/>
        </w:rPr>
        <w:t>tested</w:t>
      </w:r>
      <w:r w:rsidRPr="005F69DA">
        <w:rPr>
          <w:sz w:val="22"/>
          <w:szCs w:val="22"/>
        </w:rPr>
        <w:t xml:space="preserve"> the</w:t>
      </w:r>
      <w:r w:rsidR="002B38BB" w:rsidRPr="005F69DA">
        <w:rPr>
          <w:sz w:val="22"/>
          <w:szCs w:val="22"/>
        </w:rPr>
        <w:t xml:space="preserve"> metabolic</w:t>
      </w:r>
      <w:r w:rsidRPr="005F69DA">
        <w:rPr>
          <w:sz w:val="22"/>
          <w:szCs w:val="22"/>
        </w:rPr>
        <w:t xml:space="preserve"> effects of </w:t>
      </w:r>
      <w:r w:rsidR="0098441B" w:rsidRPr="005F69DA">
        <w:rPr>
          <w:sz w:val="22"/>
          <w:szCs w:val="22"/>
        </w:rPr>
        <w:t xml:space="preserve">a limited </w:t>
      </w:r>
      <w:r w:rsidRPr="005F69DA">
        <w:rPr>
          <w:sz w:val="22"/>
          <w:szCs w:val="22"/>
        </w:rPr>
        <w:t>gestational</w:t>
      </w:r>
      <w:r w:rsidR="0098441B" w:rsidRPr="005F69DA">
        <w:rPr>
          <w:sz w:val="22"/>
          <w:szCs w:val="22"/>
        </w:rPr>
        <w:t xml:space="preserve"> exposure to </w:t>
      </w:r>
      <w:r w:rsidR="008C306C" w:rsidRPr="005F69DA">
        <w:rPr>
          <w:sz w:val="22"/>
          <w:szCs w:val="22"/>
        </w:rPr>
        <w:t>EPFR-containing PM</w:t>
      </w:r>
      <w:r w:rsidR="0098441B" w:rsidRPr="005F69DA">
        <w:rPr>
          <w:sz w:val="22"/>
          <w:szCs w:val="22"/>
        </w:rPr>
        <w:t>.  We noted that these mice grew larger</w:t>
      </w:r>
      <w:r w:rsidR="000C0348" w:rsidRPr="005F69DA">
        <w:rPr>
          <w:sz w:val="22"/>
          <w:szCs w:val="22"/>
        </w:rPr>
        <w:t>,</w:t>
      </w:r>
      <w:r w:rsidR="0098441B" w:rsidRPr="005F69DA">
        <w:rPr>
          <w:sz w:val="22"/>
          <w:szCs w:val="22"/>
        </w:rPr>
        <w:t xml:space="preserve"> </w:t>
      </w:r>
      <w:r w:rsidR="000C0348" w:rsidRPr="005F69DA">
        <w:rPr>
          <w:sz w:val="22"/>
          <w:szCs w:val="22"/>
        </w:rPr>
        <w:t>despite</w:t>
      </w:r>
      <w:r w:rsidR="0098441B" w:rsidRPr="005F69DA">
        <w:rPr>
          <w:sz w:val="22"/>
          <w:szCs w:val="22"/>
        </w:rPr>
        <w:t xml:space="preserve"> reductions in food intake, </w:t>
      </w:r>
      <w:r w:rsidR="000C0348" w:rsidRPr="005F69DA">
        <w:rPr>
          <w:sz w:val="22"/>
          <w:szCs w:val="22"/>
        </w:rPr>
        <w:t xml:space="preserve">and that this </w:t>
      </w:r>
      <w:r w:rsidR="008C306C" w:rsidRPr="005F69DA">
        <w:rPr>
          <w:sz w:val="22"/>
          <w:szCs w:val="22"/>
        </w:rPr>
        <w:t>correlated with</w:t>
      </w:r>
      <w:r w:rsidR="0098441B" w:rsidRPr="005F69DA">
        <w:rPr>
          <w:sz w:val="22"/>
          <w:szCs w:val="22"/>
        </w:rPr>
        <w:t xml:space="preserve"> reduced energy expenditure and </w:t>
      </w:r>
      <w:r w:rsidR="00031818" w:rsidRPr="005F69DA">
        <w:rPr>
          <w:sz w:val="22"/>
          <w:szCs w:val="22"/>
        </w:rPr>
        <w:t xml:space="preserve">impaired </w:t>
      </w:r>
      <w:r w:rsidR="0098441B" w:rsidRPr="005F69DA">
        <w:rPr>
          <w:sz w:val="22"/>
          <w:szCs w:val="22"/>
        </w:rPr>
        <w:t xml:space="preserve">mitochondrial </w:t>
      </w:r>
      <w:r w:rsidR="000C0348" w:rsidRPr="005F69DA">
        <w:rPr>
          <w:sz w:val="22"/>
          <w:szCs w:val="22"/>
        </w:rPr>
        <w:t xml:space="preserve">oxidative function </w:t>
      </w:r>
      <w:r w:rsidR="000C5C97" w:rsidRPr="005F69DA">
        <w:rPr>
          <w:sz w:val="22"/>
          <w:szCs w:val="22"/>
        </w:rPr>
        <w:t xml:space="preserve">in </w:t>
      </w:r>
      <w:r w:rsidR="00031818" w:rsidRPr="005F69DA">
        <w:rPr>
          <w:sz w:val="22"/>
          <w:szCs w:val="22"/>
        </w:rPr>
        <w:t xml:space="preserve">skeletal </w:t>
      </w:r>
      <w:r w:rsidR="000C5C97" w:rsidRPr="005F69DA">
        <w:rPr>
          <w:sz w:val="22"/>
          <w:szCs w:val="22"/>
        </w:rPr>
        <w:t>muscle</w:t>
      </w:r>
      <w:r w:rsidR="0098441B" w:rsidRPr="005F69DA">
        <w:rPr>
          <w:sz w:val="22"/>
          <w:szCs w:val="22"/>
        </w:rPr>
        <w:t xml:space="preserve">. </w:t>
      </w:r>
    </w:p>
    <w:p w14:paraId="280A4D19" w14:textId="77777777" w:rsidR="00D97D10" w:rsidRPr="005F69DA" w:rsidRDefault="00D97D10" w:rsidP="00D3063E">
      <w:pPr>
        <w:spacing w:line="480" w:lineRule="auto"/>
        <w:rPr>
          <w:sz w:val="22"/>
          <w:szCs w:val="22"/>
        </w:rPr>
      </w:pPr>
    </w:p>
    <w:p w14:paraId="2E3C814A" w14:textId="5E88B716" w:rsidR="0098441B" w:rsidRPr="005F69DA" w:rsidRDefault="0098441B" w:rsidP="00AA41A9">
      <w:pPr>
        <w:spacing w:line="480" w:lineRule="auto"/>
        <w:rPr>
          <w:sz w:val="22"/>
          <w:szCs w:val="22"/>
        </w:rPr>
      </w:pPr>
      <w:r w:rsidRPr="005F69DA">
        <w:rPr>
          <w:sz w:val="22"/>
          <w:szCs w:val="22"/>
        </w:rPr>
        <w:t xml:space="preserve">One potential explanation for the reductions in energy expenditure </w:t>
      </w:r>
      <w:r w:rsidR="00B34FAC" w:rsidRPr="005F69DA">
        <w:rPr>
          <w:sz w:val="22"/>
          <w:szCs w:val="22"/>
        </w:rPr>
        <w:t xml:space="preserve">and </w:t>
      </w:r>
      <w:r w:rsidR="00717241" w:rsidRPr="005F69DA">
        <w:rPr>
          <w:sz w:val="22"/>
          <w:szCs w:val="22"/>
        </w:rPr>
        <w:t xml:space="preserve">skeletal muscle </w:t>
      </w:r>
      <w:r w:rsidR="00B34FAC" w:rsidRPr="005F69DA">
        <w:rPr>
          <w:sz w:val="22"/>
          <w:szCs w:val="22"/>
        </w:rPr>
        <w:t xml:space="preserve">mitochondrial </w:t>
      </w:r>
      <w:r w:rsidR="00717241" w:rsidRPr="005F69DA">
        <w:rPr>
          <w:sz w:val="22"/>
          <w:szCs w:val="22"/>
        </w:rPr>
        <w:t xml:space="preserve">function </w:t>
      </w:r>
      <w:r w:rsidRPr="005F69DA">
        <w:rPr>
          <w:sz w:val="22"/>
          <w:szCs w:val="22"/>
        </w:rPr>
        <w:t xml:space="preserve">is </w:t>
      </w:r>
      <w:r w:rsidR="00B06370" w:rsidRPr="005F69DA">
        <w:rPr>
          <w:sz w:val="22"/>
          <w:szCs w:val="22"/>
        </w:rPr>
        <w:t>the observed reduction in</w:t>
      </w:r>
      <w:r w:rsidRPr="005F69DA">
        <w:rPr>
          <w:sz w:val="22"/>
          <w:szCs w:val="22"/>
        </w:rPr>
        <w:t xml:space="preserve"> </w:t>
      </w:r>
      <w:r w:rsidR="00B34FAC" w:rsidRPr="005F69DA">
        <w:rPr>
          <w:sz w:val="22"/>
          <w:szCs w:val="22"/>
        </w:rPr>
        <w:t>physical</w:t>
      </w:r>
      <w:r w:rsidRPr="005F69DA">
        <w:rPr>
          <w:sz w:val="22"/>
          <w:szCs w:val="22"/>
        </w:rPr>
        <w:t xml:space="preserve"> activity</w:t>
      </w:r>
      <w:r w:rsidR="00B06370" w:rsidRPr="005F69DA">
        <w:rPr>
          <w:sz w:val="22"/>
          <w:szCs w:val="22"/>
        </w:rPr>
        <w:t xml:space="preserve"> for MCP230-exposed mice</w:t>
      </w:r>
      <w:r w:rsidRPr="005F69DA">
        <w:rPr>
          <w:sz w:val="22"/>
          <w:szCs w:val="22"/>
        </w:rPr>
        <w:t xml:space="preserve">. </w:t>
      </w:r>
      <w:r w:rsidR="00B06370" w:rsidRPr="005F69DA">
        <w:rPr>
          <w:sz w:val="22"/>
          <w:szCs w:val="22"/>
        </w:rPr>
        <w:t>I</w:t>
      </w:r>
      <w:r w:rsidRPr="005F69DA">
        <w:rPr>
          <w:sz w:val="22"/>
          <w:szCs w:val="22"/>
        </w:rPr>
        <w:t xml:space="preserve">t is </w:t>
      </w:r>
      <w:r w:rsidR="00B06370" w:rsidRPr="005F69DA">
        <w:rPr>
          <w:sz w:val="22"/>
          <w:szCs w:val="22"/>
        </w:rPr>
        <w:t xml:space="preserve">also </w:t>
      </w:r>
      <w:r w:rsidRPr="005F69DA">
        <w:rPr>
          <w:sz w:val="22"/>
          <w:szCs w:val="22"/>
        </w:rPr>
        <w:t xml:space="preserve">possible that muscle weakness </w:t>
      </w:r>
      <w:r w:rsidR="00353D6D">
        <w:rPr>
          <w:sz w:val="22"/>
          <w:szCs w:val="22"/>
        </w:rPr>
        <w:t>(</w:t>
      </w:r>
      <w:r w:rsidRPr="005F69DA">
        <w:rPr>
          <w:sz w:val="22"/>
          <w:szCs w:val="22"/>
        </w:rPr>
        <w:t>due to r</w:t>
      </w:r>
      <w:r w:rsidR="00B16924" w:rsidRPr="005F69DA">
        <w:rPr>
          <w:sz w:val="22"/>
          <w:szCs w:val="22"/>
        </w:rPr>
        <w:t xml:space="preserve">educed skeletal muscle oxidative </w:t>
      </w:r>
      <w:r w:rsidR="0097395C" w:rsidRPr="005F69DA">
        <w:rPr>
          <w:sz w:val="22"/>
          <w:szCs w:val="22"/>
        </w:rPr>
        <w:t>capacity</w:t>
      </w:r>
      <w:r w:rsidR="004B62B5" w:rsidRPr="005F69DA">
        <w:rPr>
          <w:sz w:val="22"/>
          <w:szCs w:val="22"/>
        </w:rPr>
        <w:t xml:space="preserve"> </w:t>
      </w:r>
      <w:r w:rsidR="004B62B5" w:rsidRPr="005F69DA">
        <w:rPr>
          <w:sz w:val="22"/>
          <w:szCs w:val="22"/>
        </w:rPr>
        <w:fldChar w:fldCharType="begin" w:fldLock="1"/>
      </w:r>
      <w:r w:rsidR="00470311" w:rsidRPr="005F69DA">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"id" : "ITEM-2", "itemData" : { "DOI" : "10.1093/brain/awg028", "ISSN" : "0006-8950", "PMID" : "12538407", "abstract" : "Impaired skeletal muscle oxidative phosphorylation in patients with severe mitochondrial respiratory chain defects results in disabling exercise intolerance that is associated with a markedly blunted capacity of muscle to increase oxygen utilization in relation to circulatory and ventilatory responses that increase oxygen delivery to muscle during exercise. The range of oxidative limitation and the relationship between the severity of oxidative defects and physiological responses to exercise among a broader spectrum of mitochondrial respiratory chain defects has not been defined. We evaluated oxidative capacity and circulatory and ventilatory responses to maximal cycle exercise in 40 patients with biochemically and/or molecularly defined mitochondrial myopathy (MM) associated with varying levels of exercise tolerance, and compared responses with those in healthy sedentary individuals. In the MM patients, mean peak work capacity (0.88 +/- 0.6 W/kg) and oxygen uptake (VO(2), 16 +/- 8 ml/kg/min) were significantly lower (P &lt; 0.01) than in controls (mean work capacity = 2.2 +/- 0.7 W/kg; VO(2) = 32 +/- 7 ml/kg/min), but the patient range was broad (0.17-3.2 W/kg; 6-47 ml/kg/min). Oxidative capacity in patients was limited by the ability of muscle to extract available oxygen from blood [mean peak systemic arteriovenous O(2) difference (a-vO(2)); patients = 7.7 +/- 3.5, range 2.7-17.6 ml/dl, controls = 15.2 +/- 2.1 ml/dl], as indicated by a linear correlation between peak VO(2) and peak systemic a-vO(2) difference (r(2) = 0.69). In the patients, the increase in cardiac output relative to VO(2) (mean DeltaQ/DeltaVO(2) = 15.0 +/- 13.6; range 3.3-73) and ventilation (mean peak VE/VO(2) = 65 +/- 24; range 21-104) were exaggerated compared with controls (mean DeltaQ/DeltaVO(2) = 5.1 +/- 0.7; VE/VO(2) = 41.2 +/- 7.4, P &lt; 0.01). There was a negative exponential relationship between DeltaQ/DeltaVO(2) and peak systemic a-vO(2) difference (r(2) = 0.92) and between peak VE/VO(2) and systemic a-vO(2) difference (r(2) = 0.53). In patients with heteroplasmic mtDNA mutations, we found an inverse relationship between the proportion of skeletal muscle mutant mtDNA and peak extraction of available oxygen during exercise (r(2) = 0.70). We conclude that the degree of exercise intolerance in MM correlates directly with the severity of impaired muscle oxidative phosphorylation as indicated by the peak capacity for muscle oxygen extraction. Exaggerated circulatory and ventilatory r\u2026", "author" : [ { "dropping-particle" : "", "family" : "Taivassalo", "given" : "Tanja", "non-dropping-particle" : "", "parse-names" : false, "suffix" : "" }, { "dropping-particle" : "", "family" : "Jensen", "given" : "Tina Dysgaard", "non-dropping-particle" : "", "parse-names" : false, "suffix" : "" }, { "dropping-particle" : "", "family" : "Kennaway", "given" : "Nancy", "non-dropping-particle" : "", "parse-names" : false, "suffix" : "" }, { "dropping-particle" : "", "family" : "DiMauro", "given" : "Salvatore", "non-dropping-particle" : "", "parse-names" : false, "suffix" : "" }, { "dropping-particle" : "", "family" : "Vissing", "given" : "John", "non-dropping-particle" : "", "parse-names" : false, "suffix" : "" }, { "dropping-particle" : "", "family" : "Haller", "given" : "Ronald G", "non-dropping-particle" : "", "parse-names" : false, "suffix" : "" } ], "container-title" : "Brain : a journal of neurology", "id" : "ITEM-2", "issue" : "Pt 2", "issued" : { "date-parts" : [ [ "2003", "2", "1" ] ] }, "page" : "413-23", "title" : "The spectrum of exercise tolerance in mitochondrial myopathies: a study of 40 patients.", "type" : "article-journal", "volume" : "126" }, "uris" : [ "http://www.mendeley.com/documents/?uuid=c3aa447e-ed51-4de2-87d2-72ea800e2ec9" ] } ], "mendeley" : { "formattedCitation" : "[30,31]", "plainTextFormattedCitation" : "[30,31]", "previouslyFormattedCitation" : "[29,30]" }, "properties" : { "noteIndex" : 0 }, "schema" : "https://github.com/citation-style-language/schema/raw/master/csl-citation.json" }</w:instrText>
      </w:r>
      <w:r w:rsidR="004B62B5" w:rsidRPr="005F69DA">
        <w:rPr>
          <w:sz w:val="22"/>
          <w:szCs w:val="22"/>
        </w:rPr>
        <w:fldChar w:fldCharType="separate"/>
      </w:r>
      <w:r w:rsidR="00470311" w:rsidRPr="005F69DA">
        <w:rPr>
          <w:noProof/>
          <w:sz w:val="22"/>
          <w:szCs w:val="22"/>
        </w:rPr>
        <w:t>[30,31]</w:t>
      </w:r>
      <w:r w:rsidR="004B62B5" w:rsidRPr="005F69DA">
        <w:rPr>
          <w:sz w:val="22"/>
          <w:szCs w:val="22"/>
        </w:rPr>
        <w:fldChar w:fldCharType="end"/>
      </w:r>
      <w:r w:rsidR="00353D6D">
        <w:rPr>
          <w:sz w:val="22"/>
          <w:szCs w:val="22"/>
        </w:rPr>
        <w:t>)</w:t>
      </w:r>
      <w:r w:rsidR="004B62B5" w:rsidRPr="005F69DA">
        <w:rPr>
          <w:sz w:val="22"/>
          <w:szCs w:val="22"/>
        </w:rPr>
        <w:t xml:space="preserve"> </w:t>
      </w:r>
      <w:r w:rsidR="00B06370" w:rsidRPr="005F69DA">
        <w:rPr>
          <w:sz w:val="22"/>
          <w:szCs w:val="22"/>
        </w:rPr>
        <w:t>could</w:t>
      </w:r>
      <w:r w:rsidR="000917CE" w:rsidRPr="005F69DA">
        <w:rPr>
          <w:sz w:val="22"/>
          <w:szCs w:val="22"/>
        </w:rPr>
        <w:t xml:space="preserve"> </w:t>
      </w:r>
      <w:r w:rsidR="00B16924" w:rsidRPr="005F69DA">
        <w:rPr>
          <w:sz w:val="22"/>
          <w:szCs w:val="22"/>
        </w:rPr>
        <w:t>contribute to</w:t>
      </w:r>
      <w:r w:rsidR="00B06370" w:rsidRPr="005F69DA">
        <w:rPr>
          <w:sz w:val="22"/>
          <w:szCs w:val="22"/>
        </w:rPr>
        <w:t xml:space="preserve"> the reduced physical activity of </w:t>
      </w:r>
      <w:r w:rsidR="000917CE" w:rsidRPr="005F69DA">
        <w:rPr>
          <w:sz w:val="22"/>
          <w:szCs w:val="22"/>
        </w:rPr>
        <w:t>MCP230-exposed</w:t>
      </w:r>
      <w:r w:rsidRPr="005F69DA">
        <w:rPr>
          <w:sz w:val="22"/>
          <w:szCs w:val="22"/>
        </w:rPr>
        <w:t xml:space="preserve"> animals.</w:t>
      </w:r>
      <w:r w:rsidR="00B34FAC" w:rsidRPr="005F69DA">
        <w:rPr>
          <w:sz w:val="22"/>
          <w:szCs w:val="22"/>
        </w:rPr>
        <w:t xml:space="preserve">  </w:t>
      </w:r>
      <w:r w:rsidR="001646BA" w:rsidRPr="005F69DA">
        <w:rPr>
          <w:sz w:val="22"/>
          <w:szCs w:val="22"/>
        </w:rPr>
        <w:t xml:space="preserve">Both of these hypotheses are consistent with cross-sectional studies showing negative associations between </w:t>
      </w:r>
      <w:r w:rsidR="008C306C" w:rsidRPr="005F69DA">
        <w:rPr>
          <w:sz w:val="22"/>
          <w:szCs w:val="22"/>
        </w:rPr>
        <w:t xml:space="preserve">ambient air </w:t>
      </w:r>
      <w:r w:rsidR="001646BA" w:rsidRPr="005F69DA">
        <w:rPr>
          <w:sz w:val="22"/>
          <w:szCs w:val="22"/>
        </w:rPr>
        <w:t>pollutant exposure and leisure time physical activity</w:t>
      </w:r>
      <w:r w:rsidR="003725F0" w:rsidRPr="005F69DA">
        <w:rPr>
          <w:sz w:val="22"/>
          <w:szCs w:val="22"/>
        </w:rPr>
        <w:t xml:space="preserve"> </w:t>
      </w:r>
      <w:r w:rsidR="001646BA" w:rsidRPr="005F69DA">
        <w:rPr>
          <w:sz w:val="22"/>
          <w:szCs w:val="22"/>
        </w:rPr>
        <w:fldChar w:fldCharType="begin" w:fldLock="1"/>
      </w:r>
      <w:r w:rsidR="00470311" w:rsidRPr="005F69DA">
        <w:rPr>
          <w:sz w:val="22"/>
          <w:szCs w:val="22"/>
        </w:rPr>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"[32]", "plainTextFormattedCitation" : "[32]", "previouslyFormattedCitation" : "[31]" }, "properties" : { "noteIndex" : 0 }, "schema" : "https://github.com/citation-style-language/schema/raw/master/csl-citation.json" }</w:instrText>
      </w:r>
      <w:r w:rsidR="001646BA" w:rsidRPr="005F69DA">
        <w:rPr>
          <w:sz w:val="22"/>
          <w:szCs w:val="22"/>
        </w:rPr>
        <w:fldChar w:fldCharType="separate"/>
      </w:r>
      <w:r w:rsidR="00470311" w:rsidRPr="005F69DA">
        <w:rPr>
          <w:noProof/>
          <w:sz w:val="22"/>
          <w:szCs w:val="22"/>
        </w:rPr>
        <w:t>[32]</w:t>
      </w:r>
      <w:r w:rsidR="001646BA" w:rsidRPr="005F69DA">
        <w:rPr>
          <w:sz w:val="22"/>
          <w:szCs w:val="22"/>
        </w:rPr>
        <w:fldChar w:fldCharType="end"/>
      </w:r>
      <w:r w:rsidR="003725F0" w:rsidRPr="005F69DA">
        <w:rPr>
          <w:sz w:val="22"/>
          <w:szCs w:val="22"/>
        </w:rPr>
        <w:t xml:space="preserve"> and exercise performance </w:t>
      </w:r>
      <w:r w:rsidR="003725F0" w:rsidRPr="005F69DA">
        <w:rPr>
          <w:sz w:val="22"/>
          <w:szCs w:val="22"/>
        </w:rPr>
        <w:fldChar w:fldCharType="begin" w:fldLock="1"/>
      </w:r>
      <w:r w:rsidR="00470311" w:rsidRPr="005F69DA">
        <w:rPr>
          <w:sz w:val="22"/>
          <w:szCs w:val="22"/>
        </w:rPr>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"[33\u201335]", "plainTextFormattedCitation" : "[33\u201335]", "previouslyFormattedCitation" : "[32\u201334]" }, "properties" : { "noteIndex" : 0 }, "schema" : "https://github.com/citation-style-language/schema/raw/master/csl-citation.json" }</w:instrText>
      </w:r>
      <w:r w:rsidR="003725F0" w:rsidRPr="005F69DA">
        <w:rPr>
          <w:sz w:val="22"/>
          <w:szCs w:val="22"/>
        </w:rPr>
        <w:fldChar w:fldCharType="separate"/>
      </w:r>
      <w:r w:rsidR="00470311" w:rsidRPr="005F69DA">
        <w:rPr>
          <w:noProof/>
          <w:sz w:val="22"/>
          <w:szCs w:val="22"/>
        </w:rPr>
        <w:t>[33–35]</w:t>
      </w:r>
      <w:r w:rsidR="003725F0" w:rsidRPr="005F69DA">
        <w:rPr>
          <w:sz w:val="22"/>
          <w:szCs w:val="22"/>
        </w:rPr>
        <w:fldChar w:fldCharType="end"/>
      </w:r>
      <w:r w:rsidR="001646BA" w:rsidRPr="005F69DA">
        <w:rPr>
          <w:sz w:val="22"/>
          <w:szCs w:val="22"/>
        </w:rPr>
        <w:t xml:space="preserve">.  </w:t>
      </w:r>
      <w:r w:rsidR="00B34FAC" w:rsidRPr="005F69DA">
        <w:rPr>
          <w:sz w:val="22"/>
          <w:szCs w:val="22"/>
        </w:rPr>
        <w:t xml:space="preserve">Our current data are unable to determine </w:t>
      </w:r>
      <w:r w:rsidR="003725F0" w:rsidRPr="005F69DA">
        <w:rPr>
          <w:sz w:val="22"/>
          <w:szCs w:val="22"/>
        </w:rPr>
        <w:t>whether reduced mitochondrial function</w:t>
      </w:r>
      <w:r w:rsidR="00B34FAC" w:rsidRPr="005F69DA">
        <w:rPr>
          <w:sz w:val="22"/>
          <w:szCs w:val="22"/>
        </w:rPr>
        <w:t xml:space="preserve"> is the primary cause</w:t>
      </w:r>
      <w:r w:rsidR="004A562E" w:rsidRPr="005F69DA">
        <w:rPr>
          <w:sz w:val="22"/>
          <w:szCs w:val="22"/>
        </w:rPr>
        <w:t xml:space="preserve"> of these reductions in energy e</w:t>
      </w:r>
      <w:r w:rsidR="006717EC" w:rsidRPr="005F69DA">
        <w:rPr>
          <w:sz w:val="22"/>
          <w:szCs w:val="22"/>
        </w:rPr>
        <w:t>x</w:t>
      </w:r>
      <w:r w:rsidR="004A562E" w:rsidRPr="005F69DA">
        <w:rPr>
          <w:sz w:val="22"/>
          <w:szCs w:val="22"/>
        </w:rPr>
        <w:t>penditure</w:t>
      </w:r>
      <w:r w:rsidR="003725F0" w:rsidRPr="005F69DA">
        <w:rPr>
          <w:sz w:val="22"/>
          <w:szCs w:val="22"/>
        </w:rPr>
        <w:t xml:space="preserve"> or </w:t>
      </w:r>
      <w:r w:rsidR="00F35846" w:rsidRPr="005F69DA">
        <w:rPr>
          <w:sz w:val="22"/>
          <w:szCs w:val="22"/>
        </w:rPr>
        <w:t xml:space="preserve">if this observation </w:t>
      </w:r>
      <w:r w:rsidR="003725F0" w:rsidRPr="005F69DA">
        <w:rPr>
          <w:sz w:val="22"/>
          <w:szCs w:val="22"/>
        </w:rPr>
        <w:t>is secondary to</w:t>
      </w:r>
      <w:r w:rsidR="004A562E" w:rsidRPr="005F69DA">
        <w:rPr>
          <w:sz w:val="22"/>
          <w:szCs w:val="22"/>
        </w:rPr>
        <w:t xml:space="preserve"> </w:t>
      </w:r>
      <w:r w:rsidR="00F35846" w:rsidRPr="005F69DA">
        <w:rPr>
          <w:sz w:val="22"/>
          <w:szCs w:val="22"/>
        </w:rPr>
        <w:t xml:space="preserve">a </w:t>
      </w:r>
      <w:r w:rsidR="004A562E" w:rsidRPr="005F69DA">
        <w:rPr>
          <w:sz w:val="22"/>
          <w:szCs w:val="22"/>
        </w:rPr>
        <w:t xml:space="preserve">reduced propensity </w:t>
      </w:r>
      <w:r w:rsidR="008147B8" w:rsidRPr="005F69DA">
        <w:rPr>
          <w:sz w:val="22"/>
          <w:szCs w:val="22"/>
        </w:rPr>
        <w:t>for</w:t>
      </w:r>
      <w:r w:rsidR="004A562E" w:rsidRPr="005F69DA">
        <w:rPr>
          <w:sz w:val="22"/>
          <w:szCs w:val="22"/>
        </w:rPr>
        <w:t xml:space="preserve"> physical</w:t>
      </w:r>
      <w:r w:rsidR="00F35846" w:rsidRPr="005F69DA">
        <w:rPr>
          <w:sz w:val="22"/>
          <w:szCs w:val="22"/>
        </w:rPr>
        <w:t xml:space="preserve"> activity</w:t>
      </w:r>
      <w:r w:rsidR="004A562E" w:rsidRPr="005F69DA">
        <w:rPr>
          <w:sz w:val="22"/>
          <w:szCs w:val="22"/>
        </w:rPr>
        <w:t>.</w:t>
      </w:r>
      <w:r w:rsidR="00B34FAC" w:rsidRPr="005F69DA">
        <w:rPr>
          <w:sz w:val="22"/>
          <w:szCs w:val="22"/>
        </w:rPr>
        <w:t xml:space="preserve"> </w:t>
      </w:r>
      <w:r w:rsidR="00B02E5E" w:rsidRPr="005F69DA">
        <w:rPr>
          <w:sz w:val="22"/>
          <w:szCs w:val="22"/>
        </w:rPr>
        <w:t>However, our observations of</w:t>
      </w:r>
      <w:r w:rsidR="00B34FAC" w:rsidRPr="005F69DA">
        <w:rPr>
          <w:sz w:val="22"/>
          <w:szCs w:val="22"/>
        </w:rPr>
        <w:t xml:space="preserve"> reductions in mitochondrial </w:t>
      </w:r>
      <w:r w:rsidR="008147B8" w:rsidRPr="005F69DA">
        <w:rPr>
          <w:sz w:val="22"/>
          <w:szCs w:val="22"/>
        </w:rPr>
        <w:t>DNA</w:t>
      </w:r>
      <w:r w:rsidR="00B34FAC" w:rsidRPr="005F69DA">
        <w:rPr>
          <w:sz w:val="22"/>
          <w:szCs w:val="22"/>
        </w:rPr>
        <w:t>,</w:t>
      </w:r>
      <w:r w:rsidR="008147B8" w:rsidRPr="005F69DA">
        <w:rPr>
          <w:sz w:val="22"/>
          <w:szCs w:val="22"/>
        </w:rPr>
        <w:t xml:space="preserve"> citrate synthase activity and mRNA transcripts su</w:t>
      </w:r>
      <w:r w:rsidR="00B34FAC" w:rsidRPr="005F69DA">
        <w:rPr>
          <w:sz w:val="22"/>
          <w:szCs w:val="22"/>
        </w:rPr>
        <w:t xml:space="preserve">pport the possibility that </w:t>
      </w:r>
      <w:r w:rsidR="000C2AA4" w:rsidRPr="005F69DA">
        <w:rPr>
          <w:sz w:val="22"/>
          <w:szCs w:val="22"/>
        </w:rPr>
        <w:t xml:space="preserve">gestational </w:t>
      </w:r>
      <w:r w:rsidR="008C306C" w:rsidRPr="005F69DA">
        <w:rPr>
          <w:sz w:val="22"/>
          <w:szCs w:val="22"/>
        </w:rPr>
        <w:t>exposure to</w:t>
      </w:r>
      <w:r w:rsidR="000C2AA4" w:rsidRPr="005F69DA">
        <w:rPr>
          <w:sz w:val="22"/>
          <w:szCs w:val="22"/>
        </w:rPr>
        <w:t xml:space="preserve"> EPFRs </w:t>
      </w:r>
      <w:r w:rsidR="004A562E" w:rsidRPr="005F69DA">
        <w:rPr>
          <w:sz w:val="22"/>
          <w:szCs w:val="22"/>
        </w:rPr>
        <w:t xml:space="preserve">directly </w:t>
      </w:r>
      <w:r w:rsidR="008C306C" w:rsidRPr="005F69DA">
        <w:rPr>
          <w:sz w:val="22"/>
          <w:szCs w:val="22"/>
        </w:rPr>
        <w:t xml:space="preserve">affects </w:t>
      </w:r>
      <w:r w:rsidR="008147B8" w:rsidRPr="005F69DA">
        <w:rPr>
          <w:sz w:val="22"/>
          <w:szCs w:val="22"/>
        </w:rPr>
        <w:t>skeletal</w:t>
      </w:r>
      <w:r w:rsidR="004A562E" w:rsidRPr="005F69DA">
        <w:rPr>
          <w:sz w:val="22"/>
          <w:szCs w:val="22"/>
        </w:rPr>
        <w:t xml:space="preserve"> muscle mitochondrial </w:t>
      </w:r>
      <w:r w:rsidR="008147B8" w:rsidRPr="005F69DA">
        <w:rPr>
          <w:sz w:val="22"/>
          <w:szCs w:val="22"/>
        </w:rPr>
        <w:t xml:space="preserve">oxidative </w:t>
      </w:r>
      <w:r w:rsidR="00B903AF" w:rsidRPr="005F69DA">
        <w:rPr>
          <w:sz w:val="22"/>
          <w:szCs w:val="22"/>
        </w:rPr>
        <w:t>function</w:t>
      </w:r>
      <w:r w:rsidR="00E036CD" w:rsidRPr="005F69DA">
        <w:rPr>
          <w:sz w:val="22"/>
          <w:szCs w:val="22"/>
        </w:rPr>
        <w:t>, which may contribute to changes in</w:t>
      </w:r>
      <w:r w:rsidR="008C306C" w:rsidRPr="005F69DA">
        <w:rPr>
          <w:sz w:val="22"/>
          <w:szCs w:val="22"/>
        </w:rPr>
        <w:t xml:space="preserve"> energy expenditure</w:t>
      </w:r>
      <w:r w:rsidR="000C2AA4" w:rsidRPr="005F69DA">
        <w:rPr>
          <w:sz w:val="22"/>
          <w:szCs w:val="22"/>
        </w:rPr>
        <w:t>.</w:t>
      </w:r>
      <w:r w:rsidR="007F0C01" w:rsidRPr="005F69DA">
        <w:rPr>
          <w:sz w:val="22"/>
          <w:szCs w:val="22"/>
        </w:rPr>
        <w:t xml:space="preserve"> </w:t>
      </w:r>
    </w:p>
    <w:p w14:paraId="6238B91D" w14:textId="77777777" w:rsidR="000C2AA4" w:rsidRPr="005F69DA" w:rsidRDefault="000C2AA4" w:rsidP="00625C45">
      <w:pPr>
        <w:spacing w:line="480" w:lineRule="auto"/>
        <w:rPr>
          <w:sz w:val="22"/>
          <w:szCs w:val="22"/>
        </w:rPr>
      </w:pPr>
    </w:p>
    <w:p w14:paraId="35228772" w14:textId="049949EB" w:rsidR="000C2AA4" w:rsidRPr="005F69DA" w:rsidRDefault="000C2AA4" w:rsidP="000634B1">
      <w:pPr>
        <w:spacing w:line="480" w:lineRule="auto"/>
        <w:rPr>
          <w:sz w:val="22"/>
          <w:szCs w:val="22"/>
        </w:rPr>
      </w:pPr>
      <w:r w:rsidRPr="005F69DA">
        <w:rPr>
          <w:sz w:val="22"/>
          <w:szCs w:val="22"/>
        </w:rPr>
        <w:t xml:space="preserve">The mechanisms by which gestational </w:t>
      </w:r>
      <w:r w:rsidR="008C306C" w:rsidRPr="005F69DA">
        <w:rPr>
          <w:sz w:val="22"/>
          <w:szCs w:val="22"/>
        </w:rPr>
        <w:t xml:space="preserve">exposure to </w:t>
      </w:r>
      <w:r w:rsidRPr="005F69DA">
        <w:rPr>
          <w:sz w:val="22"/>
          <w:szCs w:val="22"/>
        </w:rPr>
        <w:t>EPFR</w:t>
      </w:r>
      <w:r w:rsidR="008C306C" w:rsidRPr="005F69DA">
        <w:rPr>
          <w:sz w:val="22"/>
          <w:szCs w:val="22"/>
        </w:rPr>
        <w:t>s</w:t>
      </w:r>
      <w:r w:rsidRPr="005F69DA">
        <w:rPr>
          <w:sz w:val="22"/>
          <w:szCs w:val="22"/>
        </w:rPr>
        <w:t xml:space="preserve"> result in reduced mitochondrial </w:t>
      </w:r>
      <w:r w:rsidR="007F0C01" w:rsidRPr="005F69DA">
        <w:rPr>
          <w:sz w:val="22"/>
          <w:szCs w:val="22"/>
        </w:rPr>
        <w:t>function</w:t>
      </w:r>
      <w:r w:rsidRPr="005F69DA">
        <w:rPr>
          <w:sz w:val="22"/>
          <w:szCs w:val="22"/>
        </w:rPr>
        <w:t xml:space="preserve"> are not yet clear.</w:t>
      </w:r>
      <w:r w:rsidR="00CC46E5" w:rsidRPr="005F69DA">
        <w:rPr>
          <w:sz w:val="22"/>
          <w:szCs w:val="22"/>
        </w:rPr>
        <w:t xml:space="preserve">  </w:t>
      </w:r>
      <w:r w:rsidR="008C306C" w:rsidRPr="005F69DA">
        <w:rPr>
          <w:sz w:val="22"/>
          <w:szCs w:val="22"/>
        </w:rPr>
        <w:t xml:space="preserve">Our </w:t>
      </w:r>
      <w:r w:rsidR="00CC46E5" w:rsidRPr="005F69DA">
        <w:rPr>
          <w:sz w:val="22"/>
          <w:szCs w:val="22"/>
        </w:rPr>
        <w:t>data</w:t>
      </w:r>
      <w:r w:rsidR="008C306C" w:rsidRPr="005F69DA">
        <w:rPr>
          <w:sz w:val="22"/>
          <w:szCs w:val="22"/>
        </w:rPr>
        <w:t xml:space="preserve"> presented here</w:t>
      </w:r>
      <w:r w:rsidR="00CC46E5" w:rsidRPr="005F69DA">
        <w:rPr>
          <w:sz w:val="22"/>
          <w:szCs w:val="22"/>
        </w:rPr>
        <w:t xml:space="preserve"> are consistent with chronic models of PM</w:t>
      </w:r>
      <w:r w:rsidR="00CC46E5" w:rsidRPr="005F69DA">
        <w:rPr>
          <w:sz w:val="22"/>
          <w:szCs w:val="22"/>
          <w:vertAlign w:val="subscript"/>
        </w:rPr>
        <w:t>2.5</w:t>
      </w:r>
      <w:r w:rsidR="00CC46E5" w:rsidRPr="005F69DA">
        <w:rPr>
          <w:sz w:val="22"/>
          <w:szCs w:val="22"/>
        </w:rPr>
        <w:t xml:space="preserve"> </w:t>
      </w:r>
      <w:r w:rsidR="008C306C" w:rsidRPr="005F69DA">
        <w:rPr>
          <w:sz w:val="22"/>
          <w:szCs w:val="22"/>
        </w:rPr>
        <w:t>exposure</w:t>
      </w:r>
      <w:r w:rsidR="00CC46E5" w:rsidRPr="005F69DA">
        <w:rPr>
          <w:sz w:val="22"/>
          <w:szCs w:val="22"/>
        </w:rPr>
        <w:t xml:space="preserve">, which </w:t>
      </w:r>
      <w:r w:rsidR="00146ECC" w:rsidRPr="005F69DA">
        <w:rPr>
          <w:sz w:val="22"/>
          <w:szCs w:val="22"/>
        </w:rPr>
        <w:t xml:space="preserve">show </w:t>
      </w:r>
      <w:r w:rsidR="00146ECC" w:rsidRPr="005F69DA">
        <w:rPr>
          <w:sz w:val="22"/>
          <w:szCs w:val="22"/>
        </w:rPr>
        <w:lastRenderedPageBreak/>
        <w:t>reduced</w:t>
      </w:r>
      <w:r w:rsidR="00CC46E5" w:rsidRPr="005F69DA">
        <w:rPr>
          <w:sz w:val="22"/>
          <w:szCs w:val="22"/>
        </w:rPr>
        <w:t xml:space="preserve"> mitochondrial numbers</w:t>
      </w:r>
      <w:r w:rsidR="00B761A4" w:rsidRPr="005F69DA">
        <w:rPr>
          <w:sz w:val="22"/>
          <w:szCs w:val="22"/>
        </w:rPr>
        <w:t xml:space="preserve"> in white adipose tissue</w:t>
      </w:r>
      <w:r w:rsidR="00CC46E5" w:rsidRPr="005F69DA">
        <w:rPr>
          <w:sz w:val="22"/>
          <w:szCs w:val="22"/>
        </w:rPr>
        <w:t xml:space="preserve"> </w:t>
      </w:r>
      <w:r w:rsidR="00CC46E5" w:rsidRPr="005F69DA">
        <w:rPr>
          <w:sz w:val="22"/>
          <w:szCs w:val="22"/>
        </w:rPr>
        <w:fldChar w:fldCharType="begin" w:fldLock="1"/>
      </w:r>
      <w:r w:rsidR="00CA643D" w:rsidRPr="005F69DA">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"[7,8]", "plainTextFormattedCitation" : "[7,8]", "previouslyFormattedCitation" : "[7,8]" }, "properties" : { "noteIndex" : 0 }, "schema" : "https://github.com/citation-style-language/schema/raw/master/csl-citation.json" }</w:instrText>
      </w:r>
      <w:r w:rsidR="00CC46E5" w:rsidRPr="005F69DA">
        <w:rPr>
          <w:sz w:val="22"/>
          <w:szCs w:val="22"/>
        </w:rPr>
        <w:fldChar w:fldCharType="separate"/>
      </w:r>
      <w:r w:rsidR="00CA643D" w:rsidRPr="005F69DA">
        <w:rPr>
          <w:noProof/>
          <w:sz w:val="22"/>
          <w:szCs w:val="22"/>
        </w:rPr>
        <w:t>[7,8]</w:t>
      </w:r>
      <w:r w:rsidR="00CC46E5" w:rsidRPr="005F69DA">
        <w:rPr>
          <w:sz w:val="22"/>
          <w:szCs w:val="22"/>
        </w:rPr>
        <w:fldChar w:fldCharType="end"/>
      </w:r>
      <w:r w:rsidR="005E31F8" w:rsidRPr="005F69DA">
        <w:rPr>
          <w:sz w:val="22"/>
          <w:szCs w:val="22"/>
        </w:rPr>
        <w:t>.  Analyses of placental tissues from mothers showed a strong correlation between late-gestational PM</w:t>
      </w:r>
      <w:r w:rsidR="005E31F8" w:rsidRPr="005F69DA">
        <w:rPr>
          <w:sz w:val="22"/>
          <w:szCs w:val="22"/>
          <w:vertAlign w:val="subscript"/>
        </w:rPr>
        <w:t>10</w:t>
      </w:r>
      <w:r w:rsidR="005E31F8" w:rsidRPr="005F69DA">
        <w:rPr>
          <w:sz w:val="22"/>
          <w:szCs w:val="22"/>
          <w:vertAlign w:val="superscript"/>
        </w:rPr>
        <w:t xml:space="preserve"> </w:t>
      </w:r>
      <w:r w:rsidR="005E31F8" w:rsidRPr="005F69DA">
        <w:rPr>
          <w:sz w:val="22"/>
          <w:szCs w:val="22"/>
        </w:rPr>
        <w:t xml:space="preserve">exposure and placental mitochondrial DNA content </w:t>
      </w:r>
      <w:r w:rsidR="005E31F8" w:rsidRPr="005F69DA">
        <w:rPr>
          <w:sz w:val="22"/>
          <w:szCs w:val="22"/>
        </w:rPr>
        <w:fldChar w:fldCharType="begin" w:fldLock="1"/>
      </w:r>
      <w:r w:rsidR="00373BF3" w:rsidRPr="005F69DA">
        <w:rPr>
          <w:sz w:val="22"/>
          <w:szCs w:val="22"/>
        </w:rPr>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"[13]", "plainTextFormattedCitation" : "[13]", "previouslyFormattedCitation" : "[13]" }, "properties" : { "noteIndex" : 0 }, "schema" : "https://github.com/citation-style-language/schema/raw/master/csl-citation.json" }</w:instrText>
      </w:r>
      <w:r w:rsidR="005E31F8" w:rsidRPr="005F69DA">
        <w:rPr>
          <w:sz w:val="22"/>
          <w:szCs w:val="22"/>
        </w:rPr>
        <w:fldChar w:fldCharType="separate"/>
      </w:r>
      <w:r w:rsidR="00CA643D" w:rsidRPr="005F69DA">
        <w:rPr>
          <w:noProof/>
          <w:sz w:val="22"/>
          <w:szCs w:val="22"/>
        </w:rPr>
        <w:t>[13]</w:t>
      </w:r>
      <w:r w:rsidR="005E31F8" w:rsidRPr="005F69DA">
        <w:rPr>
          <w:sz w:val="22"/>
          <w:szCs w:val="22"/>
        </w:rPr>
        <w:fldChar w:fldCharType="end"/>
      </w:r>
      <w:r w:rsidR="005E31F8" w:rsidRPr="005F69DA">
        <w:rPr>
          <w:sz w:val="22"/>
          <w:szCs w:val="22"/>
        </w:rPr>
        <w:t>.  Given the elevated sensitivity of mitochondria to free radicals and oxidative stress, it is reasonable to hypothesize that during development, EPFR-mediated mitochondrial damage may result in chronic de</w:t>
      </w:r>
      <w:r w:rsidR="0012477B" w:rsidRPr="005F69DA">
        <w:rPr>
          <w:sz w:val="22"/>
          <w:szCs w:val="22"/>
        </w:rPr>
        <w:t>creases</w:t>
      </w:r>
      <w:r w:rsidR="005E31F8" w:rsidRPr="005F69DA">
        <w:rPr>
          <w:sz w:val="22"/>
          <w:szCs w:val="22"/>
        </w:rPr>
        <w:t xml:space="preserve"> in mitochondrial </w:t>
      </w:r>
      <w:r w:rsidR="0012477B" w:rsidRPr="005F69DA">
        <w:rPr>
          <w:sz w:val="22"/>
          <w:szCs w:val="22"/>
        </w:rPr>
        <w:t xml:space="preserve">oxidative </w:t>
      </w:r>
      <w:r w:rsidR="005E31F8" w:rsidRPr="005F69DA">
        <w:rPr>
          <w:sz w:val="22"/>
          <w:szCs w:val="22"/>
        </w:rPr>
        <w:t>function</w:t>
      </w:r>
      <w:r w:rsidR="00223477" w:rsidRPr="005F69DA">
        <w:rPr>
          <w:sz w:val="22"/>
          <w:szCs w:val="22"/>
        </w:rPr>
        <w:t>, either directly</w:t>
      </w:r>
      <w:r w:rsidR="0012477B" w:rsidRPr="005F69DA">
        <w:rPr>
          <w:sz w:val="22"/>
          <w:szCs w:val="22"/>
        </w:rPr>
        <w:t>,</w:t>
      </w:r>
      <w:r w:rsidR="00223477" w:rsidRPr="005F69DA">
        <w:rPr>
          <w:sz w:val="22"/>
          <w:szCs w:val="22"/>
        </w:rPr>
        <w:t xml:space="preserve"> via reactive oxygen species, or indirectly</w:t>
      </w:r>
      <w:r w:rsidR="0012477B" w:rsidRPr="005F69DA">
        <w:rPr>
          <w:sz w:val="22"/>
          <w:szCs w:val="22"/>
        </w:rPr>
        <w:t>,</w:t>
      </w:r>
      <w:r w:rsidR="00223477" w:rsidRPr="005F69DA">
        <w:rPr>
          <w:sz w:val="22"/>
          <w:szCs w:val="22"/>
        </w:rPr>
        <w:t xml:space="preserve"> via </w:t>
      </w:r>
      <w:r w:rsidR="007A42DE" w:rsidRPr="005F69DA">
        <w:rPr>
          <w:sz w:val="22"/>
          <w:szCs w:val="22"/>
        </w:rPr>
        <w:t>inflammatory processes</w:t>
      </w:r>
      <w:r w:rsidR="005E31F8" w:rsidRPr="005F69DA">
        <w:rPr>
          <w:sz w:val="22"/>
          <w:szCs w:val="22"/>
        </w:rPr>
        <w:t>.</w:t>
      </w:r>
      <w:r w:rsidR="0087161F" w:rsidRPr="005F69DA">
        <w:rPr>
          <w:sz w:val="22"/>
          <w:szCs w:val="22"/>
        </w:rPr>
        <w:t xml:space="preserve"> Based on our current protocol, mice are treated with EPFRs after inheritance of maternal mitochondria, indicating that this mitochondrial damage occurs </w:t>
      </w:r>
      <w:r w:rsidR="0087161F" w:rsidRPr="005F69DA">
        <w:rPr>
          <w:i/>
          <w:sz w:val="22"/>
          <w:szCs w:val="22"/>
        </w:rPr>
        <w:t>in situ</w:t>
      </w:r>
      <w:r w:rsidR="0087161F" w:rsidRPr="005F69DA">
        <w:rPr>
          <w:sz w:val="22"/>
          <w:szCs w:val="22"/>
        </w:rPr>
        <w:t xml:space="preserve"> in the progeny.</w:t>
      </w:r>
      <w:r w:rsidR="000C5C97" w:rsidRPr="005F69DA">
        <w:rPr>
          <w:sz w:val="22"/>
          <w:szCs w:val="22"/>
        </w:rPr>
        <w:t xml:space="preserve">  </w:t>
      </w:r>
      <w:r w:rsidR="00FC766B" w:rsidRPr="005F69DA">
        <w:rPr>
          <w:sz w:val="22"/>
          <w:szCs w:val="22"/>
        </w:rPr>
        <w:t>In contrast to previous studies that</w:t>
      </w:r>
      <w:r w:rsidR="000C5C97" w:rsidRPr="005F69DA">
        <w:rPr>
          <w:sz w:val="22"/>
          <w:szCs w:val="22"/>
        </w:rPr>
        <w:t xml:space="preserve"> us</w:t>
      </w:r>
      <w:r w:rsidR="00FC766B" w:rsidRPr="005F69DA">
        <w:rPr>
          <w:sz w:val="22"/>
          <w:szCs w:val="22"/>
        </w:rPr>
        <w:t>e</w:t>
      </w:r>
      <w:r w:rsidR="000C5C97" w:rsidRPr="005F69DA">
        <w:rPr>
          <w:sz w:val="22"/>
          <w:szCs w:val="22"/>
        </w:rPr>
        <w:t xml:space="preserve"> chronic pollution models </w:t>
      </w:r>
      <w:r w:rsidR="000C5C97" w:rsidRPr="005F69DA">
        <w:rPr>
          <w:sz w:val="22"/>
          <w:szCs w:val="22"/>
        </w:rPr>
        <w:fldChar w:fldCharType="begin" w:fldLock="1"/>
      </w:r>
      <w:r w:rsidR="00470311" w:rsidRPr="005F69DA">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"10.1289/ehp.10565", "ISSN" : "0091-6765", "PMID" : "18470293", "abstract" : "BACKGROUND: Human data linking inflammation with long-term particulate matter (PM) exposure are still lacking. Emerging evidence suggests that people with metabolic syndrome (MS) may be a more susceptible population.\n\nOBJECTIVES: Our goal was to examine potential inflammatory responses associated with long-term PM exposure and MS-dependent susceptibility.\n\nMETHODS: We conducted secondary analyses of white blood cell (WBC) count and MS data from The Third National Health and Nutrition Examination Survey and PM10 (PM with aerodynamic diameter &lt; 10 microm) data from the U.S. Environmental Protection Agency Aerometric Information Retrieval System. Estimated 1-year PM10 exposures were aggregated at the centroid of each residential census-block group, using distance-weighted averages from all monitors in the residing and adjoining counties. We restricted our analyses to adults (20-89 years of age) with normal WBC (4,000-11,000 x 10(6)/L), no existing cardiovascular disease, complete PM10 and MS data, and living in current residences &gt; 1 year (n = 2,978; age 48.5 +/- 17.8 years). Mixed-effects models were constructed to account for autocorrelation and potential confounders.\n\nRESULTS: After adjustment for demographics, socioeconomic factors, lifestyles, residential characteristics, and MS, we observed a statistically significant association between WBC count and estimated local PM10 levels (p = 0.035). Participants from the least polluted areas (1-year PM10 &lt; 1st quartile cutoff: 27.8 mug/m3) had lower WBC counts than the others (difference = 145 x 10(6)/L; 95% confidence interval, 10-281). We also noted a graded association between PM10 and WBC across subpopulations with increasing MS components, with 91 x 10(6)/L difference in WBC for those with no MS versus 214, 338, and 461 x 10(6)/L for those with 3, 4, and 5 metabolic abnormalities (trend-test p = 0.15).\n\nCONCLUSIONS: Our study revealed a positive association between long-term PM exposure and hematological markers of inflammation and supported the hypothesized MS-dependent susceptibility.", "author" : [ { "dropping-particle" : "", "family" : "Chen", "given" : "Jiu-Chiuan", "non-dropping-particle" : "", "parse-names" : false, "suffix" : "" }, { "dropping-particle" : "", "family" : "Schwartz", "given" : "Joel", "non-dropping-particle" : "", "parse-names" : false, "suffix" : "" } ], "container-title" : "Environmental health perspectives", "id" : "ITEM-2", "issue" : "5", "issued" : { "date-parts" : [ [ "2008", "5" ] ] }, "page" : "612-7", "title" : "Metabolic syndrome and inflammatory responses to long-term particulate air pollutants.", "type" : "article-journal", "volume" : "116" }, "uris" : [ "http://www.mendeley.com/documents/?uuid=24dac40c-f922-43b8-9966-817475993597"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"ITEM-5",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"ITEM-5", "issue" : "1", "issued" : { "date-parts" : [ [ "2012", "1" ] ] }, "page" : "92-8", "title" : "Diabetes incidence and long-term exposure to air pollution: a cohort study.", "type" : "article-journal", "volume" : "35" }, "uris" : [ "http://www.mendeley.com/documents/?uuid=32b97284-2791-42d4-b039-c411f329a2b5" ] } ], "mendeley" : { "formattedCitation" : "[1,3,4,6,36]", "plainTextFormattedCitation" : "[1,3,4,6,36]", "previouslyFormattedCitation" : "[1,3,4,6,35]" }, "properties" : { "noteIndex" : 0 }, "schema" : "https://github.com/citation-style-language/schema/raw/master/csl-citation.json" }</w:instrText>
      </w:r>
      <w:r w:rsidR="000C5C97" w:rsidRPr="005F69DA">
        <w:rPr>
          <w:sz w:val="22"/>
          <w:szCs w:val="22"/>
        </w:rPr>
        <w:fldChar w:fldCharType="separate"/>
      </w:r>
      <w:r w:rsidR="00470311" w:rsidRPr="005F69DA">
        <w:rPr>
          <w:noProof/>
          <w:sz w:val="22"/>
          <w:szCs w:val="22"/>
        </w:rPr>
        <w:t>[1,3,4,6,36]</w:t>
      </w:r>
      <w:r w:rsidR="000C5C97" w:rsidRPr="005F69DA">
        <w:rPr>
          <w:sz w:val="22"/>
          <w:szCs w:val="22"/>
        </w:rPr>
        <w:fldChar w:fldCharType="end"/>
      </w:r>
      <w:r w:rsidR="000C5C97" w:rsidRPr="005F69DA">
        <w:rPr>
          <w:sz w:val="22"/>
          <w:szCs w:val="22"/>
        </w:rPr>
        <w:t xml:space="preserve">, we did not observe any </w:t>
      </w:r>
      <w:r w:rsidR="00353D6D">
        <w:rPr>
          <w:sz w:val="22"/>
          <w:szCs w:val="22"/>
        </w:rPr>
        <w:t xml:space="preserve">indications that glycemic control was impaired in MCP230 exposed mice </w:t>
      </w:r>
      <w:r w:rsidR="000C5C97" w:rsidRPr="005F69DA">
        <w:rPr>
          <w:sz w:val="22"/>
          <w:szCs w:val="22"/>
        </w:rPr>
        <w:t>(</w:t>
      </w:r>
      <w:r w:rsidR="00353D6D">
        <w:rPr>
          <w:sz w:val="22"/>
          <w:szCs w:val="22"/>
        </w:rPr>
        <w:t>there were no differences in</w:t>
      </w:r>
      <w:r w:rsidR="00353D6D" w:rsidRPr="005F69DA">
        <w:rPr>
          <w:sz w:val="22"/>
          <w:szCs w:val="22"/>
        </w:rPr>
        <w:t xml:space="preserve"> </w:t>
      </w:r>
      <w:r w:rsidR="00353D6D">
        <w:rPr>
          <w:sz w:val="22"/>
          <w:szCs w:val="22"/>
        </w:rPr>
        <w:t xml:space="preserve">fasting </w:t>
      </w:r>
      <w:r w:rsidR="000C5C97" w:rsidRPr="005F69DA">
        <w:rPr>
          <w:sz w:val="22"/>
          <w:szCs w:val="22"/>
        </w:rPr>
        <w:t>glucose</w:t>
      </w:r>
      <w:r w:rsidR="00353D6D">
        <w:rPr>
          <w:sz w:val="22"/>
          <w:szCs w:val="22"/>
        </w:rPr>
        <w:t xml:space="preserve"> or fasting/fed </w:t>
      </w:r>
      <w:r w:rsidR="000C5C97" w:rsidRPr="005F69DA">
        <w:rPr>
          <w:sz w:val="22"/>
          <w:szCs w:val="22"/>
        </w:rPr>
        <w:t xml:space="preserve">insulin </w:t>
      </w:r>
      <w:r w:rsidR="00353D6D">
        <w:rPr>
          <w:sz w:val="22"/>
          <w:szCs w:val="22"/>
        </w:rPr>
        <w:t xml:space="preserve">concentrations relative to the saline or </w:t>
      </w:r>
      <w:proofErr w:type="spellStart"/>
      <w:r w:rsidR="00353D6D">
        <w:rPr>
          <w:sz w:val="22"/>
          <w:szCs w:val="22"/>
        </w:rPr>
        <w:t>cabosil</w:t>
      </w:r>
      <w:proofErr w:type="spellEnd"/>
      <w:r w:rsidR="00353D6D">
        <w:rPr>
          <w:sz w:val="22"/>
          <w:szCs w:val="22"/>
        </w:rPr>
        <w:t xml:space="preserve"> exposed mice</w:t>
      </w:r>
      <w:r w:rsidR="002404F1">
        <w:rPr>
          <w:sz w:val="22"/>
          <w:szCs w:val="22"/>
        </w:rPr>
        <w:t>, Figure 3</w:t>
      </w:r>
      <w:r w:rsidR="000C5C97" w:rsidRPr="005F69DA">
        <w:rPr>
          <w:sz w:val="22"/>
          <w:szCs w:val="22"/>
        </w:rPr>
        <w:t xml:space="preserve">), indicating that the effects of </w:t>
      </w:r>
      <w:r w:rsidR="005F4CF8" w:rsidRPr="005F69DA">
        <w:rPr>
          <w:sz w:val="22"/>
          <w:szCs w:val="22"/>
        </w:rPr>
        <w:t xml:space="preserve">acute </w:t>
      </w:r>
      <w:r w:rsidR="000C5C97" w:rsidRPr="005F69DA">
        <w:rPr>
          <w:sz w:val="22"/>
          <w:szCs w:val="22"/>
        </w:rPr>
        <w:t xml:space="preserve">gestational particulate exposure </w:t>
      </w:r>
      <w:r w:rsidR="003108A4">
        <w:rPr>
          <w:sz w:val="22"/>
          <w:szCs w:val="22"/>
        </w:rPr>
        <w:t>are not likely to</w:t>
      </w:r>
      <w:r w:rsidR="000C5C97" w:rsidRPr="005F69DA">
        <w:rPr>
          <w:sz w:val="22"/>
          <w:szCs w:val="22"/>
        </w:rPr>
        <w:t xml:space="preserve"> mimic the effects of chronic exposure, and the risk profiles </w:t>
      </w:r>
      <w:r w:rsidR="00EE799C" w:rsidRPr="005F69DA">
        <w:rPr>
          <w:sz w:val="22"/>
          <w:szCs w:val="22"/>
        </w:rPr>
        <w:t>and mechanisms associated with these exposures may differ</w:t>
      </w:r>
      <w:r w:rsidR="000C5C97" w:rsidRPr="005F69DA">
        <w:rPr>
          <w:sz w:val="22"/>
          <w:szCs w:val="22"/>
        </w:rPr>
        <w:t>.</w:t>
      </w:r>
    </w:p>
    <w:p w14:paraId="08B2E833" w14:textId="77777777" w:rsidR="00B14B91" w:rsidRPr="005F69DA" w:rsidRDefault="00B14B91" w:rsidP="000634B1">
      <w:pPr>
        <w:spacing w:line="480" w:lineRule="auto"/>
        <w:rPr>
          <w:sz w:val="22"/>
          <w:szCs w:val="22"/>
        </w:rPr>
      </w:pPr>
    </w:p>
    <w:p w14:paraId="09EA6602" w14:textId="77777777" w:rsidR="00223477" w:rsidRDefault="00F12E69">
      <w:pPr>
        <w:spacing w:line="480" w:lineRule="auto"/>
        <w:rPr>
          <w:sz w:val="22"/>
          <w:szCs w:val="22"/>
        </w:rPr>
      </w:pPr>
      <w:r w:rsidRPr="005F69DA">
        <w:rPr>
          <w:sz w:val="22"/>
          <w:szCs w:val="22"/>
        </w:rPr>
        <w:t xml:space="preserve">In </w:t>
      </w:r>
      <w:r w:rsidR="00F664BD" w:rsidRPr="005F69DA">
        <w:rPr>
          <w:sz w:val="22"/>
          <w:szCs w:val="22"/>
        </w:rPr>
        <w:t>conclusion,</w:t>
      </w:r>
      <w:r w:rsidRPr="005F69DA">
        <w:rPr>
          <w:sz w:val="22"/>
          <w:szCs w:val="22"/>
        </w:rPr>
        <w:t xml:space="preserve"> we </w:t>
      </w:r>
      <w:r w:rsidR="00F664BD" w:rsidRPr="005F69DA">
        <w:rPr>
          <w:sz w:val="22"/>
          <w:szCs w:val="22"/>
        </w:rPr>
        <w:t xml:space="preserve">have </w:t>
      </w:r>
      <w:r w:rsidRPr="005F69DA">
        <w:rPr>
          <w:sz w:val="22"/>
          <w:szCs w:val="22"/>
        </w:rPr>
        <w:t>investigated the effects of limited, gestational exposure to combustion-derived pollutants in a mouse model of diet-induced obesity. Our findings</w:t>
      </w:r>
      <w:r w:rsidR="00223477" w:rsidRPr="005F69DA">
        <w:rPr>
          <w:sz w:val="22"/>
          <w:szCs w:val="22"/>
        </w:rPr>
        <w:t xml:space="preserve"> show that even brief gestational exposure to environmental pollutants such as EPFR</w:t>
      </w:r>
      <w:r w:rsidR="0028045F" w:rsidRPr="005F69DA">
        <w:rPr>
          <w:sz w:val="22"/>
          <w:szCs w:val="22"/>
        </w:rPr>
        <w:t>’</w:t>
      </w:r>
      <w:r w:rsidR="00223477" w:rsidRPr="005F69DA">
        <w:rPr>
          <w:sz w:val="22"/>
          <w:szCs w:val="22"/>
        </w:rPr>
        <w:t>s can result in chronic changes in growth, metabolism and energy balance</w:t>
      </w:r>
      <w:r w:rsidR="00B775AB" w:rsidRPr="005F69DA">
        <w:rPr>
          <w:sz w:val="22"/>
          <w:szCs w:val="22"/>
        </w:rPr>
        <w:t xml:space="preserve">.  These changes </w:t>
      </w:r>
      <w:r w:rsidR="0028045F" w:rsidRPr="005F69DA">
        <w:rPr>
          <w:sz w:val="22"/>
          <w:szCs w:val="22"/>
        </w:rPr>
        <w:t xml:space="preserve">are associated </w:t>
      </w:r>
      <w:r w:rsidR="007A42DE" w:rsidRPr="005F69DA">
        <w:rPr>
          <w:sz w:val="22"/>
          <w:szCs w:val="22"/>
        </w:rPr>
        <w:t xml:space="preserve">with </w:t>
      </w:r>
      <w:r w:rsidR="00DF4A10" w:rsidRPr="005F69DA">
        <w:rPr>
          <w:sz w:val="22"/>
          <w:szCs w:val="22"/>
        </w:rPr>
        <w:t>skeletal muscle mitochondrial deficits</w:t>
      </w:r>
      <w:r w:rsidR="00B775AB" w:rsidRPr="005F69DA">
        <w:rPr>
          <w:sz w:val="22"/>
          <w:szCs w:val="22"/>
        </w:rPr>
        <w:t xml:space="preserve"> and</w:t>
      </w:r>
      <w:r w:rsidR="007A42DE" w:rsidRPr="005F69DA">
        <w:rPr>
          <w:sz w:val="22"/>
          <w:szCs w:val="22"/>
        </w:rPr>
        <w:t xml:space="preserve"> </w:t>
      </w:r>
      <w:r w:rsidR="00DF4A10" w:rsidRPr="005F69DA">
        <w:rPr>
          <w:sz w:val="22"/>
          <w:szCs w:val="22"/>
        </w:rPr>
        <w:t>reductions in physical activity</w:t>
      </w:r>
      <w:r w:rsidRPr="005F69DA">
        <w:rPr>
          <w:sz w:val="22"/>
          <w:szCs w:val="22"/>
        </w:rPr>
        <w:t>,</w:t>
      </w:r>
      <w:r w:rsidR="00B775AB" w:rsidRPr="005F69DA">
        <w:rPr>
          <w:sz w:val="22"/>
          <w:szCs w:val="22"/>
        </w:rPr>
        <w:t xml:space="preserve"> which likely</w:t>
      </w:r>
      <w:r w:rsidR="00DF4A10" w:rsidRPr="005F69DA">
        <w:rPr>
          <w:sz w:val="22"/>
          <w:szCs w:val="22"/>
        </w:rPr>
        <w:t xml:space="preserve"> contribute</w:t>
      </w:r>
      <w:r w:rsidR="007A42DE" w:rsidRPr="005F69DA">
        <w:rPr>
          <w:sz w:val="22"/>
          <w:szCs w:val="22"/>
        </w:rPr>
        <w:t xml:space="preserve"> to reduced oxygen consumption and a predisposition to elevated body weight on a high fat diet.</w:t>
      </w:r>
      <w:r w:rsidR="00EA43F5" w:rsidRPr="005F69DA">
        <w:rPr>
          <w:sz w:val="22"/>
          <w:szCs w:val="22"/>
        </w:rPr>
        <w:t xml:space="preserve"> </w:t>
      </w:r>
      <w:r w:rsidR="00406E19" w:rsidRPr="005F69DA">
        <w:rPr>
          <w:sz w:val="22"/>
          <w:szCs w:val="22"/>
        </w:rPr>
        <w:t xml:space="preserve">While the mechanisms behind these changes remain to be determined, </w:t>
      </w:r>
      <w:r w:rsidR="00AB07F9" w:rsidRPr="005F69DA">
        <w:rPr>
          <w:sz w:val="22"/>
          <w:szCs w:val="22"/>
        </w:rPr>
        <w:t xml:space="preserve">the finding that limited </w:t>
      </w:r>
      <w:r w:rsidR="00AB07F9" w:rsidRPr="005F69DA">
        <w:rPr>
          <w:i/>
          <w:sz w:val="22"/>
          <w:szCs w:val="22"/>
        </w:rPr>
        <w:t>in utero</w:t>
      </w:r>
      <w:r w:rsidR="00AB07F9" w:rsidRPr="005F69DA">
        <w:rPr>
          <w:sz w:val="22"/>
          <w:szCs w:val="22"/>
        </w:rPr>
        <w:t xml:space="preserve"> exposure to EPFR’s can </w:t>
      </w:r>
      <w:r w:rsidR="006B72B9" w:rsidRPr="005F69DA">
        <w:rPr>
          <w:sz w:val="22"/>
          <w:szCs w:val="22"/>
        </w:rPr>
        <w:t xml:space="preserve">suppress </w:t>
      </w:r>
      <w:r w:rsidR="00AB07F9" w:rsidRPr="005F69DA">
        <w:rPr>
          <w:sz w:val="22"/>
          <w:szCs w:val="22"/>
        </w:rPr>
        <w:t>later life energy metabolism highlights a need for further research.</w:t>
      </w:r>
    </w:p>
    <w:p w14:paraId="005804EA" w14:textId="77777777" w:rsidR="007221E6" w:rsidRPr="005F69DA" w:rsidRDefault="007221E6" w:rsidP="000E65DA">
      <w:pPr>
        <w:pStyle w:val="Heading1"/>
        <w:spacing w:before="0" w:line="480" w:lineRule="auto"/>
        <w:rPr>
          <w:sz w:val="22"/>
          <w:szCs w:val="22"/>
        </w:rPr>
      </w:pPr>
      <w:r w:rsidRPr="005F69DA">
        <w:rPr>
          <w:sz w:val="22"/>
          <w:szCs w:val="22"/>
        </w:rPr>
        <w:t>Acknowledgements</w:t>
      </w:r>
    </w:p>
    <w:p w14:paraId="6929D69E" w14:textId="77777777" w:rsidR="000016A4" w:rsidRDefault="000016A4" w:rsidP="000016A4">
      <w:pPr>
        <w:spacing w:line="480" w:lineRule="auto"/>
        <w:rPr>
          <w:sz w:val="22"/>
          <w:szCs w:val="22"/>
        </w:rPr>
      </w:pPr>
      <w:r w:rsidRPr="005F69DA">
        <w:rPr>
          <w:sz w:val="22"/>
          <w:szCs w:val="22"/>
        </w:rPr>
        <w:t>The authors would like the other members of the Bridges and Cormier, O’Connell and Han labs for helpful discussions and insights.</w:t>
      </w:r>
    </w:p>
    <w:p w14:paraId="6229016B" w14:textId="15ED54C2" w:rsidR="000016A4" w:rsidRPr="005F69DA" w:rsidRDefault="000016A4" w:rsidP="000016A4">
      <w:pPr>
        <w:pStyle w:val="Heading1"/>
        <w:spacing w:before="0" w:line="480" w:lineRule="auto"/>
        <w:rPr>
          <w:sz w:val="22"/>
          <w:szCs w:val="22"/>
        </w:rPr>
      </w:pPr>
      <w:r>
        <w:rPr>
          <w:sz w:val="22"/>
          <w:szCs w:val="22"/>
        </w:rPr>
        <w:t>Grants</w:t>
      </w:r>
    </w:p>
    <w:p w14:paraId="4BC14299" w14:textId="5BC25DCD" w:rsidR="004B62B5" w:rsidRPr="005F69DA" w:rsidRDefault="004A4358" w:rsidP="00896FD8">
      <w:pPr>
        <w:spacing w:line="480" w:lineRule="auto"/>
        <w:rPr>
          <w:sz w:val="22"/>
          <w:szCs w:val="22"/>
        </w:rPr>
      </w:pPr>
      <w:r w:rsidRPr="005F69DA">
        <w:rPr>
          <w:sz w:val="22"/>
          <w:szCs w:val="22"/>
        </w:rPr>
        <w:t>We would like to acknowledge funding from</w:t>
      </w:r>
      <w:r w:rsidR="004B62B5" w:rsidRPr="005F69DA">
        <w:rPr>
          <w:sz w:val="22"/>
          <w:szCs w:val="22"/>
        </w:rPr>
        <w:t xml:space="preserve"> NIH grant 1R01DK107535</w:t>
      </w:r>
    </w:p>
    <w:p w14:paraId="7A8CD818" w14:textId="77777777" w:rsidR="00993A81" w:rsidRDefault="004B62B5" w:rsidP="005373B2">
      <w:pPr>
        <w:spacing w:line="480" w:lineRule="auto"/>
        <w:rPr>
          <w:sz w:val="22"/>
          <w:szCs w:val="22"/>
        </w:rPr>
      </w:pPr>
      <w:r w:rsidRPr="005F69DA">
        <w:rPr>
          <w:sz w:val="22"/>
          <w:szCs w:val="22"/>
        </w:rPr>
        <w:lastRenderedPageBreak/>
        <w:t xml:space="preserve"> </w:t>
      </w:r>
      <w:r w:rsidR="00933298" w:rsidRPr="005F69DA">
        <w:rPr>
          <w:sz w:val="22"/>
          <w:szCs w:val="22"/>
        </w:rPr>
        <w:t>Le Bonheur Grant #</w:t>
      </w:r>
      <w:r w:rsidR="00BF0E89" w:rsidRPr="005F69DA">
        <w:rPr>
          <w:sz w:val="22"/>
          <w:szCs w:val="22"/>
        </w:rPr>
        <w:t>650700</w:t>
      </w:r>
      <w:r w:rsidR="00933298" w:rsidRPr="005F69DA">
        <w:rPr>
          <w:sz w:val="22"/>
          <w:szCs w:val="22"/>
        </w:rPr>
        <w:t xml:space="preserve"> (</w:t>
      </w:r>
      <w:r w:rsidR="00CB383C" w:rsidRPr="005F69DA">
        <w:rPr>
          <w:sz w:val="22"/>
          <w:szCs w:val="22"/>
        </w:rPr>
        <w:t xml:space="preserve">to </w:t>
      </w:r>
      <w:r w:rsidR="00933298" w:rsidRPr="005F69DA">
        <w:rPr>
          <w:sz w:val="22"/>
          <w:szCs w:val="22"/>
        </w:rPr>
        <w:t xml:space="preserve">DB) and </w:t>
      </w:r>
      <w:r w:rsidR="00295ADE" w:rsidRPr="005F69DA">
        <w:rPr>
          <w:sz w:val="22"/>
          <w:szCs w:val="22"/>
        </w:rPr>
        <w:t>N</w:t>
      </w:r>
      <w:r w:rsidR="00E8694B" w:rsidRPr="005F69DA">
        <w:rPr>
          <w:sz w:val="22"/>
          <w:szCs w:val="22"/>
        </w:rPr>
        <w:t>IH</w:t>
      </w:r>
      <w:r w:rsidR="00295ADE" w:rsidRPr="005F69DA">
        <w:rPr>
          <w:sz w:val="22"/>
          <w:szCs w:val="22"/>
        </w:rPr>
        <w:t xml:space="preserve"> grants (R01AI090059, R01ES015050, and P42ES013648) to SAC</w:t>
      </w:r>
      <w:r w:rsidR="00E408EE" w:rsidRPr="005F69DA">
        <w:rPr>
          <w:sz w:val="22"/>
          <w:szCs w:val="22"/>
        </w:rPr>
        <w:t>.</w:t>
      </w:r>
      <w:r w:rsidR="00933298" w:rsidRPr="005F69DA">
        <w:rPr>
          <w:sz w:val="22"/>
          <w:szCs w:val="22"/>
        </w:rPr>
        <w:t xml:space="preserve"> </w:t>
      </w:r>
    </w:p>
    <w:p w14:paraId="4162472B" w14:textId="15AE3615" w:rsidR="00993A81" w:rsidRPr="005F69DA" w:rsidRDefault="00993A81" w:rsidP="00993A81">
      <w:pPr>
        <w:pStyle w:val="Heading1"/>
        <w:spacing w:before="0" w:line="480" w:lineRule="auto"/>
        <w:rPr>
          <w:sz w:val="22"/>
          <w:szCs w:val="22"/>
        </w:rPr>
      </w:pPr>
      <w:commentRangeStart w:id="15"/>
      <w:r>
        <w:rPr>
          <w:sz w:val="22"/>
          <w:szCs w:val="22"/>
        </w:rPr>
        <w:t>Disclosures</w:t>
      </w:r>
      <w:commentRangeEnd w:id="15"/>
      <w:r>
        <w:rPr>
          <w:rStyle w:val="CommentReference"/>
          <w:rFonts w:asciiTheme="minorHAnsi" w:eastAsiaTheme="minorEastAsia" w:hAnsiTheme="minorHAnsi" w:cstheme="minorBidi"/>
          <w:b w:val="0"/>
          <w:bCs w:val="0"/>
          <w:color w:val="auto"/>
        </w:rPr>
        <w:commentReference w:id="15"/>
      </w:r>
    </w:p>
    <w:p w14:paraId="62AE6890" w14:textId="5CCD7464" w:rsidR="005E42A8" w:rsidRPr="005F69DA" w:rsidRDefault="00993A81" w:rsidP="00993A81">
      <w:pPr>
        <w:spacing w:line="480" w:lineRule="auto"/>
        <w:rPr>
          <w:sz w:val="22"/>
          <w:szCs w:val="22"/>
        </w:rPr>
      </w:pPr>
      <w:r>
        <w:rPr>
          <w:sz w:val="22"/>
          <w:szCs w:val="22"/>
        </w:rPr>
        <w:t>The authors have no conflicts of interest to disclose.</w:t>
      </w:r>
      <w:r w:rsidRPr="005F69DA">
        <w:rPr>
          <w:sz w:val="22"/>
          <w:szCs w:val="22"/>
        </w:rPr>
        <w:t xml:space="preserve"> </w:t>
      </w:r>
      <w:r w:rsidR="0012599A" w:rsidRPr="005F69DA">
        <w:rPr>
          <w:sz w:val="22"/>
          <w:szCs w:val="22"/>
        </w:rPr>
        <w:br w:type="page"/>
      </w:r>
      <w:commentRangeStart w:id="16"/>
      <w:r w:rsidR="005E42A8" w:rsidRPr="005373B2">
        <w:rPr>
          <w:b/>
          <w:sz w:val="22"/>
          <w:szCs w:val="22"/>
        </w:rPr>
        <w:lastRenderedPageBreak/>
        <w:t>References</w:t>
      </w:r>
      <w:commentRangeEnd w:id="16"/>
      <w:r w:rsidR="005373B2">
        <w:rPr>
          <w:rStyle w:val="CommentReference"/>
        </w:rPr>
        <w:commentReference w:id="16"/>
      </w:r>
    </w:p>
    <w:p w14:paraId="3C54C5EF" w14:textId="466B71C1" w:rsidR="00470311" w:rsidRPr="005F69DA" w:rsidRDefault="001B3EBF" w:rsidP="00591057">
      <w:pPr>
        <w:widowControl w:val="0"/>
        <w:autoSpaceDE w:val="0"/>
        <w:autoSpaceDN w:val="0"/>
        <w:adjustRightInd w:val="0"/>
        <w:spacing w:line="480" w:lineRule="auto"/>
        <w:rPr>
          <w:rFonts w:ascii="Cambria" w:hAnsi="Cambria"/>
          <w:noProof/>
          <w:sz w:val="22"/>
          <w:szCs w:val="22"/>
        </w:rPr>
      </w:pPr>
      <w:r w:rsidRPr="00591057">
        <w:rPr>
          <w:sz w:val="22"/>
          <w:szCs w:val="22"/>
        </w:rPr>
        <w:fldChar w:fldCharType="begin" w:fldLock="1"/>
      </w:r>
      <w:r w:rsidRPr="005F69DA">
        <w:rPr>
          <w:sz w:val="22"/>
          <w:szCs w:val="22"/>
        </w:rPr>
        <w:instrText xml:space="preserve">ADDIN Mendeley Bibliography CSL_BIBLIOGRAPHY </w:instrText>
      </w:r>
      <w:r w:rsidRPr="00591057">
        <w:rPr>
          <w:sz w:val="22"/>
          <w:szCs w:val="22"/>
        </w:rPr>
        <w:fldChar w:fldCharType="separate"/>
      </w:r>
    </w:p>
    <w:p w14:paraId="1B3A25DD"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1. </w:t>
      </w:r>
      <w:r w:rsidRPr="005F69DA">
        <w:rPr>
          <w:rFonts w:ascii="Cambria" w:hAnsi="Cambria"/>
          <w:noProof/>
          <w:sz w:val="22"/>
          <w:szCs w:val="22"/>
        </w:rPr>
        <w:tab/>
        <w:t>Brook RD, Jerrett M, Brook JR, Bard RL, Finkelstein MM (2008) The relationship between diabetes mellitus and traffic-related air pollution. J Occup Environ Med 50: 32–38. doi:10.1097/JOM.0b013e31815dba70.</w:t>
      </w:r>
    </w:p>
    <w:p w14:paraId="20CB4011"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3065892B"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2. </w:t>
      </w:r>
      <w:r w:rsidRPr="005F69DA">
        <w:rPr>
          <w:rFonts w:ascii="Cambria" w:hAnsi="Cambria"/>
          <w:noProof/>
          <w:sz w:val="22"/>
          <w:szCs w:val="22"/>
        </w:rPr>
        <w:tab/>
        <w:t>Cakmak S, Dales R, Leech J, Liu L (2011) The influence of air pollution on cardiovascular and pulmonary function and exercise capacity: Canadian Health Measures Survey (CHMS). Environ Res 111: 1309–1312. doi:10.1016/j.envres.2011.09.016.</w:t>
      </w:r>
    </w:p>
    <w:p w14:paraId="424C0AEA"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7A4B9A1B"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3. </w:t>
      </w:r>
      <w:r w:rsidRPr="005F69DA">
        <w:rPr>
          <w:rFonts w:ascii="Cambria" w:hAnsi="Cambria"/>
          <w:noProof/>
          <w:sz w:val="22"/>
          <w:szCs w:val="22"/>
        </w:rPr>
        <w:tab/>
        <w:t>Andersen ZJ, Raaschou-Nielsen O, Ketzel M, Jensen SS, Hvidberg M, et al. (2012) Diabetes incidence and long-term exposure to air pollution: a cohort study. Diabetes Care 35: 92–98. doi:10.2337/dc11-1155.</w:t>
      </w:r>
    </w:p>
    <w:p w14:paraId="4163FB9D"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33B88EFA"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4. </w:t>
      </w:r>
      <w:r w:rsidRPr="005F69DA">
        <w:rPr>
          <w:rFonts w:ascii="Cambria" w:hAnsi="Cambria"/>
          <w:noProof/>
          <w:sz w:val="22"/>
          <w:szCs w:val="22"/>
        </w:rPr>
        <w:tab/>
        <w:t>Thiering E, Cyrys J, Kratzsch J, Meisinger C, Hoffmann B, et al. (2013) Long-term exposure to traffic-related air pollution and insulin resistance in children: results from the GINIplus and LISAplus birth cohorts. Diabetologia 56: 1696–1704. doi:10.1007/s00125-013-2925-x.</w:t>
      </w:r>
    </w:p>
    <w:p w14:paraId="4A51D799"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40C8ED10"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5. </w:t>
      </w:r>
      <w:r w:rsidRPr="005F69DA">
        <w:rPr>
          <w:rFonts w:ascii="Cambria" w:hAnsi="Cambria"/>
          <w:noProof/>
          <w:sz w:val="22"/>
          <w:szCs w:val="22"/>
        </w:rPr>
        <w:tab/>
        <w:t>Li XY, Gilmour PS, Donaldson K, MacNee W (1996) Free radical activity and pro-inflammatory effects of particulate air pollution (PM10) in vivo and in vitro. Thorax 51: 1216–1222. doi:10.1136/thx.51.12.1216.</w:t>
      </w:r>
    </w:p>
    <w:p w14:paraId="773B488A"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385ACC25"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6. </w:t>
      </w:r>
      <w:r w:rsidRPr="005F69DA">
        <w:rPr>
          <w:rFonts w:ascii="Cambria" w:hAnsi="Cambria"/>
          <w:noProof/>
          <w:sz w:val="22"/>
          <w:szCs w:val="22"/>
        </w:rPr>
        <w:tab/>
        <w:t>Sun Q, Yue P, Deiuliis J a, Lumeng CN, Kampfrath T, et al. (2009) Ambient air pollution exaggerates adipose inflammation and insulin resistance in a mouse model of diet-induced obesity. Circulation 119: 538–546. doi:10.1161/CIRCULATIONAHA.108.799015.</w:t>
      </w:r>
    </w:p>
    <w:p w14:paraId="0E568495"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2828F324"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7. </w:t>
      </w:r>
      <w:r w:rsidRPr="005F69DA">
        <w:rPr>
          <w:rFonts w:ascii="Cambria" w:hAnsi="Cambria"/>
          <w:noProof/>
          <w:sz w:val="22"/>
          <w:szCs w:val="22"/>
        </w:rPr>
        <w:tab/>
        <w:t xml:space="preserve">Xu X, Liu C, Xu Z, Tzan K, Zhong M, et al. (2011) Long-term exposure to ambient fine particulate </w:t>
      </w:r>
      <w:r w:rsidRPr="005F69DA">
        <w:rPr>
          <w:rFonts w:ascii="Cambria" w:hAnsi="Cambria"/>
          <w:noProof/>
          <w:sz w:val="22"/>
          <w:szCs w:val="22"/>
        </w:rPr>
        <w:lastRenderedPageBreak/>
        <w:t>pollution induces insulin resistance and mitochondrial alteration in adipose tissue. Toxicol Sci 124: 88–98. doi:10.1093/toxsci/kfr211.</w:t>
      </w:r>
    </w:p>
    <w:p w14:paraId="46046998"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3253CAEE"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8. </w:t>
      </w:r>
      <w:r w:rsidRPr="005F69DA">
        <w:rPr>
          <w:rFonts w:ascii="Cambria" w:hAnsi="Cambria"/>
          <w:noProof/>
          <w:sz w:val="22"/>
          <w:szCs w:val="22"/>
        </w:rPr>
        <w:tab/>
        <w:t>Xu Z, Xu X, Zhong M, Hotchkiss IP, Lewandowski RP, et al. (2011) Ambient particulate air pollution induces oxidative stress and alterations of mitochondria and gene expression in brown and white adipose tissues. Part Fibre Toxicol 8: 20. doi:10.1186/1743-8977-8-20.</w:t>
      </w:r>
    </w:p>
    <w:p w14:paraId="539CD6B7"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42E6048B"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9. </w:t>
      </w:r>
      <w:r w:rsidRPr="005F69DA">
        <w:rPr>
          <w:rFonts w:ascii="Cambria" w:hAnsi="Cambria"/>
          <w:noProof/>
          <w:sz w:val="22"/>
          <w:szCs w:val="22"/>
        </w:rPr>
        <w:tab/>
        <w:t>Liu C, Fonken LK, Wang A, Maiseyeu A, Bai Y, et al. (2014) Central IKKβ inhibition prevents air pollution mediated peripheral inflammation and exaggeration of type II diabetes. Part Fibre Toxicol 11: 53. doi:10.1186/s12989-014-0053-5.</w:t>
      </w:r>
    </w:p>
    <w:p w14:paraId="0D492F14"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4B9FB8EE"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10. </w:t>
      </w:r>
      <w:r w:rsidRPr="005F69DA">
        <w:rPr>
          <w:rFonts w:ascii="Cambria" w:hAnsi="Cambria"/>
          <w:noProof/>
          <w:sz w:val="22"/>
          <w:szCs w:val="22"/>
        </w:rPr>
        <w:tab/>
        <w:t>Crawley HF, While D (1996) Parental smoking and the nutrient intake and food choice of British teenagers aged 16-17 years. J Epidemiol Community Heal 50: 306–312. doi:10.1136/jech.50.3.306.</w:t>
      </w:r>
    </w:p>
    <w:p w14:paraId="498651CF"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40FD59C0"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11. </w:t>
      </w:r>
      <w:r w:rsidRPr="005F69DA">
        <w:rPr>
          <w:rFonts w:ascii="Cambria" w:hAnsi="Cambria"/>
          <w:noProof/>
          <w:sz w:val="22"/>
          <w:szCs w:val="22"/>
        </w:rPr>
        <w:tab/>
        <w:t>Johnson RK, Wang MQ, Smith MJ, Connolly G (1996) The association between parental smoking and the diet quality of low-income children. Pediatrics 97: 312–317.</w:t>
      </w:r>
    </w:p>
    <w:p w14:paraId="5268F5A3"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1FA454B8"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12. </w:t>
      </w:r>
      <w:r w:rsidRPr="005F69DA">
        <w:rPr>
          <w:rFonts w:ascii="Cambria" w:hAnsi="Cambria"/>
          <w:noProof/>
          <w:sz w:val="22"/>
          <w:szCs w:val="22"/>
        </w:rPr>
        <w:tab/>
        <w:t>Burke V, Gracey MP, Milligan RA, Thompson C, Taggart AC, et al. (1998) Parental smoking and risk factors for cardiovascular disease in 10- to 12-year-old children. J Pediatr 133: 206–213.</w:t>
      </w:r>
    </w:p>
    <w:p w14:paraId="7E52DCE6"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4BF15D63"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13. </w:t>
      </w:r>
      <w:r w:rsidRPr="005F69DA">
        <w:rPr>
          <w:rFonts w:ascii="Cambria" w:hAnsi="Cambria"/>
          <w:noProof/>
          <w:sz w:val="22"/>
          <w:szCs w:val="22"/>
        </w:rPr>
        <w:tab/>
        <w:t>Janssen BG, Munters E, Pieters N, Smeets K, Cox B, et al. (2012) Placental mitochondrial DNA content and particulate air pollution during in utero life. Environ Health Perspect 120: 1346–1352. doi:10.1289/ehp.1104458.</w:t>
      </w:r>
    </w:p>
    <w:p w14:paraId="0598864B"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4764B13B"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14. </w:t>
      </w:r>
      <w:r w:rsidRPr="005F69DA">
        <w:rPr>
          <w:rFonts w:ascii="Cambria" w:hAnsi="Cambria"/>
          <w:noProof/>
          <w:sz w:val="22"/>
          <w:szCs w:val="22"/>
        </w:rPr>
        <w:tab/>
        <w:t>Bolton JL, Smith SH, Huff NC, Gilmour MI, Foster WM, et al. (2012) Prenatal air pollution exposure induces neuroinflammation and predisposes offspring to weight gain in adulthood in a sex-specific manner. FASEB J 26: 4743–4754. doi:10.1096/fj.12-210989.</w:t>
      </w:r>
    </w:p>
    <w:p w14:paraId="7CEFF0EF"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1BFAEC20"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15. </w:t>
      </w:r>
      <w:r w:rsidRPr="005F69DA">
        <w:rPr>
          <w:rFonts w:ascii="Cambria" w:hAnsi="Cambria"/>
          <w:noProof/>
          <w:sz w:val="22"/>
          <w:szCs w:val="22"/>
        </w:rPr>
        <w:tab/>
        <w:t>Westbrook DG, Anderson PG, Pinkerton KE, Ballinger SW (2010) Perinatal tobacco smoke exposure increases vascular oxidative stress and mitochondrial damage in non-human primates. Cardiovasc Toxicol 10: 216–226. doi:10.1007/s12012-010-9085-8.</w:t>
      </w:r>
    </w:p>
    <w:p w14:paraId="04413F4D"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56261EE0"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16. </w:t>
      </w:r>
      <w:r w:rsidRPr="005F69DA">
        <w:rPr>
          <w:rFonts w:ascii="Cambria" w:hAnsi="Cambria"/>
          <w:noProof/>
          <w:sz w:val="22"/>
          <w:szCs w:val="22"/>
        </w:rPr>
        <w:tab/>
        <w:t>Li R, Kou X, Geng H, Xie J, Tian J, et al. (2015) Mitochondrial damage: An important mechanism of ambient PM2.5 exposure-induced acute heart injury in rats. J Hazard Mater 287C: 392–401. doi:10.1016/j.jhazmat.2015.02.006.</w:t>
      </w:r>
    </w:p>
    <w:p w14:paraId="0F7B502B"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08BF3E77"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17. </w:t>
      </w:r>
      <w:r w:rsidRPr="005F69DA">
        <w:rPr>
          <w:rFonts w:ascii="Cambria" w:hAnsi="Cambria"/>
          <w:noProof/>
          <w:sz w:val="22"/>
          <w:szCs w:val="22"/>
        </w:rPr>
        <w:tab/>
        <w:t>Hoeks J, Schrauwen P (2012) Muscle mitochondria and insulin resistance: a human perspective. Trends Endocrinol Metab 23: 444–450. doi:10.1016/j.tem.2012.05.007.</w:t>
      </w:r>
    </w:p>
    <w:p w14:paraId="2BCC2197"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513166D6"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18. </w:t>
      </w:r>
      <w:r w:rsidRPr="005F69DA">
        <w:rPr>
          <w:rFonts w:ascii="Cambria" w:hAnsi="Cambria"/>
          <w:noProof/>
          <w:sz w:val="22"/>
          <w:szCs w:val="22"/>
        </w:rPr>
        <w:tab/>
        <w:t>Russell AP, Foletta VC, Snow RJ, Wadley GD (2014) Skeletal muscle mitochondria: A major player in exercise, health and disease. Biochim Biophys Acta - Gen Subj 1840: 1276–1284. doi:10.1016/j.bbagen.2013.11.016.</w:t>
      </w:r>
    </w:p>
    <w:p w14:paraId="6F42F66F"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76F4E03B"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19. </w:t>
      </w:r>
      <w:r w:rsidRPr="005F69DA">
        <w:rPr>
          <w:rFonts w:ascii="Cambria" w:hAnsi="Cambria"/>
          <w:noProof/>
          <w:sz w:val="22"/>
          <w:szCs w:val="22"/>
        </w:rPr>
        <w:tab/>
        <w:t>Stephenson EJ, Hawley J a. (2014) Mitochondrial function in metabolic health: A genetic and environmental tug of war. Biochim Biophys Acta - Gen Subj 1840: 1285–1294. doi:10.1016/j.bbagen.2013.12.004.</w:t>
      </w:r>
    </w:p>
    <w:p w14:paraId="2B4B2475"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7CC25B11"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20. </w:t>
      </w:r>
      <w:r w:rsidRPr="005F69DA">
        <w:rPr>
          <w:rFonts w:ascii="Cambria" w:hAnsi="Cambria"/>
          <w:noProof/>
          <w:sz w:val="22"/>
          <w:szCs w:val="22"/>
        </w:rPr>
        <w:tab/>
        <w:t>Brown LD (2014) Endocrine regulation of fetal skeletal muscle growth: impact on future metabolic health. J Endocrinol 221: R13–R29. doi:10.1530/JOE-13-0567.Endocrine.</w:t>
      </w:r>
    </w:p>
    <w:p w14:paraId="472C8EB7"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136BDFEB"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21. </w:t>
      </w:r>
      <w:r w:rsidRPr="005F69DA">
        <w:rPr>
          <w:rFonts w:ascii="Cambria" w:hAnsi="Cambria"/>
          <w:noProof/>
          <w:sz w:val="22"/>
          <w:szCs w:val="22"/>
        </w:rPr>
        <w:tab/>
        <w:t>Lomnicki S, Truong H, Vejerano E, Dellinger B (2008) Copper oxide-based model of persistent free radical formation on combustion-derived particulate matter. Environ Sci Technol 42: 4982–4988. doi:10.1021/es071708h.</w:t>
      </w:r>
    </w:p>
    <w:p w14:paraId="2C7A0141"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5F8EEE02"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lastRenderedPageBreak/>
        <w:t xml:space="preserve">22. </w:t>
      </w:r>
      <w:r w:rsidRPr="005F69DA">
        <w:rPr>
          <w:rFonts w:ascii="Cambria" w:hAnsi="Cambria"/>
          <w:noProof/>
          <w:sz w:val="22"/>
          <w:szCs w:val="22"/>
        </w:rPr>
        <w:tab/>
        <w:t>Wang P, Thevenot P, Saravia JS, Ahlert T, Cormier SA (2011) Radical Containing Particles Activate DCs and Enhance Th17 Inflammation in a Mouse Model of Asthma. Am J Respir Cell Mol Biol 45: 977. doi:10.1165/rcmb.2011-00010C.</w:t>
      </w:r>
    </w:p>
    <w:p w14:paraId="094DA2F0"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02708D5C"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23. </w:t>
      </w:r>
      <w:r w:rsidRPr="005F69DA">
        <w:rPr>
          <w:rFonts w:ascii="Cambria" w:hAnsi="Cambria"/>
          <w:noProof/>
          <w:sz w:val="22"/>
          <w:szCs w:val="22"/>
        </w:rPr>
        <w:tab/>
        <w:t>Srere PA (1969) Citrate synthase. Methods in enzymology. pp. 3–11.</w:t>
      </w:r>
    </w:p>
    <w:p w14:paraId="32EBB06E"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16DC33AC"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24. </w:t>
      </w:r>
      <w:r w:rsidRPr="005F69DA">
        <w:rPr>
          <w:rFonts w:ascii="Cambria" w:hAnsi="Cambria"/>
          <w:noProof/>
          <w:sz w:val="22"/>
          <w:szCs w:val="22"/>
        </w:rPr>
        <w:tab/>
        <w:t>R Core Team (2013) R: A Language and Environment for Statistical Computing.</w:t>
      </w:r>
    </w:p>
    <w:p w14:paraId="18B71172"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42251296"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25. </w:t>
      </w:r>
      <w:r w:rsidRPr="005F69DA">
        <w:rPr>
          <w:rFonts w:ascii="Cambria" w:hAnsi="Cambria"/>
          <w:noProof/>
          <w:sz w:val="22"/>
          <w:szCs w:val="22"/>
        </w:rPr>
        <w:tab/>
        <w:t>Bates D, Mächler M, Bolker B, Walker S (2014) Fitting Linear Mixed-Effects Models using lme4. ArXiv 1406.5823: 1–51.</w:t>
      </w:r>
    </w:p>
    <w:p w14:paraId="2346EBF8"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72D75D03"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26. </w:t>
      </w:r>
      <w:r w:rsidRPr="005F69DA">
        <w:rPr>
          <w:rFonts w:ascii="Cambria" w:hAnsi="Cambria"/>
          <w:noProof/>
          <w:sz w:val="22"/>
          <w:szCs w:val="22"/>
        </w:rPr>
        <w:tab/>
        <w:t>Fox J, Weisberg S (2011) An {R} Companion to Applied Regression. Second. Thousand Oaks {CA}: Sage.</w:t>
      </w:r>
    </w:p>
    <w:p w14:paraId="4B1826B6"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7892003C"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27. </w:t>
      </w:r>
      <w:r w:rsidRPr="005F69DA">
        <w:rPr>
          <w:rFonts w:ascii="Cambria" w:hAnsi="Cambria"/>
          <w:noProof/>
          <w:sz w:val="22"/>
          <w:szCs w:val="22"/>
        </w:rPr>
        <w:tab/>
        <w:t>Tschöp MH, Speakman JR, Arch JRS, Auwerx J, Brüning JC, et al. (2011) A guide to analysis of mouse energy metabolism. Nat Methods 9: 57–63. doi:10.1038/nmeth.1806.</w:t>
      </w:r>
    </w:p>
    <w:p w14:paraId="14200220"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2AFE30B6"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28. </w:t>
      </w:r>
      <w:r w:rsidRPr="005F69DA">
        <w:rPr>
          <w:rFonts w:ascii="Cambria" w:hAnsi="Cambria"/>
          <w:noProof/>
          <w:sz w:val="22"/>
          <w:szCs w:val="22"/>
        </w:rPr>
        <w:tab/>
        <w:t>Hill A V., Long CNH, Lupton H (1924) Muscular Exercise, Lactic Acid, and the Supply and Utilisation of Oxygen. Proc R Soc B Biol Sci 96: 438–475. doi:10.1098/rspb.1924.0037.</w:t>
      </w:r>
    </w:p>
    <w:p w14:paraId="749F7A99"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252F4089"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29. </w:t>
      </w:r>
      <w:r w:rsidRPr="005F69DA">
        <w:rPr>
          <w:rFonts w:ascii="Cambria" w:hAnsi="Cambria"/>
          <w:noProof/>
          <w:sz w:val="22"/>
          <w:szCs w:val="22"/>
        </w:rPr>
        <w:tab/>
        <w:t>Larsen S, Nielsen J, Hansen CN, Nielsen LB, Wibrand F, et al. (2012) Biomarkers of mitochondrial content in skeletal muscle of healthy young human subjects. J Physiol 590: 3349–3360. doi:10.1113/jphysiol.2012.230185.</w:t>
      </w:r>
    </w:p>
    <w:p w14:paraId="20CB927A"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3CBF0978"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30. </w:t>
      </w:r>
      <w:r w:rsidRPr="005F69DA">
        <w:rPr>
          <w:rFonts w:ascii="Cambria" w:hAnsi="Cambria"/>
          <w:noProof/>
          <w:sz w:val="22"/>
          <w:szCs w:val="22"/>
        </w:rPr>
        <w:tab/>
        <w:t>Zurlo F, Larson K, Bogardus C, Ravussin E (1990) Skeletal muscle metabolism is a major determinant of resting energy expenditure. J Clin Invest 86: 1423.</w:t>
      </w:r>
    </w:p>
    <w:p w14:paraId="07DB0E73"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79C5FAAF"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31. </w:t>
      </w:r>
      <w:r w:rsidRPr="005F69DA">
        <w:rPr>
          <w:rFonts w:ascii="Cambria" w:hAnsi="Cambria"/>
          <w:noProof/>
          <w:sz w:val="22"/>
          <w:szCs w:val="22"/>
        </w:rPr>
        <w:tab/>
        <w:t xml:space="preserve">Taivassalo T, Jensen TD, Kennaway N, DiMauro S, Vissing J, et al. (2003) The spectrum of exercise </w:t>
      </w:r>
      <w:r w:rsidRPr="005F69DA">
        <w:rPr>
          <w:rFonts w:ascii="Cambria" w:hAnsi="Cambria"/>
          <w:noProof/>
          <w:sz w:val="22"/>
          <w:szCs w:val="22"/>
        </w:rPr>
        <w:lastRenderedPageBreak/>
        <w:t>tolerance in mitochondrial myopathies: a study of 40 patients. Brain 126: 413–423. doi:10.1093/brain/awg028.</w:t>
      </w:r>
    </w:p>
    <w:p w14:paraId="3B2F1285"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17E65767"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32. </w:t>
      </w:r>
      <w:r w:rsidRPr="005F69DA">
        <w:rPr>
          <w:rFonts w:ascii="Cambria" w:hAnsi="Cambria"/>
          <w:noProof/>
          <w:sz w:val="22"/>
          <w:szCs w:val="22"/>
        </w:rPr>
        <w:tab/>
        <w:t>Roberts JD, Voss JD, Knight B (2014) The association of ambient air pollution and physical inactivity in the United States. PLoS One 9: e90143. doi:10.1371/journal.pone.0090143.</w:t>
      </w:r>
    </w:p>
    <w:p w14:paraId="7AB3D126"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5F6B8AA0"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33. </w:t>
      </w:r>
      <w:r w:rsidRPr="005F69DA">
        <w:rPr>
          <w:rFonts w:ascii="Cambria" w:hAnsi="Cambria"/>
          <w:noProof/>
          <w:sz w:val="22"/>
          <w:szCs w:val="22"/>
        </w:rPr>
        <w:tab/>
        <w:t>Marr LC, Ely MR (2010) Effect of air pollution on marathon running performance. Med Sci Sports Exerc 42: 585–591. doi:10.1249/MSS.0b013e3181b84a85.</w:t>
      </w:r>
    </w:p>
    <w:p w14:paraId="3BB204A7"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37693D0E"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34. </w:t>
      </w:r>
      <w:r w:rsidRPr="005F69DA">
        <w:rPr>
          <w:rFonts w:ascii="Cambria" w:hAnsi="Cambria"/>
          <w:noProof/>
          <w:sz w:val="22"/>
          <w:szCs w:val="22"/>
        </w:rPr>
        <w:tab/>
        <w:t>Cutrufello PT, Rundell KW, Smoliga JM, Stylianides GA (2011) Inhaled whole exhaust and its effect on exercise performance and vascular function. Inhal Toxicol 23: 658–667. doi:10.3109/08958378.2011.604106.</w:t>
      </w:r>
    </w:p>
    <w:p w14:paraId="5B581960"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5DD2692A"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35. </w:t>
      </w:r>
      <w:r w:rsidRPr="005F69DA">
        <w:rPr>
          <w:rFonts w:ascii="Cambria" w:hAnsi="Cambria"/>
          <w:noProof/>
          <w:sz w:val="22"/>
          <w:szCs w:val="22"/>
        </w:rPr>
        <w:tab/>
        <w:t>Rundell KW, Caviston R (2008) Ultrafine and fine particulate matter inhalation decreases exercise performance in healthy subjects. J Strength Cond Res 22: 2–5. doi:10.1519/JSC.0b013e31815ef98b.</w:t>
      </w:r>
    </w:p>
    <w:p w14:paraId="6C1962AC"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24EB4856"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36. </w:t>
      </w:r>
      <w:r w:rsidRPr="005F69DA">
        <w:rPr>
          <w:rFonts w:ascii="Cambria" w:hAnsi="Cambria"/>
          <w:noProof/>
          <w:sz w:val="22"/>
          <w:szCs w:val="22"/>
        </w:rPr>
        <w:tab/>
        <w:t>Chen J-C, Schwartz J (2008) Metabolic syndrome and inflammatory responses to long-term particulate air pollutants. Environ Health Perspect 116: 612–617. doi:10.1289/ehp.10565.</w:t>
      </w:r>
    </w:p>
    <w:p w14:paraId="7142DBCA"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2CF6B857"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37. </w:t>
      </w:r>
      <w:r w:rsidRPr="005F69DA">
        <w:rPr>
          <w:rFonts w:ascii="Cambria" w:hAnsi="Cambria"/>
          <w:noProof/>
          <w:sz w:val="22"/>
          <w:szCs w:val="22"/>
        </w:rPr>
        <w:tab/>
        <w:t>Wilson JL, Enriori PJ (2015) Molecular and Cellular Endocrinology A talk between fat tissue , gut , pancreas and brain to control body weight. Mol Cell Endocrinol. doi:10.1016/j.mce.2015.08.022.</w:t>
      </w:r>
    </w:p>
    <w:p w14:paraId="100AA113"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02D2039D"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38. </w:t>
      </w:r>
      <w:r w:rsidRPr="005F69DA">
        <w:rPr>
          <w:rFonts w:ascii="Cambria" w:hAnsi="Cambria"/>
          <w:noProof/>
          <w:sz w:val="22"/>
          <w:szCs w:val="22"/>
        </w:rPr>
        <w:tab/>
        <w:t>Tschöp MH, Smiley DL, Heiman ML (2000) Ghrelin induces adiposity in rodents. Nature 407: 908–913. doi:10.1038/35038090.</w:t>
      </w:r>
    </w:p>
    <w:p w14:paraId="4DE149DE"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56DBAD74"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39. </w:t>
      </w:r>
      <w:r w:rsidRPr="005F69DA">
        <w:rPr>
          <w:rFonts w:ascii="Cambria" w:hAnsi="Cambria"/>
          <w:noProof/>
          <w:sz w:val="22"/>
          <w:szCs w:val="22"/>
        </w:rPr>
        <w:tab/>
        <w:t xml:space="preserve">Toshinai K, Mondal MS, Nakazato M, Date Y, Murakami N, et al. (2001) Upregulation of Ghrelin expression in the stomach upon fasting, insulin-induced hypoglycemia, and leptin administration. </w:t>
      </w:r>
      <w:r w:rsidRPr="005F69DA">
        <w:rPr>
          <w:rFonts w:ascii="Cambria" w:hAnsi="Cambria"/>
          <w:noProof/>
          <w:sz w:val="22"/>
          <w:szCs w:val="22"/>
        </w:rPr>
        <w:lastRenderedPageBreak/>
        <w:t>Biochem Biophys Res Commun 281: 1220–1225. doi:10.1006/bbrc.2001.4518.</w:t>
      </w:r>
    </w:p>
    <w:p w14:paraId="449A29E2"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6945AEC5"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40. </w:t>
      </w:r>
      <w:r w:rsidRPr="005F69DA">
        <w:rPr>
          <w:rFonts w:ascii="Cambria" w:hAnsi="Cambria"/>
          <w:noProof/>
          <w:sz w:val="22"/>
          <w:szCs w:val="22"/>
        </w:rPr>
        <w:tab/>
        <w:t>Cowley M a., Smith RG, Diano S, Tschöp M, Pronchuk N, et al. (2003) The distribution and mechanism of action of ghrelin in the CNS demonstrates a novel hypothalamic circuit regulating energy homeostasis. Neuron 37: 649–661. doi:10.1016/S0896-6273(03)00063-1.</w:t>
      </w:r>
    </w:p>
    <w:p w14:paraId="314EBC72"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34A02513"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41. </w:t>
      </w:r>
      <w:r w:rsidRPr="005F69DA">
        <w:rPr>
          <w:rFonts w:ascii="Cambria" w:hAnsi="Cambria"/>
          <w:noProof/>
          <w:sz w:val="22"/>
          <w:szCs w:val="22"/>
        </w:rPr>
        <w:tab/>
        <w:t>Tschöp MH, Weyer C, Tataranni P a, Devanarayan V, Ravussin E, et al. (2001) Circulating ghrelin levels are decreased in human obesity. Diabetes 50: 707–709.</w:t>
      </w:r>
    </w:p>
    <w:p w14:paraId="7EBB2490"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6C76A045"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42. </w:t>
      </w:r>
      <w:r w:rsidRPr="005F69DA">
        <w:rPr>
          <w:rFonts w:ascii="Cambria" w:hAnsi="Cambria"/>
          <w:noProof/>
          <w:sz w:val="22"/>
          <w:szCs w:val="22"/>
        </w:rPr>
        <w:tab/>
        <w:t>Peloquin MJ, Bridges D (2014) Weight Loss in Response to Food Deprivation Predicts The Extent of Diet Induced Obesity in C57BL/6J Mice. bioRxiv. doi:10.1101/004283.</w:t>
      </w:r>
    </w:p>
    <w:p w14:paraId="1DEF6FEE"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05A5B07E"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43. </w:t>
      </w:r>
      <w:r w:rsidRPr="005F69DA">
        <w:rPr>
          <w:rFonts w:ascii="Cambria" w:hAnsi="Cambria"/>
          <w:noProof/>
          <w:sz w:val="22"/>
          <w:szCs w:val="22"/>
        </w:rPr>
        <w:tab/>
        <w:t>Ikezaki A, Hosoda H, Ito K, Iwama S, Miura N, et al. (2002) Fasting Plasma Ghrelin Levels Are Negatively Correlated With Insulin Resistance and PAI-1, but Not With Leptin, in Obese Children and Adolescents. Diabetes 51: 3408–3411. doi:10.2337/diabetes.51.12.3408.</w:t>
      </w:r>
    </w:p>
    <w:p w14:paraId="407079A3"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35F72DF8"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44. </w:t>
      </w:r>
      <w:r w:rsidRPr="005F69DA">
        <w:rPr>
          <w:rFonts w:ascii="Cambria" w:hAnsi="Cambria"/>
          <w:noProof/>
          <w:sz w:val="22"/>
          <w:szCs w:val="22"/>
        </w:rPr>
        <w:tab/>
        <w:t>Baggio LL, Huang Q, Brown TJ, Drucker DJ (2004) Oxyntomodulin and glucagon-like peptide-1 differentially regulate murine food intake and energy expenditure. Gastroenterology 127: 546–558. doi:10.1053/j.gastro.2004.04.063.</w:t>
      </w:r>
    </w:p>
    <w:p w14:paraId="66AB4F12"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5505466C"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45. </w:t>
      </w:r>
      <w:r w:rsidRPr="005F69DA">
        <w:rPr>
          <w:rFonts w:ascii="Cambria" w:hAnsi="Cambria"/>
          <w:noProof/>
          <w:sz w:val="22"/>
          <w:szCs w:val="22"/>
        </w:rPr>
        <w:tab/>
        <w:t>Turton MD, O’Shea D, Gunn I, Beak SA, Edwards CM, et al. (1996) A role for glucagon-like peptide-1 in the central regulation of feeding. Nature 379: 69–72. doi:10.1038/379069a0.</w:t>
      </w:r>
    </w:p>
    <w:p w14:paraId="1AFA43B3" w14:textId="43CC65AF" w:rsidR="005373B2" w:rsidRDefault="001B3EBF" w:rsidP="001F6B6D">
      <w:pPr>
        <w:widowControl w:val="0"/>
        <w:autoSpaceDE w:val="0"/>
        <w:autoSpaceDN w:val="0"/>
        <w:adjustRightInd w:val="0"/>
        <w:spacing w:line="480" w:lineRule="auto"/>
        <w:rPr>
          <w:sz w:val="22"/>
          <w:szCs w:val="22"/>
        </w:rPr>
      </w:pPr>
      <w:r w:rsidRPr="00591057">
        <w:rPr>
          <w:sz w:val="22"/>
          <w:szCs w:val="22"/>
        </w:rPr>
        <w:fldChar w:fldCharType="end"/>
      </w:r>
    </w:p>
    <w:p w14:paraId="35173AB3" w14:textId="739821E3" w:rsidR="00A2444E" w:rsidRPr="00D43FD3" w:rsidRDefault="00650357" w:rsidP="00DB435F">
      <w:pPr>
        <w:spacing w:line="480" w:lineRule="auto"/>
        <w:rPr>
          <w:sz w:val="22"/>
          <w:szCs w:val="22"/>
        </w:rPr>
      </w:pPr>
      <w:r>
        <w:rPr>
          <w:rStyle w:val="CommentReference"/>
        </w:rPr>
        <w:commentReference w:id="17"/>
      </w:r>
    </w:p>
    <w:p w14:paraId="73E6E905" w14:textId="77777777" w:rsidR="00891215" w:rsidRDefault="00891215">
      <w:pPr>
        <w:spacing w:line="480" w:lineRule="auto"/>
        <w:rPr>
          <w:sz w:val="22"/>
          <w:szCs w:val="22"/>
        </w:rPr>
      </w:pPr>
      <w:bookmarkStart w:id="18" w:name="_GoBack"/>
      <w:bookmarkEnd w:id="18"/>
    </w:p>
    <w:p w14:paraId="4BFDB5A1" w14:textId="77777777" w:rsidR="00891215" w:rsidRDefault="00891215">
      <w:pPr>
        <w:spacing w:line="480" w:lineRule="auto"/>
        <w:rPr>
          <w:sz w:val="22"/>
          <w:szCs w:val="22"/>
        </w:rPr>
      </w:pPr>
    </w:p>
    <w:p w14:paraId="4195465D" w14:textId="77777777" w:rsidR="001E0F38" w:rsidRPr="001E0F38" w:rsidRDefault="00891215" w:rsidP="001E0F38">
      <w:pPr>
        <w:pStyle w:val="EndNoteBibliography"/>
        <w:ind w:left="720" w:hanging="720"/>
      </w:pPr>
      <w:r>
        <w:rPr>
          <w:sz w:val="22"/>
          <w:szCs w:val="22"/>
        </w:rPr>
        <w:lastRenderedPageBreak/>
        <w:fldChar w:fldCharType="begin"/>
      </w:r>
      <w:r>
        <w:rPr>
          <w:sz w:val="22"/>
          <w:szCs w:val="22"/>
        </w:rPr>
        <w:instrText xml:space="preserve"> ADDIN EN.REFLIST </w:instrText>
      </w:r>
      <w:r>
        <w:rPr>
          <w:sz w:val="22"/>
          <w:szCs w:val="22"/>
        </w:rPr>
        <w:fldChar w:fldCharType="separate"/>
      </w:r>
      <w:bookmarkStart w:id="19" w:name="_ENREF_1"/>
      <w:r w:rsidR="001E0F38" w:rsidRPr="001E0F38">
        <w:t>1. Wang P, Thevenot P, Saravia J, Ahlert T, Cormier SA (2011) Radical-containing particles activate dendritic cells and enhance Th17 inflammation in a mouse model of asthma. Am J Respir Cell Mol Biol 45: 977-983.</w:t>
      </w:r>
      <w:bookmarkEnd w:id="19"/>
    </w:p>
    <w:p w14:paraId="5733AA2F" w14:textId="259789FC" w:rsidR="00A2444E" w:rsidRDefault="00891215">
      <w:pPr>
        <w:spacing w:line="480" w:lineRule="auto"/>
        <w:rPr>
          <w:sz w:val="22"/>
          <w:szCs w:val="22"/>
        </w:rPr>
      </w:pPr>
      <w:r>
        <w:rPr>
          <w:sz w:val="22"/>
          <w:szCs w:val="22"/>
        </w:rPr>
        <w:fldChar w:fldCharType="end"/>
      </w:r>
    </w:p>
    <w:p w14:paraId="6E1D072D" w14:textId="77777777" w:rsidR="002F26E7" w:rsidRPr="005F69DA" w:rsidRDefault="002F26E7" w:rsidP="002F26E7">
      <w:pPr>
        <w:pStyle w:val="Heading1"/>
        <w:spacing w:before="0" w:line="480" w:lineRule="auto"/>
        <w:rPr>
          <w:sz w:val="22"/>
          <w:szCs w:val="22"/>
        </w:rPr>
      </w:pPr>
      <w:r w:rsidRPr="005F69DA">
        <w:rPr>
          <w:sz w:val="22"/>
          <w:szCs w:val="22"/>
        </w:rPr>
        <w:t>Figure Legends</w:t>
      </w:r>
    </w:p>
    <w:p w14:paraId="6AA94128" w14:textId="77777777" w:rsidR="002F26E7" w:rsidRPr="005F69DA" w:rsidRDefault="002F26E7" w:rsidP="002F26E7">
      <w:pPr>
        <w:spacing w:line="480" w:lineRule="auto"/>
        <w:rPr>
          <w:sz w:val="22"/>
          <w:szCs w:val="22"/>
        </w:rPr>
      </w:pPr>
    </w:p>
    <w:p w14:paraId="7A358673" w14:textId="10DF9929" w:rsidR="002F26E7" w:rsidRPr="00A5216B" w:rsidRDefault="002F26E7" w:rsidP="002F26E7">
      <w:pPr>
        <w:spacing w:line="480" w:lineRule="auto"/>
        <w:rPr>
          <w:sz w:val="22"/>
          <w:szCs w:val="22"/>
        </w:rPr>
      </w:pPr>
      <w:r w:rsidRPr="00A5216B">
        <w:rPr>
          <w:b/>
          <w:sz w:val="22"/>
          <w:szCs w:val="22"/>
        </w:rPr>
        <w:t xml:space="preserve">Figure 1:  </w:t>
      </w:r>
      <w:r>
        <w:rPr>
          <w:b/>
          <w:i/>
          <w:sz w:val="22"/>
          <w:szCs w:val="22"/>
        </w:rPr>
        <w:t>In utero</w:t>
      </w:r>
      <w:r w:rsidRPr="00526C4D">
        <w:rPr>
          <w:b/>
          <w:sz w:val="22"/>
          <w:szCs w:val="22"/>
        </w:rPr>
        <w:t xml:space="preserve"> exposure </w:t>
      </w:r>
      <w:r>
        <w:rPr>
          <w:b/>
          <w:sz w:val="22"/>
          <w:szCs w:val="22"/>
        </w:rPr>
        <w:t>to</w:t>
      </w:r>
      <w:r w:rsidRPr="00526C4D">
        <w:rPr>
          <w:b/>
          <w:sz w:val="22"/>
          <w:szCs w:val="22"/>
        </w:rPr>
        <w:t xml:space="preserve"> MCP230 </w:t>
      </w:r>
      <w:r>
        <w:rPr>
          <w:b/>
          <w:sz w:val="22"/>
          <w:szCs w:val="22"/>
        </w:rPr>
        <w:t>results in increased body size</w:t>
      </w:r>
      <w:r w:rsidRPr="00526C4D">
        <w:rPr>
          <w:b/>
          <w:sz w:val="22"/>
          <w:szCs w:val="22"/>
        </w:rPr>
        <w:t>.</w:t>
      </w:r>
      <w:r w:rsidRPr="00A5216B">
        <w:rPr>
          <w:b/>
          <w:sz w:val="22"/>
          <w:szCs w:val="22"/>
        </w:rPr>
        <w:t xml:space="preserve">  </w:t>
      </w:r>
      <w:r w:rsidR="007202AB" w:rsidRPr="0073386E">
        <w:rPr>
          <w:sz w:val="22"/>
          <w:szCs w:val="22"/>
        </w:rPr>
        <w:t>(</w:t>
      </w:r>
      <w:r w:rsidR="007202AB" w:rsidRPr="002B02CE">
        <w:rPr>
          <w:sz w:val="22"/>
          <w:szCs w:val="22"/>
        </w:rPr>
        <w:t>A)</w:t>
      </w:r>
      <w:r w:rsidR="007202AB">
        <w:rPr>
          <w:sz w:val="22"/>
          <w:szCs w:val="22"/>
        </w:rPr>
        <w:t xml:space="preserve"> </w:t>
      </w:r>
      <w:r w:rsidRPr="00526C4D">
        <w:rPr>
          <w:sz w:val="22"/>
          <w:szCs w:val="22"/>
        </w:rPr>
        <w:t xml:space="preserve">Schematic of </w:t>
      </w:r>
      <w:r>
        <w:rPr>
          <w:sz w:val="22"/>
          <w:szCs w:val="22"/>
        </w:rPr>
        <w:t>the experimental design</w:t>
      </w:r>
      <w:r w:rsidRPr="00A5216B">
        <w:rPr>
          <w:sz w:val="22"/>
          <w:szCs w:val="22"/>
        </w:rPr>
        <w:t xml:space="preserve">.  </w:t>
      </w:r>
      <w:r w:rsidR="007202AB">
        <w:rPr>
          <w:sz w:val="22"/>
          <w:szCs w:val="22"/>
        </w:rPr>
        <w:t>(</w:t>
      </w:r>
      <w:r w:rsidR="007202AB" w:rsidRPr="00A5216B">
        <w:rPr>
          <w:sz w:val="22"/>
          <w:szCs w:val="22"/>
        </w:rPr>
        <w:t>B)</w:t>
      </w:r>
      <w:r w:rsidR="007202AB">
        <w:rPr>
          <w:sz w:val="22"/>
          <w:szCs w:val="22"/>
        </w:rPr>
        <w:t xml:space="preserve"> </w:t>
      </w:r>
      <w:r w:rsidRPr="00A5216B">
        <w:rPr>
          <w:sz w:val="22"/>
          <w:szCs w:val="22"/>
        </w:rPr>
        <w:t>Body weight throughout the</w:t>
      </w:r>
      <w:r>
        <w:rPr>
          <w:sz w:val="22"/>
          <w:szCs w:val="22"/>
        </w:rPr>
        <w:t xml:space="preserve"> high fat diet phase of the intervention</w:t>
      </w:r>
      <w:r w:rsidRPr="00A5216B">
        <w:rPr>
          <w:sz w:val="22"/>
          <w:szCs w:val="22"/>
        </w:rPr>
        <w:t xml:space="preserve">.  </w:t>
      </w:r>
      <w:r w:rsidR="007202AB">
        <w:rPr>
          <w:sz w:val="22"/>
          <w:szCs w:val="22"/>
        </w:rPr>
        <w:t>(</w:t>
      </w:r>
      <w:r w:rsidR="007202AB" w:rsidRPr="00A5216B">
        <w:rPr>
          <w:sz w:val="22"/>
          <w:szCs w:val="22"/>
        </w:rPr>
        <w:t>C</w:t>
      </w:r>
      <w:r w:rsidR="007202AB">
        <w:rPr>
          <w:sz w:val="22"/>
          <w:szCs w:val="22"/>
        </w:rPr>
        <w:t>)</w:t>
      </w:r>
      <w:r w:rsidR="007202AB">
        <w:rPr>
          <w:sz w:val="22"/>
          <w:szCs w:val="22"/>
        </w:rPr>
        <w:t xml:space="preserve"> </w:t>
      </w:r>
      <w:r>
        <w:rPr>
          <w:sz w:val="22"/>
          <w:szCs w:val="22"/>
        </w:rPr>
        <w:t xml:space="preserve">Absolute body fat, </w:t>
      </w:r>
      <w:r w:rsidR="007202AB">
        <w:rPr>
          <w:sz w:val="22"/>
          <w:szCs w:val="22"/>
        </w:rPr>
        <w:t xml:space="preserve">(D) </w:t>
      </w:r>
      <w:r>
        <w:rPr>
          <w:sz w:val="22"/>
          <w:szCs w:val="22"/>
        </w:rPr>
        <w:t>fat-free mass</w:t>
      </w:r>
      <w:r w:rsidR="002B02CE">
        <w:rPr>
          <w:sz w:val="22"/>
          <w:szCs w:val="22"/>
        </w:rPr>
        <w:t xml:space="preserve"> </w:t>
      </w:r>
      <w:r>
        <w:rPr>
          <w:sz w:val="22"/>
          <w:szCs w:val="22"/>
        </w:rPr>
        <w:t xml:space="preserve">and </w:t>
      </w:r>
      <w:r w:rsidR="007202AB">
        <w:rPr>
          <w:sz w:val="22"/>
          <w:szCs w:val="22"/>
        </w:rPr>
        <w:t xml:space="preserve">(E) </w:t>
      </w:r>
      <w:r>
        <w:rPr>
          <w:sz w:val="22"/>
          <w:szCs w:val="22"/>
        </w:rPr>
        <w:t xml:space="preserve">percent body fat after 12 weeks of high fat diet </w:t>
      </w:r>
      <w:r w:rsidRPr="00AD1D66">
        <w:rPr>
          <w:sz w:val="22"/>
          <w:szCs w:val="22"/>
        </w:rPr>
        <w:t>(ZT12)</w:t>
      </w:r>
      <w:r>
        <w:rPr>
          <w:sz w:val="22"/>
          <w:szCs w:val="22"/>
        </w:rPr>
        <w:t>. Data shown is the group mean ± SE.</w:t>
      </w:r>
      <w:r w:rsidR="00E6050E">
        <w:rPr>
          <w:sz w:val="22"/>
          <w:szCs w:val="22"/>
        </w:rPr>
        <w:t xml:space="preserve"> § indicates p&lt;0.05 via mixed linear</w:t>
      </w:r>
      <w:r w:rsidR="00652652">
        <w:rPr>
          <w:sz w:val="22"/>
          <w:szCs w:val="22"/>
        </w:rPr>
        <w:t xml:space="preserve"> model, compared by </w:t>
      </w:r>
      <w:r w:rsidR="00652652" w:rsidRPr="00D43FD3">
        <w:rPr>
          <w:sz w:val="22"/>
          <w:szCs w:val="22"/>
        </w:rPr>
        <w:sym w:font="Symbol" w:char="F063"/>
      </w:r>
      <w:r w:rsidR="00652652" w:rsidRPr="00D43FD3">
        <w:rPr>
          <w:sz w:val="22"/>
          <w:szCs w:val="22"/>
          <w:vertAlign w:val="superscript"/>
        </w:rPr>
        <w:t xml:space="preserve">2 </w:t>
      </w:r>
      <w:r w:rsidR="00652652" w:rsidRPr="00D43FD3">
        <w:rPr>
          <w:sz w:val="22"/>
          <w:szCs w:val="22"/>
        </w:rPr>
        <w:t>test</w:t>
      </w:r>
      <w:r w:rsidR="00C43253">
        <w:rPr>
          <w:sz w:val="22"/>
          <w:szCs w:val="22"/>
        </w:rPr>
        <w:t xml:space="preserve"> (B)</w:t>
      </w:r>
      <w:r w:rsidR="00652652">
        <w:rPr>
          <w:sz w:val="22"/>
          <w:szCs w:val="22"/>
        </w:rPr>
        <w:t>,</w:t>
      </w:r>
      <w:r w:rsidR="00E6050E">
        <w:rPr>
          <w:sz w:val="22"/>
          <w:szCs w:val="22"/>
        </w:rPr>
        <w:t xml:space="preserve"> whereas</w:t>
      </w:r>
      <w:r>
        <w:rPr>
          <w:sz w:val="22"/>
          <w:szCs w:val="22"/>
        </w:rPr>
        <w:t xml:space="preserve"> * </w:t>
      </w:r>
      <w:r w:rsidRPr="00A5216B">
        <w:rPr>
          <w:sz w:val="22"/>
          <w:szCs w:val="22"/>
        </w:rPr>
        <w:t>indicate</w:t>
      </w:r>
      <w:r>
        <w:rPr>
          <w:sz w:val="22"/>
          <w:szCs w:val="22"/>
        </w:rPr>
        <w:t>s</w:t>
      </w:r>
      <w:r w:rsidRPr="00A5216B">
        <w:rPr>
          <w:sz w:val="22"/>
          <w:szCs w:val="22"/>
        </w:rPr>
        <w:t xml:space="preserve"> p&lt;0.05 via a Student’s </w:t>
      </w:r>
      <w:r w:rsidRPr="00A5216B">
        <w:rPr>
          <w:i/>
          <w:sz w:val="22"/>
          <w:szCs w:val="22"/>
        </w:rPr>
        <w:t>t</w:t>
      </w:r>
      <w:r w:rsidRPr="00A5216B">
        <w:rPr>
          <w:sz w:val="22"/>
          <w:szCs w:val="22"/>
        </w:rPr>
        <w:t>-test (C-D).</w:t>
      </w:r>
      <w:r>
        <w:rPr>
          <w:sz w:val="22"/>
          <w:szCs w:val="22"/>
        </w:rPr>
        <w:t xml:space="preserve"> The saline-exposed mice are depicted in black and the MCP230-exposed mice are depicted in grey.</w:t>
      </w:r>
    </w:p>
    <w:p w14:paraId="7273F1B2" w14:textId="77777777" w:rsidR="002F26E7" w:rsidRPr="00D43FD3" w:rsidRDefault="002F26E7" w:rsidP="002F26E7">
      <w:pPr>
        <w:spacing w:line="480" w:lineRule="auto"/>
        <w:rPr>
          <w:sz w:val="22"/>
          <w:szCs w:val="22"/>
        </w:rPr>
      </w:pPr>
    </w:p>
    <w:p w14:paraId="650C26AF" w14:textId="66DB3E8D" w:rsidR="002F26E7" w:rsidRPr="00A5216B" w:rsidRDefault="002F26E7" w:rsidP="002F26E7">
      <w:pPr>
        <w:spacing w:line="480" w:lineRule="auto"/>
        <w:rPr>
          <w:sz w:val="22"/>
          <w:szCs w:val="22"/>
        </w:rPr>
      </w:pPr>
      <w:r w:rsidRPr="00D43FD3">
        <w:rPr>
          <w:b/>
          <w:sz w:val="22"/>
          <w:szCs w:val="22"/>
        </w:rPr>
        <w:t>Figure 2:  Gestational</w:t>
      </w:r>
      <w:r>
        <w:rPr>
          <w:b/>
          <w:sz w:val="22"/>
          <w:szCs w:val="22"/>
        </w:rPr>
        <w:t xml:space="preserve"> exposure to</w:t>
      </w:r>
      <w:r w:rsidRPr="00D43FD3">
        <w:rPr>
          <w:b/>
          <w:sz w:val="22"/>
          <w:szCs w:val="22"/>
        </w:rPr>
        <w:t xml:space="preserve"> MCP230 </w:t>
      </w:r>
      <w:r>
        <w:rPr>
          <w:b/>
          <w:sz w:val="22"/>
          <w:szCs w:val="22"/>
        </w:rPr>
        <w:t xml:space="preserve">causes a reduction in food intake and alters ‘hunger hormone’ concentrations on a high fat diet. </w:t>
      </w:r>
      <w:r w:rsidRPr="00D43FD3">
        <w:rPr>
          <w:sz w:val="22"/>
          <w:szCs w:val="22"/>
        </w:rPr>
        <w:t xml:space="preserve">Food intake per mouse was calculated on a </w:t>
      </w:r>
      <w:r>
        <w:rPr>
          <w:sz w:val="22"/>
          <w:szCs w:val="22"/>
        </w:rPr>
        <w:t>(</w:t>
      </w:r>
      <w:r w:rsidRPr="00D43FD3">
        <w:rPr>
          <w:sz w:val="22"/>
          <w:szCs w:val="22"/>
        </w:rPr>
        <w:t xml:space="preserve">A) weekly and </w:t>
      </w:r>
      <w:r>
        <w:rPr>
          <w:sz w:val="22"/>
          <w:szCs w:val="22"/>
        </w:rPr>
        <w:t>(</w:t>
      </w:r>
      <w:r w:rsidRPr="00D43FD3">
        <w:rPr>
          <w:sz w:val="22"/>
          <w:szCs w:val="22"/>
        </w:rPr>
        <w:t xml:space="preserve">B) cumulative basis throughout the </w:t>
      </w:r>
      <w:r>
        <w:rPr>
          <w:sz w:val="22"/>
          <w:szCs w:val="22"/>
        </w:rPr>
        <w:t>h</w:t>
      </w:r>
      <w:r w:rsidRPr="00D43FD3">
        <w:rPr>
          <w:sz w:val="22"/>
          <w:szCs w:val="22"/>
        </w:rPr>
        <w:t>igh</w:t>
      </w:r>
      <w:r>
        <w:rPr>
          <w:sz w:val="22"/>
          <w:szCs w:val="22"/>
        </w:rPr>
        <w:t xml:space="preserve"> f</w:t>
      </w:r>
      <w:r w:rsidRPr="00D43FD3">
        <w:rPr>
          <w:sz w:val="22"/>
          <w:szCs w:val="22"/>
        </w:rPr>
        <w:t xml:space="preserve">at </w:t>
      </w:r>
      <w:r>
        <w:rPr>
          <w:sz w:val="22"/>
          <w:szCs w:val="22"/>
        </w:rPr>
        <w:t>d</w:t>
      </w:r>
      <w:r w:rsidRPr="00D43FD3">
        <w:rPr>
          <w:sz w:val="22"/>
          <w:szCs w:val="22"/>
        </w:rPr>
        <w:t xml:space="preserve">iet </w:t>
      </w:r>
      <w:r>
        <w:rPr>
          <w:sz w:val="22"/>
          <w:szCs w:val="22"/>
        </w:rPr>
        <w:t>phase of the intervention</w:t>
      </w:r>
      <w:r w:rsidRPr="00D43FD3">
        <w:rPr>
          <w:sz w:val="22"/>
          <w:szCs w:val="22"/>
        </w:rPr>
        <w:t xml:space="preserve">.  </w:t>
      </w:r>
      <w:r>
        <w:rPr>
          <w:sz w:val="22"/>
          <w:szCs w:val="22"/>
        </w:rPr>
        <w:t xml:space="preserve">MCP230-exposed mice had elevated serum concentrations of (C) leptin, (D) Ghrelin and (E) GLP-1 after access to the high fat diet. (F) Serum GIP tended to be elevated during the fasted state, although this did not attain statistical significance. Fed serum was collected at ZT12. Fasting serum was collected following an overnight fast (~16 </w:t>
      </w:r>
      <w:proofErr w:type="spellStart"/>
      <w:r>
        <w:rPr>
          <w:sz w:val="22"/>
          <w:szCs w:val="22"/>
        </w:rPr>
        <w:t>hr</w:t>
      </w:r>
      <w:proofErr w:type="spellEnd"/>
      <w:r>
        <w:rPr>
          <w:sz w:val="22"/>
          <w:szCs w:val="22"/>
        </w:rPr>
        <w:t xml:space="preserve">) at ZT4. Data shown is the group mean ± SE. n=8-14/group. § indicates </w:t>
      </w:r>
      <w:r w:rsidRPr="00D43FD3">
        <w:rPr>
          <w:sz w:val="22"/>
          <w:szCs w:val="22"/>
        </w:rPr>
        <w:t xml:space="preserve">p&lt;0.05 by </w:t>
      </w:r>
      <w:r>
        <w:rPr>
          <w:sz w:val="22"/>
          <w:szCs w:val="22"/>
        </w:rPr>
        <w:t>m</w:t>
      </w:r>
      <w:r w:rsidRPr="00D43FD3">
        <w:rPr>
          <w:sz w:val="22"/>
          <w:szCs w:val="22"/>
        </w:rPr>
        <w:t xml:space="preserve">ixed </w:t>
      </w:r>
      <w:r>
        <w:rPr>
          <w:sz w:val="22"/>
          <w:szCs w:val="22"/>
        </w:rPr>
        <w:t>l</w:t>
      </w:r>
      <w:r w:rsidRPr="00D43FD3">
        <w:rPr>
          <w:sz w:val="22"/>
          <w:szCs w:val="22"/>
        </w:rPr>
        <w:t xml:space="preserve">inear </w:t>
      </w:r>
      <w:r>
        <w:rPr>
          <w:sz w:val="22"/>
          <w:szCs w:val="22"/>
        </w:rPr>
        <w:t>model, c</w:t>
      </w:r>
      <w:r w:rsidRPr="00D43FD3">
        <w:rPr>
          <w:sz w:val="22"/>
          <w:szCs w:val="22"/>
        </w:rPr>
        <w:t xml:space="preserve">ompared by </w:t>
      </w:r>
      <w:r w:rsidRPr="00D43FD3">
        <w:rPr>
          <w:sz w:val="22"/>
          <w:szCs w:val="22"/>
        </w:rPr>
        <w:sym w:font="Symbol" w:char="F063"/>
      </w:r>
      <w:r w:rsidRPr="00D43FD3">
        <w:rPr>
          <w:sz w:val="22"/>
          <w:szCs w:val="22"/>
          <w:vertAlign w:val="superscript"/>
        </w:rPr>
        <w:t xml:space="preserve">2 </w:t>
      </w:r>
      <w:r w:rsidRPr="00D43FD3">
        <w:rPr>
          <w:sz w:val="22"/>
          <w:szCs w:val="22"/>
        </w:rPr>
        <w:t>test</w:t>
      </w:r>
      <w:r w:rsidR="005B0440">
        <w:rPr>
          <w:sz w:val="22"/>
          <w:szCs w:val="22"/>
        </w:rPr>
        <w:t xml:space="preserve"> (B)</w:t>
      </w:r>
      <w:r>
        <w:rPr>
          <w:sz w:val="22"/>
          <w:szCs w:val="22"/>
        </w:rPr>
        <w:t xml:space="preserve">. † indicates a main effect for feeding state </w:t>
      </w:r>
      <w:r w:rsidR="005B0440">
        <w:rPr>
          <w:sz w:val="22"/>
          <w:szCs w:val="22"/>
        </w:rPr>
        <w:t xml:space="preserve">(C-F) </w:t>
      </w:r>
      <w:r>
        <w:rPr>
          <w:sz w:val="22"/>
          <w:szCs w:val="22"/>
        </w:rPr>
        <w:t>and ‡ indicates a main effect for MCP230-exposure by 2-way ANOVA</w:t>
      </w:r>
      <w:r w:rsidR="005B0440">
        <w:rPr>
          <w:sz w:val="22"/>
          <w:szCs w:val="22"/>
        </w:rPr>
        <w:t xml:space="preserve"> (C-E)</w:t>
      </w:r>
      <w:r>
        <w:rPr>
          <w:sz w:val="22"/>
          <w:szCs w:val="22"/>
        </w:rPr>
        <w:t>. *</w:t>
      </w:r>
      <w:r w:rsidRPr="00D43FD3">
        <w:rPr>
          <w:sz w:val="22"/>
          <w:szCs w:val="22"/>
        </w:rPr>
        <w:t xml:space="preserve"> indicates p&lt;0.05 via a Wilcoxon Rank Sum Test</w:t>
      </w:r>
      <w:r w:rsidR="005B0440">
        <w:rPr>
          <w:sz w:val="22"/>
          <w:szCs w:val="22"/>
        </w:rPr>
        <w:t xml:space="preserve"> (D-E)</w:t>
      </w:r>
      <w:r w:rsidRPr="00D43FD3">
        <w:rPr>
          <w:sz w:val="22"/>
          <w:szCs w:val="22"/>
        </w:rPr>
        <w:t>.</w:t>
      </w:r>
      <w:r>
        <w:rPr>
          <w:sz w:val="22"/>
          <w:szCs w:val="22"/>
        </w:rPr>
        <w:t xml:space="preserve"> The saline-exposed mice are depicted in black and the MCP230-exposed mice are depicted in grey.</w:t>
      </w:r>
    </w:p>
    <w:p w14:paraId="1E34EC81" w14:textId="77777777" w:rsidR="002F26E7" w:rsidRPr="00D43FD3" w:rsidRDefault="002F26E7" w:rsidP="002F26E7">
      <w:pPr>
        <w:spacing w:line="480" w:lineRule="auto"/>
        <w:rPr>
          <w:sz w:val="22"/>
          <w:szCs w:val="22"/>
        </w:rPr>
      </w:pPr>
    </w:p>
    <w:p w14:paraId="6F61DE09" w14:textId="71F8D2CB" w:rsidR="002F26E7" w:rsidRPr="00A5216B" w:rsidRDefault="002F26E7" w:rsidP="002F26E7">
      <w:pPr>
        <w:spacing w:line="480" w:lineRule="auto"/>
        <w:rPr>
          <w:sz w:val="22"/>
          <w:szCs w:val="22"/>
        </w:rPr>
      </w:pPr>
      <w:r w:rsidRPr="00D43FD3">
        <w:rPr>
          <w:b/>
          <w:sz w:val="22"/>
          <w:szCs w:val="22"/>
        </w:rPr>
        <w:t xml:space="preserve">Figure 3:  </w:t>
      </w:r>
      <w:r>
        <w:rPr>
          <w:b/>
          <w:sz w:val="22"/>
          <w:szCs w:val="22"/>
        </w:rPr>
        <w:t>Gestational exposure to MCP230 causes an increase in serum glucagon but does not differentially alter glucose or insulin concentrations following exposure to a high fat diet.</w:t>
      </w:r>
      <w:r w:rsidR="00150BB4">
        <w:rPr>
          <w:b/>
          <w:sz w:val="22"/>
          <w:szCs w:val="22"/>
        </w:rPr>
        <w:t xml:space="preserve"> </w:t>
      </w:r>
      <w:r w:rsidR="00150BB4">
        <w:rPr>
          <w:sz w:val="22"/>
          <w:szCs w:val="22"/>
        </w:rPr>
        <w:t>(A)</w:t>
      </w:r>
      <w:r>
        <w:rPr>
          <w:b/>
          <w:sz w:val="22"/>
          <w:szCs w:val="22"/>
        </w:rPr>
        <w:t xml:space="preserve"> </w:t>
      </w:r>
      <w:r w:rsidRPr="000D1ACD">
        <w:rPr>
          <w:sz w:val="22"/>
          <w:szCs w:val="22"/>
        </w:rPr>
        <w:t xml:space="preserve">Fasting </w:t>
      </w:r>
      <w:r>
        <w:rPr>
          <w:sz w:val="22"/>
          <w:szCs w:val="22"/>
        </w:rPr>
        <w:t>b</w:t>
      </w:r>
      <w:r w:rsidRPr="00D43FD3">
        <w:rPr>
          <w:sz w:val="22"/>
          <w:szCs w:val="22"/>
        </w:rPr>
        <w:t>lood glucose</w:t>
      </w:r>
      <w:r>
        <w:rPr>
          <w:sz w:val="22"/>
          <w:szCs w:val="22"/>
        </w:rPr>
        <w:t xml:space="preserve">, </w:t>
      </w:r>
      <w:r w:rsidR="00150BB4">
        <w:rPr>
          <w:sz w:val="22"/>
          <w:szCs w:val="22"/>
        </w:rPr>
        <w:t xml:space="preserve">(B) </w:t>
      </w:r>
      <w:r>
        <w:rPr>
          <w:sz w:val="22"/>
          <w:szCs w:val="22"/>
        </w:rPr>
        <w:t xml:space="preserve">serum insulin and </w:t>
      </w:r>
      <w:r w:rsidR="00150BB4">
        <w:rPr>
          <w:sz w:val="22"/>
          <w:szCs w:val="22"/>
        </w:rPr>
        <w:t xml:space="preserve">(C) </w:t>
      </w:r>
      <w:r>
        <w:rPr>
          <w:sz w:val="22"/>
          <w:szCs w:val="22"/>
        </w:rPr>
        <w:t>serum glucagon concentrations</w:t>
      </w:r>
      <w:r w:rsidRPr="00D43FD3">
        <w:rPr>
          <w:sz w:val="22"/>
          <w:szCs w:val="22"/>
        </w:rPr>
        <w:t xml:space="preserve"> were determined after a 16h fast at </w:t>
      </w:r>
      <w:r>
        <w:rPr>
          <w:sz w:val="22"/>
          <w:szCs w:val="22"/>
        </w:rPr>
        <w:t>~</w:t>
      </w:r>
      <w:r w:rsidRPr="00D43FD3">
        <w:rPr>
          <w:sz w:val="22"/>
          <w:szCs w:val="22"/>
        </w:rPr>
        <w:t xml:space="preserve">ZT4. </w:t>
      </w:r>
      <w:r>
        <w:rPr>
          <w:sz w:val="22"/>
          <w:szCs w:val="22"/>
        </w:rPr>
        <w:t xml:space="preserve">Fed serum was collected at ZT12 and analyzed for insulin (B) and glucagon (C). Data shown is the </w:t>
      </w:r>
      <w:r>
        <w:rPr>
          <w:sz w:val="22"/>
          <w:szCs w:val="22"/>
        </w:rPr>
        <w:lastRenderedPageBreak/>
        <w:t xml:space="preserve">group mean ± SE. n=8-14/group. † indicates a main effect for feeding state </w:t>
      </w:r>
      <w:r w:rsidR="00D725B6">
        <w:rPr>
          <w:sz w:val="22"/>
          <w:szCs w:val="22"/>
        </w:rPr>
        <w:t xml:space="preserve">(B-C) </w:t>
      </w:r>
      <w:r>
        <w:rPr>
          <w:sz w:val="22"/>
          <w:szCs w:val="22"/>
        </w:rPr>
        <w:t>and ‡ indicates a main effect for MCP230-exposure by 2-way ANOVA</w:t>
      </w:r>
      <w:r w:rsidR="00D725B6">
        <w:rPr>
          <w:sz w:val="22"/>
          <w:szCs w:val="22"/>
        </w:rPr>
        <w:t xml:space="preserve"> (C)</w:t>
      </w:r>
      <w:r>
        <w:rPr>
          <w:sz w:val="22"/>
          <w:szCs w:val="22"/>
        </w:rPr>
        <w:t>. *</w:t>
      </w:r>
      <w:r w:rsidRPr="00D43FD3">
        <w:rPr>
          <w:sz w:val="22"/>
          <w:szCs w:val="22"/>
        </w:rPr>
        <w:t xml:space="preserve"> indicates p&lt;0.05 via a Wilcoxon Rank Sum Test</w:t>
      </w:r>
      <w:r w:rsidR="00D725B6">
        <w:rPr>
          <w:sz w:val="22"/>
          <w:szCs w:val="22"/>
        </w:rPr>
        <w:t xml:space="preserve"> (C)</w:t>
      </w:r>
      <w:r w:rsidRPr="00D43FD3">
        <w:rPr>
          <w:sz w:val="22"/>
          <w:szCs w:val="22"/>
        </w:rPr>
        <w:t>.</w:t>
      </w:r>
      <w:r>
        <w:rPr>
          <w:sz w:val="22"/>
          <w:szCs w:val="22"/>
        </w:rPr>
        <w:t xml:space="preserve"> The saline-exposed mice are depicted in black and the MCP230-exposed mice are depicted in grey.</w:t>
      </w:r>
    </w:p>
    <w:p w14:paraId="189002EC" w14:textId="77777777" w:rsidR="002F26E7" w:rsidRPr="00D43FD3" w:rsidRDefault="002F26E7" w:rsidP="002F26E7">
      <w:pPr>
        <w:spacing w:line="480" w:lineRule="auto"/>
        <w:rPr>
          <w:sz w:val="22"/>
          <w:szCs w:val="22"/>
        </w:rPr>
      </w:pPr>
    </w:p>
    <w:p w14:paraId="67CCD0C1" w14:textId="2B528EC6" w:rsidR="002F26E7" w:rsidRPr="00A5216B" w:rsidRDefault="002F26E7" w:rsidP="002F26E7">
      <w:pPr>
        <w:spacing w:line="480" w:lineRule="auto"/>
        <w:rPr>
          <w:sz w:val="22"/>
          <w:szCs w:val="22"/>
        </w:rPr>
      </w:pPr>
      <w:r w:rsidRPr="00D43FD3">
        <w:rPr>
          <w:b/>
          <w:sz w:val="22"/>
          <w:szCs w:val="22"/>
        </w:rPr>
        <w:t xml:space="preserve">Figure </w:t>
      </w:r>
      <w:r>
        <w:rPr>
          <w:b/>
          <w:sz w:val="22"/>
          <w:szCs w:val="22"/>
        </w:rPr>
        <w:t>4</w:t>
      </w:r>
      <w:r w:rsidRPr="00D43FD3">
        <w:rPr>
          <w:b/>
          <w:sz w:val="22"/>
          <w:szCs w:val="22"/>
        </w:rPr>
        <w:t xml:space="preserve">:  </w:t>
      </w:r>
      <w:r>
        <w:rPr>
          <w:b/>
          <w:i/>
          <w:sz w:val="22"/>
          <w:szCs w:val="22"/>
        </w:rPr>
        <w:t xml:space="preserve">In utero </w:t>
      </w:r>
      <w:r>
        <w:rPr>
          <w:b/>
          <w:sz w:val="22"/>
          <w:szCs w:val="22"/>
        </w:rPr>
        <w:t xml:space="preserve">exposure to MCP230 reduces </w:t>
      </w:r>
      <w:r w:rsidRPr="00D43FD3">
        <w:rPr>
          <w:b/>
          <w:sz w:val="22"/>
          <w:szCs w:val="22"/>
        </w:rPr>
        <w:t>energy expenditure</w:t>
      </w:r>
      <w:r>
        <w:rPr>
          <w:b/>
          <w:sz w:val="22"/>
          <w:szCs w:val="22"/>
        </w:rPr>
        <w:t xml:space="preserve"> and lowers physical activity</w:t>
      </w:r>
      <w:r w:rsidRPr="00D43FD3">
        <w:rPr>
          <w:b/>
          <w:sz w:val="22"/>
          <w:szCs w:val="22"/>
        </w:rPr>
        <w:t>.</w:t>
      </w:r>
      <w:r w:rsidRPr="00D43FD3">
        <w:rPr>
          <w:sz w:val="22"/>
          <w:szCs w:val="22"/>
        </w:rPr>
        <w:t xml:space="preserve">  </w:t>
      </w:r>
      <w:r>
        <w:rPr>
          <w:sz w:val="22"/>
          <w:szCs w:val="22"/>
        </w:rPr>
        <w:t>(A</w:t>
      </w:r>
      <w:r w:rsidRPr="00D43FD3">
        <w:rPr>
          <w:sz w:val="22"/>
          <w:szCs w:val="22"/>
        </w:rPr>
        <w:t>) O</w:t>
      </w:r>
      <w:r w:rsidR="00F46E04">
        <w:rPr>
          <w:sz w:val="22"/>
          <w:szCs w:val="22"/>
          <w:vertAlign w:val="subscript"/>
        </w:rPr>
        <w:t>2</w:t>
      </w:r>
      <w:r w:rsidRPr="00D43FD3">
        <w:rPr>
          <w:sz w:val="22"/>
          <w:szCs w:val="22"/>
        </w:rPr>
        <w:t xml:space="preserve"> consumption rates</w:t>
      </w:r>
      <w:r>
        <w:rPr>
          <w:sz w:val="22"/>
          <w:szCs w:val="22"/>
        </w:rPr>
        <w:t xml:space="preserve"> (VO</w:t>
      </w:r>
      <w:r>
        <w:rPr>
          <w:sz w:val="22"/>
          <w:szCs w:val="22"/>
          <w:vertAlign w:val="subscript"/>
        </w:rPr>
        <w:t>2</w:t>
      </w:r>
      <w:r>
        <w:rPr>
          <w:sz w:val="22"/>
          <w:szCs w:val="22"/>
        </w:rPr>
        <w:t>)</w:t>
      </w:r>
      <w:r w:rsidRPr="00D43FD3">
        <w:rPr>
          <w:sz w:val="22"/>
          <w:szCs w:val="22"/>
        </w:rPr>
        <w:t xml:space="preserve"> </w:t>
      </w:r>
      <w:r>
        <w:rPr>
          <w:sz w:val="22"/>
          <w:szCs w:val="22"/>
        </w:rPr>
        <w:t>and (B</w:t>
      </w:r>
      <w:r w:rsidRPr="00D43FD3">
        <w:rPr>
          <w:sz w:val="22"/>
          <w:szCs w:val="22"/>
        </w:rPr>
        <w:t xml:space="preserve">) </w:t>
      </w:r>
      <w:r>
        <w:rPr>
          <w:sz w:val="22"/>
          <w:szCs w:val="22"/>
        </w:rPr>
        <w:t>VO</w:t>
      </w:r>
      <w:r>
        <w:rPr>
          <w:sz w:val="22"/>
          <w:szCs w:val="22"/>
          <w:vertAlign w:val="subscript"/>
        </w:rPr>
        <w:t>2</w:t>
      </w:r>
      <w:r>
        <w:rPr>
          <w:sz w:val="22"/>
          <w:szCs w:val="22"/>
        </w:rPr>
        <w:t xml:space="preserve"> analysis</w:t>
      </w:r>
      <w:r w:rsidRPr="00D43FD3">
        <w:rPr>
          <w:sz w:val="22"/>
          <w:szCs w:val="22"/>
        </w:rPr>
        <w:t xml:space="preserve">, normalized to </w:t>
      </w:r>
      <w:r>
        <w:rPr>
          <w:sz w:val="22"/>
          <w:szCs w:val="22"/>
        </w:rPr>
        <w:t>fat-free</w:t>
      </w:r>
      <w:r w:rsidRPr="00D43FD3">
        <w:rPr>
          <w:sz w:val="22"/>
          <w:szCs w:val="22"/>
        </w:rPr>
        <w:t xml:space="preserve"> mass </w:t>
      </w:r>
      <w:r>
        <w:rPr>
          <w:sz w:val="22"/>
          <w:szCs w:val="22"/>
        </w:rPr>
        <w:t>during both the</w:t>
      </w:r>
      <w:r w:rsidRPr="00D43FD3">
        <w:rPr>
          <w:sz w:val="22"/>
          <w:szCs w:val="22"/>
        </w:rPr>
        <w:t xml:space="preserve"> light and dark phase.  Each dot represents the average </w:t>
      </w:r>
      <w:r w:rsidR="002475CD" w:rsidRPr="00D43FD3">
        <w:rPr>
          <w:sz w:val="22"/>
          <w:szCs w:val="22"/>
        </w:rPr>
        <w:t>O</w:t>
      </w:r>
      <w:r w:rsidR="002475CD">
        <w:rPr>
          <w:sz w:val="22"/>
          <w:szCs w:val="22"/>
          <w:vertAlign w:val="subscript"/>
        </w:rPr>
        <w:t>2</w:t>
      </w:r>
      <w:r w:rsidRPr="00D43FD3">
        <w:rPr>
          <w:sz w:val="22"/>
          <w:szCs w:val="22"/>
        </w:rPr>
        <w:t xml:space="preserve"> consumption </w:t>
      </w:r>
      <w:r>
        <w:rPr>
          <w:sz w:val="22"/>
          <w:szCs w:val="22"/>
        </w:rPr>
        <w:t>of each</w:t>
      </w:r>
      <w:r w:rsidRPr="00D43FD3">
        <w:rPr>
          <w:sz w:val="22"/>
          <w:szCs w:val="22"/>
        </w:rPr>
        <w:t xml:space="preserve"> mouse. </w:t>
      </w:r>
      <w:r>
        <w:rPr>
          <w:sz w:val="22"/>
          <w:szCs w:val="22"/>
        </w:rPr>
        <w:t>(C</w:t>
      </w:r>
      <w:r w:rsidRPr="00D43FD3">
        <w:rPr>
          <w:sz w:val="22"/>
          <w:szCs w:val="22"/>
        </w:rPr>
        <w:t xml:space="preserve">) Quantification of ambulatory movement during the light and dark phases.  </w:t>
      </w:r>
      <w:r>
        <w:rPr>
          <w:sz w:val="22"/>
          <w:szCs w:val="22"/>
        </w:rPr>
        <w:t>(</w:t>
      </w:r>
      <w:r w:rsidRPr="00D43FD3">
        <w:rPr>
          <w:sz w:val="22"/>
          <w:szCs w:val="22"/>
        </w:rPr>
        <w:t xml:space="preserve">F)  Respiratory exchange ratio of each group.  </w:t>
      </w:r>
      <w:r>
        <w:rPr>
          <w:sz w:val="22"/>
          <w:szCs w:val="22"/>
        </w:rPr>
        <w:t>S</w:t>
      </w:r>
      <w:r w:rsidRPr="00D43FD3">
        <w:rPr>
          <w:sz w:val="22"/>
          <w:szCs w:val="22"/>
        </w:rPr>
        <w:t xml:space="preserve">aline and </w:t>
      </w:r>
      <w:proofErr w:type="spellStart"/>
      <w:r w:rsidRPr="00D43FD3">
        <w:rPr>
          <w:sz w:val="22"/>
          <w:szCs w:val="22"/>
        </w:rPr>
        <w:t>cabosil</w:t>
      </w:r>
      <w:proofErr w:type="spellEnd"/>
      <w:r w:rsidRPr="00D43FD3">
        <w:rPr>
          <w:sz w:val="22"/>
          <w:szCs w:val="22"/>
        </w:rPr>
        <w:t xml:space="preserve"> groups were not combined </w:t>
      </w:r>
      <w:r>
        <w:rPr>
          <w:sz w:val="22"/>
          <w:szCs w:val="22"/>
        </w:rPr>
        <w:t xml:space="preserve">for this analysis as there was </w:t>
      </w:r>
      <w:r w:rsidRPr="00D43FD3">
        <w:rPr>
          <w:sz w:val="22"/>
          <w:szCs w:val="22"/>
        </w:rPr>
        <w:t xml:space="preserve">a significant </w:t>
      </w:r>
      <w:r>
        <w:rPr>
          <w:sz w:val="22"/>
          <w:szCs w:val="22"/>
        </w:rPr>
        <w:t>reduction in</w:t>
      </w:r>
      <w:r w:rsidRPr="00D43FD3">
        <w:rPr>
          <w:sz w:val="22"/>
          <w:szCs w:val="22"/>
        </w:rPr>
        <w:t xml:space="preserve"> the </w:t>
      </w:r>
      <w:r>
        <w:rPr>
          <w:sz w:val="22"/>
          <w:szCs w:val="22"/>
        </w:rPr>
        <w:t xml:space="preserve">respiratory exchange </w:t>
      </w:r>
      <w:r w:rsidRPr="00D43FD3">
        <w:rPr>
          <w:sz w:val="22"/>
          <w:szCs w:val="22"/>
        </w:rPr>
        <w:t xml:space="preserve">ratio </w:t>
      </w:r>
      <w:r>
        <w:rPr>
          <w:sz w:val="22"/>
          <w:szCs w:val="22"/>
        </w:rPr>
        <w:t>for</w:t>
      </w:r>
      <w:r w:rsidRPr="00D43FD3">
        <w:rPr>
          <w:sz w:val="22"/>
          <w:szCs w:val="22"/>
        </w:rPr>
        <w:t xml:space="preserve"> both the </w:t>
      </w:r>
      <w:proofErr w:type="spellStart"/>
      <w:r w:rsidRPr="00D43FD3">
        <w:rPr>
          <w:sz w:val="22"/>
          <w:szCs w:val="22"/>
        </w:rPr>
        <w:t>cabosil</w:t>
      </w:r>
      <w:proofErr w:type="spellEnd"/>
      <w:r>
        <w:rPr>
          <w:sz w:val="22"/>
          <w:szCs w:val="22"/>
        </w:rPr>
        <w:t>-</w:t>
      </w:r>
      <w:r w:rsidRPr="00D43FD3">
        <w:rPr>
          <w:sz w:val="22"/>
          <w:szCs w:val="22"/>
        </w:rPr>
        <w:t xml:space="preserve"> and MCP230</w:t>
      </w:r>
      <w:r>
        <w:rPr>
          <w:sz w:val="22"/>
          <w:szCs w:val="22"/>
        </w:rPr>
        <w:t>-</w:t>
      </w:r>
      <w:r w:rsidRPr="00D43FD3">
        <w:rPr>
          <w:sz w:val="22"/>
          <w:szCs w:val="22"/>
        </w:rPr>
        <w:t xml:space="preserve"> </w:t>
      </w:r>
      <w:r>
        <w:rPr>
          <w:sz w:val="22"/>
          <w:szCs w:val="22"/>
        </w:rPr>
        <w:t>exposed</w:t>
      </w:r>
      <w:r w:rsidRPr="00D43FD3">
        <w:rPr>
          <w:sz w:val="22"/>
          <w:szCs w:val="22"/>
        </w:rPr>
        <w:t xml:space="preserve"> groups. </w:t>
      </w:r>
      <w:r>
        <w:rPr>
          <w:sz w:val="22"/>
          <w:szCs w:val="22"/>
        </w:rPr>
        <w:t>Data shown is either the individual (B) or group mean (A, C and D) ± SE (C and D).</w:t>
      </w:r>
      <w:r w:rsidRPr="00D43FD3">
        <w:rPr>
          <w:sz w:val="22"/>
          <w:szCs w:val="22"/>
        </w:rPr>
        <w:t xml:space="preserve"> </w:t>
      </w:r>
      <w:r>
        <w:rPr>
          <w:sz w:val="22"/>
          <w:szCs w:val="22"/>
        </w:rPr>
        <w:t xml:space="preserve">n=18, 6 or 14 for MCP230, saline and </w:t>
      </w:r>
      <w:proofErr w:type="spellStart"/>
      <w:r>
        <w:rPr>
          <w:sz w:val="22"/>
          <w:szCs w:val="22"/>
        </w:rPr>
        <w:t>cabosil</w:t>
      </w:r>
      <w:proofErr w:type="spellEnd"/>
      <w:r>
        <w:rPr>
          <w:sz w:val="22"/>
          <w:szCs w:val="22"/>
        </w:rPr>
        <w:t xml:space="preserve"> groups, respectively. § indicates </w:t>
      </w:r>
      <w:r w:rsidRPr="00D43FD3">
        <w:rPr>
          <w:sz w:val="22"/>
          <w:szCs w:val="22"/>
        </w:rPr>
        <w:t>p&lt;0.05 by AN</w:t>
      </w:r>
      <w:r w:rsidR="00F7055D">
        <w:rPr>
          <w:sz w:val="22"/>
          <w:szCs w:val="22"/>
        </w:rPr>
        <w:t>C</w:t>
      </w:r>
      <w:r w:rsidRPr="00D43FD3">
        <w:rPr>
          <w:sz w:val="22"/>
          <w:szCs w:val="22"/>
        </w:rPr>
        <w:t>OVA</w:t>
      </w:r>
      <w:r>
        <w:rPr>
          <w:sz w:val="22"/>
          <w:szCs w:val="22"/>
        </w:rPr>
        <w:t xml:space="preserve"> (B).</w:t>
      </w:r>
      <w:r w:rsidRPr="00D43FD3">
        <w:rPr>
          <w:sz w:val="22"/>
          <w:szCs w:val="22"/>
        </w:rPr>
        <w:t xml:space="preserve"> </w:t>
      </w:r>
      <w:r>
        <w:rPr>
          <w:sz w:val="22"/>
          <w:szCs w:val="22"/>
        </w:rPr>
        <w:t xml:space="preserve">*indicates p&lt;0.05 by </w:t>
      </w:r>
      <w:r w:rsidRPr="00D43FD3">
        <w:rPr>
          <w:sz w:val="22"/>
          <w:szCs w:val="22"/>
        </w:rPr>
        <w:t xml:space="preserve">Student’s </w:t>
      </w:r>
      <w:r w:rsidRPr="00D43FD3">
        <w:rPr>
          <w:i/>
          <w:sz w:val="22"/>
          <w:szCs w:val="22"/>
        </w:rPr>
        <w:t>t</w:t>
      </w:r>
      <w:r w:rsidRPr="00D43FD3">
        <w:rPr>
          <w:sz w:val="22"/>
          <w:szCs w:val="22"/>
        </w:rPr>
        <w:t xml:space="preserve">-test </w:t>
      </w:r>
      <w:r>
        <w:rPr>
          <w:sz w:val="22"/>
          <w:szCs w:val="22"/>
        </w:rPr>
        <w:t>(C),</w:t>
      </w:r>
      <w:r w:rsidRPr="00D43FD3">
        <w:rPr>
          <w:sz w:val="22"/>
          <w:szCs w:val="22"/>
        </w:rPr>
        <w:t xml:space="preserve"> or Wilcoxon-Rank Sum Test (</w:t>
      </w:r>
      <w:r>
        <w:rPr>
          <w:sz w:val="22"/>
          <w:szCs w:val="22"/>
        </w:rPr>
        <w:t>D</w:t>
      </w:r>
      <w:r w:rsidRPr="00D43FD3">
        <w:rPr>
          <w:sz w:val="22"/>
          <w:szCs w:val="22"/>
        </w:rPr>
        <w:t>).</w:t>
      </w:r>
      <w:r>
        <w:rPr>
          <w:sz w:val="22"/>
          <w:szCs w:val="22"/>
        </w:rPr>
        <w:t xml:space="preserve"> The saline-exposed mice are depicted in black, the </w:t>
      </w:r>
      <w:proofErr w:type="spellStart"/>
      <w:r>
        <w:rPr>
          <w:sz w:val="22"/>
          <w:szCs w:val="22"/>
        </w:rPr>
        <w:t>cabosil</w:t>
      </w:r>
      <w:proofErr w:type="spellEnd"/>
      <w:r>
        <w:rPr>
          <w:sz w:val="22"/>
          <w:szCs w:val="22"/>
        </w:rPr>
        <w:t xml:space="preserve">-exposed mice are depicted in white and the MCP230-exposed mice are depicted in grey. Where the saline- and </w:t>
      </w:r>
      <w:proofErr w:type="spellStart"/>
      <w:r>
        <w:rPr>
          <w:sz w:val="22"/>
          <w:szCs w:val="22"/>
        </w:rPr>
        <w:t>cabosil</w:t>
      </w:r>
      <w:proofErr w:type="spellEnd"/>
      <w:r>
        <w:rPr>
          <w:sz w:val="22"/>
          <w:szCs w:val="22"/>
        </w:rPr>
        <w:t>- exposed groups are combined, these mice are depicted in black and white stripes.</w:t>
      </w:r>
    </w:p>
    <w:p w14:paraId="37715EB8" w14:textId="77777777" w:rsidR="002F26E7" w:rsidRPr="00D43FD3" w:rsidRDefault="002F26E7" w:rsidP="002F26E7">
      <w:pPr>
        <w:spacing w:line="480" w:lineRule="auto"/>
        <w:rPr>
          <w:sz w:val="22"/>
          <w:szCs w:val="22"/>
        </w:rPr>
      </w:pPr>
    </w:p>
    <w:p w14:paraId="134B942F" w14:textId="2FC36A2D" w:rsidR="002F26E7" w:rsidRDefault="002F26E7" w:rsidP="002F26E7">
      <w:pPr>
        <w:spacing w:line="480" w:lineRule="auto"/>
        <w:rPr>
          <w:sz w:val="22"/>
          <w:szCs w:val="22"/>
        </w:rPr>
      </w:pPr>
      <w:r w:rsidRPr="00D43FD3">
        <w:rPr>
          <w:b/>
          <w:sz w:val="22"/>
          <w:szCs w:val="22"/>
        </w:rPr>
        <w:t xml:space="preserve">Figure 4:  </w:t>
      </w:r>
      <w:r>
        <w:rPr>
          <w:b/>
          <w:sz w:val="22"/>
          <w:szCs w:val="22"/>
        </w:rPr>
        <w:t xml:space="preserve">Exposure to MCP230 </w:t>
      </w:r>
      <w:r>
        <w:rPr>
          <w:b/>
          <w:i/>
          <w:sz w:val="22"/>
          <w:szCs w:val="22"/>
        </w:rPr>
        <w:t xml:space="preserve">in </w:t>
      </w:r>
      <w:r w:rsidRPr="005725B6">
        <w:rPr>
          <w:b/>
          <w:i/>
          <w:sz w:val="22"/>
          <w:szCs w:val="22"/>
        </w:rPr>
        <w:t>utero</w:t>
      </w:r>
      <w:r>
        <w:rPr>
          <w:b/>
          <w:sz w:val="22"/>
          <w:szCs w:val="22"/>
        </w:rPr>
        <w:t xml:space="preserve"> results in skeletal muscle m</w:t>
      </w:r>
      <w:r w:rsidRPr="005725B6">
        <w:rPr>
          <w:b/>
          <w:sz w:val="22"/>
          <w:szCs w:val="22"/>
        </w:rPr>
        <w:t>itochondrial</w:t>
      </w:r>
      <w:r w:rsidRPr="00D43FD3">
        <w:rPr>
          <w:b/>
          <w:sz w:val="22"/>
          <w:szCs w:val="22"/>
        </w:rPr>
        <w:t xml:space="preserve"> abnormalities </w:t>
      </w:r>
      <w:r>
        <w:rPr>
          <w:b/>
          <w:sz w:val="22"/>
          <w:szCs w:val="22"/>
        </w:rPr>
        <w:t>following high fat diet consumption as adults</w:t>
      </w:r>
      <w:r>
        <w:rPr>
          <w:sz w:val="22"/>
          <w:szCs w:val="22"/>
        </w:rPr>
        <w:t>.</w:t>
      </w:r>
      <w:r w:rsidRPr="00D43FD3">
        <w:rPr>
          <w:sz w:val="22"/>
          <w:szCs w:val="22"/>
        </w:rPr>
        <w:t xml:space="preserve"> </w:t>
      </w:r>
      <w:r w:rsidR="00B04519" w:rsidRPr="00D43FD3">
        <w:rPr>
          <w:sz w:val="22"/>
          <w:szCs w:val="22"/>
        </w:rPr>
        <w:t>(A)</w:t>
      </w:r>
      <w:r w:rsidR="00B04519">
        <w:rPr>
          <w:sz w:val="22"/>
          <w:szCs w:val="22"/>
        </w:rPr>
        <w:t xml:space="preserve"> </w:t>
      </w:r>
      <w:proofErr w:type="spellStart"/>
      <w:proofErr w:type="gramStart"/>
      <w:r w:rsidRPr="00D43FD3">
        <w:rPr>
          <w:sz w:val="22"/>
          <w:szCs w:val="22"/>
        </w:rPr>
        <w:t>mtDNA</w:t>
      </w:r>
      <w:proofErr w:type="spellEnd"/>
      <w:proofErr w:type="gramEnd"/>
      <w:r w:rsidRPr="00D43FD3">
        <w:rPr>
          <w:sz w:val="22"/>
          <w:szCs w:val="22"/>
        </w:rPr>
        <w:t xml:space="preserve"> copy number, </w:t>
      </w:r>
      <w:r w:rsidR="00B04519" w:rsidRPr="00D43FD3">
        <w:rPr>
          <w:sz w:val="22"/>
          <w:szCs w:val="22"/>
        </w:rPr>
        <w:t xml:space="preserve">(B) </w:t>
      </w:r>
      <w:r w:rsidRPr="00D43FD3">
        <w:rPr>
          <w:sz w:val="22"/>
          <w:szCs w:val="22"/>
        </w:rPr>
        <w:t>citrate synthase activity and</w:t>
      </w:r>
      <w:r w:rsidR="00B04519">
        <w:rPr>
          <w:sz w:val="22"/>
          <w:szCs w:val="22"/>
        </w:rPr>
        <w:t xml:space="preserve"> </w:t>
      </w:r>
      <w:r w:rsidR="00B04519" w:rsidRPr="00D43FD3">
        <w:rPr>
          <w:sz w:val="22"/>
          <w:szCs w:val="22"/>
        </w:rPr>
        <w:t>(C)</w:t>
      </w:r>
      <w:r w:rsidRPr="00D43FD3">
        <w:rPr>
          <w:sz w:val="22"/>
          <w:szCs w:val="22"/>
        </w:rPr>
        <w:t xml:space="preserve"> mRNA levels of oxidative phosphorylation genes were reduced in the quadriceps muscles of mice that were exposed</w:t>
      </w:r>
      <w:r>
        <w:rPr>
          <w:sz w:val="22"/>
          <w:szCs w:val="22"/>
        </w:rPr>
        <w:t xml:space="preserve"> to MCP230</w:t>
      </w:r>
      <w:r w:rsidRPr="00D43FD3">
        <w:rPr>
          <w:sz w:val="22"/>
          <w:szCs w:val="22"/>
        </w:rPr>
        <w:t xml:space="preserve"> </w:t>
      </w:r>
      <w:r w:rsidRPr="00D43FD3">
        <w:rPr>
          <w:i/>
          <w:sz w:val="22"/>
          <w:szCs w:val="22"/>
        </w:rPr>
        <w:t>in utero</w:t>
      </w:r>
      <w:r w:rsidRPr="00D43FD3">
        <w:rPr>
          <w:sz w:val="22"/>
          <w:szCs w:val="22"/>
        </w:rPr>
        <w:t xml:space="preserve"> and subjected to 12 </w:t>
      </w:r>
      <w:proofErr w:type="spellStart"/>
      <w:r w:rsidRPr="00D43FD3">
        <w:rPr>
          <w:sz w:val="22"/>
          <w:szCs w:val="22"/>
        </w:rPr>
        <w:t>wk</w:t>
      </w:r>
      <w:proofErr w:type="spellEnd"/>
      <w:r w:rsidRPr="00D43FD3">
        <w:rPr>
          <w:sz w:val="22"/>
          <w:szCs w:val="22"/>
        </w:rPr>
        <w:t xml:space="preserve"> of high fat diet as adults. </w:t>
      </w:r>
      <w:r>
        <w:rPr>
          <w:sz w:val="22"/>
          <w:szCs w:val="22"/>
        </w:rPr>
        <w:t>Quadriceps e</w:t>
      </w:r>
      <w:r w:rsidRPr="00D43FD3">
        <w:rPr>
          <w:sz w:val="22"/>
          <w:szCs w:val="22"/>
        </w:rPr>
        <w:t>lectron transport chain protein expression was either unchanged, or greater</w:t>
      </w:r>
      <w:r>
        <w:rPr>
          <w:sz w:val="22"/>
          <w:szCs w:val="22"/>
        </w:rPr>
        <w:t xml:space="preserve"> in the MCP230-exposed mice</w:t>
      </w:r>
      <w:r w:rsidRPr="00D43FD3">
        <w:rPr>
          <w:sz w:val="22"/>
          <w:szCs w:val="22"/>
        </w:rPr>
        <w:t xml:space="preserve"> (D</w:t>
      </w:r>
      <w:r w:rsidR="00CD7D21">
        <w:rPr>
          <w:sz w:val="22"/>
          <w:szCs w:val="22"/>
        </w:rPr>
        <w:t>, representative blot</w:t>
      </w:r>
      <w:r>
        <w:rPr>
          <w:sz w:val="22"/>
          <w:szCs w:val="22"/>
        </w:rPr>
        <w:t xml:space="preserve"> and E</w:t>
      </w:r>
      <w:r w:rsidR="00CD7D21">
        <w:rPr>
          <w:sz w:val="22"/>
          <w:szCs w:val="22"/>
        </w:rPr>
        <w:t>, relative quantification</w:t>
      </w:r>
      <w:r w:rsidRPr="00D43FD3">
        <w:rPr>
          <w:sz w:val="22"/>
          <w:szCs w:val="22"/>
        </w:rPr>
        <w:t xml:space="preserve">). </w:t>
      </w:r>
      <w:r>
        <w:rPr>
          <w:sz w:val="22"/>
          <w:szCs w:val="22"/>
        </w:rPr>
        <w:t>Data shown is the group mean ± SE. *</w:t>
      </w:r>
      <w:r w:rsidRPr="00D43FD3">
        <w:rPr>
          <w:sz w:val="22"/>
          <w:szCs w:val="22"/>
        </w:rPr>
        <w:t xml:space="preserve">indicates p&lt;0.05 via Student’s </w:t>
      </w:r>
      <w:r w:rsidRPr="00D43FD3">
        <w:rPr>
          <w:i/>
          <w:sz w:val="22"/>
          <w:szCs w:val="22"/>
        </w:rPr>
        <w:t>t</w:t>
      </w:r>
      <w:r w:rsidRPr="00D43FD3">
        <w:rPr>
          <w:sz w:val="22"/>
          <w:szCs w:val="22"/>
        </w:rPr>
        <w:t>-test.</w:t>
      </w:r>
      <w:r>
        <w:rPr>
          <w:sz w:val="22"/>
          <w:szCs w:val="22"/>
        </w:rPr>
        <w:t xml:space="preserve"> n=7-12/group. The saline-exposed mice are depicted in black and the MCP230-exposed mice are depicted in grey.</w:t>
      </w:r>
    </w:p>
    <w:p w14:paraId="558092A9" w14:textId="77777777" w:rsidR="002F26E7" w:rsidRDefault="002F26E7" w:rsidP="002F26E7">
      <w:pPr>
        <w:spacing w:line="480" w:lineRule="auto"/>
        <w:rPr>
          <w:sz w:val="22"/>
          <w:szCs w:val="22"/>
        </w:rPr>
      </w:pPr>
    </w:p>
    <w:p w14:paraId="776EBB86" w14:textId="1631D817" w:rsidR="002F26E7" w:rsidRPr="00D43FD3" w:rsidRDefault="002F26E7">
      <w:pPr>
        <w:spacing w:line="480" w:lineRule="auto"/>
        <w:rPr>
          <w:sz w:val="22"/>
          <w:szCs w:val="22"/>
        </w:rPr>
      </w:pPr>
    </w:p>
    <w:sectPr w:rsidR="002F26E7" w:rsidRPr="00D43FD3" w:rsidSect="00BE19A8">
      <w:pgSz w:w="12240" w:h="15840"/>
      <w:pgMar w:top="1008" w:right="1008" w:bottom="1008" w:left="100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ephenson, Erin" w:date="2015-11-13T16:30:00Z" w:initials="SE">
    <w:p w14:paraId="34806EB4" w14:textId="572A80D9" w:rsidR="00FC06C7" w:rsidRDefault="00FC06C7">
      <w:pPr>
        <w:pStyle w:val="CommentText"/>
      </w:pPr>
      <w:r>
        <w:rPr>
          <w:rStyle w:val="CommentReference"/>
        </w:rPr>
        <w:annotationRef/>
      </w:r>
      <w:r>
        <w:t>Currently 160 characters (must be no more than 160, incl. spaces)</w:t>
      </w:r>
    </w:p>
  </w:comment>
  <w:comment w:id="1" w:author="Stephenson, Erin" w:date="2015-11-13T16:31:00Z" w:initials="SE">
    <w:p w14:paraId="149DFC45" w14:textId="3826C0BC" w:rsidR="00FC06C7" w:rsidRDefault="00FC06C7">
      <w:pPr>
        <w:pStyle w:val="CommentText"/>
      </w:pPr>
      <w:r>
        <w:rPr>
          <w:rStyle w:val="CommentReference"/>
        </w:rPr>
        <w:annotationRef/>
      </w:r>
      <w:r>
        <w:t>We are only allowed to incl. one corresponding author.</w:t>
      </w:r>
    </w:p>
  </w:comment>
  <w:comment w:id="2" w:author="Stephenson, Erin" w:date="2015-11-13T16:32:00Z" w:initials="SE">
    <w:p w14:paraId="41BCB50D" w14:textId="1DBAA649" w:rsidR="00FC06C7" w:rsidRDefault="00FC06C7">
      <w:pPr>
        <w:pStyle w:val="CommentText"/>
      </w:pPr>
      <w:r>
        <w:rPr>
          <w:rStyle w:val="CommentReference"/>
        </w:rPr>
        <w:annotationRef/>
      </w:r>
      <w:r>
        <w:t>Currently 169 words. Must be 250 words or less.</w:t>
      </w:r>
    </w:p>
  </w:comment>
  <w:comment w:id="3" w:author="Stephenson, Erin" w:date="2015-11-13T16:34:00Z" w:initials="SE">
    <w:p w14:paraId="1239F165" w14:textId="1D47A5A3" w:rsidR="00FC06C7" w:rsidRDefault="00FC06C7">
      <w:pPr>
        <w:pStyle w:val="CommentText"/>
      </w:pPr>
      <w:r>
        <w:rPr>
          <w:rStyle w:val="CommentReference"/>
        </w:rPr>
        <w:annotationRef/>
      </w:r>
      <w:r>
        <w:t>Currently 5 Key words/phrases. Must be 5 or fewer.</w:t>
      </w:r>
    </w:p>
  </w:comment>
  <w:comment w:id="4" w:author="Stephenson, Erin" w:date="2015-11-09T16:28:00Z" w:initials="SE">
    <w:p w14:paraId="6CF015CC" w14:textId="55E2EBFB" w:rsidR="00FC06C7" w:rsidRDefault="00FC06C7">
      <w:pPr>
        <w:pStyle w:val="CommentText"/>
      </w:pPr>
      <w:r>
        <w:rPr>
          <w:rStyle w:val="CommentReference"/>
        </w:rPr>
        <w:annotationRef/>
      </w:r>
      <w:r>
        <w:t>I copied and pasted the reference in here from elsewhere. The reference list will require updating to the AJP Endo format.</w:t>
      </w:r>
    </w:p>
  </w:comment>
  <w:comment w:id="7" w:author="Dave Bridges" w:date="2015-11-02T09:36:00Z" w:initials="DB">
    <w:p w14:paraId="4C8D051E" w14:textId="77777777" w:rsidR="00FC06C7" w:rsidRDefault="00FC06C7">
      <w:pPr>
        <w:pStyle w:val="CommentText"/>
      </w:pPr>
      <w:r>
        <w:rPr>
          <w:rStyle w:val="CommentReference"/>
        </w:rPr>
        <w:annotationRef/>
      </w:r>
      <w:r>
        <w:t xml:space="preserve">Check ref with </w:t>
      </w:r>
      <w:proofErr w:type="spellStart"/>
      <w:r>
        <w:t>steph</w:t>
      </w:r>
      <w:proofErr w:type="spellEnd"/>
    </w:p>
  </w:comment>
  <w:comment w:id="12" w:author="Stephenson, Erin" w:date="2015-11-10T11:37:00Z" w:initials="SE">
    <w:p w14:paraId="37702912" w14:textId="64366A64" w:rsidR="00FC06C7" w:rsidRDefault="00FC06C7">
      <w:pPr>
        <w:pStyle w:val="CommentText"/>
      </w:pPr>
      <w:r>
        <w:rPr>
          <w:rStyle w:val="CommentReference"/>
        </w:rPr>
        <w:annotationRef/>
      </w:r>
      <w:r>
        <w:t xml:space="preserve">Steph or Sri, what anesthetic was used on the mice during the final tissue collection stage? We are required to describe what anesthetic was used and how the mice were euthanized. </w:t>
      </w:r>
    </w:p>
  </w:comment>
  <w:comment w:id="13" w:author="Stephenson, Erin" w:date="2015-12-03T14:09:00Z" w:initials="SE">
    <w:p w14:paraId="4A86048B" w14:textId="29F01748" w:rsidR="00D765E2" w:rsidRDefault="00D765E2">
      <w:pPr>
        <w:pStyle w:val="CommentText"/>
      </w:pPr>
      <w:r>
        <w:rPr>
          <w:rStyle w:val="CommentReference"/>
        </w:rPr>
        <w:annotationRef/>
      </w:r>
      <w:r>
        <w:t>Please describe how the mice were killed</w:t>
      </w:r>
    </w:p>
  </w:comment>
  <w:comment w:id="14" w:author="Stephenson, Erin" w:date="2015-11-13T16:51:00Z" w:initials="SE">
    <w:p w14:paraId="7D409A41" w14:textId="44DAD43F" w:rsidR="00FC06C7" w:rsidRDefault="00FC06C7">
      <w:pPr>
        <w:pStyle w:val="CommentText"/>
      </w:pPr>
      <w:r>
        <w:rPr>
          <w:rStyle w:val="CommentReference"/>
        </w:rPr>
        <w:annotationRef/>
      </w:r>
      <w:r>
        <w:t>I think we move very abruptly into the conclusion. We have room to add more to the discussion if anyone feels particularly strongly about it. Alternatively, we have the option of combining the results and discussion into one “Results and Discussion” section. Thoughts?</w:t>
      </w:r>
    </w:p>
  </w:comment>
  <w:comment w:id="15" w:author="Stephenson, Erin" w:date="2015-11-13T16:58:00Z" w:initials="SE">
    <w:p w14:paraId="50F70BA0" w14:textId="199C182A" w:rsidR="00FC06C7" w:rsidRDefault="00FC06C7">
      <w:pPr>
        <w:pStyle w:val="CommentText"/>
      </w:pPr>
      <w:r>
        <w:rPr>
          <w:rStyle w:val="CommentReference"/>
        </w:rPr>
        <w:annotationRef/>
      </w:r>
      <w:r>
        <w:t>If anyone has any conflicts of interest, please add them here.</w:t>
      </w:r>
    </w:p>
  </w:comment>
  <w:comment w:id="16" w:author="Stephenson, Erin" w:date="2015-11-13T16:54:00Z" w:initials="SE">
    <w:p w14:paraId="34B392FD" w14:textId="6820273D" w:rsidR="00FC06C7" w:rsidRDefault="00FC06C7">
      <w:pPr>
        <w:pStyle w:val="CommentText"/>
      </w:pPr>
      <w:r>
        <w:rPr>
          <w:rStyle w:val="CommentReference"/>
        </w:rPr>
        <w:annotationRef/>
      </w:r>
      <w:r>
        <w:t>Dave, can you change the referencing style to the AJP referencing style?</w:t>
      </w:r>
    </w:p>
  </w:comment>
  <w:comment w:id="17" w:author="Stephenson, Erin" w:date="2015-12-03T14:28:00Z" w:initials="SE">
    <w:p w14:paraId="1DA5ADA4" w14:textId="0EBAFEDE" w:rsidR="00650357" w:rsidRDefault="00650357">
      <w:pPr>
        <w:pStyle w:val="CommentText"/>
      </w:pPr>
      <w:r>
        <w:rPr>
          <w:rStyle w:val="CommentReference"/>
        </w:rPr>
        <w:annotationRef/>
      </w:r>
      <w:r>
        <w:t>The Wang et al reference below seems to have started its own separate reference list.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806EB4" w15:done="0"/>
  <w15:commentEx w15:paraId="149DFC45" w15:done="0"/>
  <w15:commentEx w15:paraId="41BCB50D" w15:done="0"/>
  <w15:commentEx w15:paraId="1239F165" w15:done="0"/>
  <w15:commentEx w15:paraId="6CF015CC" w15:done="0"/>
  <w15:commentEx w15:paraId="4C8D051E" w15:done="0"/>
  <w15:commentEx w15:paraId="37702912" w15:done="0"/>
  <w15:commentEx w15:paraId="4A86048B" w15:done="0"/>
  <w15:commentEx w15:paraId="7D409A41" w15:done="0"/>
  <w15:commentEx w15:paraId="50F70BA0" w15:done="0"/>
  <w15:commentEx w15:paraId="34B392FD" w15:done="0"/>
  <w15:commentEx w15:paraId="1DA5ADA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7221E6"/>
    <w:rsid w:val="0000153C"/>
    <w:rsid w:val="000016A4"/>
    <w:rsid w:val="0000538F"/>
    <w:rsid w:val="000058E9"/>
    <w:rsid w:val="000109CF"/>
    <w:rsid w:val="00016389"/>
    <w:rsid w:val="00022B22"/>
    <w:rsid w:val="00025F28"/>
    <w:rsid w:val="000267F2"/>
    <w:rsid w:val="00030A94"/>
    <w:rsid w:val="00030B45"/>
    <w:rsid w:val="00031818"/>
    <w:rsid w:val="00031FF5"/>
    <w:rsid w:val="00040586"/>
    <w:rsid w:val="00044C02"/>
    <w:rsid w:val="000450EA"/>
    <w:rsid w:val="000634B1"/>
    <w:rsid w:val="00063F60"/>
    <w:rsid w:val="000663D5"/>
    <w:rsid w:val="0007239C"/>
    <w:rsid w:val="00076974"/>
    <w:rsid w:val="00077036"/>
    <w:rsid w:val="00081D4E"/>
    <w:rsid w:val="00082C2E"/>
    <w:rsid w:val="000837E7"/>
    <w:rsid w:val="00084A93"/>
    <w:rsid w:val="000917CE"/>
    <w:rsid w:val="00093DF5"/>
    <w:rsid w:val="00095924"/>
    <w:rsid w:val="000966F1"/>
    <w:rsid w:val="000A10E7"/>
    <w:rsid w:val="000A286D"/>
    <w:rsid w:val="000A42DE"/>
    <w:rsid w:val="000A578E"/>
    <w:rsid w:val="000B435A"/>
    <w:rsid w:val="000B4696"/>
    <w:rsid w:val="000C0348"/>
    <w:rsid w:val="000C1298"/>
    <w:rsid w:val="000C2306"/>
    <w:rsid w:val="000C2AA4"/>
    <w:rsid w:val="000C2B4E"/>
    <w:rsid w:val="000C5C97"/>
    <w:rsid w:val="000C7C69"/>
    <w:rsid w:val="000D0EF1"/>
    <w:rsid w:val="000D137A"/>
    <w:rsid w:val="000D1ACD"/>
    <w:rsid w:val="000D3EBA"/>
    <w:rsid w:val="000D59B5"/>
    <w:rsid w:val="000E51A5"/>
    <w:rsid w:val="000E65DA"/>
    <w:rsid w:val="000F1A6B"/>
    <w:rsid w:val="000F1BB2"/>
    <w:rsid w:val="000F7FCB"/>
    <w:rsid w:val="00103D39"/>
    <w:rsid w:val="001053F8"/>
    <w:rsid w:val="00110461"/>
    <w:rsid w:val="001114DD"/>
    <w:rsid w:val="00111E3A"/>
    <w:rsid w:val="00112CDD"/>
    <w:rsid w:val="00113C1F"/>
    <w:rsid w:val="001215E2"/>
    <w:rsid w:val="00121976"/>
    <w:rsid w:val="0012253B"/>
    <w:rsid w:val="0012477B"/>
    <w:rsid w:val="00125748"/>
    <w:rsid w:val="0012599A"/>
    <w:rsid w:val="00126EC7"/>
    <w:rsid w:val="00126ED1"/>
    <w:rsid w:val="001305B0"/>
    <w:rsid w:val="0013111A"/>
    <w:rsid w:val="001314D4"/>
    <w:rsid w:val="00131BB5"/>
    <w:rsid w:val="00132A4F"/>
    <w:rsid w:val="00140BB6"/>
    <w:rsid w:val="001417C8"/>
    <w:rsid w:val="00144039"/>
    <w:rsid w:val="00145233"/>
    <w:rsid w:val="00145BFA"/>
    <w:rsid w:val="00146ECC"/>
    <w:rsid w:val="0014706A"/>
    <w:rsid w:val="001478A5"/>
    <w:rsid w:val="00147DCC"/>
    <w:rsid w:val="00150BB4"/>
    <w:rsid w:val="001558B8"/>
    <w:rsid w:val="00155E2E"/>
    <w:rsid w:val="00157E6E"/>
    <w:rsid w:val="00161BD9"/>
    <w:rsid w:val="001631DD"/>
    <w:rsid w:val="00163EE9"/>
    <w:rsid w:val="001640EF"/>
    <w:rsid w:val="001646BA"/>
    <w:rsid w:val="00171013"/>
    <w:rsid w:val="001749D8"/>
    <w:rsid w:val="0017693D"/>
    <w:rsid w:val="0017760C"/>
    <w:rsid w:val="001827FE"/>
    <w:rsid w:val="00186195"/>
    <w:rsid w:val="00186D81"/>
    <w:rsid w:val="00191826"/>
    <w:rsid w:val="001A3825"/>
    <w:rsid w:val="001A4114"/>
    <w:rsid w:val="001B0DE3"/>
    <w:rsid w:val="001B3EBF"/>
    <w:rsid w:val="001B4AF3"/>
    <w:rsid w:val="001B58EE"/>
    <w:rsid w:val="001C1CAE"/>
    <w:rsid w:val="001C2C0E"/>
    <w:rsid w:val="001C3B10"/>
    <w:rsid w:val="001C6C61"/>
    <w:rsid w:val="001D1BE1"/>
    <w:rsid w:val="001D3938"/>
    <w:rsid w:val="001D4DDA"/>
    <w:rsid w:val="001E01AC"/>
    <w:rsid w:val="001E0F38"/>
    <w:rsid w:val="001E12F3"/>
    <w:rsid w:val="001E1AE7"/>
    <w:rsid w:val="001F3D5E"/>
    <w:rsid w:val="001F59A1"/>
    <w:rsid w:val="001F6B6D"/>
    <w:rsid w:val="001F72A7"/>
    <w:rsid w:val="00207EA1"/>
    <w:rsid w:val="00212185"/>
    <w:rsid w:val="00213096"/>
    <w:rsid w:val="002167AD"/>
    <w:rsid w:val="00223477"/>
    <w:rsid w:val="00230B4A"/>
    <w:rsid w:val="0023247F"/>
    <w:rsid w:val="00233CDC"/>
    <w:rsid w:val="002404F1"/>
    <w:rsid w:val="00243797"/>
    <w:rsid w:val="0024386D"/>
    <w:rsid w:val="00245A81"/>
    <w:rsid w:val="00245CF5"/>
    <w:rsid w:val="002475CD"/>
    <w:rsid w:val="00255A78"/>
    <w:rsid w:val="0026204D"/>
    <w:rsid w:val="00264654"/>
    <w:rsid w:val="002654FA"/>
    <w:rsid w:val="0026725B"/>
    <w:rsid w:val="0026726D"/>
    <w:rsid w:val="00270755"/>
    <w:rsid w:val="002751A4"/>
    <w:rsid w:val="002779EC"/>
    <w:rsid w:val="0028045F"/>
    <w:rsid w:val="002859AC"/>
    <w:rsid w:val="00293C50"/>
    <w:rsid w:val="00295ADE"/>
    <w:rsid w:val="002A09A5"/>
    <w:rsid w:val="002A1643"/>
    <w:rsid w:val="002A58AC"/>
    <w:rsid w:val="002B0297"/>
    <w:rsid w:val="002B02CE"/>
    <w:rsid w:val="002B38BB"/>
    <w:rsid w:val="002B4DD5"/>
    <w:rsid w:val="002B5370"/>
    <w:rsid w:val="002C2C6C"/>
    <w:rsid w:val="002C3CD3"/>
    <w:rsid w:val="002C44B6"/>
    <w:rsid w:val="002C650B"/>
    <w:rsid w:val="002C7E39"/>
    <w:rsid w:val="002D2D87"/>
    <w:rsid w:val="002D51DD"/>
    <w:rsid w:val="002D6D93"/>
    <w:rsid w:val="002D6EE3"/>
    <w:rsid w:val="002E1A8D"/>
    <w:rsid w:val="002E53C1"/>
    <w:rsid w:val="002E5C51"/>
    <w:rsid w:val="002E628B"/>
    <w:rsid w:val="002F0BA2"/>
    <w:rsid w:val="002F0C1D"/>
    <w:rsid w:val="002F26E7"/>
    <w:rsid w:val="002F5001"/>
    <w:rsid w:val="002F5891"/>
    <w:rsid w:val="002F7D66"/>
    <w:rsid w:val="00300CA9"/>
    <w:rsid w:val="00305B55"/>
    <w:rsid w:val="0030696D"/>
    <w:rsid w:val="003108A4"/>
    <w:rsid w:val="00310EE0"/>
    <w:rsid w:val="00317755"/>
    <w:rsid w:val="00317C44"/>
    <w:rsid w:val="00331D2C"/>
    <w:rsid w:val="0033301A"/>
    <w:rsid w:val="0033485A"/>
    <w:rsid w:val="00336477"/>
    <w:rsid w:val="00352FA2"/>
    <w:rsid w:val="00353D6D"/>
    <w:rsid w:val="00354B0D"/>
    <w:rsid w:val="00355C40"/>
    <w:rsid w:val="00356FB7"/>
    <w:rsid w:val="00362DC5"/>
    <w:rsid w:val="0036482C"/>
    <w:rsid w:val="003725F0"/>
    <w:rsid w:val="0037347F"/>
    <w:rsid w:val="00373884"/>
    <w:rsid w:val="00373BF3"/>
    <w:rsid w:val="0037790A"/>
    <w:rsid w:val="0038128F"/>
    <w:rsid w:val="003845F0"/>
    <w:rsid w:val="00392E97"/>
    <w:rsid w:val="003A4037"/>
    <w:rsid w:val="003B1578"/>
    <w:rsid w:val="003B29FF"/>
    <w:rsid w:val="003B4388"/>
    <w:rsid w:val="003C346D"/>
    <w:rsid w:val="003C43F1"/>
    <w:rsid w:val="003C5C3B"/>
    <w:rsid w:val="003C6260"/>
    <w:rsid w:val="003C6BD5"/>
    <w:rsid w:val="003D60CB"/>
    <w:rsid w:val="003E58BE"/>
    <w:rsid w:val="003F048B"/>
    <w:rsid w:val="003F2823"/>
    <w:rsid w:val="003F369F"/>
    <w:rsid w:val="003F46FE"/>
    <w:rsid w:val="004017CD"/>
    <w:rsid w:val="00405DB1"/>
    <w:rsid w:val="00406E19"/>
    <w:rsid w:val="004075A0"/>
    <w:rsid w:val="00410F14"/>
    <w:rsid w:val="00413414"/>
    <w:rsid w:val="00415F55"/>
    <w:rsid w:val="0043113B"/>
    <w:rsid w:val="00432581"/>
    <w:rsid w:val="004337D0"/>
    <w:rsid w:val="00435C2A"/>
    <w:rsid w:val="00441A6B"/>
    <w:rsid w:val="00442795"/>
    <w:rsid w:val="00442D2D"/>
    <w:rsid w:val="00445104"/>
    <w:rsid w:val="00445B6C"/>
    <w:rsid w:val="004478AA"/>
    <w:rsid w:val="00454C01"/>
    <w:rsid w:val="004556EF"/>
    <w:rsid w:val="004624F8"/>
    <w:rsid w:val="00462A1C"/>
    <w:rsid w:val="00463BE7"/>
    <w:rsid w:val="00467CEE"/>
    <w:rsid w:val="00467FF9"/>
    <w:rsid w:val="00470311"/>
    <w:rsid w:val="00470EF4"/>
    <w:rsid w:val="0047549A"/>
    <w:rsid w:val="00475C6A"/>
    <w:rsid w:val="00481D40"/>
    <w:rsid w:val="00483D58"/>
    <w:rsid w:val="0048496E"/>
    <w:rsid w:val="00493F6D"/>
    <w:rsid w:val="004942B6"/>
    <w:rsid w:val="0049462D"/>
    <w:rsid w:val="00494873"/>
    <w:rsid w:val="00494F36"/>
    <w:rsid w:val="004A1350"/>
    <w:rsid w:val="004A2A9D"/>
    <w:rsid w:val="004A415B"/>
    <w:rsid w:val="004A4358"/>
    <w:rsid w:val="004A562E"/>
    <w:rsid w:val="004A79CA"/>
    <w:rsid w:val="004B2C11"/>
    <w:rsid w:val="004B62B5"/>
    <w:rsid w:val="004C12AE"/>
    <w:rsid w:val="004C2FCD"/>
    <w:rsid w:val="004C3CD7"/>
    <w:rsid w:val="004C4785"/>
    <w:rsid w:val="004C687A"/>
    <w:rsid w:val="004D1C93"/>
    <w:rsid w:val="004E720F"/>
    <w:rsid w:val="004E787E"/>
    <w:rsid w:val="004F14D7"/>
    <w:rsid w:val="004F3E87"/>
    <w:rsid w:val="004F48E9"/>
    <w:rsid w:val="004F5139"/>
    <w:rsid w:val="00501427"/>
    <w:rsid w:val="0050340E"/>
    <w:rsid w:val="005074A0"/>
    <w:rsid w:val="00510BEA"/>
    <w:rsid w:val="00510CFE"/>
    <w:rsid w:val="0051397B"/>
    <w:rsid w:val="00513EA2"/>
    <w:rsid w:val="00515CB9"/>
    <w:rsid w:val="00516077"/>
    <w:rsid w:val="00517E24"/>
    <w:rsid w:val="0052135D"/>
    <w:rsid w:val="00524A1C"/>
    <w:rsid w:val="005259C7"/>
    <w:rsid w:val="00526C4D"/>
    <w:rsid w:val="00532F5A"/>
    <w:rsid w:val="00533ED0"/>
    <w:rsid w:val="0053409B"/>
    <w:rsid w:val="00535157"/>
    <w:rsid w:val="00536D79"/>
    <w:rsid w:val="005373B2"/>
    <w:rsid w:val="0053749D"/>
    <w:rsid w:val="005402D3"/>
    <w:rsid w:val="00543742"/>
    <w:rsid w:val="00545918"/>
    <w:rsid w:val="0054682B"/>
    <w:rsid w:val="0055056A"/>
    <w:rsid w:val="00550987"/>
    <w:rsid w:val="00551E2D"/>
    <w:rsid w:val="0055338B"/>
    <w:rsid w:val="005647F3"/>
    <w:rsid w:val="00564EA8"/>
    <w:rsid w:val="00571FEA"/>
    <w:rsid w:val="005725B6"/>
    <w:rsid w:val="00575B7D"/>
    <w:rsid w:val="00576C73"/>
    <w:rsid w:val="00582A66"/>
    <w:rsid w:val="00582A6A"/>
    <w:rsid w:val="0058343B"/>
    <w:rsid w:val="00590158"/>
    <w:rsid w:val="00591057"/>
    <w:rsid w:val="00591C0A"/>
    <w:rsid w:val="00592523"/>
    <w:rsid w:val="00592A7F"/>
    <w:rsid w:val="005944A4"/>
    <w:rsid w:val="005971C5"/>
    <w:rsid w:val="005A4DAF"/>
    <w:rsid w:val="005B0440"/>
    <w:rsid w:val="005B27BD"/>
    <w:rsid w:val="005B469E"/>
    <w:rsid w:val="005B4773"/>
    <w:rsid w:val="005B6A59"/>
    <w:rsid w:val="005C05E4"/>
    <w:rsid w:val="005C10D5"/>
    <w:rsid w:val="005C4C8D"/>
    <w:rsid w:val="005C62DD"/>
    <w:rsid w:val="005C6AB9"/>
    <w:rsid w:val="005D01F9"/>
    <w:rsid w:val="005D1436"/>
    <w:rsid w:val="005D172E"/>
    <w:rsid w:val="005D5CBA"/>
    <w:rsid w:val="005D6504"/>
    <w:rsid w:val="005D7E1F"/>
    <w:rsid w:val="005E1B42"/>
    <w:rsid w:val="005E31F8"/>
    <w:rsid w:val="005E4209"/>
    <w:rsid w:val="005E42A8"/>
    <w:rsid w:val="005E782C"/>
    <w:rsid w:val="005F4CF8"/>
    <w:rsid w:val="005F5F17"/>
    <w:rsid w:val="005F69DA"/>
    <w:rsid w:val="005F76EB"/>
    <w:rsid w:val="00602209"/>
    <w:rsid w:val="00602282"/>
    <w:rsid w:val="0060276A"/>
    <w:rsid w:val="006039C0"/>
    <w:rsid w:val="00603B85"/>
    <w:rsid w:val="00606930"/>
    <w:rsid w:val="0061209E"/>
    <w:rsid w:val="0061350C"/>
    <w:rsid w:val="00620ED0"/>
    <w:rsid w:val="00621B6A"/>
    <w:rsid w:val="00622E03"/>
    <w:rsid w:val="00623F68"/>
    <w:rsid w:val="00625C45"/>
    <w:rsid w:val="006264DC"/>
    <w:rsid w:val="00626940"/>
    <w:rsid w:val="00631F34"/>
    <w:rsid w:val="0063519E"/>
    <w:rsid w:val="00644282"/>
    <w:rsid w:val="00650357"/>
    <w:rsid w:val="00652652"/>
    <w:rsid w:val="006529C8"/>
    <w:rsid w:val="00661F8F"/>
    <w:rsid w:val="00663C6E"/>
    <w:rsid w:val="00663FBB"/>
    <w:rsid w:val="00670D0F"/>
    <w:rsid w:val="006717EC"/>
    <w:rsid w:val="00677562"/>
    <w:rsid w:val="006776BE"/>
    <w:rsid w:val="00691583"/>
    <w:rsid w:val="00691BA2"/>
    <w:rsid w:val="00695979"/>
    <w:rsid w:val="00696A45"/>
    <w:rsid w:val="006A1A89"/>
    <w:rsid w:val="006A1EF4"/>
    <w:rsid w:val="006A47A3"/>
    <w:rsid w:val="006A6379"/>
    <w:rsid w:val="006A6E74"/>
    <w:rsid w:val="006B72B9"/>
    <w:rsid w:val="006B74D4"/>
    <w:rsid w:val="006B76D5"/>
    <w:rsid w:val="006D1074"/>
    <w:rsid w:val="006D49F0"/>
    <w:rsid w:val="006D59E1"/>
    <w:rsid w:val="006D5ADE"/>
    <w:rsid w:val="006E0B93"/>
    <w:rsid w:val="006E17D1"/>
    <w:rsid w:val="006E5F28"/>
    <w:rsid w:val="006E6786"/>
    <w:rsid w:val="006E7F29"/>
    <w:rsid w:val="006F42DC"/>
    <w:rsid w:val="006F47B0"/>
    <w:rsid w:val="006F49B3"/>
    <w:rsid w:val="007018D8"/>
    <w:rsid w:val="007042B8"/>
    <w:rsid w:val="00707621"/>
    <w:rsid w:val="00717233"/>
    <w:rsid w:val="00717241"/>
    <w:rsid w:val="007202AB"/>
    <w:rsid w:val="007221E6"/>
    <w:rsid w:val="007264C1"/>
    <w:rsid w:val="00731819"/>
    <w:rsid w:val="00732614"/>
    <w:rsid w:val="00733B5B"/>
    <w:rsid w:val="00735CE1"/>
    <w:rsid w:val="00740101"/>
    <w:rsid w:val="007425D4"/>
    <w:rsid w:val="00743FA3"/>
    <w:rsid w:val="0075219B"/>
    <w:rsid w:val="00754FEB"/>
    <w:rsid w:val="00766DB4"/>
    <w:rsid w:val="00771641"/>
    <w:rsid w:val="00772D9A"/>
    <w:rsid w:val="00777ACC"/>
    <w:rsid w:val="007802ED"/>
    <w:rsid w:val="0079285E"/>
    <w:rsid w:val="00794142"/>
    <w:rsid w:val="00795012"/>
    <w:rsid w:val="007A1134"/>
    <w:rsid w:val="007A42DE"/>
    <w:rsid w:val="007A682A"/>
    <w:rsid w:val="007A7959"/>
    <w:rsid w:val="007A7DA9"/>
    <w:rsid w:val="007B10F3"/>
    <w:rsid w:val="007B1F6F"/>
    <w:rsid w:val="007B2AFE"/>
    <w:rsid w:val="007B4E0B"/>
    <w:rsid w:val="007B65B7"/>
    <w:rsid w:val="007B6EF9"/>
    <w:rsid w:val="007C51D0"/>
    <w:rsid w:val="007D51FD"/>
    <w:rsid w:val="007E19C2"/>
    <w:rsid w:val="007E33C8"/>
    <w:rsid w:val="007E4915"/>
    <w:rsid w:val="007F0754"/>
    <w:rsid w:val="007F0C01"/>
    <w:rsid w:val="007F0C91"/>
    <w:rsid w:val="007F21DA"/>
    <w:rsid w:val="007F42AF"/>
    <w:rsid w:val="007F56BC"/>
    <w:rsid w:val="00800A23"/>
    <w:rsid w:val="008042E2"/>
    <w:rsid w:val="00804AAC"/>
    <w:rsid w:val="00806C09"/>
    <w:rsid w:val="008147B8"/>
    <w:rsid w:val="00820C95"/>
    <w:rsid w:val="00825679"/>
    <w:rsid w:val="0082606D"/>
    <w:rsid w:val="0083197C"/>
    <w:rsid w:val="008345C2"/>
    <w:rsid w:val="008438CD"/>
    <w:rsid w:val="00850D76"/>
    <w:rsid w:val="0085539E"/>
    <w:rsid w:val="00856272"/>
    <w:rsid w:val="00861088"/>
    <w:rsid w:val="008612D1"/>
    <w:rsid w:val="008625C9"/>
    <w:rsid w:val="00871299"/>
    <w:rsid w:val="0087161F"/>
    <w:rsid w:val="00881AC0"/>
    <w:rsid w:val="008821F8"/>
    <w:rsid w:val="00882641"/>
    <w:rsid w:val="00884F53"/>
    <w:rsid w:val="00887128"/>
    <w:rsid w:val="00891215"/>
    <w:rsid w:val="00893D24"/>
    <w:rsid w:val="0089602A"/>
    <w:rsid w:val="00896803"/>
    <w:rsid w:val="00896FD8"/>
    <w:rsid w:val="008A533B"/>
    <w:rsid w:val="008A7513"/>
    <w:rsid w:val="008B4674"/>
    <w:rsid w:val="008C2614"/>
    <w:rsid w:val="008C2F0C"/>
    <w:rsid w:val="008C306C"/>
    <w:rsid w:val="008C3CD0"/>
    <w:rsid w:val="008C5F05"/>
    <w:rsid w:val="008C7067"/>
    <w:rsid w:val="008D34C3"/>
    <w:rsid w:val="008D7401"/>
    <w:rsid w:val="008E0D09"/>
    <w:rsid w:val="008E178A"/>
    <w:rsid w:val="008E1A4B"/>
    <w:rsid w:val="008E1F6B"/>
    <w:rsid w:val="008E5C58"/>
    <w:rsid w:val="008F3DC3"/>
    <w:rsid w:val="008F73FF"/>
    <w:rsid w:val="00904E7C"/>
    <w:rsid w:val="009060CD"/>
    <w:rsid w:val="009075CE"/>
    <w:rsid w:val="00914587"/>
    <w:rsid w:val="00920265"/>
    <w:rsid w:val="00920A59"/>
    <w:rsid w:val="009249F9"/>
    <w:rsid w:val="00925EF2"/>
    <w:rsid w:val="00927356"/>
    <w:rsid w:val="00930E88"/>
    <w:rsid w:val="00933298"/>
    <w:rsid w:val="009332E7"/>
    <w:rsid w:val="00934A51"/>
    <w:rsid w:val="009433B2"/>
    <w:rsid w:val="009519A7"/>
    <w:rsid w:val="00952844"/>
    <w:rsid w:val="009532BE"/>
    <w:rsid w:val="009543EA"/>
    <w:rsid w:val="00955736"/>
    <w:rsid w:val="00955C9C"/>
    <w:rsid w:val="009560BA"/>
    <w:rsid w:val="00961345"/>
    <w:rsid w:val="00964C89"/>
    <w:rsid w:val="00967682"/>
    <w:rsid w:val="00970912"/>
    <w:rsid w:val="0097395C"/>
    <w:rsid w:val="00973CB5"/>
    <w:rsid w:val="00974C50"/>
    <w:rsid w:val="009802D6"/>
    <w:rsid w:val="0098057C"/>
    <w:rsid w:val="00983AB1"/>
    <w:rsid w:val="00983BBE"/>
    <w:rsid w:val="0098441B"/>
    <w:rsid w:val="00984DB6"/>
    <w:rsid w:val="009857B0"/>
    <w:rsid w:val="00987462"/>
    <w:rsid w:val="009918AD"/>
    <w:rsid w:val="00993A81"/>
    <w:rsid w:val="00995E55"/>
    <w:rsid w:val="00996217"/>
    <w:rsid w:val="0099736D"/>
    <w:rsid w:val="009A20FD"/>
    <w:rsid w:val="009A3105"/>
    <w:rsid w:val="009A378B"/>
    <w:rsid w:val="009A6E08"/>
    <w:rsid w:val="009A7281"/>
    <w:rsid w:val="009B159E"/>
    <w:rsid w:val="009B1D19"/>
    <w:rsid w:val="009B2449"/>
    <w:rsid w:val="009B452F"/>
    <w:rsid w:val="009C2BA1"/>
    <w:rsid w:val="009C5457"/>
    <w:rsid w:val="009D2C30"/>
    <w:rsid w:val="009D3F44"/>
    <w:rsid w:val="009D54BB"/>
    <w:rsid w:val="009E18DB"/>
    <w:rsid w:val="009E399D"/>
    <w:rsid w:val="009F5DA5"/>
    <w:rsid w:val="00A05490"/>
    <w:rsid w:val="00A107BF"/>
    <w:rsid w:val="00A10E45"/>
    <w:rsid w:val="00A14E5F"/>
    <w:rsid w:val="00A2444E"/>
    <w:rsid w:val="00A33159"/>
    <w:rsid w:val="00A34EF3"/>
    <w:rsid w:val="00A402A6"/>
    <w:rsid w:val="00A432D6"/>
    <w:rsid w:val="00A4373B"/>
    <w:rsid w:val="00A43CC7"/>
    <w:rsid w:val="00A440F3"/>
    <w:rsid w:val="00A44593"/>
    <w:rsid w:val="00A476F7"/>
    <w:rsid w:val="00A50501"/>
    <w:rsid w:val="00A51087"/>
    <w:rsid w:val="00A5216B"/>
    <w:rsid w:val="00A5243D"/>
    <w:rsid w:val="00A60ADB"/>
    <w:rsid w:val="00A617AE"/>
    <w:rsid w:val="00A655B0"/>
    <w:rsid w:val="00A671EA"/>
    <w:rsid w:val="00A75A22"/>
    <w:rsid w:val="00A811C4"/>
    <w:rsid w:val="00A8528A"/>
    <w:rsid w:val="00A944A2"/>
    <w:rsid w:val="00A96D0E"/>
    <w:rsid w:val="00AA41A9"/>
    <w:rsid w:val="00AA4FE1"/>
    <w:rsid w:val="00AA50B4"/>
    <w:rsid w:val="00AA53B5"/>
    <w:rsid w:val="00AA782B"/>
    <w:rsid w:val="00AB07F9"/>
    <w:rsid w:val="00AB13DA"/>
    <w:rsid w:val="00AB2C1D"/>
    <w:rsid w:val="00AC6D6E"/>
    <w:rsid w:val="00AC71FA"/>
    <w:rsid w:val="00AD09F7"/>
    <w:rsid w:val="00AD4748"/>
    <w:rsid w:val="00AE7258"/>
    <w:rsid w:val="00AF0C83"/>
    <w:rsid w:val="00AF1A7D"/>
    <w:rsid w:val="00AF461E"/>
    <w:rsid w:val="00B02A49"/>
    <w:rsid w:val="00B02E5E"/>
    <w:rsid w:val="00B04519"/>
    <w:rsid w:val="00B0500E"/>
    <w:rsid w:val="00B06370"/>
    <w:rsid w:val="00B07333"/>
    <w:rsid w:val="00B0780F"/>
    <w:rsid w:val="00B10F5C"/>
    <w:rsid w:val="00B12F61"/>
    <w:rsid w:val="00B14B91"/>
    <w:rsid w:val="00B15802"/>
    <w:rsid w:val="00B16924"/>
    <w:rsid w:val="00B245BE"/>
    <w:rsid w:val="00B251FC"/>
    <w:rsid w:val="00B2595D"/>
    <w:rsid w:val="00B27EEE"/>
    <w:rsid w:val="00B30C0A"/>
    <w:rsid w:val="00B34FAC"/>
    <w:rsid w:val="00B37BF7"/>
    <w:rsid w:val="00B4251D"/>
    <w:rsid w:val="00B425D2"/>
    <w:rsid w:val="00B47C5A"/>
    <w:rsid w:val="00B511A4"/>
    <w:rsid w:val="00B52DBA"/>
    <w:rsid w:val="00B63B62"/>
    <w:rsid w:val="00B6539D"/>
    <w:rsid w:val="00B75F7A"/>
    <w:rsid w:val="00B761A4"/>
    <w:rsid w:val="00B775AB"/>
    <w:rsid w:val="00B77D60"/>
    <w:rsid w:val="00B80BFC"/>
    <w:rsid w:val="00B856C0"/>
    <w:rsid w:val="00B903AF"/>
    <w:rsid w:val="00B94CC4"/>
    <w:rsid w:val="00B97C46"/>
    <w:rsid w:val="00BA66D0"/>
    <w:rsid w:val="00BA6E0E"/>
    <w:rsid w:val="00BB3C8C"/>
    <w:rsid w:val="00BB3DAF"/>
    <w:rsid w:val="00BB4A3B"/>
    <w:rsid w:val="00BB4B9E"/>
    <w:rsid w:val="00BC0702"/>
    <w:rsid w:val="00BC6F06"/>
    <w:rsid w:val="00BC74F7"/>
    <w:rsid w:val="00BD3DE4"/>
    <w:rsid w:val="00BD4AF5"/>
    <w:rsid w:val="00BD7D9F"/>
    <w:rsid w:val="00BE19A8"/>
    <w:rsid w:val="00BE33E5"/>
    <w:rsid w:val="00BE50F9"/>
    <w:rsid w:val="00BE555B"/>
    <w:rsid w:val="00BF0E89"/>
    <w:rsid w:val="00BF3349"/>
    <w:rsid w:val="00BF412C"/>
    <w:rsid w:val="00C07A3D"/>
    <w:rsid w:val="00C107CB"/>
    <w:rsid w:val="00C140A7"/>
    <w:rsid w:val="00C15BC9"/>
    <w:rsid w:val="00C16E77"/>
    <w:rsid w:val="00C3038F"/>
    <w:rsid w:val="00C3303B"/>
    <w:rsid w:val="00C33783"/>
    <w:rsid w:val="00C34A8B"/>
    <w:rsid w:val="00C40BED"/>
    <w:rsid w:val="00C41BD7"/>
    <w:rsid w:val="00C4271B"/>
    <w:rsid w:val="00C43253"/>
    <w:rsid w:val="00C4542B"/>
    <w:rsid w:val="00C47F79"/>
    <w:rsid w:val="00C5110D"/>
    <w:rsid w:val="00C524D1"/>
    <w:rsid w:val="00C61950"/>
    <w:rsid w:val="00C70DD7"/>
    <w:rsid w:val="00C75024"/>
    <w:rsid w:val="00C82568"/>
    <w:rsid w:val="00C83F09"/>
    <w:rsid w:val="00C8478A"/>
    <w:rsid w:val="00CA5E31"/>
    <w:rsid w:val="00CA643D"/>
    <w:rsid w:val="00CA73E4"/>
    <w:rsid w:val="00CA7BAA"/>
    <w:rsid w:val="00CA7E4B"/>
    <w:rsid w:val="00CB383C"/>
    <w:rsid w:val="00CB5BD6"/>
    <w:rsid w:val="00CB6515"/>
    <w:rsid w:val="00CB6C2E"/>
    <w:rsid w:val="00CC46E5"/>
    <w:rsid w:val="00CD5E6F"/>
    <w:rsid w:val="00CD7D21"/>
    <w:rsid w:val="00CE2D3B"/>
    <w:rsid w:val="00CF04E9"/>
    <w:rsid w:val="00CF0D67"/>
    <w:rsid w:val="00CF173F"/>
    <w:rsid w:val="00CF74EA"/>
    <w:rsid w:val="00D04137"/>
    <w:rsid w:val="00D046FA"/>
    <w:rsid w:val="00D06C03"/>
    <w:rsid w:val="00D07A92"/>
    <w:rsid w:val="00D12310"/>
    <w:rsid w:val="00D1519E"/>
    <w:rsid w:val="00D166B0"/>
    <w:rsid w:val="00D1740F"/>
    <w:rsid w:val="00D23D8F"/>
    <w:rsid w:val="00D25ECD"/>
    <w:rsid w:val="00D302B9"/>
    <w:rsid w:val="00D3063E"/>
    <w:rsid w:val="00D41E59"/>
    <w:rsid w:val="00D43FD3"/>
    <w:rsid w:val="00D55C2B"/>
    <w:rsid w:val="00D56482"/>
    <w:rsid w:val="00D63FB0"/>
    <w:rsid w:val="00D6535B"/>
    <w:rsid w:val="00D660DA"/>
    <w:rsid w:val="00D66DB7"/>
    <w:rsid w:val="00D67262"/>
    <w:rsid w:val="00D72273"/>
    <w:rsid w:val="00D725B6"/>
    <w:rsid w:val="00D74A69"/>
    <w:rsid w:val="00D765E2"/>
    <w:rsid w:val="00D778E7"/>
    <w:rsid w:val="00D806D5"/>
    <w:rsid w:val="00D83188"/>
    <w:rsid w:val="00D92FCC"/>
    <w:rsid w:val="00D97D10"/>
    <w:rsid w:val="00DA1B2B"/>
    <w:rsid w:val="00DA58B8"/>
    <w:rsid w:val="00DB054A"/>
    <w:rsid w:val="00DB3BA8"/>
    <w:rsid w:val="00DB435F"/>
    <w:rsid w:val="00DB43EF"/>
    <w:rsid w:val="00DC1776"/>
    <w:rsid w:val="00DC3317"/>
    <w:rsid w:val="00DC51A6"/>
    <w:rsid w:val="00DC7316"/>
    <w:rsid w:val="00DD2B61"/>
    <w:rsid w:val="00DE3439"/>
    <w:rsid w:val="00DE41EE"/>
    <w:rsid w:val="00DE49ED"/>
    <w:rsid w:val="00DE79FB"/>
    <w:rsid w:val="00DF4A10"/>
    <w:rsid w:val="00DF4C91"/>
    <w:rsid w:val="00DF5BC3"/>
    <w:rsid w:val="00DF6424"/>
    <w:rsid w:val="00E036CD"/>
    <w:rsid w:val="00E11973"/>
    <w:rsid w:val="00E13B14"/>
    <w:rsid w:val="00E16694"/>
    <w:rsid w:val="00E231A2"/>
    <w:rsid w:val="00E2619E"/>
    <w:rsid w:val="00E263F4"/>
    <w:rsid w:val="00E30A5F"/>
    <w:rsid w:val="00E33D23"/>
    <w:rsid w:val="00E35388"/>
    <w:rsid w:val="00E36E1D"/>
    <w:rsid w:val="00E408EE"/>
    <w:rsid w:val="00E40A23"/>
    <w:rsid w:val="00E449B0"/>
    <w:rsid w:val="00E5057E"/>
    <w:rsid w:val="00E52114"/>
    <w:rsid w:val="00E56245"/>
    <w:rsid w:val="00E6050E"/>
    <w:rsid w:val="00E6084A"/>
    <w:rsid w:val="00E611CC"/>
    <w:rsid w:val="00E64112"/>
    <w:rsid w:val="00E6527D"/>
    <w:rsid w:val="00E71FFB"/>
    <w:rsid w:val="00E74D94"/>
    <w:rsid w:val="00E75E5D"/>
    <w:rsid w:val="00E77DBA"/>
    <w:rsid w:val="00E84C4C"/>
    <w:rsid w:val="00E8614E"/>
    <w:rsid w:val="00E8694B"/>
    <w:rsid w:val="00E92EEB"/>
    <w:rsid w:val="00E954FB"/>
    <w:rsid w:val="00E97253"/>
    <w:rsid w:val="00EA43F5"/>
    <w:rsid w:val="00EB7A27"/>
    <w:rsid w:val="00EC3194"/>
    <w:rsid w:val="00EC6826"/>
    <w:rsid w:val="00EC7447"/>
    <w:rsid w:val="00EE13E8"/>
    <w:rsid w:val="00EE6DA1"/>
    <w:rsid w:val="00EE799C"/>
    <w:rsid w:val="00EF01EC"/>
    <w:rsid w:val="00EF0ECE"/>
    <w:rsid w:val="00EF26B8"/>
    <w:rsid w:val="00F10627"/>
    <w:rsid w:val="00F12E69"/>
    <w:rsid w:val="00F146C4"/>
    <w:rsid w:val="00F20707"/>
    <w:rsid w:val="00F20FEC"/>
    <w:rsid w:val="00F2467B"/>
    <w:rsid w:val="00F24E62"/>
    <w:rsid w:val="00F24FBA"/>
    <w:rsid w:val="00F30066"/>
    <w:rsid w:val="00F35691"/>
    <w:rsid w:val="00F35846"/>
    <w:rsid w:val="00F46E04"/>
    <w:rsid w:val="00F51C1E"/>
    <w:rsid w:val="00F53B31"/>
    <w:rsid w:val="00F541F0"/>
    <w:rsid w:val="00F570D1"/>
    <w:rsid w:val="00F6315B"/>
    <w:rsid w:val="00F659E1"/>
    <w:rsid w:val="00F664BD"/>
    <w:rsid w:val="00F66BF3"/>
    <w:rsid w:val="00F7055D"/>
    <w:rsid w:val="00F72C06"/>
    <w:rsid w:val="00F73D0F"/>
    <w:rsid w:val="00F83FCA"/>
    <w:rsid w:val="00F84242"/>
    <w:rsid w:val="00F868C9"/>
    <w:rsid w:val="00F8783E"/>
    <w:rsid w:val="00FA15C4"/>
    <w:rsid w:val="00FA19E4"/>
    <w:rsid w:val="00FA2F86"/>
    <w:rsid w:val="00FA3E89"/>
    <w:rsid w:val="00FA574A"/>
    <w:rsid w:val="00FA5992"/>
    <w:rsid w:val="00FA6C96"/>
    <w:rsid w:val="00FA798A"/>
    <w:rsid w:val="00FB0FFE"/>
    <w:rsid w:val="00FB1BC5"/>
    <w:rsid w:val="00FB2906"/>
    <w:rsid w:val="00FB567D"/>
    <w:rsid w:val="00FB6AC9"/>
    <w:rsid w:val="00FB7692"/>
    <w:rsid w:val="00FB7EF8"/>
    <w:rsid w:val="00FC06C7"/>
    <w:rsid w:val="00FC1213"/>
    <w:rsid w:val="00FC28B9"/>
    <w:rsid w:val="00FC49AE"/>
    <w:rsid w:val="00FC4E61"/>
    <w:rsid w:val="00FC73B6"/>
    <w:rsid w:val="00FC766B"/>
    <w:rsid w:val="00FD3751"/>
    <w:rsid w:val="00FD626B"/>
    <w:rsid w:val="00FD71E7"/>
    <w:rsid w:val="00FE162C"/>
    <w:rsid w:val="00FE27F3"/>
    <w:rsid w:val="00FE5CB5"/>
    <w:rsid w:val="00FE6279"/>
    <w:rsid w:val="00FE6CCD"/>
    <w:rsid w:val="00FF2DB1"/>
    <w:rsid w:val="00FF7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424EC9"/>
  <w15:docId w15:val="{5B292CED-B8D3-4884-8087-A7DC551EA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410799">
      <w:bodyDiv w:val="1"/>
      <w:marLeft w:val="0"/>
      <w:marRight w:val="0"/>
      <w:marTop w:val="0"/>
      <w:marBottom w:val="0"/>
      <w:divBdr>
        <w:top w:val="none" w:sz="0" w:space="0" w:color="auto"/>
        <w:left w:val="none" w:sz="0" w:space="0" w:color="auto"/>
        <w:bottom w:val="none" w:sz="0" w:space="0" w:color="auto"/>
        <w:right w:val="none" w:sz="0" w:space="0" w:color="auto"/>
      </w:divBdr>
    </w:div>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2883903">
      <w:bodyDiv w:val="1"/>
      <w:marLeft w:val="0"/>
      <w:marRight w:val="0"/>
      <w:marTop w:val="0"/>
      <w:marBottom w:val="0"/>
      <w:divBdr>
        <w:top w:val="none" w:sz="0" w:space="0" w:color="auto"/>
        <w:left w:val="none" w:sz="0" w:space="0" w:color="auto"/>
        <w:bottom w:val="none" w:sz="0" w:space="0" w:color="auto"/>
        <w:right w:val="none" w:sz="0" w:space="0" w:color="auto"/>
      </w:divBdr>
      <w:divsChild>
        <w:div w:id="461466288">
          <w:marLeft w:val="0"/>
          <w:marRight w:val="0"/>
          <w:marTop w:val="0"/>
          <w:marBottom w:val="0"/>
          <w:divBdr>
            <w:top w:val="none" w:sz="0" w:space="0" w:color="auto"/>
            <w:left w:val="none" w:sz="0" w:space="0" w:color="auto"/>
            <w:bottom w:val="none" w:sz="0" w:space="0" w:color="auto"/>
            <w:right w:val="none" w:sz="0" w:space="0" w:color="auto"/>
          </w:divBdr>
        </w:div>
        <w:div w:id="419104576">
          <w:marLeft w:val="0"/>
          <w:marRight w:val="0"/>
          <w:marTop w:val="0"/>
          <w:marBottom w:val="0"/>
          <w:divBdr>
            <w:top w:val="none" w:sz="0" w:space="0" w:color="auto"/>
            <w:left w:val="none" w:sz="0" w:space="0" w:color="auto"/>
            <w:bottom w:val="none" w:sz="0" w:space="0" w:color="auto"/>
            <w:right w:val="none" w:sz="0" w:space="0" w:color="auto"/>
          </w:divBdr>
        </w:div>
        <w:div w:id="687365866">
          <w:marLeft w:val="0"/>
          <w:marRight w:val="0"/>
          <w:marTop w:val="0"/>
          <w:marBottom w:val="0"/>
          <w:divBdr>
            <w:top w:val="none" w:sz="0" w:space="0" w:color="auto"/>
            <w:left w:val="none" w:sz="0" w:space="0" w:color="auto"/>
            <w:bottom w:val="none" w:sz="0" w:space="0" w:color="auto"/>
            <w:right w:val="none" w:sz="0" w:space="0" w:color="auto"/>
          </w:divBdr>
        </w:div>
        <w:div w:id="1211958287">
          <w:marLeft w:val="0"/>
          <w:marRight w:val="0"/>
          <w:marTop w:val="0"/>
          <w:marBottom w:val="0"/>
          <w:divBdr>
            <w:top w:val="none" w:sz="0" w:space="0" w:color="auto"/>
            <w:left w:val="none" w:sz="0" w:space="0" w:color="auto"/>
            <w:bottom w:val="none" w:sz="0" w:space="0" w:color="auto"/>
            <w:right w:val="none" w:sz="0" w:space="0" w:color="auto"/>
          </w:divBdr>
        </w:div>
        <w:div w:id="893664659">
          <w:marLeft w:val="0"/>
          <w:marRight w:val="0"/>
          <w:marTop w:val="0"/>
          <w:marBottom w:val="0"/>
          <w:divBdr>
            <w:top w:val="none" w:sz="0" w:space="0" w:color="auto"/>
            <w:left w:val="none" w:sz="0" w:space="0" w:color="auto"/>
            <w:bottom w:val="none" w:sz="0" w:space="0" w:color="auto"/>
            <w:right w:val="none" w:sz="0" w:space="0" w:color="auto"/>
          </w:divBdr>
        </w:div>
        <w:div w:id="1247301743">
          <w:marLeft w:val="0"/>
          <w:marRight w:val="0"/>
          <w:marTop w:val="0"/>
          <w:marBottom w:val="0"/>
          <w:divBdr>
            <w:top w:val="none" w:sz="0" w:space="0" w:color="auto"/>
            <w:left w:val="none" w:sz="0" w:space="0" w:color="auto"/>
            <w:bottom w:val="none" w:sz="0" w:space="0" w:color="auto"/>
            <w:right w:val="none" w:sz="0" w:space="0" w:color="auto"/>
          </w:divBdr>
        </w:div>
      </w:divsChild>
    </w:div>
    <w:div w:id="1360735796">
      <w:bodyDiv w:val="1"/>
      <w:marLeft w:val="0"/>
      <w:marRight w:val="0"/>
      <w:marTop w:val="0"/>
      <w:marBottom w:val="0"/>
      <w:divBdr>
        <w:top w:val="none" w:sz="0" w:space="0" w:color="auto"/>
        <w:left w:val="none" w:sz="0" w:space="0" w:color="auto"/>
        <w:bottom w:val="none" w:sz="0" w:space="0" w:color="auto"/>
        <w:right w:val="none" w:sz="0" w:space="0" w:color="auto"/>
      </w:divBdr>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bridge9@uthsc.edu" TargetMode="Externa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21195C-76A2-467F-A083-17CFED3E6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2295</TotalTime>
  <Pages>21</Pages>
  <Words>38179</Words>
  <Characters>217625</Characters>
  <Application>Microsoft Office Word</Application>
  <DocSecurity>0</DocSecurity>
  <Lines>1813</Lines>
  <Paragraphs>510</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255294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dc:creator>
  <cp:lastModifiedBy>Stephenson, Erin</cp:lastModifiedBy>
  <cp:revision>259</cp:revision>
  <cp:lastPrinted>2015-12-03T18:58:00Z</cp:lastPrinted>
  <dcterms:created xsi:type="dcterms:W3CDTF">2015-11-02T14:27:00Z</dcterms:created>
  <dcterms:modified xsi:type="dcterms:W3CDTF">2015-12-03T20:28:00Z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http://www.zotero.org/styles/bba-molecular-and-cell-biology-of-lipids</vt:lpwstr>
  </property>
  <property fmtid="{D5CDD505-2E9C-101B-9397-08002B2CF9AE}" pid="10" name="Mendeley Recent Style Name 2_1">
    <vt:lpwstr>BBA - Molecular and Cell Biology of Lipids</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