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8DAC9" w14:textId="77777777" w:rsidR="00FE6279" w:rsidRDefault="00FE6279" w:rsidP="00FE6279">
      <w:r>
        <w:t>Title: Gestational exposure of mice to environmentally persistent free radicals leads to increased weight gain in offspring.</w:t>
      </w:r>
    </w:p>
    <w:p w14:paraId="1E6E14FB" w14:textId="77777777" w:rsidR="00FE6279" w:rsidRDefault="00FE6279" w:rsidP="00FE6279"/>
    <w:p w14:paraId="0027B15C" w14:textId="77777777" w:rsidR="00FE6279" w:rsidRDefault="00FE6279" w:rsidP="00FE6279">
      <w:r>
        <w:t>Short Title: Gestational EPFR Exposure and Weight Gain</w:t>
      </w:r>
    </w:p>
    <w:p w14:paraId="4B9108CF" w14:textId="77777777" w:rsidR="00532F5A" w:rsidRDefault="00532F5A" w:rsidP="00FE6279"/>
    <w:p w14:paraId="6043B53F" w14:textId="27DD7F02" w:rsidR="00532F5A" w:rsidRDefault="00532F5A" w:rsidP="00FE6279">
      <w:r>
        <w:t>Authors:</w:t>
      </w:r>
    </w:p>
    <w:p w14:paraId="0504E54D" w14:textId="77777777" w:rsidR="00532F5A" w:rsidRDefault="00532F5A" w:rsidP="00FE6279"/>
    <w:p w14:paraId="775E46DD" w14:textId="7D989637" w:rsidR="00532F5A" w:rsidRDefault="00532F5A" w:rsidP="00FE6279">
      <w:r>
        <w:t>Dave Bridges</w:t>
      </w:r>
      <w:r w:rsidRPr="00532F5A">
        <w:rPr>
          <w:vertAlign w:val="superscript"/>
        </w:rPr>
        <w:t>1,2,3</w:t>
      </w:r>
      <w:r>
        <w:t>, Alyse Ragauskas</w:t>
      </w:r>
      <w:r w:rsidRPr="00532F5A">
        <w:rPr>
          <w:vertAlign w:val="superscript"/>
        </w:rPr>
        <w:t>1,2</w:t>
      </w:r>
      <w:r>
        <w:t>, Erin Stephenson</w:t>
      </w:r>
      <w:r w:rsidRPr="00532F5A">
        <w:rPr>
          <w:vertAlign w:val="superscript"/>
        </w:rPr>
        <w:t>1,2</w:t>
      </w:r>
      <w:r>
        <w:t>, Sridhar Jaligama</w:t>
      </w:r>
      <w:r w:rsidRPr="00532F5A">
        <w:rPr>
          <w:vertAlign w:val="superscript"/>
        </w:rPr>
        <w:t>2</w:t>
      </w:r>
      <w:r>
        <w:t>, Jyothi Parvathareddy</w:t>
      </w:r>
      <w:r w:rsidRPr="00532F5A">
        <w:rPr>
          <w:vertAlign w:val="superscript"/>
        </w:rPr>
        <w:t>2</w:t>
      </w:r>
      <w:r>
        <w:t xml:space="preserve">, </w:t>
      </w:r>
      <w:commentRangeStart w:id="0"/>
      <w:r>
        <w:t>Kathryn Cyrus</w:t>
      </w:r>
      <w:r w:rsidRPr="00532F5A">
        <w:rPr>
          <w:vertAlign w:val="superscript"/>
        </w:rPr>
        <w:t>1,2</w:t>
      </w:r>
      <w:r>
        <w:t xml:space="preserve"> </w:t>
      </w:r>
      <w:commentRangeEnd w:id="0"/>
      <w:r>
        <w:rPr>
          <w:rStyle w:val="CommentReference"/>
        </w:rPr>
        <w:commentReference w:id="0"/>
      </w:r>
      <w:r>
        <w:t>and Matthew J. Peloquin</w:t>
      </w:r>
      <w:r w:rsidRPr="00532F5A">
        <w:rPr>
          <w:vertAlign w:val="superscript"/>
        </w:rPr>
        <w:t>1,2</w:t>
      </w:r>
      <w:r>
        <w:t xml:space="preserve"> and Stephania A. Cormier</w:t>
      </w:r>
      <w:r w:rsidRPr="00532F5A">
        <w:rPr>
          <w:vertAlign w:val="superscript"/>
        </w:rPr>
        <w:t>2</w:t>
      </w:r>
      <w:r>
        <w:rPr>
          <w:vertAlign w:val="superscript"/>
        </w:rPr>
        <w:t>,3</w:t>
      </w:r>
    </w:p>
    <w:p w14:paraId="1C029ED8" w14:textId="77777777" w:rsidR="00532F5A" w:rsidRDefault="00532F5A" w:rsidP="00FE6279"/>
    <w:p w14:paraId="7AAD665E" w14:textId="66CB6358" w:rsidR="00532F5A" w:rsidRDefault="00532F5A" w:rsidP="00FE6279">
      <w:r>
        <w:t>Addresses:</w:t>
      </w:r>
    </w:p>
    <w:p w14:paraId="693D113E" w14:textId="57142F36" w:rsidR="00532F5A" w:rsidRDefault="00532F5A" w:rsidP="00FE6279">
      <w:r w:rsidRPr="00532F5A">
        <w:rPr>
          <w:vertAlign w:val="superscript"/>
        </w:rPr>
        <w:t>1</w:t>
      </w:r>
      <w:r>
        <w:t xml:space="preserve">Department of Physiology, University of Tennessee Health Science Center, Memphis TN.  </w:t>
      </w:r>
      <w:r w:rsidRPr="00532F5A">
        <w:rPr>
          <w:vertAlign w:val="superscript"/>
        </w:rPr>
        <w:t>2</w:t>
      </w:r>
      <w:r>
        <w:t>Department of Pediatrics, University of Tennsessee Health Science Center, Memphis TN</w:t>
      </w:r>
    </w:p>
    <w:p w14:paraId="22F80F2F" w14:textId="77777777" w:rsidR="00532F5A" w:rsidRDefault="00532F5A" w:rsidP="00FE6279"/>
    <w:p w14:paraId="2C8EAF66" w14:textId="52A01070" w:rsidR="00532F5A" w:rsidRDefault="00532F5A" w:rsidP="00FE6279">
      <w:r w:rsidRPr="00532F5A">
        <w:rPr>
          <w:vertAlign w:val="superscript"/>
        </w:rPr>
        <w:t>3</w:t>
      </w:r>
      <w:r>
        <w:t>Corresponding authors</w:t>
      </w:r>
    </w:p>
    <w:p w14:paraId="78EBAA94" w14:textId="30EEA270" w:rsidR="00532F5A" w:rsidRDefault="00535157" w:rsidP="00FE6279">
      <w:hyperlink r:id="rId6" w:history="1">
        <w:r w:rsidR="00532F5A" w:rsidRPr="00A15B79">
          <w:rPr>
            <w:rStyle w:val="Hyperlink"/>
          </w:rPr>
          <w:t>dbridge9@uthsc.edu</w:t>
        </w:r>
      </w:hyperlink>
      <w:r w:rsidR="00532F5A">
        <w:t xml:space="preserve"> and </w:t>
      </w:r>
      <w:hyperlink r:id="rId7" w:history="1">
        <w:r w:rsidR="00532F5A" w:rsidRPr="00A15B79">
          <w:rPr>
            <w:rStyle w:val="Hyperlink"/>
          </w:rPr>
          <w:t>scormier@uthsc.edu</w:t>
        </w:r>
      </w:hyperlink>
    </w:p>
    <w:p w14:paraId="42287396" w14:textId="77777777" w:rsidR="00532F5A" w:rsidRDefault="00532F5A" w:rsidP="00FE6279"/>
    <w:p w14:paraId="4DDA8152" w14:textId="77777777" w:rsidR="00532F5A" w:rsidRDefault="00532F5A" w:rsidP="00FE6279"/>
    <w:p w14:paraId="0DCBD78A" w14:textId="77777777" w:rsidR="00881AC0" w:rsidRDefault="007221E6" w:rsidP="007221E6">
      <w:pPr>
        <w:pStyle w:val="Heading1"/>
      </w:pPr>
      <w:r>
        <w:t>Abstract</w:t>
      </w:r>
    </w:p>
    <w:p w14:paraId="601876B0" w14:textId="77777777" w:rsidR="007221E6" w:rsidRDefault="007221E6" w:rsidP="007221E6">
      <w:pPr>
        <w:pStyle w:val="Heading1"/>
      </w:pPr>
      <w:r>
        <w:t>Introduction</w:t>
      </w:r>
    </w:p>
    <w:p w14:paraId="258E36EE" w14:textId="77777777" w:rsidR="007221E6" w:rsidRDefault="007221E6" w:rsidP="007221E6">
      <w:pPr>
        <w:pStyle w:val="Heading1"/>
      </w:pPr>
      <w:r>
        <w:t>Methods and Materials</w:t>
      </w:r>
    </w:p>
    <w:p w14:paraId="70672F2E" w14:textId="4189EB1A" w:rsidR="00230B4A" w:rsidRDefault="00230B4A" w:rsidP="00230B4A">
      <w:pPr>
        <w:pStyle w:val="Heading2"/>
      </w:pPr>
      <w:r>
        <w:t>MCP230 Preparation and Treatment</w:t>
      </w:r>
    </w:p>
    <w:p w14:paraId="020EB9A4" w14:textId="20266F4E" w:rsidR="008A7513" w:rsidRPr="008A7513" w:rsidRDefault="008A7513" w:rsidP="008A7513">
      <w:commentRangeStart w:id="1"/>
      <w:r>
        <w:t>Steph can you write this section</w:t>
      </w:r>
      <w:commentRangeEnd w:id="1"/>
      <w:r>
        <w:rPr>
          <w:rStyle w:val="CommentReference"/>
        </w:rPr>
        <w:commentReference w:id="1"/>
      </w:r>
    </w:p>
    <w:p w14:paraId="630D13CB" w14:textId="01725080" w:rsidR="00230B4A" w:rsidRDefault="00230B4A" w:rsidP="00230B4A">
      <w:pPr>
        <w:pStyle w:val="Heading2"/>
      </w:pPr>
      <w:r>
        <w:t>Animal Housing and High Fat Diet</w:t>
      </w:r>
    </w:p>
    <w:p w14:paraId="67DFDF7D" w14:textId="13D6E03F" w:rsidR="00493F6D" w:rsidRDefault="0012599A" w:rsidP="00493F6D">
      <w:r>
        <w:t xml:space="preserve">Mice were maintained in a 12h light/dark cycle room at constant temperature and humidity and allowed unrestricted access to food and water. At 10 weeks of age, mice were switched from chow to a high fat diet, consisting of 45% of calories from fat (Research Diets catalog D12451).  Food intake was determined by determining the decrease in food pellets in the cage on a weekly basis.  </w:t>
      </w:r>
      <w:r w:rsidR="00493F6D">
        <w:t>One mouse, a MCP230 treated animal had a malocclusion and was removed from our analyses.</w:t>
      </w:r>
      <w:r w:rsidRPr="0012599A">
        <w:t xml:space="preserve"> </w:t>
      </w:r>
      <w:r>
        <w:t xml:space="preserve">The UTHSC Institutional Animal Care and Use Committee approved all mouse procedures.  </w:t>
      </w:r>
    </w:p>
    <w:p w14:paraId="1144A49B" w14:textId="77777777" w:rsidR="008A7513" w:rsidRDefault="008A7513" w:rsidP="00493F6D"/>
    <w:p w14:paraId="116B7A4B" w14:textId="633F5A9F" w:rsidR="008A7513" w:rsidRDefault="008A7513" w:rsidP="008A7513">
      <w:pPr>
        <w:pStyle w:val="Heading2"/>
      </w:pPr>
      <w:r>
        <w:t>Metabolite Assays and Liver Triglyceride Determination</w:t>
      </w:r>
    </w:p>
    <w:p w14:paraId="10847BA1" w14:textId="2F6CBD6D" w:rsidR="008A7513" w:rsidRPr="008A7513" w:rsidRDefault="008A7513" w:rsidP="008A7513">
      <w:r>
        <w:t xml:space="preserve">Liver triglycerides were determined as previously described </w:t>
      </w:r>
      <w:r>
        <w:fldChar w:fldCharType="begin" w:fldLock="1"/>
      </w:r>
      <w:r w:rsidR="00E16694">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"http://www.mendeley.com/documents/?uuid=098fbdfd-260f-433b-93e7-c3a8071dc6b2" ] } ], "mendeley" : { "formattedCitation" : "[1]", "plainTextFormattedCitation" : "[1]", "previouslyFormattedCitation" : "[1]" }, "properties" : { "noteIndex" : 0 }, "schema" : "https://github.com/citation-style-language/schema/raw/master/csl-citation.json" }</w:instrText>
      </w:r>
      <w:r>
        <w:fldChar w:fldCharType="separate"/>
      </w:r>
      <w:r w:rsidRPr="008A7513">
        <w:rPr>
          <w:noProof/>
        </w:rPr>
        <w:t>[1]</w:t>
      </w:r>
      <w:r>
        <w:fldChar w:fldCharType="end"/>
      </w:r>
      <w:r>
        <w:t xml:space="preserve">.  Briefly, liver tissue was homogenized in XXX, then extracted with a 2:1 chloroform:methanol solution.  </w:t>
      </w:r>
      <w:r>
        <w:lastRenderedPageBreak/>
        <w:t>The lipid phase was then removed, dried and resuspended.  Triglycerides were measured using a colorimetric assay (Sigma-Aldrich, catalog TR0100).  Glucose was determined using an Accucheck glucometer.  Serum hormone levels were determined using a BioRad multiplex analyte assay</w:t>
      </w:r>
      <w:r w:rsidR="00C82568">
        <w:t xml:space="preserve"> (catalog </w:t>
      </w:r>
      <w:r>
        <w:t xml:space="preserve">, following the manufacturer’s instructions. </w:t>
      </w:r>
    </w:p>
    <w:p w14:paraId="62A8C3BE" w14:textId="172AB492" w:rsidR="00441A6B" w:rsidRDefault="00441A6B" w:rsidP="00D63FB0">
      <w:pPr>
        <w:pStyle w:val="Heading2"/>
      </w:pPr>
      <w:r>
        <w:t>Body Composition</w:t>
      </w:r>
      <w:r w:rsidR="008A533B">
        <w:t xml:space="preserve"> and Metabolic Cages</w:t>
      </w:r>
    </w:p>
    <w:p w14:paraId="17CBB1F0" w14:textId="169CC47D" w:rsidR="0012599A" w:rsidRPr="0012599A" w:rsidRDefault="008A533B" w:rsidP="0012599A">
      <w:r>
        <w:t xml:space="preserve">Mice were weighed weekly at approximately ZT10.   </w:t>
      </w:r>
      <w:r w:rsidR="0012599A">
        <w:t xml:space="preserve">Body composition was determined </w:t>
      </w:r>
      <w:r>
        <w:t xml:space="preserve">non-invasively </w:t>
      </w:r>
      <w:r w:rsidR="0012599A">
        <w:t xml:space="preserve">using an echo-MRI </w:t>
      </w:r>
      <w:r>
        <w:t>100 at approximately ZT10.</w:t>
      </w:r>
    </w:p>
    <w:p w14:paraId="368F1F32" w14:textId="2BAC9935" w:rsidR="00576C73" w:rsidRDefault="00576C73" w:rsidP="00576C73">
      <w:pPr>
        <w:pStyle w:val="Heading2"/>
      </w:pPr>
      <w:r>
        <w:t>Statistics</w:t>
      </w:r>
    </w:p>
    <w:p w14:paraId="177E4A24" w14:textId="521307FA" w:rsidR="00576C73" w:rsidRPr="00501427" w:rsidRDefault="00501427" w:rsidP="00576C73">
      <w:r>
        <w:t xml:space="preserve">Statistics and calculations were performed using Microsoft Excel and R version 3.1.1 </w:t>
      </w:r>
      <w:r>
        <w:fldChar w:fldCharType="begin" w:fldLock="1"/>
      </w:r>
      <w:r w:rsidR="00E16694">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"formattedCitation" : "[2]", "plainTextFormattedCitation" : "[2]", "previouslyFormattedCitation" : "[2]" }, "properties" : { "noteIndex" : 0 }, "schema" : "https://github.com/citation-style-language/schema/raw/master/csl-citation.json" }</w:instrText>
      </w:r>
      <w:r>
        <w:fldChar w:fldCharType="separate"/>
      </w:r>
      <w:r w:rsidR="008A7513" w:rsidRPr="008A7513">
        <w:rPr>
          <w:noProof/>
        </w:rPr>
        <w:t>[2]</w:t>
      </w:r>
      <w:r>
        <w:fldChar w:fldCharType="end"/>
      </w:r>
      <w:r>
        <w:t xml:space="preserve">.  </w:t>
      </w:r>
      <w:r w:rsidR="00576C73">
        <w:t xml:space="preserve">For longitudinal data, mixed linear models were used </w:t>
      </w:r>
      <w:r>
        <w:t xml:space="preserve">and </w:t>
      </w:r>
      <w:r>
        <w:sym w:font="Symbol" w:char="F063"/>
      </w:r>
      <w:r>
        <w:rPr>
          <w:vertAlign w:val="superscript"/>
        </w:rPr>
        <w:t xml:space="preserve">2 </w:t>
      </w:r>
      <w:r>
        <w:t xml:space="preserve">tests were performed to determine the significance of the MCP230 treatment.  Mixed linear models used the R package lme4 (version 1.1-7 </w:t>
      </w:r>
      <w:r>
        <w:fldChar w:fldCharType="begin" w:fldLock="1"/>
      </w:r>
      <w:r w:rsidR="00E16694">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 "plainTextFormattedCitation" : "[3]", "previouslyFormattedCitation" : "[3]" }, "properties" : { "noteIndex" : 0 }, "schema" : "https://github.com/citation-style-language/schema/raw/master/csl-citation.json" }</w:instrText>
      </w:r>
      <w:r>
        <w:fldChar w:fldCharType="separate"/>
      </w:r>
      <w:r w:rsidR="008A7513" w:rsidRPr="008A7513">
        <w:rPr>
          <w:noProof/>
        </w:rPr>
        <w:t>[3]</w:t>
      </w:r>
      <w:r>
        <w:fldChar w:fldCharType="end"/>
      </w:r>
      <w:r>
        <w:t>).  In all cases, normality of the data and models were d</w:t>
      </w:r>
      <w:r w:rsidR="0012599A">
        <w:t>etermined via Shapiro-Wilk Test</w:t>
      </w:r>
      <w:r>
        <w:t xml:space="preserve"> and equal variance was tested using Levene’s test from the car package (version 2.0-21 </w:t>
      </w:r>
      <w:r>
        <w:fldChar w:fldCharType="begin" w:fldLock="1"/>
      </w:r>
      <w:r w:rsidR="00E16694">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"[4]", "plainTextFormattedCitation" : "[4]", "previouslyFormattedCitation" : "[4]" }, "properties" : { "noteIndex" : 0 }, "schema" : "https://github.com/citation-style-language/schema/raw/master/csl-citation.json" }</w:instrText>
      </w:r>
      <w:r>
        <w:fldChar w:fldCharType="separate"/>
      </w:r>
      <w:r w:rsidR="008A7513" w:rsidRPr="008A7513">
        <w:rPr>
          <w:noProof/>
        </w:rPr>
        <w:t>[4]</w:t>
      </w:r>
      <w:r>
        <w:fldChar w:fldCharType="end"/>
      </w:r>
      <w:r w:rsidR="00031FF5">
        <w:t xml:space="preserve">). </w:t>
      </w:r>
      <w:r w:rsidR="0012599A">
        <w:t xml:space="preserve">In cases where cabosil and saline treatment were not significantly different, these data were combined and designated as “Control”.  </w:t>
      </w:r>
      <w:r>
        <w:t>Statistical significance was designated as a p-value &lt;0.05.</w:t>
      </w:r>
    </w:p>
    <w:p w14:paraId="5BDE1137" w14:textId="77777777" w:rsidR="007221E6" w:rsidRDefault="007221E6" w:rsidP="007221E6">
      <w:pPr>
        <w:pStyle w:val="Heading1"/>
      </w:pPr>
      <w:r>
        <w:t>Results</w:t>
      </w:r>
    </w:p>
    <w:p w14:paraId="71475321" w14:textId="1BBCB3F4" w:rsidR="007221E6" w:rsidRDefault="00230B4A" w:rsidP="00230B4A">
      <w:pPr>
        <w:pStyle w:val="Heading2"/>
      </w:pPr>
      <w:r>
        <w:t>Gestational exposure to MCP230 leads to increased weight gain in pups</w:t>
      </w:r>
    </w:p>
    <w:p w14:paraId="208B515A" w14:textId="10F86A15" w:rsidR="00230B4A" w:rsidRDefault="00230B4A" w:rsidP="00230B4A">
      <w:r>
        <w:t xml:space="preserve">To test whether gestational exposure to an environmentally persistent free radical, we treated pregnant females with two exposures of MCP230 </w:t>
      </w:r>
      <w:r w:rsidR="005E42A8">
        <w:t xml:space="preserve">on gestational day 10 and 17.  These mice were then birthed, left with their dams and weaned at 21 days of age.  At 10 weeks of age, mice were placed on a high fat diet consisting of 45% of calories from fat (see Figure 1A).  </w:t>
      </w:r>
    </w:p>
    <w:p w14:paraId="29566B92" w14:textId="77777777" w:rsidR="005E42A8" w:rsidRDefault="005E42A8" w:rsidP="00230B4A"/>
    <w:p w14:paraId="736989EA" w14:textId="5CAAC40B" w:rsidR="005E42A8" w:rsidRDefault="005E42A8" w:rsidP="00230B4A">
      <w:r>
        <w:t xml:space="preserve">As shown in Figure 1B, mice that were pre-treated with MCP230 started at a higher body weight and proceeded to gain more weight </w:t>
      </w:r>
      <w:commentRangeStart w:id="2"/>
      <w:r>
        <w:t>during the diet</w:t>
      </w:r>
      <w:commentRangeEnd w:id="2"/>
      <w:r w:rsidR="006F47B0">
        <w:rPr>
          <w:rStyle w:val="CommentReference"/>
        </w:rPr>
        <w:commentReference w:id="2"/>
      </w:r>
      <w:r>
        <w:t>.</w:t>
      </w:r>
      <w:r w:rsidR="00441A6B">
        <w:t xml:space="preserve">  At the end of the </w:t>
      </w:r>
      <w:r w:rsidR="00D63FB0">
        <w:t xml:space="preserve">12-week </w:t>
      </w:r>
      <w:r w:rsidR="00441A6B">
        <w:t xml:space="preserve">diet, we </w:t>
      </w:r>
      <w:r w:rsidR="00D63FB0">
        <w:t>observed a XXg (XX%) in</w:t>
      </w:r>
      <w:r w:rsidR="004C2FCD">
        <w:t>crease in body size (Figure 1B</w:t>
      </w:r>
      <w:r w:rsidR="00A107BF">
        <w:t xml:space="preserve">).  We </w:t>
      </w:r>
      <w:r w:rsidR="00441A6B">
        <w:t>assessed t</w:t>
      </w:r>
      <w:r w:rsidR="00D63FB0">
        <w:t xml:space="preserve">he body composition and observed significant elevations in both </w:t>
      </w:r>
      <w:r w:rsidR="007F0C91">
        <w:t>fat</w:t>
      </w:r>
      <w:r w:rsidR="00D63FB0">
        <w:t xml:space="preserve"> </w:t>
      </w:r>
      <w:r w:rsidR="007F0C91">
        <w:t xml:space="preserve">mass (10.6% increase, p=0.011) </w:t>
      </w:r>
      <w:r w:rsidR="00D63FB0">
        <w:t xml:space="preserve">and </w:t>
      </w:r>
      <w:r w:rsidR="007F0C91">
        <w:t>lean</w:t>
      </w:r>
      <w:r w:rsidR="00D63FB0">
        <w:t xml:space="preserve"> mass </w:t>
      </w:r>
      <w:r w:rsidR="007F0C91">
        <w:t>(10.8% increase, p=2.2x10</w:t>
      </w:r>
      <w:r w:rsidR="007F0C91">
        <w:rPr>
          <w:vertAlign w:val="superscript"/>
        </w:rPr>
        <w:t>-4</w:t>
      </w:r>
      <w:r w:rsidR="007F0C91">
        <w:t xml:space="preserve">) </w:t>
      </w:r>
      <w:r w:rsidR="004C2FCD">
        <w:t>in these mice (Figures 1C and D</w:t>
      </w:r>
      <w:r w:rsidR="00D63FB0">
        <w:t>).  The relative adiposity</w:t>
      </w:r>
      <w:r w:rsidR="007F0C91">
        <w:t xml:space="preserve"> </w:t>
      </w:r>
      <w:r w:rsidR="007F0C91">
        <w:t>of these mice</w:t>
      </w:r>
      <w:r w:rsidR="007F0C91">
        <w:t xml:space="preserve"> as determined by the percent fat mass</w:t>
      </w:r>
      <w:r w:rsidR="00D63FB0">
        <w:t xml:space="preserve"> </w:t>
      </w:r>
      <w:r w:rsidR="004C2FCD">
        <w:t>was unchanged (Figure 1E</w:t>
      </w:r>
      <w:bookmarkStart w:id="3" w:name="_GoBack"/>
      <w:bookmarkEnd w:id="3"/>
      <w:r w:rsidR="00D63FB0">
        <w:t>).</w:t>
      </w:r>
    </w:p>
    <w:p w14:paraId="450E0228" w14:textId="77777777" w:rsidR="008A533B" w:rsidRDefault="008A533B" w:rsidP="00230B4A"/>
    <w:p w14:paraId="3D1479E2" w14:textId="77777777" w:rsidR="00BE555B" w:rsidRDefault="008A533B" w:rsidP="00230B4A">
      <w:r>
        <w:t>W</w:t>
      </w:r>
      <w:r w:rsidR="00140BB6">
        <w:t>e next evaluated the extent of obesity related co-morbidities in these mice</w:t>
      </w:r>
      <w:r>
        <w:t xml:space="preserve">.  As shown in </w:t>
      </w:r>
      <w:r w:rsidR="00535157">
        <w:t>Figure 2</w:t>
      </w:r>
      <w:r w:rsidR="008A7513">
        <w:t>A</w:t>
      </w:r>
      <w:r>
        <w:t xml:space="preserve">, hepatic steatosis was elevated </w:t>
      </w:r>
      <w:r w:rsidR="00140BB6">
        <w:t xml:space="preserve">by high fat diet </w:t>
      </w:r>
      <w:r>
        <w:t xml:space="preserve">to an equal extent in both groups of mice.  We </w:t>
      </w:r>
      <w:r w:rsidR="008A7513">
        <w:t>also examined no changes in blood</w:t>
      </w:r>
      <w:r w:rsidR="00535157">
        <w:t xml:space="preserve"> glucose (Figure 2</w:t>
      </w:r>
      <w:r w:rsidR="008A7513">
        <w:t xml:space="preserve">B). </w:t>
      </w:r>
      <w:r w:rsidR="00BE555B">
        <w:t>As shown in Figure 2C, we also did not observe any changes in hyerinsulinemia, suggesting no alterations in insulin sensitivity between the saline and MCP230 treated mice after high fat diet.</w:t>
      </w:r>
      <w:r w:rsidR="00140BB6">
        <w:t xml:space="preserve"> </w:t>
      </w:r>
    </w:p>
    <w:p w14:paraId="236D238F" w14:textId="77777777" w:rsidR="00C16E77" w:rsidRDefault="00C16E77" w:rsidP="00230B4A"/>
    <w:p w14:paraId="7422FC7B" w14:textId="3783A002" w:rsidR="00DC7316" w:rsidRDefault="00BE555B" w:rsidP="00230B4A">
      <w:r>
        <w:t>To test</w:t>
      </w:r>
      <w:r w:rsidR="008A7513">
        <w:t xml:space="preserve"> </w:t>
      </w:r>
      <w:r w:rsidR="00535157">
        <w:t>whether there were any other changes in key metabolic hormone levels, we evaluated the levels of a panel of these from fasted mi</w:t>
      </w:r>
      <w:r>
        <w:t>ce.  As shown in F</w:t>
      </w:r>
      <w:r w:rsidR="006B74D4">
        <w:t>igures 2E</w:t>
      </w:r>
      <w:r w:rsidR="00AD4748">
        <w:t>-F, we did not observe</w:t>
      </w:r>
      <w:r>
        <w:t xml:space="preserve"> any changes in resistin or PAI-1 levels</w:t>
      </w:r>
      <w:r w:rsidR="00140BB6">
        <w:t xml:space="preserve">.  </w:t>
      </w:r>
      <w:r w:rsidR="00967682">
        <w:t xml:space="preserve">Leptin was modestly elevated in both the fasted and fed conditions (p-value </w:t>
      </w:r>
      <w:r w:rsidR="00016389">
        <w:t xml:space="preserve">for the effect of MCP230 treatment via ANOVA was 0.011, post-hoc </w:t>
      </w:r>
      <w:r w:rsidR="00016389">
        <w:rPr>
          <w:i/>
        </w:rPr>
        <w:t>t-</w:t>
      </w:r>
      <w:r w:rsidR="00016389">
        <w:t xml:space="preserve">test p-values were 0.058 for fasted and p=0.097 for fed leptin levels).  </w:t>
      </w:r>
      <w:r w:rsidR="00FA3E89">
        <w:t xml:space="preserve">These elevations in circulating leptin levels are consistent with </w:t>
      </w:r>
      <w:r w:rsidR="006B74D4">
        <w:t>the increases in fat mass described in Figure 1E.</w:t>
      </w:r>
      <w:r w:rsidR="008F3DC3">
        <w:t xml:space="preserve">  </w:t>
      </w:r>
      <w:r w:rsidR="00AD4748">
        <w:t xml:space="preserve">We </w:t>
      </w:r>
      <w:r w:rsidR="008F3DC3">
        <w:t>observed</w:t>
      </w:r>
      <w:r w:rsidR="00AD4748">
        <w:t xml:space="preserve"> </w:t>
      </w:r>
      <w:r w:rsidR="00016389">
        <w:t xml:space="preserve">significant </w:t>
      </w:r>
      <w:r w:rsidR="00AD4748">
        <w:t xml:space="preserve">elevations in both the fasting and fed state for Ghrelin, GLP-1, </w:t>
      </w:r>
      <w:r w:rsidR="00735CE1">
        <w:t>glucagon</w:t>
      </w:r>
      <w:r w:rsidR="00AD4748">
        <w:t xml:space="preserve"> and </w:t>
      </w:r>
      <w:r w:rsidR="00735CE1">
        <w:t xml:space="preserve">GIP-1, though the latter did not quite reach </w:t>
      </w:r>
      <w:r w:rsidR="00016389">
        <w:t>statistical significance (p=0.069</w:t>
      </w:r>
      <w:r w:rsidR="00735CE1">
        <w:t xml:space="preserve"> for fasted</w:t>
      </w:r>
      <w:r w:rsidR="006A1A89">
        <w:t xml:space="preserve"> </w:t>
      </w:r>
      <w:r w:rsidR="008F3DC3">
        <w:t xml:space="preserve">GIP-1 levels </w:t>
      </w:r>
      <w:r w:rsidR="006A1A89">
        <w:t>by Wilcoxon Rank Sum Test</w:t>
      </w:r>
      <w:r w:rsidR="00735CE1">
        <w:t>).</w:t>
      </w:r>
      <w:r w:rsidR="00C16E77">
        <w:t xml:space="preserve"> </w:t>
      </w:r>
    </w:p>
    <w:p w14:paraId="09FB00E3" w14:textId="5D261A88" w:rsidR="00FB2906" w:rsidRDefault="00FB2906" w:rsidP="00FB2906">
      <w:pPr>
        <w:pStyle w:val="Heading2"/>
      </w:pPr>
      <w:r>
        <w:t>MCP230 Mice Have Reduced Caloric Intake</w:t>
      </w:r>
    </w:p>
    <w:p w14:paraId="5F88E6AF" w14:textId="5DCF3C86" w:rsidR="00FB2906" w:rsidRDefault="00DC7316" w:rsidP="00230B4A">
      <w:r>
        <w:t xml:space="preserve">To determine how energy balance was affected in these mice we first examined their food intake, longitudinally throughout the study.  </w:t>
      </w:r>
      <w:r w:rsidR="00A107BF">
        <w:t>As sho</w:t>
      </w:r>
      <w:r w:rsidR="00C16E77">
        <w:t>wn in Figure 3</w:t>
      </w:r>
      <w:r w:rsidR="00A107BF">
        <w:t xml:space="preserve">A, </w:t>
      </w:r>
      <w:r w:rsidR="000A10E7">
        <w:t xml:space="preserve">the mice tended to eat lower amounts of food each week, though this did not reach statistical significance.  Cumulatively, the </w:t>
      </w:r>
      <w:r w:rsidR="00415F55">
        <w:t>MCP230</w:t>
      </w:r>
      <w:r w:rsidR="000A10E7">
        <w:t xml:space="preserve"> </w:t>
      </w:r>
      <w:r w:rsidR="00415F55">
        <w:t>ate</w:t>
      </w:r>
      <w:r w:rsidR="000A10E7">
        <w:t xml:space="preserve"> less food throughout the diet (</w:t>
      </w:r>
      <w:r w:rsidR="00415F55">
        <w:t>-</w:t>
      </w:r>
      <w:r w:rsidR="008C5F05">
        <w:t xml:space="preserve">6.3 +/- 1.8 kcal/week/mouse, </w:t>
      </w:r>
      <w:r w:rsidR="008C5F05">
        <w:sym w:font="Symbol" w:char="F063"/>
      </w:r>
      <w:r w:rsidR="008C5F05">
        <w:rPr>
          <w:vertAlign w:val="superscript"/>
        </w:rPr>
        <w:t>2</w:t>
      </w:r>
      <w:r w:rsidR="008C5F05">
        <w:t>=11.6, p=</w:t>
      </w:r>
      <w:r w:rsidR="004C687A">
        <w:t>8</w:t>
      </w:r>
      <w:r w:rsidR="00415F55">
        <w:t>.0</w:t>
      </w:r>
      <w:r w:rsidR="004C687A">
        <w:t xml:space="preserve"> x 10</w:t>
      </w:r>
      <w:r w:rsidR="004C687A">
        <w:rPr>
          <w:vertAlign w:val="superscript"/>
        </w:rPr>
        <w:t>-4</w:t>
      </w:r>
      <w:r w:rsidR="00C16E77">
        <w:t>, Figure 3</w:t>
      </w:r>
      <w:r w:rsidR="008C5F05">
        <w:t xml:space="preserve">B).  Through the 12 week high fat diet treatment this corresponds to a 20% reduction in total caloric intake.  To determine whether this reduction in food intake occurred at baseline, or only was due to </w:t>
      </w:r>
      <w:r w:rsidR="00FB2906">
        <w:t xml:space="preserve">the HFD, we also examined mice, individually housed at </w:t>
      </w:r>
      <w:commentRangeStart w:id="4"/>
      <w:r w:rsidR="00FB2906">
        <w:t>10 weeks of age</w:t>
      </w:r>
      <w:commentRangeEnd w:id="4"/>
      <w:r w:rsidR="0038128F">
        <w:rPr>
          <w:rStyle w:val="CommentReference"/>
        </w:rPr>
        <w:commentReference w:id="4"/>
      </w:r>
      <w:r w:rsidR="00FB2906">
        <w:t xml:space="preserve">.  These mice also consumed </w:t>
      </w:r>
      <w:commentRangeStart w:id="5"/>
      <w:r w:rsidR="00FB2906">
        <w:t>less food</w:t>
      </w:r>
      <w:commentRangeEnd w:id="5"/>
      <w:r w:rsidR="00FB2906">
        <w:rPr>
          <w:rStyle w:val="CommentReference"/>
        </w:rPr>
        <w:commentReference w:id="5"/>
      </w:r>
      <w:r w:rsidR="00FB2906">
        <w:t>.  Together these data suggest that the larger, particulate treated mice did not gain more weight due to caloric intake, and in fact had substantially less calories consumed.</w:t>
      </w:r>
    </w:p>
    <w:p w14:paraId="19D4AE39" w14:textId="63D32A1A" w:rsidR="00FB2906" w:rsidRDefault="00FB2906" w:rsidP="00FB2906">
      <w:pPr>
        <w:pStyle w:val="Heading2"/>
      </w:pPr>
      <w:r>
        <w:t xml:space="preserve">MCP230 Mice Have </w:t>
      </w:r>
      <w:r w:rsidR="008A533B">
        <w:t>Reduced</w:t>
      </w:r>
      <w:r>
        <w:t xml:space="preserve"> Energy Expenditure</w:t>
      </w:r>
    </w:p>
    <w:p w14:paraId="74FABF33" w14:textId="633D7CB8" w:rsidR="00FB2906" w:rsidRDefault="004A4358" w:rsidP="00230B4A">
      <w:r>
        <w:t xml:space="preserve">Since the MCP230 mice did not appear larger due to excessive caloric intake, we next examined their energy utilization.  </w:t>
      </w:r>
      <w:r w:rsidR="00FB2906">
        <w:t xml:space="preserve">To evaluate energy expenditure, we placed mice at </w:t>
      </w:r>
      <w:r w:rsidR="00243797">
        <w:t>9</w:t>
      </w:r>
      <w:r w:rsidR="00FB2906">
        <w:t xml:space="preserve"> weeks of age (prior to HFD)</w:t>
      </w:r>
      <w:r w:rsidR="00243797">
        <w:t xml:space="preserve"> in individual cages for indirect calorimetry, physical activity monitoring and evaluation of gas exchange rates.</w:t>
      </w:r>
    </w:p>
    <w:p w14:paraId="37032314" w14:textId="77777777" w:rsidR="008A533B" w:rsidRDefault="008A533B" w:rsidP="00230B4A"/>
    <w:p w14:paraId="0E6584DE" w14:textId="67A700E1" w:rsidR="008A533B" w:rsidRPr="008C5F05" w:rsidRDefault="008A533B" w:rsidP="008A533B">
      <w:pPr>
        <w:pStyle w:val="Heading2"/>
      </w:pPr>
      <w:r>
        <w:t>Muscles from MCP230 Treated Mice Have Reduced Mitochondrial Content</w:t>
      </w:r>
    </w:p>
    <w:p w14:paraId="584D0542" w14:textId="77777777" w:rsidR="007221E6" w:rsidRDefault="007221E6" w:rsidP="007221E6">
      <w:pPr>
        <w:pStyle w:val="Heading1"/>
      </w:pPr>
      <w:r>
        <w:t>Discussion</w:t>
      </w:r>
    </w:p>
    <w:p w14:paraId="09944BE2" w14:textId="6C0E8361" w:rsidR="00186D81" w:rsidRDefault="00592A7F" w:rsidP="00E16694">
      <w:r>
        <w:t xml:space="preserve">The appetite stimulating hormone ghrelin is elevated with fasting (See Figure 2G;  </w:t>
      </w:r>
      <w:r>
        <w:fldChar w:fldCharType="begin" w:fldLock="1"/>
      </w:r>
      <w:r w:rsidR="00392E97">
        <w:instrText>ADDIN CSL_CITATION { "citationItems" : [ { "id" : "ITEM-1",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"ITEM-1", "issue" : "6806", "issued" : { "date-parts" : [ [ "2000", "10", "19" ] ] }, "page" : "908-13", "title" : "Ghrelin induces adiposity in rodents.", "type" : "article-journal", "volume" : "407" }, "uris" : [ "http://www.mendeley.com/documents/?uuid=c7c479d3-a8a7-4cdd-8b7c-47f5fd4496f5" ] }, { "id" : "ITEM-2",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"ITEM-2",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"[5, 6]", "plainTextFormattedCitation" : "[5, 6]", "previouslyFormattedCitation" : "[5, 6]" }, "properties" : { "noteIndex" : 0 }, "schema" : "https://github.com/citation-style-language/schema/raw/master/csl-citation.json" }</w:instrText>
      </w:r>
      <w:r>
        <w:fldChar w:fldCharType="separate"/>
      </w:r>
      <w:r w:rsidR="00186D81" w:rsidRPr="00186D81">
        <w:rPr>
          <w:noProof/>
        </w:rPr>
        <w:t>[5, 6]</w:t>
      </w:r>
      <w:r>
        <w:fldChar w:fldCharType="end"/>
      </w:r>
      <w:r>
        <w:t>).  In the context of reduced observed food intake, it is likely that the elevated ghrelin levels in the MCP230 are a response to reduced food intake.  This potential counter-regulatory mechanism is consistent with observation</w:t>
      </w:r>
      <w:r w:rsidR="00186D81">
        <w:t>s</w:t>
      </w:r>
      <w:r>
        <w:t xml:space="preserve"> that ghrelin</w:t>
      </w:r>
      <w:r w:rsidR="006D59E1">
        <w:t xml:space="preserve"> levels</w:t>
      </w:r>
      <w:r>
        <w:t xml:space="preserve"> </w:t>
      </w:r>
      <w:r w:rsidR="006D59E1">
        <w:t>are</w:t>
      </w:r>
      <w:r>
        <w:t xml:space="preserve"> reduced with obesity </w:t>
      </w:r>
      <w:r>
        <w:fldChar w:fldCharType="begin" w:fldLock="1"/>
      </w:r>
      <w:r w:rsidR="000E51A5">
        <w:instrText>ADDIN CSL_CITATION { "citationItems" : [ { "id" : "ITEM-1",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"ITEM-1", "issue" : "4", "issued" : { "date-parts" : [ [ "2001", "4" ] ] }, "page" : "707-9", "title" : "Circulating ghrelin levels are decreased in human obesity.", "type" : "article-journal", "volume" : "50" }, "uris" : [ "http://www.mendeley.com/documents/?uuid=8f4f8b20-0a1e-408a-8918-29afe5ff63e1" ] }, { "id" : "ITEM-2", "itemData" : { "DOI" : "10.1101/004283", "abstract" : "Inbred C57BL/6J mice have been used to study diet-induced obesity and the consequential physiological effects associated with it. Little is understood about predictive factors that predispose an animal to weight gain. To address this, mice were fed a high fat diet, control diet or normal chow diet. High fat diet fed mice exhibited a large amount of variation in body weights between the mice at the conclusion of the diet protocol. This variation is not present in obese leptin deficient mice, which have less variation in body weight. Several measurements including pre-diet serum hormone levels and pre-diet body weight were analyzed, but had no predictive value regarding weight gain. However, weight loss response due to food deprivation showed a strong positive correlation with high fat diet induced weight gain. These data suggest that adolescent fasting induced weight loss is a useful predictor of diet-induced weight gain.Received April 17, 2014.Accepted April 17, 2014.\u00a9 2014, Published by Cold Spring Harbor Laboratory PressThis pre-print is available under a Creative Commons License (Attribution 4.0 International), CC BY 4.0, as described at http://creativecommons.org/licenses/by/4.0/", "author" : [ { "dropping-particle" : "", "family" : "Peloqiun", "given" : "Matthew J", "non-dropping-particle" : "", "parse-names" : false, "suffix" : "" }, { "dropping-particle" : "", "family" : "Bridges", "given" : "Dave", "non-dropping-particle" : "", "parse-names" : false, "suffix" : "" } ], "container-title" : "bioRxiv", "id" : "ITEM-2", "issued" : { "date-parts" : [ [ "2014", "4", "17" ] ] }, "title" : "Weight Loss in Response to Food Deprivation Predicts The Extent of Diet Induced Obesity in C57BL/6J Mice", "type" : "report" }, "uris" : [ "http://www.mendeley.com/documents/?uuid=6b3a94dd-1531-4be6-9e42-faadf555e298" ] }, { "id" : "ITEM-3", "itemData" : { "DOI" : "10.2337/diabetes.51.12.3408", "ISSN" : "0012-1797", "author" : [ { "dropping-particle" : "", "family" : "Ikezaki", "given" : "Ayako", "non-dropping-particle" : "", "parse-names" : false, "suffix" : "" }, { "dropping-particle" : "", "family" : "Hosoda", "given" : "Hiroshi", "non-dropping-particle" : "", "parse-names" : false, "suffix" : "" }, { "dropping-particle" : "", "family" : "Ito", "given" : "Keiko", "non-dropping-particle" : "", "parse-names" : false, "suffix" : "" }, { "dropping-particle" : "", "family" : "Iwama", "given" : "Saika", "non-dropping-particle" : "", "parse-names" : false, "suffix" : "" }, { "dropping-particle" : "", "family" : "Miura", "given" : "Naoko", "non-dropping-particle" : "", "parse-names" : false, "suffix" : "" }, { "dropping-particle" : "", "family" : "Matsuoka", "given" : "Hisafumi", "non-dropping-particle" : "", "parse-names" : false, "suffix" : "" }, { "dropping-particle" : "", "family" : "Kondo", "given" : "Chisato", "non-dropping-particle" : "", "parse-names" : false, "suffix" : "" }, { "dropping-particle" : "", "family" : "Kojima", "given" : "Masayasu", "non-dropping-particle" : "", "parse-names" : false, "suffix" : "" }, { "dropping-particle" : "", "family" : "Kangawa", "given" : "Kenji", "non-dropping-particle" : "", "parse-names" : false, "suffix" : "" }, { "dropping-particle" : "", "family" : "Sugihara", "given" : "Shigetaka", "non-dropping-particle" : "", "parse-names" : false, "suffix" : "" } ], "container-title" : "Diabetes", "id" : "ITEM-3", "issue" : "12", "issued" : { "date-parts" : [ [ "2002", "12", "1" ] ] }, "page" : "3408-3411", "title" : "Fasting Plasma Ghrelin Levels Are Negatively Correlated With Insulin Resistance and PAI-1, but Not With Leptin, in Obese Children and Adolescents", "type" : "article-journal", "volume" : "51" }, "uris" : [ "http://www.mendeley.com/documents/?uuid=995ae5bb-3f8c-4a1f-b268-42e50ffe1c61" ] } ], "mendeley" : { "formattedCitation" : "[7\u20139]", "plainTextFormattedCitation" : "[7\u20139]", "previouslyFormattedCitation" : "[7\u20139]" }, "properties" : { "noteIndex" : 0 }, "schema" : "https://github.com/citation-style-language/schema/raw/master/csl-citation.json" }</w:instrText>
      </w:r>
      <w:r>
        <w:fldChar w:fldCharType="separate"/>
      </w:r>
      <w:r w:rsidR="006D59E1" w:rsidRPr="006D59E1">
        <w:rPr>
          <w:noProof/>
        </w:rPr>
        <w:t>[7–9]</w:t>
      </w:r>
      <w:r>
        <w:fldChar w:fldCharType="end"/>
      </w:r>
      <w:r>
        <w:t xml:space="preserve">. </w:t>
      </w:r>
      <w:r w:rsidR="00603B85">
        <w:t xml:space="preserve"> </w:t>
      </w:r>
      <w:r w:rsidR="00186D81">
        <w:t xml:space="preserve">Elevations in </w:t>
      </w:r>
      <w:r w:rsidR="00603B85">
        <w:t>GLP-1 on the other hand inhibits</w:t>
      </w:r>
      <w:r w:rsidR="00186D81">
        <w:t xml:space="preserve"> </w:t>
      </w:r>
      <w:commentRangeStart w:id="6"/>
      <w:r w:rsidR="00186D81">
        <w:t xml:space="preserve">food intake </w:t>
      </w:r>
      <w:commentRangeEnd w:id="6"/>
      <w:r w:rsidR="00603B85">
        <w:rPr>
          <w:rStyle w:val="CommentReference"/>
        </w:rPr>
        <w:commentReference w:id="6"/>
      </w:r>
      <w:r w:rsidR="00392E97">
        <w:fldChar w:fldCharType="begin" w:fldLock="1"/>
      </w:r>
      <w:r w:rsidR="00603B85">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"[10, 12]", "plainTextFormattedCitation" : "[10, 12]", "previouslyFormattedCitation" : "[10]" }, "properties" : { "noteIndex" : 0 }, "schema" : "https://github.com/citation-style-language/schema/raw/master/csl-citation.json" }</w:instrText>
      </w:r>
      <w:r w:rsidR="00392E97">
        <w:fldChar w:fldCharType="separate"/>
      </w:r>
      <w:r w:rsidR="00603B85" w:rsidRPr="00603B85">
        <w:rPr>
          <w:noProof/>
        </w:rPr>
        <w:t>[10, 12]</w:t>
      </w:r>
      <w:r w:rsidR="00392E97">
        <w:fldChar w:fldCharType="end"/>
      </w:r>
      <w:r w:rsidR="000663D5">
        <w:t xml:space="preserve">, so these changes could </w:t>
      </w:r>
      <w:r w:rsidR="00BC74F7">
        <w:t xml:space="preserve">potentially </w:t>
      </w:r>
      <w:r w:rsidR="000663D5">
        <w:t>play a role in the reduced appetite of the MCP230 treated mice.</w:t>
      </w:r>
    </w:p>
    <w:p w14:paraId="5EBE65EA" w14:textId="77777777" w:rsidR="00E16694" w:rsidRDefault="00E16694" w:rsidP="007221E6">
      <w:pPr>
        <w:pStyle w:val="Heading1"/>
      </w:pPr>
    </w:p>
    <w:p w14:paraId="1DCFA0F3" w14:textId="77777777" w:rsidR="007221E6" w:rsidRDefault="007221E6" w:rsidP="007221E6">
      <w:pPr>
        <w:pStyle w:val="Heading1"/>
      </w:pPr>
      <w:r>
        <w:t>Acknowledgements</w:t>
      </w:r>
    </w:p>
    <w:p w14:paraId="48E67CCE" w14:textId="3EFF2BF6" w:rsidR="004A4358" w:rsidRPr="004A4358" w:rsidRDefault="004A4358" w:rsidP="004A4358">
      <w:r>
        <w:t xml:space="preserve">We would like to acknowledge funding from </w:t>
      </w:r>
      <w:r w:rsidR="00933298">
        <w:t xml:space="preserve">Le Bonheur Grant # (DB) and </w:t>
      </w:r>
      <w:commentRangeStart w:id="7"/>
      <w:r w:rsidR="00933298">
        <w:t>XXXX</w:t>
      </w:r>
      <w:commentRangeEnd w:id="7"/>
      <w:r w:rsidR="00933298">
        <w:rPr>
          <w:rStyle w:val="CommentReference"/>
        </w:rPr>
        <w:commentReference w:id="7"/>
      </w:r>
      <w:r w:rsidR="00933298">
        <w:t>.  The authors would like to thank Jordy Saravia for assistance with the luminex assay and the other members of the Bridges and Cormier labs for helpful discussions and insights.</w:t>
      </w:r>
    </w:p>
    <w:p w14:paraId="14907E92" w14:textId="77777777" w:rsidR="0012599A" w:rsidRDefault="0012599A">
      <w:pPr>
        <w:rPr>
          <w:rFonts w:asciiTheme="majorHAnsi" w:eastAsiaTheme="majorEastAsia" w:hAnsiTheme="majorHAnsi" w:cstheme="majorBidi"/>
          <w:b/>
          <w:bCs/>
          <w:color w:val="345A8A" w:themeColor="accent1" w:themeShade="B5"/>
          <w:sz w:val="32"/>
          <w:szCs w:val="32"/>
        </w:rPr>
      </w:pPr>
      <w:r>
        <w:br w:type="page"/>
      </w:r>
    </w:p>
    <w:p w14:paraId="250A51D1" w14:textId="356591A0" w:rsidR="005E42A8" w:rsidRDefault="005E42A8" w:rsidP="001B3EBF">
      <w:pPr>
        <w:pStyle w:val="Heading1"/>
      </w:pPr>
      <w:r>
        <w:t>References</w:t>
      </w:r>
    </w:p>
    <w:p w14:paraId="3C0C33E1" w14:textId="170038BA" w:rsidR="00603B85" w:rsidRPr="00603B85" w:rsidRDefault="001B3EBF">
      <w:pPr>
        <w:pStyle w:val="NormalWeb"/>
        <w:ind w:left="640" w:hanging="640"/>
        <w:divId w:val="566646526"/>
        <w:rPr>
          <w:rFonts w:ascii="Cambria" w:hAnsi="Cambria"/>
          <w:noProof/>
          <w:sz w:val="24"/>
        </w:rPr>
      </w:pPr>
      <w:r>
        <w:fldChar w:fldCharType="begin" w:fldLock="1"/>
      </w:r>
      <w:r>
        <w:instrText xml:space="preserve">ADDIN Mendeley Bibliography CSL_BIBLIOGRAPHY </w:instrText>
      </w:r>
      <w:r>
        <w:fldChar w:fldCharType="separate"/>
      </w:r>
      <w:r w:rsidR="00603B85" w:rsidRPr="00603B85">
        <w:rPr>
          <w:rFonts w:ascii="Cambria" w:hAnsi="Cambria"/>
          <w:noProof/>
          <w:sz w:val="24"/>
        </w:rPr>
        <w:t>1.</w:t>
      </w:r>
      <w:r w:rsidR="00603B85" w:rsidRPr="00603B85">
        <w:rPr>
          <w:rFonts w:ascii="Cambria" w:hAnsi="Cambria"/>
          <w:noProof/>
          <w:sz w:val="24"/>
        </w:rPr>
        <w:tab/>
        <w:t xml:space="preserve">Lu, B., Bridges, D., Yang, Y., Fisher, K., Cheng, A., Chang, L., Meng, Z., Lin, J. D., Downes, M., Yu, R. T., et al. (2014). Metabolic crosstalk: molecular links between glycogen and lipid metabolism in obesity. Diabetes </w:t>
      </w:r>
      <w:r w:rsidR="00603B85" w:rsidRPr="00603B85">
        <w:rPr>
          <w:rFonts w:ascii="Cambria" w:hAnsi="Cambria"/>
          <w:i/>
          <w:iCs/>
          <w:noProof/>
          <w:sz w:val="24"/>
        </w:rPr>
        <w:t>63</w:t>
      </w:r>
      <w:r w:rsidR="00603B85" w:rsidRPr="00603B85">
        <w:rPr>
          <w:rFonts w:ascii="Cambria" w:hAnsi="Cambria"/>
          <w:noProof/>
          <w:sz w:val="24"/>
        </w:rPr>
        <w:t>, 2935–48.</w:t>
      </w:r>
    </w:p>
    <w:p w14:paraId="3B2EFFC7" w14:textId="77777777" w:rsidR="00603B85" w:rsidRPr="00603B85" w:rsidRDefault="00603B85">
      <w:pPr>
        <w:pStyle w:val="NormalWeb"/>
        <w:ind w:left="640" w:hanging="640"/>
        <w:divId w:val="566646526"/>
        <w:rPr>
          <w:rFonts w:ascii="Cambria" w:hAnsi="Cambria"/>
          <w:noProof/>
          <w:sz w:val="24"/>
        </w:rPr>
      </w:pPr>
      <w:r w:rsidRPr="00603B85">
        <w:rPr>
          <w:rFonts w:ascii="Cambria" w:hAnsi="Cambria"/>
          <w:noProof/>
          <w:sz w:val="24"/>
        </w:rPr>
        <w:t>2.</w:t>
      </w:r>
      <w:r w:rsidRPr="00603B85">
        <w:rPr>
          <w:rFonts w:ascii="Cambria" w:hAnsi="Cambria"/>
          <w:noProof/>
          <w:sz w:val="24"/>
        </w:rPr>
        <w:tab/>
        <w:t>R Core Team (2013). R: A Language and Environment for Statistical Computing.</w:t>
      </w:r>
    </w:p>
    <w:p w14:paraId="1517423F" w14:textId="77777777" w:rsidR="00603B85" w:rsidRPr="00603B85" w:rsidRDefault="00603B85">
      <w:pPr>
        <w:pStyle w:val="NormalWeb"/>
        <w:ind w:left="640" w:hanging="640"/>
        <w:divId w:val="566646526"/>
        <w:rPr>
          <w:rFonts w:ascii="Cambria" w:hAnsi="Cambria"/>
          <w:noProof/>
          <w:sz w:val="24"/>
        </w:rPr>
      </w:pPr>
      <w:r w:rsidRPr="00603B85">
        <w:rPr>
          <w:rFonts w:ascii="Cambria" w:hAnsi="Cambria"/>
          <w:noProof/>
          <w:sz w:val="24"/>
        </w:rPr>
        <w:t>3.</w:t>
      </w:r>
      <w:r w:rsidRPr="00603B85">
        <w:rPr>
          <w:rFonts w:ascii="Cambria" w:hAnsi="Cambria"/>
          <w:noProof/>
          <w:sz w:val="24"/>
        </w:rPr>
        <w:tab/>
        <w:t xml:space="preserve">Bates, D., Mächler, M., Bolker, B., and Walker, S. (2014). Fitting Linear Mixed-Effects Models using lme4. ArXiv </w:t>
      </w:r>
      <w:r w:rsidRPr="00603B85">
        <w:rPr>
          <w:rFonts w:ascii="Cambria" w:hAnsi="Cambria"/>
          <w:i/>
          <w:iCs/>
          <w:noProof/>
          <w:sz w:val="24"/>
        </w:rPr>
        <w:t>1406.5823</w:t>
      </w:r>
      <w:r w:rsidRPr="00603B85">
        <w:rPr>
          <w:rFonts w:ascii="Cambria" w:hAnsi="Cambria"/>
          <w:noProof/>
          <w:sz w:val="24"/>
        </w:rPr>
        <w:t>, 1–51.</w:t>
      </w:r>
    </w:p>
    <w:p w14:paraId="38553345" w14:textId="77777777" w:rsidR="00603B85" w:rsidRPr="00603B85" w:rsidRDefault="00603B85">
      <w:pPr>
        <w:pStyle w:val="NormalWeb"/>
        <w:ind w:left="640" w:hanging="640"/>
        <w:divId w:val="566646526"/>
        <w:rPr>
          <w:rFonts w:ascii="Cambria" w:hAnsi="Cambria"/>
          <w:noProof/>
          <w:sz w:val="24"/>
        </w:rPr>
      </w:pPr>
      <w:r w:rsidRPr="00603B85">
        <w:rPr>
          <w:rFonts w:ascii="Cambria" w:hAnsi="Cambria"/>
          <w:noProof/>
          <w:sz w:val="24"/>
        </w:rPr>
        <w:t>4.</w:t>
      </w:r>
      <w:r w:rsidRPr="00603B85">
        <w:rPr>
          <w:rFonts w:ascii="Cambria" w:hAnsi="Cambria"/>
          <w:noProof/>
          <w:sz w:val="24"/>
        </w:rPr>
        <w:tab/>
        <w:t>Fox, J., and Weisberg, S. (2011). An {R} Companion to Applied Regression Second. (Thousand Oaks {CA}: Sage).</w:t>
      </w:r>
    </w:p>
    <w:p w14:paraId="379CA360" w14:textId="77777777" w:rsidR="00603B85" w:rsidRPr="00603B85" w:rsidRDefault="00603B85">
      <w:pPr>
        <w:pStyle w:val="NormalWeb"/>
        <w:ind w:left="640" w:hanging="640"/>
        <w:divId w:val="566646526"/>
        <w:rPr>
          <w:rFonts w:ascii="Cambria" w:hAnsi="Cambria"/>
          <w:noProof/>
          <w:sz w:val="24"/>
        </w:rPr>
      </w:pPr>
      <w:r w:rsidRPr="00603B85">
        <w:rPr>
          <w:rFonts w:ascii="Cambria" w:hAnsi="Cambria"/>
          <w:noProof/>
          <w:sz w:val="24"/>
        </w:rPr>
        <w:t>5.</w:t>
      </w:r>
      <w:r w:rsidRPr="00603B85">
        <w:rPr>
          <w:rFonts w:ascii="Cambria" w:hAnsi="Cambria"/>
          <w:noProof/>
          <w:sz w:val="24"/>
        </w:rPr>
        <w:tab/>
        <w:t xml:space="preserve">Tschöp, M., Smiley, D. L., and Heiman, M. L. (2000). Ghrelin induces adiposity in rodents. Nature </w:t>
      </w:r>
      <w:r w:rsidRPr="00603B85">
        <w:rPr>
          <w:rFonts w:ascii="Cambria" w:hAnsi="Cambria"/>
          <w:i/>
          <w:iCs/>
          <w:noProof/>
          <w:sz w:val="24"/>
        </w:rPr>
        <w:t>407</w:t>
      </w:r>
      <w:r w:rsidRPr="00603B85">
        <w:rPr>
          <w:rFonts w:ascii="Cambria" w:hAnsi="Cambria"/>
          <w:noProof/>
          <w:sz w:val="24"/>
        </w:rPr>
        <w:t>, 908–13.</w:t>
      </w:r>
    </w:p>
    <w:p w14:paraId="0F347464" w14:textId="77777777" w:rsidR="00603B85" w:rsidRPr="00603B85" w:rsidRDefault="00603B85">
      <w:pPr>
        <w:pStyle w:val="NormalWeb"/>
        <w:ind w:left="640" w:hanging="640"/>
        <w:divId w:val="566646526"/>
        <w:rPr>
          <w:rFonts w:ascii="Cambria" w:hAnsi="Cambria"/>
          <w:noProof/>
          <w:sz w:val="24"/>
        </w:rPr>
      </w:pPr>
      <w:r w:rsidRPr="00603B85">
        <w:rPr>
          <w:rFonts w:ascii="Cambria" w:hAnsi="Cambria"/>
          <w:noProof/>
          <w:sz w:val="24"/>
        </w:rPr>
        <w:t>6.</w:t>
      </w:r>
      <w:r w:rsidRPr="00603B85">
        <w:rPr>
          <w:rFonts w:ascii="Cambria" w:hAnsi="Cambria"/>
          <w:noProof/>
          <w:sz w:val="24"/>
        </w:rPr>
        <w:tab/>
        <w:t xml:space="preserve">Toshinai, K., Mondal, M. S., Nakazato, M., Date, Y., Murakami, N., Kojima, M., Kangawa, K., and Matsukura, S. (2001). Upregulation of Ghrelin expression in the stomach upon fasting, insulin-induced hypoglycemia, and leptin administration. Biochem. Biophys. Res. Commun. </w:t>
      </w:r>
      <w:r w:rsidRPr="00603B85">
        <w:rPr>
          <w:rFonts w:ascii="Cambria" w:hAnsi="Cambria"/>
          <w:i/>
          <w:iCs/>
          <w:noProof/>
          <w:sz w:val="24"/>
        </w:rPr>
        <w:t>281</w:t>
      </w:r>
      <w:r w:rsidRPr="00603B85">
        <w:rPr>
          <w:rFonts w:ascii="Cambria" w:hAnsi="Cambria"/>
          <w:noProof/>
          <w:sz w:val="24"/>
        </w:rPr>
        <w:t>, 1220–5.</w:t>
      </w:r>
    </w:p>
    <w:p w14:paraId="6A61E3FC" w14:textId="77777777" w:rsidR="00603B85" w:rsidRPr="00603B85" w:rsidRDefault="00603B85">
      <w:pPr>
        <w:pStyle w:val="NormalWeb"/>
        <w:ind w:left="640" w:hanging="640"/>
        <w:divId w:val="566646526"/>
        <w:rPr>
          <w:rFonts w:ascii="Cambria" w:hAnsi="Cambria"/>
          <w:noProof/>
          <w:sz w:val="24"/>
        </w:rPr>
      </w:pPr>
      <w:r w:rsidRPr="00603B85">
        <w:rPr>
          <w:rFonts w:ascii="Cambria" w:hAnsi="Cambria"/>
          <w:noProof/>
          <w:sz w:val="24"/>
        </w:rPr>
        <w:t>7.</w:t>
      </w:r>
      <w:r w:rsidRPr="00603B85">
        <w:rPr>
          <w:rFonts w:ascii="Cambria" w:hAnsi="Cambria"/>
          <w:noProof/>
          <w:sz w:val="24"/>
        </w:rPr>
        <w:tab/>
        <w:t xml:space="preserve">Tschöp, M., Weyer, C., Tataranni, P. a, Devanarayan, V., Ravussin, E., and Heiman, M. L. (2001). Circulating ghrelin levels are decreased in human obesity. Diabetes </w:t>
      </w:r>
      <w:r w:rsidRPr="00603B85">
        <w:rPr>
          <w:rFonts w:ascii="Cambria" w:hAnsi="Cambria"/>
          <w:i/>
          <w:iCs/>
          <w:noProof/>
          <w:sz w:val="24"/>
        </w:rPr>
        <w:t>50</w:t>
      </w:r>
      <w:r w:rsidRPr="00603B85">
        <w:rPr>
          <w:rFonts w:ascii="Cambria" w:hAnsi="Cambria"/>
          <w:noProof/>
          <w:sz w:val="24"/>
        </w:rPr>
        <w:t>, 707–9.</w:t>
      </w:r>
    </w:p>
    <w:p w14:paraId="48743B93" w14:textId="77777777" w:rsidR="00603B85" w:rsidRPr="00603B85" w:rsidRDefault="00603B85">
      <w:pPr>
        <w:pStyle w:val="NormalWeb"/>
        <w:ind w:left="640" w:hanging="640"/>
        <w:divId w:val="566646526"/>
        <w:rPr>
          <w:rFonts w:ascii="Cambria" w:hAnsi="Cambria"/>
          <w:noProof/>
          <w:sz w:val="24"/>
        </w:rPr>
      </w:pPr>
      <w:r w:rsidRPr="00603B85">
        <w:rPr>
          <w:rFonts w:ascii="Cambria" w:hAnsi="Cambria"/>
          <w:noProof/>
          <w:sz w:val="24"/>
        </w:rPr>
        <w:t>8.</w:t>
      </w:r>
      <w:r w:rsidRPr="00603B85">
        <w:rPr>
          <w:rFonts w:ascii="Cambria" w:hAnsi="Cambria"/>
          <w:noProof/>
          <w:sz w:val="24"/>
        </w:rPr>
        <w:tab/>
        <w:t>Peloqiun, M. J., and Bridges, D. (2014). Weight Loss in Response to Food Deprivation Predicts The Extent of Diet Induced Obesity in C57BL/6J Mice.</w:t>
      </w:r>
    </w:p>
    <w:p w14:paraId="2E1E4800" w14:textId="77777777" w:rsidR="00603B85" w:rsidRPr="00603B85" w:rsidRDefault="00603B85">
      <w:pPr>
        <w:pStyle w:val="NormalWeb"/>
        <w:ind w:left="640" w:hanging="640"/>
        <w:divId w:val="566646526"/>
        <w:rPr>
          <w:rFonts w:ascii="Cambria" w:hAnsi="Cambria"/>
          <w:noProof/>
          <w:sz w:val="24"/>
        </w:rPr>
      </w:pPr>
      <w:r w:rsidRPr="00603B85">
        <w:rPr>
          <w:rFonts w:ascii="Cambria" w:hAnsi="Cambria"/>
          <w:noProof/>
          <w:sz w:val="24"/>
        </w:rPr>
        <w:t>9.</w:t>
      </w:r>
      <w:r w:rsidRPr="00603B85">
        <w:rPr>
          <w:rFonts w:ascii="Cambria" w:hAnsi="Cambria"/>
          <w:noProof/>
          <w:sz w:val="24"/>
        </w:rPr>
        <w:tab/>
        <w:t xml:space="preserve">Ikezaki, A., Hosoda, H., Ito, K., Iwama, S., Miura, N., Matsuoka, H., Kondo, C., Kojima, M., Kangawa, K., and Sugihara, S. (2002). Fasting Plasma Ghrelin Levels Are Negatively Correlated With Insulin Resistance and PAI-1, but Not With Leptin, in Obese Children and Adolescents. Diabetes </w:t>
      </w:r>
      <w:r w:rsidRPr="00603B85">
        <w:rPr>
          <w:rFonts w:ascii="Cambria" w:hAnsi="Cambria"/>
          <w:i/>
          <w:iCs/>
          <w:noProof/>
          <w:sz w:val="24"/>
        </w:rPr>
        <w:t>51</w:t>
      </w:r>
      <w:r w:rsidRPr="00603B85">
        <w:rPr>
          <w:rFonts w:ascii="Cambria" w:hAnsi="Cambria"/>
          <w:noProof/>
          <w:sz w:val="24"/>
        </w:rPr>
        <w:t>, 3408–3411.</w:t>
      </w:r>
    </w:p>
    <w:p w14:paraId="5ABCFA6B" w14:textId="77777777" w:rsidR="00603B85" w:rsidRPr="00603B85" w:rsidRDefault="00603B85">
      <w:pPr>
        <w:pStyle w:val="NormalWeb"/>
        <w:ind w:left="640" w:hanging="640"/>
        <w:divId w:val="566646526"/>
        <w:rPr>
          <w:rFonts w:ascii="Cambria" w:hAnsi="Cambria"/>
          <w:noProof/>
          <w:sz w:val="24"/>
        </w:rPr>
      </w:pPr>
      <w:r w:rsidRPr="00603B85">
        <w:rPr>
          <w:rFonts w:ascii="Cambria" w:hAnsi="Cambria"/>
          <w:noProof/>
          <w:sz w:val="24"/>
        </w:rPr>
        <w:t>10.</w:t>
      </w:r>
      <w:r w:rsidRPr="00603B85">
        <w:rPr>
          <w:rFonts w:ascii="Cambria" w:hAnsi="Cambria"/>
          <w:noProof/>
          <w:sz w:val="24"/>
        </w:rPr>
        <w:tab/>
        <w:t xml:space="preserve">Baggio, L. L., Huang, Q., Brown, T. J., and Drucker, D. J. (2004). Oxyntomodulin and glucagon-like peptide-1 differentially regulate murine food intake and energy expenditure. Gastroenterology </w:t>
      </w:r>
      <w:r w:rsidRPr="00603B85">
        <w:rPr>
          <w:rFonts w:ascii="Cambria" w:hAnsi="Cambria"/>
          <w:i/>
          <w:iCs/>
          <w:noProof/>
          <w:sz w:val="24"/>
        </w:rPr>
        <w:t>127</w:t>
      </w:r>
      <w:r w:rsidRPr="00603B85">
        <w:rPr>
          <w:rFonts w:ascii="Cambria" w:hAnsi="Cambria"/>
          <w:noProof/>
          <w:sz w:val="24"/>
        </w:rPr>
        <w:t>, 546–558.</w:t>
      </w:r>
    </w:p>
    <w:p w14:paraId="1EDFD395" w14:textId="77777777" w:rsidR="00603B85" w:rsidRPr="00603B85" w:rsidRDefault="00603B85">
      <w:pPr>
        <w:pStyle w:val="NormalWeb"/>
        <w:ind w:left="640" w:hanging="640"/>
        <w:divId w:val="566646526"/>
        <w:rPr>
          <w:rFonts w:ascii="Cambria" w:hAnsi="Cambria"/>
          <w:noProof/>
          <w:sz w:val="24"/>
        </w:rPr>
      </w:pPr>
      <w:r w:rsidRPr="00603B85">
        <w:rPr>
          <w:rFonts w:ascii="Cambria" w:hAnsi="Cambria"/>
          <w:noProof/>
          <w:sz w:val="24"/>
        </w:rPr>
        <w:t>11.</w:t>
      </w:r>
      <w:r w:rsidRPr="00603B85">
        <w:rPr>
          <w:rFonts w:ascii="Cambria" w:hAnsi="Cambria"/>
          <w:noProof/>
          <w:sz w:val="24"/>
        </w:rPr>
        <w:tab/>
        <w:t xml:space="preserve">Osaka, T., Endo, M., Yamakawa, M., and Inoue, S. (2005). Energy expenditure by intravenous administration of glucagon-like peptide-1 mediated by the lower brainstem and sympathoadrenal system. Peptides </w:t>
      </w:r>
      <w:r w:rsidRPr="00603B85">
        <w:rPr>
          <w:rFonts w:ascii="Cambria" w:hAnsi="Cambria"/>
          <w:i/>
          <w:iCs/>
          <w:noProof/>
          <w:sz w:val="24"/>
        </w:rPr>
        <w:t>26</w:t>
      </w:r>
      <w:r w:rsidRPr="00603B85">
        <w:rPr>
          <w:rFonts w:ascii="Cambria" w:hAnsi="Cambria"/>
          <w:noProof/>
          <w:sz w:val="24"/>
        </w:rPr>
        <w:t>, 1623–31.</w:t>
      </w:r>
    </w:p>
    <w:p w14:paraId="0BC4C683" w14:textId="77777777" w:rsidR="00603B85" w:rsidRPr="00603B85" w:rsidRDefault="00603B85">
      <w:pPr>
        <w:pStyle w:val="NormalWeb"/>
        <w:ind w:left="640" w:hanging="640"/>
        <w:divId w:val="566646526"/>
        <w:rPr>
          <w:rFonts w:ascii="Cambria" w:hAnsi="Cambria"/>
          <w:noProof/>
          <w:sz w:val="24"/>
        </w:rPr>
      </w:pPr>
      <w:r w:rsidRPr="00603B85">
        <w:rPr>
          <w:rFonts w:ascii="Cambria" w:hAnsi="Cambria"/>
          <w:noProof/>
          <w:sz w:val="24"/>
        </w:rPr>
        <w:t>12.</w:t>
      </w:r>
      <w:r w:rsidRPr="00603B85">
        <w:rPr>
          <w:rFonts w:ascii="Cambria" w:hAnsi="Cambria"/>
          <w:noProof/>
          <w:sz w:val="24"/>
        </w:rPr>
        <w:tab/>
        <w:t xml:space="preserve">Turton, M. D., O’Shea, D., Gunn, I., Beak, S. A., Edwards, C. M., Meeran, K., Choi, S. J., Taylor, G. M., Heath, M. M., Lambert, P. D., et al. (1996). A role for glucagon-like peptide-1 in the central regulation of feeding. Nature </w:t>
      </w:r>
      <w:r w:rsidRPr="00603B85">
        <w:rPr>
          <w:rFonts w:ascii="Cambria" w:hAnsi="Cambria"/>
          <w:i/>
          <w:iCs/>
          <w:noProof/>
          <w:sz w:val="24"/>
        </w:rPr>
        <w:t>379</w:t>
      </w:r>
      <w:r w:rsidRPr="00603B85">
        <w:rPr>
          <w:rFonts w:ascii="Cambria" w:hAnsi="Cambria"/>
          <w:noProof/>
          <w:sz w:val="24"/>
        </w:rPr>
        <w:t xml:space="preserve">, 69–72. </w:t>
      </w:r>
    </w:p>
    <w:p w14:paraId="5A4C36CD" w14:textId="00965129" w:rsidR="001B3EBF" w:rsidRPr="001B3EBF" w:rsidRDefault="001B3EBF" w:rsidP="00603B85">
      <w:pPr>
        <w:pStyle w:val="NormalWeb"/>
        <w:ind w:left="640" w:hanging="640"/>
        <w:divId w:val="1781097782"/>
      </w:pPr>
      <w:r>
        <w:fldChar w:fldCharType="end"/>
      </w:r>
    </w:p>
    <w:p w14:paraId="6CFBED4E" w14:textId="77777777" w:rsidR="0012599A" w:rsidRDefault="0012599A">
      <w:pPr>
        <w:rPr>
          <w:rFonts w:asciiTheme="majorHAnsi" w:eastAsiaTheme="majorEastAsia" w:hAnsiTheme="majorHAnsi" w:cstheme="majorBidi"/>
          <w:b/>
          <w:bCs/>
          <w:color w:val="345A8A" w:themeColor="accent1" w:themeShade="B5"/>
          <w:sz w:val="32"/>
          <w:szCs w:val="32"/>
        </w:rPr>
      </w:pPr>
      <w:r>
        <w:br w:type="page"/>
      </w:r>
    </w:p>
    <w:p w14:paraId="17F17C85" w14:textId="0654598B" w:rsidR="005E42A8" w:rsidRDefault="005E42A8" w:rsidP="001B3EBF">
      <w:pPr>
        <w:pStyle w:val="Heading1"/>
      </w:pPr>
      <w:r>
        <w:t>Figure Legends</w:t>
      </w:r>
    </w:p>
    <w:p w14:paraId="3B8017AC" w14:textId="77777777" w:rsidR="005E42A8" w:rsidRDefault="005E42A8" w:rsidP="005E42A8"/>
    <w:p w14:paraId="68D841FB" w14:textId="71863057" w:rsidR="005E42A8" w:rsidRPr="00AA50B4" w:rsidRDefault="005E42A8" w:rsidP="005E42A8">
      <w:r w:rsidRPr="005E42A8">
        <w:rPr>
          <w:b/>
        </w:rPr>
        <w:t>Figure 1:  Gestationally treatment of MCP230 leads to mice with elevated weight gain on high fat diet.</w:t>
      </w:r>
      <w:r>
        <w:rPr>
          <w:b/>
        </w:rPr>
        <w:t xml:space="preserve">  </w:t>
      </w:r>
      <w:r>
        <w:t xml:space="preserve">A) Schematic of treatment.  B) </w:t>
      </w:r>
      <w:r w:rsidR="00AA50B4">
        <w:t xml:space="preserve">Body weight throughout the HFD treatment.  C-E) After 12 weeks of HFD, body composition was determined in the fed state (ZT12).  Asterisks indicate p&lt;0.05 via a Student’s </w:t>
      </w:r>
      <w:r w:rsidR="00AA50B4">
        <w:rPr>
          <w:i/>
        </w:rPr>
        <w:t>t</w:t>
      </w:r>
      <w:r w:rsidR="00AA50B4">
        <w:t>-test (C</w:t>
      </w:r>
      <w:r w:rsidR="007F0C91">
        <w:t>-D</w:t>
      </w:r>
      <w:r w:rsidR="00AA50B4">
        <w:t>).</w:t>
      </w:r>
    </w:p>
    <w:p w14:paraId="5B2FEB9D" w14:textId="77777777" w:rsidR="006E5F28" w:rsidRDefault="006E5F28" w:rsidP="005E42A8"/>
    <w:p w14:paraId="586ED933" w14:textId="47449E54" w:rsidR="006E5F28" w:rsidRPr="004E720F" w:rsidRDefault="006E5F28" w:rsidP="005E42A8">
      <w:r w:rsidRPr="004E720F">
        <w:rPr>
          <w:b/>
        </w:rPr>
        <w:t xml:space="preserve">Figure 2:  Gestationally MCP230 treated mice have no changes in liver triglycerides or insulin sensitivity but have elevations in </w:t>
      </w:r>
      <w:r w:rsidR="004E720F" w:rsidRPr="004E720F">
        <w:rPr>
          <w:b/>
        </w:rPr>
        <w:t>ghrelin.</w:t>
      </w:r>
      <w:r w:rsidR="0000538F">
        <w:t xml:space="preserve">  A) </w:t>
      </w:r>
      <w:r w:rsidR="004E720F">
        <w:t xml:space="preserve">Liver triglycerides and B) blood glucose levels were determined from mice after a 16h fast at approximately ZT4. C-J) Fed (ZT12) and fasted (ZT4) </w:t>
      </w:r>
      <w:r w:rsidR="00494F36">
        <w:t>serum hormone levels were determined.  Asterisk indicates p&lt;0.05 via a Wilcoxon Rank Sum Test.</w:t>
      </w:r>
    </w:p>
    <w:p w14:paraId="415E5A4D" w14:textId="77777777" w:rsidR="007221E6" w:rsidRDefault="007221E6"/>
    <w:sectPr w:rsidR="007221E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11-13T11:20:00Z" w:initials="DB">
    <w:p w14:paraId="35B82DE8" w14:textId="0E137881" w:rsidR="00C82568" w:rsidRDefault="00C82568">
      <w:pPr>
        <w:pStyle w:val="CommentText"/>
      </w:pPr>
      <w:r>
        <w:rPr>
          <w:rStyle w:val="CommentReference"/>
        </w:rPr>
        <w:annotationRef/>
      </w:r>
      <w:r>
        <w:t>If we use liver data</w:t>
      </w:r>
    </w:p>
  </w:comment>
  <w:comment w:id="1" w:author="Dave Bridges" w:date="2014-11-13T17:25:00Z" w:initials="DB">
    <w:p w14:paraId="7D88D754" w14:textId="05B9A31C" w:rsidR="00C82568" w:rsidRDefault="00C82568">
      <w:pPr>
        <w:pStyle w:val="CommentText"/>
      </w:pPr>
      <w:r>
        <w:rPr>
          <w:rStyle w:val="CommentReference"/>
        </w:rPr>
        <w:annotationRef/>
      </w:r>
    </w:p>
  </w:comment>
  <w:comment w:id="2" w:author="Dave Bridges" w:date="2014-11-13T12:24:00Z" w:initials="DB">
    <w:p w14:paraId="3188BF80" w14:textId="723C42D0" w:rsidR="00C82568" w:rsidRDefault="00C82568">
      <w:pPr>
        <w:pStyle w:val="CommentText"/>
      </w:pPr>
      <w:r>
        <w:rPr>
          <w:rStyle w:val="CommentReference"/>
        </w:rPr>
        <w:annotationRef/>
      </w:r>
      <w:r>
        <w:t>Need lm data</w:t>
      </w:r>
    </w:p>
  </w:comment>
  <w:comment w:id="4" w:author="Dave Bridges" w:date="2014-11-16T10:32:00Z" w:initials="DB">
    <w:p w14:paraId="3E126E3E" w14:textId="423B83EF" w:rsidR="00C82568" w:rsidRDefault="00C82568">
      <w:pPr>
        <w:pStyle w:val="CommentText"/>
      </w:pPr>
      <w:r>
        <w:rPr>
          <w:rStyle w:val="CommentReference"/>
        </w:rPr>
        <w:annotationRef/>
      </w:r>
      <w:r>
        <w:t>Need this data</w:t>
      </w:r>
    </w:p>
  </w:comment>
  <w:comment w:id="5" w:author="Dave Bridges" w:date="2014-11-13T16:37:00Z" w:initials="DB">
    <w:p w14:paraId="3143A03C" w14:textId="37F5B4CE" w:rsidR="00C82568" w:rsidRDefault="00C82568">
      <w:pPr>
        <w:pStyle w:val="CommentText"/>
      </w:pPr>
      <w:r>
        <w:rPr>
          <w:rStyle w:val="CommentReference"/>
        </w:rPr>
        <w:annotationRef/>
      </w:r>
      <w:r>
        <w:t>Needs stats</w:t>
      </w:r>
    </w:p>
  </w:comment>
  <w:comment w:id="6" w:author="Dave Bridges" w:date="2014-11-16T11:28:00Z" w:initials="DB">
    <w:p w14:paraId="7275AD87" w14:textId="2206F8CF" w:rsidR="00C82568" w:rsidRDefault="00C82568">
      <w:pPr>
        <w:pStyle w:val="CommentText"/>
      </w:pPr>
      <w:r>
        <w:rPr>
          <w:rStyle w:val="CommentReference"/>
        </w:rPr>
        <w:annotationRef/>
      </w:r>
      <w:r>
        <w:t>Increases energy expenditure</w:t>
      </w:r>
    </w:p>
  </w:comment>
  <w:comment w:id="7" w:author="Dave Bridges" w:date="2014-11-16T12:29:00Z" w:initials="DB">
    <w:p w14:paraId="1F4492DF" w14:textId="34AEC6B2" w:rsidR="00C82568" w:rsidRDefault="00C82568">
      <w:pPr>
        <w:pStyle w:val="CommentText"/>
      </w:pPr>
      <w:r>
        <w:rPr>
          <w:rStyle w:val="CommentReference"/>
        </w:rPr>
        <w:annotationRef/>
      </w:r>
      <w:r>
        <w:t>Steph can you put in any funding you guys have.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1E6"/>
    <w:rsid w:val="0000538F"/>
    <w:rsid w:val="00016389"/>
    <w:rsid w:val="00031FF5"/>
    <w:rsid w:val="000663D5"/>
    <w:rsid w:val="000A10E7"/>
    <w:rsid w:val="000E51A5"/>
    <w:rsid w:val="0012599A"/>
    <w:rsid w:val="00140BB6"/>
    <w:rsid w:val="001827FE"/>
    <w:rsid w:val="00186D81"/>
    <w:rsid w:val="001B3EBF"/>
    <w:rsid w:val="00230B4A"/>
    <w:rsid w:val="00243797"/>
    <w:rsid w:val="00352FA2"/>
    <w:rsid w:val="0038128F"/>
    <w:rsid w:val="00392E97"/>
    <w:rsid w:val="00415F55"/>
    <w:rsid w:val="00441A6B"/>
    <w:rsid w:val="00493F6D"/>
    <w:rsid w:val="00494F36"/>
    <w:rsid w:val="004A4358"/>
    <w:rsid w:val="004C2FCD"/>
    <w:rsid w:val="004C687A"/>
    <w:rsid w:val="004E720F"/>
    <w:rsid w:val="00501427"/>
    <w:rsid w:val="00532F5A"/>
    <w:rsid w:val="00535157"/>
    <w:rsid w:val="00576C73"/>
    <w:rsid w:val="00592A7F"/>
    <w:rsid w:val="005E42A8"/>
    <w:rsid w:val="00603B85"/>
    <w:rsid w:val="006A1A89"/>
    <w:rsid w:val="006B74D4"/>
    <w:rsid w:val="006D59E1"/>
    <w:rsid w:val="006E5F28"/>
    <w:rsid w:val="006F47B0"/>
    <w:rsid w:val="007221E6"/>
    <w:rsid w:val="00735CE1"/>
    <w:rsid w:val="007F0C91"/>
    <w:rsid w:val="00881AC0"/>
    <w:rsid w:val="008A533B"/>
    <w:rsid w:val="008A7513"/>
    <w:rsid w:val="008C5F05"/>
    <w:rsid w:val="008F3DC3"/>
    <w:rsid w:val="00933298"/>
    <w:rsid w:val="00967682"/>
    <w:rsid w:val="00996217"/>
    <w:rsid w:val="00A107BF"/>
    <w:rsid w:val="00A34EF3"/>
    <w:rsid w:val="00AA50B4"/>
    <w:rsid w:val="00AD4748"/>
    <w:rsid w:val="00B6539D"/>
    <w:rsid w:val="00BC74F7"/>
    <w:rsid w:val="00BE555B"/>
    <w:rsid w:val="00C16E77"/>
    <w:rsid w:val="00C3038F"/>
    <w:rsid w:val="00C82568"/>
    <w:rsid w:val="00D63FB0"/>
    <w:rsid w:val="00DC7316"/>
    <w:rsid w:val="00E16694"/>
    <w:rsid w:val="00E97253"/>
    <w:rsid w:val="00FA3E89"/>
    <w:rsid w:val="00FB2906"/>
    <w:rsid w:val="00FE6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351E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mailto:dbridge9@uthsc.edu" TargetMode="External"/><Relationship Id="rId7" Type="http://schemas.openxmlformats.org/officeDocument/2006/relationships/hyperlink" Target="mailto:scormier@uthsc.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5307</Words>
  <Characters>30250</Characters>
  <Application>Microsoft Macintosh Word</Application>
  <DocSecurity>0</DocSecurity>
  <Lines>252</Lines>
  <Paragraphs>70</Paragraphs>
  <ScaleCrop>false</ScaleCrop>
  <Company>UT-HSC</Company>
  <LinksUpToDate>false</LinksUpToDate>
  <CharactersWithSpaces>35487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26</cp:revision>
  <dcterms:created xsi:type="dcterms:W3CDTF">2014-11-13T22:58:00Z</dcterms:created>
  <dcterms:modified xsi:type="dcterms:W3CDTF">2014-11-16T19:24:00Z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