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8DAC9" w14:textId="77777777" w:rsidR="00FE6279" w:rsidRDefault="00FE6279" w:rsidP="00FE6279">
      <w:r>
        <w:t>Title: Gestational exposure of mice to environmentally persistent free radicals leads to increased weight gain in offspring.</w:t>
      </w:r>
    </w:p>
    <w:p w14:paraId="1E6E14FB" w14:textId="77777777" w:rsidR="00FE6279" w:rsidRDefault="00FE6279" w:rsidP="00FE6279"/>
    <w:p w14:paraId="0027B15C" w14:textId="77777777" w:rsidR="00FE6279" w:rsidRDefault="00FE6279" w:rsidP="00FE6279">
      <w:r>
        <w:t>Short Title: Gestational EPFR Exposure and Weight Gain</w:t>
      </w:r>
    </w:p>
    <w:p w14:paraId="4B9108CF" w14:textId="77777777" w:rsidR="00532F5A" w:rsidRDefault="00532F5A" w:rsidP="00FE6279"/>
    <w:p w14:paraId="6043B53F" w14:textId="27DD7F02" w:rsidR="00532F5A" w:rsidRDefault="00532F5A" w:rsidP="00FE6279">
      <w:r>
        <w:t>Authors:</w:t>
      </w:r>
    </w:p>
    <w:p w14:paraId="0504E54D" w14:textId="77777777" w:rsidR="00532F5A" w:rsidRDefault="00532F5A" w:rsidP="00FE6279"/>
    <w:p w14:paraId="775E46DD" w14:textId="2D8214B2" w:rsidR="00532F5A" w:rsidRDefault="005A4DAF" w:rsidP="00FE6279">
      <w:r>
        <w:t>Erin J. Stephenson</w:t>
      </w:r>
      <w:r w:rsidRPr="00532F5A">
        <w:rPr>
          <w:vertAlign w:val="superscript"/>
        </w:rPr>
        <w:t>1</w:t>
      </w:r>
      <w:proofErr w:type="gramStart"/>
      <w:r w:rsidRPr="00532F5A">
        <w:rPr>
          <w:vertAlign w:val="superscript"/>
        </w:rPr>
        <w:t>,2</w:t>
      </w:r>
      <w:proofErr w:type="gramEnd"/>
      <w:r>
        <w:t>,</w:t>
      </w:r>
      <w:r w:rsidR="00532F5A">
        <w:t xml:space="preserve"> </w:t>
      </w:r>
      <w:proofErr w:type="spellStart"/>
      <w:r w:rsidR="00532F5A">
        <w:t>Alyse</w:t>
      </w:r>
      <w:proofErr w:type="spellEnd"/>
      <w:r w:rsidR="00532F5A">
        <w:t xml:space="preserve"> Ragauskas</w:t>
      </w:r>
      <w:r w:rsidR="00532F5A" w:rsidRPr="00532F5A">
        <w:rPr>
          <w:vertAlign w:val="superscript"/>
        </w:rPr>
        <w:t>1,2</w:t>
      </w:r>
      <w:r w:rsidR="00532F5A">
        <w:t>, Sridhar Jaligama</w:t>
      </w:r>
      <w:r w:rsidR="00532F5A" w:rsidRPr="00532F5A">
        <w:rPr>
          <w:vertAlign w:val="superscript"/>
        </w:rPr>
        <w:t>2</w:t>
      </w:r>
      <w:r w:rsidR="00532F5A">
        <w:t xml:space="preserve">, </w:t>
      </w:r>
      <w:proofErr w:type="spellStart"/>
      <w:r>
        <w:t>JeAnna</w:t>
      </w:r>
      <w:proofErr w:type="spellEnd"/>
      <w:r>
        <w:t xml:space="preserve"> R. </w:t>
      </w:r>
      <w:proofErr w:type="spellStart"/>
      <w:r>
        <w:t>Redd</w:t>
      </w:r>
      <w:proofErr w:type="spellEnd"/>
      <w:r>
        <w:t xml:space="preserve">, </w:t>
      </w:r>
      <w:proofErr w:type="spellStart"/>
      <w:r w:rsidR="00532F5A">
        <w:t>Jyothi</w:t>
      </w:r>
      <w:proofErr w:type="spellEnd"/>
      <w:r w:rsidR="00532F5A">
        <w:t xml:space="preserve"> Parvathareddy</w:t>
      </w:r>
      <w:r w:rsidR="00532F5A" w:rsidRPr="00532F5A">
        <w:rPr>
          <w:vertAlign w:val="superscript"/>
        </w:rPr>
        <w:t>2</w:t>
      </w:r>
      <w:r w:rsidR="00532F5A">
        <w:t>, Matthew J. Peloquin</w:t>
      </w:r>
      <w:r w:rsidR="00532F5A" w:rsidRPr="00532F5A">
        <w:rPr>
          <w:vertAlign w:val="superscript"/>
        </w:rPr>
        <w:t>1,2</w:t>
      </w:r>
      <w:r w:rsidR="00532F5A">
        <w:t xml:space="preserve"> and </w:t>
      </w:r>
      <w:proofErr w:type="spellStart"/>
      <w:r w:rsidR="00532F5A">
        <w:t>Stephania</w:t>
      </w:r>
      <w:proofErr w:type="spellEnd"/>
      <w:r w:rsidR="00532F5A">
        <w:t xml:space="preserve"> A. Cormier</w:t>
      </w:r>
      <w:r w:rsidR="00532F5A" w:rsidRPr="00532F5A">
        <w:rPr>
          <w:vertAlign w:val="superscript"/>
        </w:rPr>
        <w:t>2</w:t>
      </w:r>
      <w:r w:rsidR="00532F5A">
        <w:rPr>
          <w:vertAlign w:val="superscript"/>
        </w:rPr>
        <w:t>,3</w:t>
      </w:r>
      <w:r>
        <w:t>, Dave Bridges</w:t>
      </w:r>
      <w:r w:rsidRPr="00532F5A">
        <w:rPr>
          <w:vertAlign w:val="superscript"/>
        </w:rPr>
        <w:t>1,2,3</w:t>
      </w:r>
    </w:p>
    <w:p w14:paraId="1C029ED8" w14:textId="77777777" w:rsidR="00532F5A" w:rsidRDefault="00532F5A" w:rsidP="00FE6279"/>
    <w:p w14:paraId="7AAD665E" w14:textId="66CB6358" w:rsidR="00532F5A" w:rsidRDefault="00532F5A" w:rsidP="00FE6279">
      <w:r>
        <w:t>Addresses:</w:t>
      </w:r>
    </w:p>
    <w:p w14:paraId="693D113E" w14:textId="12CE022D" w:rsidR="00532F5A" w:rsidRDefault="00532F5A" w:rsidP="00FE6279">
      <w:proofErr w:type="gramStart"/>
      <w:r w:rsidRPr="00532F5A">
        <w:rPr>
          <w:vertAlign w:val="superscript"/>
        </w:rPr>
        <w:t>1</w:t>
      </w:r>
      <w:r>
        <w:t>Department of Physiology, University of Tennessee Health Science Center, Memphis</w:t>
      </w:r>
      <w:r w:rsidR="00D41E59">
        <w:t>,</w:t>
      </w:r>
      <w:r>
        <w:t xml:space="preserve"> TN.</w:t>
      </w:r>
      <w:proofErr w:type="gramEnd"/>
      <w:r>
        <w:t xml:space="preserve">  </w:t>
      </w:r>
      <w:r w:rsidRPr="00532F5A">
        <w:rPr>
          <w:vertAlign w:val="superscript"/>
        </w:rPr>
        <w:t>2</w:t>
      </w:r>
      <w:r>
        <w:t>Department of</w:t>
      </w:r>
      <w:r w:rsidR="00D41E59">
        <w:t xml:space="preserve"> Pediatrics, University of Tenn</w:t>
      </w:r>
      <w:r>
        <w:t>essee Health Science Center, Memphis</w:t>
      </w:r>
      <w:r w:rsidR="00D41E59">
        <w:t xml:space="preserve">, </w:t>
      </w:r>
      <w:r>
        <w:t>TN</w:t>
      </w:r>
    </w:p>
    <w:p w14:paraId="22F80F2F" w14:textId="77777777" w:rsidR="00532F5A" w:rsidRDefault="00532F5A" w:rsidP="00FE6279"/>
    <w:p w14:paraId="2C8EAF66" w14:textId="52A01070" w:rsidR="00532F5A" w:rsidRDefault="00532F5A" w:rsidP="00FE6279">
      <w:r w:rsidRPr="00532F5A">
        <w:rPr>
          <w:vertAlign w:val="superscript"/>
        </w:rPr>
        <w:t>3</w:t>
      </w:r>
      <w:r>
        <w:t>Corresponding authors</w:t>
      </w:r>
    </w:p>
    <w:p w14:paraId="78EBAA94" w14:textId="30EEA270" w:rsidR="00532F5A" w:rsidRDefault="0052135D" w:rsidP="00FE6279">
      <w:hyperlink r:id="rId6" w:history="1">
        <w:r w:rsidR="00532F5A" w:rsidRPr="00A15B79">
          <w:rPr>
            <w:rStyle w:val="Hyperlink"/>
          </w:rPr>
          <w:t>dbridge9@uthsc.edu</w:t>
        </w:r>
      </w:hyperlink>
      <w:r w:rsidR="00532F5A">
        <w:t xml:space="preserve"> and </w:t>
      </w:r>
      <w:hyperlink r:id="rId7" w:history="1">
        <w:r w:rsidR="00532F5A" w:rsidRPr="00A15B79">
          <w:rPr>
            <w:rStyle w:val="Hyperlink"/>
          </w:rPr>
          <w:t>scormier@uthsc.edu</w:t>
        </w:r>
      </w:hyperlink>
    </w:p>
    <w:p w14:paraId="42287396" w14:textId="77777777" w:rsidR="00532F5A" w:rsidRDefault="00532F5A" w:rsidP="00FE6279"/>
    <w:p w14:paraId="4DDA8152" w14:textId="4336EADD" w:rsidR="00F10627" w:rsidRDefault="00F10627">
      <w:r>
        <w:br w:type="page"/>
      </w:r>
    </w:p>
    <w:p w14:paraId="0DCBD78A" w14:textId="77777777" w:rsidR="00881AC0" w:rsidRDefault="007221E6" w:rsidP="007221E6">
      <w:pPr>
        <w:pStyle w:val="Heading1"/>
      </w:pPr>
      <w:commentRangeStart w:id="0"/>
      <w:r>
        <w:lastRenderedPageBreak/>
        <w:t>Abstract</w:t>
      </w:r>
      <w:commentRangeEnd w:id="0"/>
      <w:r w:rsidR="0052135D">
        <w:rPr>
          <w:rStyle w:val="CommentReference"/>
          <w:rFonts w:asciiTheme="minorHAnsi" w:eastAsiaTheme="minorEastAsia" w:hAnsiTheme="minorHAnsi" w:cstheme="minorBidi"/>
          <w:b w:val="0"/>
          <w:bCs w:val="0"/>
          <w:color w:val="auto"/>
        </w:rPr>
        <w:commentReference w:id="0"/>
      </w:r>
    </w:p>
    <w:p w14:paraId="1FAB8BFC" w14:textId="53340467" w:rsidR="001D1BE1" w:rsidRDefault="001F59A1">
      <w:r>
        <w:t xml:space="preserve">We have investigated the effects of </w:t>
      </w:r>
      <w:r w:rsidRPr="00C776DA">
        <w:rPr>
          <w:i/>
        </w:rPr>
        <w:t>in utero</w:t>
      </w:r>
      <w:r>
        <w:t xml:space="preserve"> exposure to Environmentally Persistent Free Radicals (EPFR’s) on growth, metabolism, energy utilization and skeletal muscle mitochondrial function in a mouse model of diet-induced obesity. Pregnant dams were treated with </w:t>
      </w:r>
      <w:r w:rsidR="00B251FC">
        <w:t xml:space="preserve">either </w:t>
      </w:r>
      <w:r w:rsidR="00B0500E">
        <w:t>a model particulate bound EPFR (</w:t>
      </w:r>
      <w:r>
        <w:t>MCP230</w:t>
      </w:r>
      <w:r w:rsidR="00B0500E">
        <w:t>)</w:t>
      </w:r>
      <w:r w:rsidR="00E77DBA">
        <w:t xml:space="preserve"> </w:t>
      </w:r>
      <w:r w:rsidR="00B251FC">
        <w:t>or saline</w:t>
      </w:r>
      <w:r>
        <w:t xml:space="preserve"> </w:t>
      </w:r>
      <w:r w:rsidR="0052135D">
        <w:t>while pregnant</w:t>
      </w:r>
      <w:r>
        <w:t xml:space="preserve">. </w:t>
      </w:r>
      <w:r w:rsidR="0052135D">
        <w:t>The offspring were placed on a high fat diet, and we observed a 10.8% increase in their body weight throughout the study.</w:t>
      </w:r>
      <w:r w:rsidR="006F42DC">
        <w:t xml:space="preserve"> </w:t>
      </w:r>
      <w:r w:rsidR="00BD4AF5">
        <w:t xml:space="preserve">The increase in body </w:t>
      </w:r>
      <w:r w:rsidR="00AD09F7">
        <w:t>size</w:t>
      </w:r>
      <w:r w:rsidR="00BD4AF5">
        <w:t xml:space="preserve"> </w:t>
      </w:r>
      <w:r w:rsidR="00475C6A">
        <w:t xml:space="preserve">observed in the MCP230-exposed mice </w:t>
      </w:r>
      <w:r w:rsidR="00BD4AF5">
        <w:t xml:space="preserve">was </w:t>
      </w:r>
      <w:r w:rsidR="00317755">
        <w:t xml:space="preserve">not </w:t>
      </w:r>
      <w:r w:rsidR="00BD4AF5">
        <w:t xml:space="preserve">associated with </w:t>
      </w:r>
      <w:r w:rsidR="00AD09F7">
        <w:t>increases</w:t>
      </w:r>
      <w:r w:rsidR="001D1BE1">
        <w:t xml:space="preserve"> in food intake, as</w:t>
      </w:r>
      <w:r w:rsidR="00475C6A">
        <w:t xml:space="preserve"> compared to saline-exposed mice</w:t>
      </w:r>
      <w:r w:rsidR="0052135D">
        <w:t xml:space="preserve">.  </w:t>
      </w:r>
      <w:r w:rsidR="0014706A">
        <w:t>Furthermore</w:t>
      </w:r>
      <w:r w:rsidR="001D1BE1">
        <w:t xml:space="preserve">, MCP230-exposed mice were less </w:t>
      </w:r>
      <w:r w:rsidR="00CA73E4">
        <w:t xml:space="preserve">physically </w:t>
      </w:r>
      <w:r w:rsidR="001D1BE1">
        <w:t xml:space="preserve">active and had </w:t>
      </w:r>
      <w:r w:rsidR="00AD09F7">
        <w:t>lower</w:t>
      </w:r>
      <w:r w:rsidR="001D1BE1">
        <w:t xml:space="preserve"> </w:t>
      </w:r>
      <w:r w:rsidR="0052135D">
        <w:t>energy expenditure</w:t>
      </w:r>
      <w:r w:rsidR="001D1BE1">
        <w:t xml:space="preserve"> </w:t>
      </w:r>
      <w:r w:rsidR="000A286D">
        <w:t>compared to the saline-exposed mice</w:t>
      </w:r>
      <w:r w:rsidR="0052135D">
        <w:t xml:space="preserve">.  </w:t>
      </w:r>
      <w:r w:rsidR="00D166B0">
        <w:t xml:space="preserve">The reduced energy expenditure in </w:t>
      </w:r>
      <w:r w:rsidR="0052135D">
        <w:t xml:space="preserve">the mice exposed </w:t>
      </w:r>
      <w:proofErr w:type="spellStart"/>
      <w:r w:rsidR="0052135D">
        <w:t>gestationally</w:t>
      </w:r>
      <w:proofErr w:type="spellEnd"/>
      <w:r w:rsidR="0052135D">
        <w:t xml:space="preserve"> to </w:t>
      </w:r>
      <w:r w:rsidR="00D166B0">
        <w:t xml:space="preserve">MCP230 </w:t>
      </w:r>
      <w:proofErr w:type="gramStart"/>
      <w:r w:rsidR="0052135D">
        <w:t>were</w:t>
      </w:r>
      <w:proofErr w:type="gramEnd"/>
      <w:r w:rsidR="0052135D">
        <w:t xml:space="preserve"> </w:t>
      </w:r>
      <w:r w:rsidR="00D166B0">
        <w:t>associated with reduc</w:t>
      </w:r>
      <w:r w:rsidR="00B27EEE">
        <w:t>tions in</w:t>
      </w:r>
      <w:r w:rsidR="00D166B0">
        <w:t xml:space="preserve"> </w:t>
      </w:r>
      <w:r w:rsidR="00B27EEE">
        <w:t xml:space="preserve">skeletal muscle </w:t>
      </w:r>
      <w:r w:rsidR="0052135D">
        <w:t xml:space="preserve">mitochondrial </w:t>
      </w:r>
      <w:r w:rsidR="00D166B0">
        <w:t>DNA copy number</w:t>
      </w:r>
      <w:r w:rsidR="008E5C58">
        <w:t xml:space="preserve"> </w:t>
      </w:r>
      <w:r w:rsidR="0052135D">
        <w:t xml:space="preserve">and </w:t>
      </w:r>
      <w:r w:rsidR="00F20707">
        <w:t xml:space="preserve">mRNA </w:t>
      </w:r>
      <w:r w:rsidR="008E5C58">
        <w:t>levels</w:t>
      </w:r>
      <w:r w:rsidR="00B27EEE">
        <w:t xml:space="preserve"> of electron transport genes</w:t>
      </w:r>
      <w:r w:rsidR="008E5C58">
        <w:t xml:space="preserve"> </w:t>
      </w:r>
      <w:r w:rsidR="00B27EEE">
        <w:t>and</w:t>
      </w:r>
      <w:r w:rsidR="00F20707">
        <w:t xml:space="preserve"> citrate synthase activity</w:t>
      </w:r>
      <w:r w:rsidR="00B27EEE">
        <w:t>.</w:t>
      </w:r>
      <w:r w:rsidR="00D166B0">
        <w:t xml:space="preserve"> </w:t>
      </w:r>
      <w:r w:rsidR="0033301A">
        <w:t>These observations suggest that gestational exposure to EPFR’s may cause a reducti</w:t>
      </w:r>
      <w:r w:rsidR="00354B0D">
        <w:t>on in energy expenditure</w:t>
      </w:r>
      <w:r w:rsidR="007A7DA9">
        <w:t>, at least in part,</w:t>
      </w:r>
      <w:r w:rsidR="00354B0D">
        <w:t xml:space="preserve"> </w:t>
      </w:r>
      <w:r w:rsidR="007A7DA9">
        <w:t>through</w:t>
      </w:r>
      <w:r w:rsidR="0033301A">
        <w:t xml:space="preserve"> alterations to mitochondrial metabolism in the skeletal muscle</w:t>
      </w:r>
      <w:r w:rsidR="004B62B5">
        <w:t>.</w:t>
      </w:r>
    </w:p>
    <w:p w14:paraId="3232A94B" w14:textId="6AB78B89" w:rsidR="00F10627" w:rsidRDefault="00F10627">
      <w:pPr>
        <w:rPr>
          <w:rFonts w:asciiTheme="majorHAnsi" w:eastAsiaTheme="majorEastAsia" w:hAnsiTheme="majorHAnsi" w:cstheme="majorBidi"/>
          <w:b/>
          <w:bCs/>
          <w:color w:val="345A8A" w:themeColor="accent1" w:themeShade="B5"/>
          <w:sz w:val="32"/>
          <w:szCs w:val="32"/>
        </w:rPr>
      </w:pPr>
    </w:p>
    <w:p w14:paraId="601876B0" w14:textId="77777777" w:rsidR="007221E6" w:rsidRDefault="007221E6" w:rsidP="007221E6">
      <w:pPr>
        <w:pStyle w:val="Heading1"/>
      </w:pPr>
      <w:r>
        <w:t>Introduction</w:t>
      </w:r>
    </w:p>
    <w:p w14:paraId="61450B17" w14:textId="427A8F0E" w:rsidR="00F83FCA" w:rsidRDefault="003B4388" w:rsidP="00F83FCA">
      <w:r>
        <w:t xml:space="preserve">Obesity is a major global </w:t>
      </w:r>
      <w:r w:rsidR="00691BA2">
        <w:t xml:space="preserve">health concern and emerging data supports a role for environmental pollutants in the pathogenesis of obesity and its </w:t>
      </w:r>
      <w:commentRangeStart w:id="1"/>
      <w:r w:rsidR="00691BA2">
        <w:t>comorbidities</w:t>
      </w:r>
      <w:commentRangeEnd w:id="1"/>
      <w:r w:rsidR="00B0500E">
        <w:rPr>
          <w:rStyle w:val="CommentReference"/>
        </w:rPr>
        <w:commentReference w:id="1"/>
      </w:r>
      <w:r w:rsidR="00691BA2">
        <w:t xml:space="preserve">. </w:t>
      </w:r>
      <w:r w:rsidR="002F5891">
        <w:t>Indeed, s</w:t>
      </w:r>
      <w:r w:rsidR="006264DC">
        <w:t xml:space="preserve">everal studies have linked </w:t>
      </w:r>
      <w:r w:rsidR="00A60ADB">
        <w:t xml:space="preserve">the exposure to </w:t>
      </w:r>
      <w:r w:rsidR="006264DC">
        <w:t xml:space="preserve">environmentally persistent free radicals (EPFR’s), compounds that result from the incomplete combustion of organic materials, to </w:t>
      </w:r>
      <w:r w:rsidR="006D5ADE">
        <w:t>impaired</w:t>
      </w:r>
      <w:r w:rsidR="006264DC">
        <w:t xml:space="preserve"> metabolic health in humans</w:t>
      </w:r>
      <w:r w:rsidR="00362DC5">
        <w:t xml:space="preserve"> </w:t>
      </w:r>
      <w:r w:rsidR="00362DC5">
        <w:fldChar w:fldCharType="begin" w:fldLock="1"/>
      </w:r>
      <w:r w:rsidR="00362DC5">
        <w:instrText>ADDIN CSL_CITATION { "citationItems" : [ { "id" : "ITEM-1",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"ITEM-1", "issue" : "1", "issued" : { "date-parts" : [ [ "2008", "1" ] ] }, "page" : "32-8", "title" : "The relationship between diabetes mellitus and traffic-related air pollution.", "type" : "article-journal", "volume" : "50" }, "uris" : [ "http://www.mendeley.com/documents/?uuid=dfa9a4cb-9e40-4154-a2ba-6aba1161720a" ] }, { "id" : "ITEM-2",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"ITEM-2",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"ITEM-3",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"ITEM-3", "issue" : "1", "issued" : { "date-parts" : [ [ "2012", "1" ] ] }, "page" : "92-8", "title" : "Diabetes incidence and long-term exposure to air pollution: a cohort study.", "type" : "article-journal", "volume" : "35" }, "uris" : [ "http://www.mendeley.com/documents/?uuid=32b97284-2791-42d4-b039-c411f329a2b5"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"(1\u20134)", "plainTextFormattedCitation" : "(1\u20134)", "previouslyFormattedCitation" : "(1\u20134)" }, "properties" : { "noteIndex" : 0 }, "schema" : "https://github.com/citation-style-language/schema/raw/master/csl-citation.json" }</w:instrText>
      </w:r>
      <w:r w:rsidR="00362DC5">
        <w:fldChar w:fldCharType="separate"/>
      </w:r>
      <w:r w:rsidR="00362DC5" w:rsidRPr="00362DC5">
        <w:rPr>
          <w:noProof/>
        </w:rPr>
        <w:t>(1–4)</w:t>
      </w:r>
      <w:r w:rsidR="00362DC5">
        <w:fldChar w:fldCharType="end"/>
      </w:r>
      <w:r w:rsidR="001640EF">
        <w:t xml:space="preserve"> </w:t>
      </w:r>
      <w:r w:rsidR="007F42AF">
        <w:t xml:space="preserve">and </w:t>
      </w:r>
      <w:r w:rsidR="00A60ADB">
        <w:t>animals</w:t>
      </w:r>
      <w:r w:rsidR="00362DC5">
        <w:t xml:space="preserve"> </w:t>
      </w:r>
      <w:r w:rsidR="007F42AF">
        <w:t xml:space="preserve"> </w:t>
      </w:r>
      <w:r w:rsidR="00362DC5">
        <w:fldChar w:fldCharType="begin" w:fldLock="1"/>
      </w:r>
      <w:r w:rsidR="009543EA">
        <w:instrText>ADDIN CSL_CITATION { "citationItems" : [ { "id" : "ITEM-1", "itemData" : { "DOI" : "10.1136/thx.51.12.1216", "ISBN" : "143", "ISSN" : "0040-6376", "PMID" : "8994518", "abstract" : "BACKGROUND: Epidemiological evidence has implicated fine particulate air pollution, particularly particles less than 10 microns in diameter (PM10), in the development of exacerbations of asthma and chronic obstructive pulmonary disease (COPD) although the mechanism is unknown. The hypothesis that PM10 particles induce oxidant stress, causing inflammation and injury to airway epithelium, was tested. METHODS: The effects of intratracheal instillation of PM10 was assessed in rat lungs (three per group). Inflammatory cell influx was measured by bronchoalveolar lavage (BAL) and air space epithelial permeability was assessed as the total protein in BAL fluid in vivo. The oxidant properties of PM10 particles were determined by their ability to cause damage to plasmid DNA and by changes in reduced (GSH) and oxidised (GSSG) glutathione. The effects of PM10 particles were compared in some experiments with those of fine (CB) and ultrafine (ufCB) carbon black particles. RESULTS: Six hours after intratracheal instillation of PM10 there was an influx of neutrophils (up to 15% of total cells in BAL fluid) into the alveolar space, increased epithelial permeability, the mean (SE) total protein in the BAL fluid increasing from 0.39 (0.01) to 0.62 (0.01) mg/ml, and increased lactate dehydrogenase (LDH) concentrations in the BAL fluid. An even greater inflammatory response was seen following intratracheal instillation of ufCB but not following CB instillation. PM10 particles had free radical activity in vivo, as shown by a decrease in GSH levels in the BAL fluid from 0.36 (0.05) to 0.25 (0.01) nmol/ml following instillation. The free radical activity of PM10 was confirmed in vitro by its ability to deplete supercoiled plasmid DNA, an effect which could be reversed by mannitol, a specific hydroxyl radical scavenger. BAL fluid leucocytes from rats treated with PM10 produced greater amounts of nitric oxide (NO), measured as nitrite (control 3.07 (0.33), treated 4.45 (0.23) microM/1 x 10(6) cells), and tumour necrosis factor alpha (control 21.0 (3.1), treated 179.2 (29.4) units/l x 10(6) cells) in culture than those obtained from control animals. Since the PM10 preparation was contaminated with small amounts of filter fibres due to the extraction process, the effects of instillation of filter fibres alone was assessed. These studies showed that filter fibres did not account for the proinflammatory and injurious effects of the PM10 suspension. CONCLUSIONS: These findings provid\u2026", "author" : [ { "dropping-particle" : "", "family" : "Li", "given" : "X Y", "non-dropping-particle" : "", "parse-names" : false, "suffix" : "" }, { "dropping-particle" : "", "family" : "Gilmour", "given" : "P S", "non-dropping-particle" : "", "parse-names" : false, "suffix" : "" }, { "dropping-particle" : "", "family" : "Donaldson", "given" : "K", "non-dropping-particle" : "", "parse-names" : false, "suffix" : "" }, { "dropping-particle" : "", "family" : "MacNee", "given" : "W", "non-dropping-particle" : "", "parse-names" : false, "suffix" : "" } ], "container-title" : "Thorax", "id" : "ITEM-1", "issued" : { "date-parts" : [ [ "1996" ] ] }, "page" : "1216-1222", "title" : "Free radical activity and pro-inflammatory effects of particulate air pollution (PM10) in vivo and in vitro.", "type" : "article-journal", "volume" : "51" }, "uris" : [ "http://www.mendeley.com/documents/?uuid=4bb86b4a-eed5-47d9-b094-75d378fb4682" ] }, { "id" : "ITEM-2",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"ITEM-2",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"ITEM-3",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"ITEM-3",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"ITEM-4",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"ITEM-4",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"ITEM-5",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"ITEM-5",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"(5\u20139)", "plainTextFormattedCitation" : "(5\u20139)", "previouslyFormattedCitation" : "(5\u20139)" }, "properties" : { "noteIndex" : 0 }, "schema" : "https://github.com/citation-style-language/schema/raw/master/csl-citation.json" }</w:instrText>
      </w:r>
      <w:r w:rsidR="00362DC5">
        <w:fldChar w:fldCharType="separate"/>
      </w:r>
      <w:proofErr w:type="gramStart"/>
      <w:r w:rsidR="00362DC5" w:rsidRPr="00362DC5">
        <w:rPr>
          <w:noProof/>
        </w:rPr>
        <w:t>(5–9)</w:t>
      </w:r>
      <w:r w:rsidR="00362DC5">
        <w:fldChar w:fldCharType="end"/>
      </w:r>
      <w:r w:rsidR="00362DC5">
        <w:t>.</w:t>
      </w:r>
      <w:proofErr w:type="gramEnd"/>
      <w:r w:rsidR="004F48E9">
        <w:t xml:space="preserve"> </w:t>
      </w:r>
      <w:r w:rsidR="002F5891">
        <w:t>Specifically, c</w:t>
      </w:r>
      <w:r w:rsidR="00F83FCA">
        <w:t xml:space="preserve">ross-sectional studies of human subjects who are chronically exposed to combustion derived particulate matter have shown associations with type </w:t>
      </w:r>
      <w:r w:rsidR="009519A7">
        <w:t>2</w:t>
      </w:r>
      <w:r w:rsidR="00F83FCA">
        <w:t xml:space="preserve"> diabetes and cardiovascular disease </w:t>
      </w:r>
      <w:r w:rsidR="00F83FCA">
        <w:fldChar w:fldCharType="begin" w:fldLock="1"/>
      </w:r>
      <w:r w:rsidR="0075219B">
        <w:instrText>ADDIN CSL_CITATION { "citationItems" : [ { "id" : "ITEM-1",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"ITEM-1",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"ITEM-2",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"ITEM-2", "issue" : "1", "issued" : { "date-parts" : [ [ "2012", "1" ] ] }, "page" : "92-8", "title" : "Diabetes incidence and long-term exposure to air pollution: a cohort study.", "type" : "article-journal", "volume" : "35" }, "uris" : [ "http://www.mendeley.com/documents/?uuid=32b97284-2791-42d4-b039-c411f329a2b5"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"mendeley" : { "formattedCitation" : "(1, 3, 4)", "plainTextFormattedCitation" : "(1, 3, 4)", "previouslyFormattedCitation" : "(1, 3, 4)" }, "properties" : { "noteIndex" : 0 }, "schema" : "https://github.com/citation-style-language/schema/raw/master/csl-citation.json" }</w:instrText>
      </w:r>
      <w:r w:rsidR="00F83FCA">
        <w:fldChar w:fldCharType="separate"/>
      </w:r>
      <w:r w:rsidR="00B0500E" w:rsidRPr="00B0500E">
        <w:rPr>
          <w:noProof/>
        </w:rPr>
        <w:t>(1, 3, 4)</w:t>
      </w:r>
      <w:r w:rsidR="00F83FCA">
        <w:fldChar w:fldCharType="end"/>
      </w:r>
      <w:r w:rsidR="002F5891">
        <w:t>, whereas m</w:t>
      </w:r>
      <w:r w:rsidR="00F83FCA">
        <w:t xml:space="preserve">urine models of chronic particulate matter exposure </w:t>
      </w:r>
      <w:r w:rsidR="002F5891">
        <w:t>indicate</w:t>
      </w:r>
      <w:r w:rsidR="00F83FCA">
        <w:t xml:space="preserve"> that pollutants lead to eleva</w:t>
      </w:r>
      <w:r w:rsidR="00FA574A">
        <w:t>ted adipose tissue inflammation</w:t>
      </w:r>
      <w:r w:rsidR="00F83FCA">
        <w:t xml:space="preserve"> and insulin resistance </w:t>
      </w:r>
      <w:r w:rsidR="00F83FCA">
        <w:fldChar w:fldCharType="begin" w:fldLock="1"/>
      </w:r>
      <w:r w:rsidR="009543EA">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"ITEM-3",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"ITEM-3",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"(6, 7, 9)", "plainTextFormattedCitation" : "(6, 7, 9)", "previouslyFormattedCitation" : "(6, 7, 9)" }, "properties" : { "noteIndex" : 0 }, "schema" : "https://github.com/citation-style-language/schema/raw/master/csl-citation.json" }</w:instrText>
      </w:r>
      <w:r w:rsidR="00F83FCA">
        <w:fldChar w:fldCharType="separate"/>
      </w:r>
      <w:r w:rsidR="00362DC5" w:rsidRPr="00362DC5">
        <w:rPr>
          <w:noProof/>
        </w:rPr>
        <w:t>(6, 7, 9)</w:t>
      </w:r>
      <w:r w:rsidR="00F83FCA">
        <w:fldChar w:fldCharType="end"/>
      </w:r>
      <w:r w:rsidR="00F83FCA">
        <w:t>.</w:t>
      </w:r>
      <w:r w:rsidR="00575B7D">
        <w:t xml:space="preserve"> </w:t>
      </w:r>
    </w:p>
    <w:p w14:paraId="67B173B6" w14:textId="77777777" w:rsidR="003F46FE" w:rsidRDefault="003F46FE" w:rsidP="00F83FCA"/>
    <w:p w14:paraId="784C1A03" w14:textId="17E7C6E5" w:rsidR="005E1B42" w:rsidRDefault="003F46FE" w:rsidP="005E1B42">
      <w:r>
        <w:t>Gestational and early-life exposure to combustion-derived particulate matter has been associated with an increased risk of obesity in humans</w:t>
      </w:r>
      <w:r w:rsidR="009543EA">
        <w:t xml:space="preserve"> </w:t>
      </w:r>
      <w:r w:rsidR="009543EA">
        <w:fldChar w:fldCharType="begin" w:fldLock="1"/>
      </w:r>
      <w:r w:rsidR="009543EA">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"mendeley" : { "formattedCitation" : "(10\u201312)", "plainTextFormattedCitation" : "(10\u201312)", "previouslyFormattedCitation" : "(10\u201312)" }, "properties" : { "noteIndex" : 0 }, "schema" : "https://github.com/citation-style-language/schema/raw/master/csl-citation.json" }</w:instrText>
      </w:r>
      <w:r w:rsidR="009543EA">
        <w:fldChar w:fldCharType="separate"/>
      </w:r>
      <w:r w:rsidR="009543EA" w:rsidRPr="009543EA">
        <w:rPr>
          <w:noProof/>
        </w:rPr>
        <w:t>(10–12)</w:t>
      </w:r>
      <w:r w:rsidR="009543EA">
        <w:fldChar w:fldCharType="end"/>
      </w:r>
      <w:r w:rsidR="009543EA">
        <w:t>.</w:t>
      </w:r>
      <w:r w:rsidR="00FA6C96">
        <w:t xml:space="preserve"> This association</w:t>
      </w:r>
      <w:r>
        <w:t xml:space="preserve"> is supported by data obtained from animal studies</w:t>
      </w:r>
      <w:r w:rsidR="00FA6C96">
        <w:t>,</w:t>
      </w:r>
      <w:r>
        <w:t xml:space="preserve"> where </w:t>
      </w:r>
      <w:r w:rsidR="00FA6C96">
        <w:t xml:space="preserve">the offspring of </w:t>
      </w:r>
      <w:r>
        <w:t>pregnant female mice</w:t>
      </w:r>
      <w:r w:rsidR="005C6AB9">
        <w:t>,</w:t>
      </w:r>
      <w:r>
        <w:t xml:space="preserve"> </w:t>
      </w:r>
      <w:r w:rsidR="005C6AB9">
        <w:t>which</w:t>
      </w:r>
      <w:r w:rsidR="00FA6C96">
        <w:t xml:space="preserve"> have been</w:t>
      </w:r>
      <w:r>
        <w:t xml:space="preserve"> exposed to diesel exhaust</w:t>
      </w:r>
      <w:r w:rsidR="005C6AB9">
        <w:t xml:space="preserve"> </w:t>
      </w:r>
      <w:r w:rsidR="005C6AB9" w:rsidRPr="005C6AB9">
        <w:rPr>
          <w:i/>
        </w:rPr>
        <w:t>in utero</w:t>
      </w:r>
      <w:r w:rsidR="005C6AB9">
        <w:t xml:space="preserve">, </w:t>
      </w:r>
      <w:r w:rsidR="00442D2D">
        <w:t xml:space="preserve">are predisposed to weight gain and </w:t>
      </w:r>
      <w:r w:rsidR="00FA6C96">
        <w:t>increased body weight</w:t>
      </w:r>
      <w:r w:rsidR="00442D2D">
        <w:t xml:space="preserve"> as adults</w:t>
      </w:r>
      <w:r w:rsidR="00FA6C96">
        <w:t xml:space="preserve"> </w:t>
      </w:r>
      <w:r w:rsidR="009543EA">
        <w:fldChar w:fldCharType="begin" w:fldLock="1"/>
      </w:r>
      <w:r w:rsidR="007B10F3">
        <w:instrText>ADDIN CSL_CITATION { "citationItems" : [ { "id" : "ITEM-1", "itemData" : { "DOI" : "10.1096/fj.12-210989", "ISBN" : "1530-6860 (Electronic)\\r0892-6638 (Linking)", "ISSN" : "15306860", "PMID" : "22815382", "abstract" : "Emerging evidence suggests environmental chemical exposures during critical windows of development may contribute to the escalating prevalence of obesity. We tested the hypothesis that prenatal air pollution exposure would predispose the offspring to weight gain in adulthood. Pregnant mice were exposed to filtered air (FA) or diesel exhaust (DE) on embryonic days (E) 9-17. Prenatal DE induced a significant fetal brain cytokine response at E18 (46-390% over FA). As adults, offspring were fed either a low-fat diet (LFD) or high-fat diet (HFD) for 6 wk. Adult DE male offspring weighed 12% more and were 35% less active than FA male offspring at baseline, whereas there were no differences in females. Following HFD, DE males gained weight at the same rate as FA males, whereas DE females gained 340% more weight than FA females. DE-HFD males had 450% higher endpoint insulin levels than FA-HFD males, and all males on HFD showed decreased activity and increased anxiety, whereas females showed no differences. Finally, both DE males and females fed HFD showed increased microglial activation (30-66%) within several brain regions. Thus, prenatal air pollution exposure can \"program\" offspring for increased susceptibility to diet-induced weight gain and neuroinflammation in adulthood in a sex-specific manner.", "author" : [ { "dropping-particle" : "", "family" : "Bolton", "given" : "Jessica L.", "non-dropping-particle" : "", "parse-names" : false, "suffix" : "" }, { "dropping-particle" : "", "family" : "Smith", "given" : "Susan H.", "non-dropping-particle" : "", "parse-names" : false, "suffix" : "" }, { "dropping-particle" : "", "family" : "Huff", "given" : "Nicole C.", "non-dropping-particle" : "", "parse-names" : false, "suffix" : "" }, { "dropping-particle" : "", "family" : "Gilmour", "given" : "M. Ian", "non-dropping-particle" : "", "parse-names" : false, "suffix" : "" }, { "dropping-particle" : "", "family" : "Foster", "given" : "W. Michael", "non-dropping-particle" : "", "parse-names" : false, "suffix" : "" }, { "dropping-particle" : "", "family" : "Auten", "given" : "Richard L.", "non-dropping-particle" : "", "parse-names" : false, "suffix" : "" }, { "dropping-particle" : "", "family" : "Bilbo", "given" : "Staci D.", "non-dropping-particle" : "", "parse-names" : false, "suffix" : "" } ], "container-title" : "FASEB Journal", "id" : "ITEM-1", "issued" : { "date-parts" : [ [ "2012" ] ] }, "page" : "4743-4754", "title" : "Prenatal air pollution exposure induces neuroinflammation and predisposes offspring to weight gain in adulthood in a sex-specific manner", "type" : "article-journal", "volume" : "26" }, "uris" : [ "http://www.mendeley.com/documents/?uuid=4d60f8de-0c18-4a6a-8328-cdf123543df1" ] } ], "mendeley" : { "formattedCitation" : "(13)", "plainTextFormattedCitation" : "(13)", "previouslyFormattedCitation" : "(13)" }, "properties" : { "noteIndex" : 0 }, "schema" : "https://github.com/citation-style-language/schema/raw/master/csl-citation.json" }</w:instrText>
      </w:r>
      <w:r w:rsidR="009543EA">
        <w:fldChar w:fldCharType="separate"/>
      </w:r>
      <w:r w:rsidR="009543EA" w:rsidRPr="009543EA">
        <w:rPr>
          <w:noProof/>
        </w:rPr>
        <w:t>(13)</w:t>
      </w:r>
      <w:r w:rsidR="009543EA">
        <w:fldChar w:fldCharType="end"/>
      </w:r>
      <w:r w:rsidR="009543EA">
        <w:t>.</w:t>
      </w:r>
      <w:r w:rsidR="0061209E">
        <w:t xml:space="preserve"> </w:t>
      </w:r>
      <w:proofErr w:type="gramStart"/>
      <w:r w:rsidR="00B0500E">
        <w:t>One</w:t>
      </w:r>
      <w:r w:rsidR="005E1B42">
        <w:t xml:space="preserve"> </w:t>
      </w:r>
      <w:r w:rsidR="00270755">
        <w:t xml:space="preserve"> potential</w:t>
      </w:r>
      <w:proofErr w:type="gramEnd"/>
      <w:r w:rsidR="009A7281">
        <w:t xml:space="preserve"> mechanism involves alterations to </w:t>
      </w:r>
      <w:r w:rsidR="005E1B42">
        <w:t xml:space="preserve">mitochondrial </w:t>
      </w:r>
      <w:r w:rsidR="009A7281">
        <w:t>function</w:t>
      </w:r>
      <w:r w:rsidR="005E1B42">
        <w:t xml:space="preserve">. </w:t>
      </w:r>
      <w:r w:rsidR="0075219B">
        <w:t>M</w:t>
      </w:r>
      <w:r w:rsidR="005E1B42">
        <w:t>itochondria are responsible for oxidative cellular energy production, reactive oxygen species production and are the primary site of the antioxidant defense system. Thus, defects in mitochondrial metabolism can have profound effects on whole body metabolic health. Indeed, mitochondrial deficiencies and structural abnormalities have been observed in adipose tissue</w:t>
      </w:r>
      <w:r w:rsidR="00B0500E">
        <w:t xml:space="preserve"> </w:t>
      </w:r>
      <w:r w:rsidR="00B0500E">
        <w:fldChar w:fldCharType="begin" w:fldLock="1"/>
      </w:r>
      <w:r w:rsidR="0075219B">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"(7, 8)", "plainTextFormattedCitation" : "(7, 8)", "previouslyFormattedCitation" : "(7, 8)" }, "properties" : { "noteIndex" : 0 }, "schema" : "https://github.com/citation-style-language/schema/raw/master/csl-citation.json" }</w:instrText>
      </w:r>
      <w:r w:rsidR="00B0500E">
        <w:fldChar w:fldCharType="separate"/>
      </w:r>
      <w:r w:rsidR="00B0500E" w:rsidRPr="00B0500E">
        <w:rPr>
          <w:noProof/>
        </w:rPr>
        <w:t>(7, 8)</w:t>
      </w:r>
      <w:r w:rsidR="00B0500E">
        <w:fldChar w:fldCharType="end"/>
      </w:r>
      <w:r w:rsidR="005E1B42">
        <w:t xml:space="preserve"> </w:t>
      </w:r>
      <w:r w:rsidR="00B0500E">
        <w:t xml:space="preserve"> </w:t>
      </w:r>
      <w:r w:rsidR="005E1B42">
        <w:t>vascular tissue</w:t>
      </w:r>
      <w:r w:rsidR="0075219B">
        <w:t xml:space="preserve"> </w:t>
      </w:r>
      <w:r w:rsidR="0075219B">
        <w:fldChar w:fldCharType="begin" w:fldLock="1"/>
      </w:r>
      <w:r w:rsidR="0075219B">
        <w:instrText>ADDIN CSL_CITATION { "citationItems" : [ { "id" : "ITEM-1", "itemData" : { "DOI" : "10.1007/s12012-010-9085-8", "ISBN" : "1530-7905", "ISSN" : "15307905", "PMID" : "20668962", "abstract" : "Epidemiological studies suggest that events occurring during fetal and early childhood development influence disease susceptibility. Similarly, molecular studies in mice have shown that in utero exposure to cardiovascular disease (CVD) risk factors such as environmental tobacco smoke (ETS) increased adult atherogenic susceptibility and mitochondrial damage; however, the molecular effects of similar exposures in primates are not yet known. To determine whether perinatal ETS exposure increased mitochondrial damage, dysfunction and oxidant stress in primates, archived tissues from the non-human primate model Macaca mulatta (M. mulatta) were utilized. M. mulatta were exposed to low levels of ETS (1 mg/m(3) total suspended particulates) from gestation (day 40) to early childhood (1 year), and aortic tissues were assessed for oxidized proteins (protein carbonyls), antioxidant activity (SOD), mitochondrial function (cytochrome oxidase), and mitochondrial damage (mitochondrial DNA damage). Results revealed that perinatal ETS exposure resulted in significantly increased oxidative stress, mitochondrial dysfunction and damage which were accompanied by significantly decreased mitochondrial antioxidant capacity and mitochondrial copy number in vascular tissue. Increased mitochondrial damage was also detected in buffy coat tissues in exposed M. mulatta. These studies suggest that perinatal tobacco smoke exposure increases vascular oxidative stress and mitochondrial damage in primates, potentially increasing adult disease susceptibility.", "author" : [ { "dropping-particle" : "", "family" : "Westbrook", "given" : "David G.", "non-dropping-particle" : "", "parse-names" : false, "suffix" : "" }, { "dropping-particle" : "", "family" : "Anderson", "given" : "Peter G.", "non-dropping-particle" : "", "parse-names" : false, "suffix" : "" }, { "dropping-particle" : "", "family" : "Pinkerton", "given" : "Kent E.", "non-dropping-particle" : "", "parse-names" : false, "suffix" : "" }, { "dropping-particle" : "", "family" : "Ballinger", "given" : "Scott W.", "non-dropping-particle" : "", "parse-names" : false, "suffix" : "" } ], "container-title" : "Cardiovascular Toxicology", "id" : "ITEM-1", "issue" : "3", "issued" : { "date-parts" : [ [ "2010" ] ] }, "page" : "216-226", "title" : "Perinatal tobacco smoke exposure increases vascular oxidative stress and mitochondrial damage in non-human primates", "type" : "article-journal", "volume" : "10" }, "uris" : [ "http://www.mendeley.com/documents/?uuid=fd20e3b4-4563-4d67-bbdf-9aa828a1c69e" ] } ], "mendeley" : { "formattedCitation" : "(14)", "plainTextFormattedCitation" : "(14)", "previouslyFormattedCitation" : "(14)" }, "properties" : { "noteIndex" : 0 }, "schema" : "https://github.com/citation-style-language/schema/raw/master/csl-citation.json" }</w:instrText>
      </w:r>
      <w:r w:rsidR="0075219B">
        <w:fldChar w:fldCharType="separate"/>
      </w:r>
      <w:r w:rsidR="0075219B" w:rsidRPr="0075219B">
        <w:rPr>
          <w:noProof/>
        </w:rPr>
        <w:t>(14)</w:t>
      </w:r>
      <w:r w:rsidR="0075219B">
        <w:fldChar w:fldCharType="end"/>
      </w:r>
      <w:r w:rsidR="005E1B42">
        <w:t xml:space="preserve"> and cardiac muscle </w:t>
      </w:r>
      <w:r w:rsidR="0075219B">
        <w:fldChar w:fldCharType="begin" w:fldLock="1"/>
      </w:r>
      <w:r w:rsidR="00F53B31">
        <w:instrText>ADDIN CSL_CITATION { "citationItems" : [ { "id" : "ITEM-1", "itemData" : { "DOI" : "10.1016/j.jhazmat.2015.02.006", "ISSN" : "1873-3336", "PMID" : "25677476", "abstract" : "Epidemiological studies suggested that ambient fine particulate matter (PM2.5) exposure was associated with cardiovascular disease. However, the underlying mechanism, especially the mitochondrial damage mechanism, of PM2.5-induced heart acute injury is still unclear. In this study, the alterations of mitochondrial morphology and mitochondrial fission/fusion gene expression, oxidative stress, calcium homeostasis and inflammation in hearts of rats exposed to PM2.5 with different dosages (0.375, 1.5, 6.0 and 24.0mg/kg body weight) were investigated. The results indicated that the PM2.5 exposure induced pathological changes and ultra-structural damage in hearts such as mitochondrial swell and cristae disorder. Furthermore, PM2.5 exposure significantly increased specific mitochondrial fission/fusion gene (Fis1, Mfn1, Mfn2, Drp1 and OPA1) expression in rat hearts. These changes were accompanied by decreases of activities of superoxide dismutase (SOD), Na(+)K(+)-ATPase and Ca(2+)-ATPase and increases of levels of malondialdehyde (MDA), inducible nitric oxide synthase (iNOS) and nitric oxide (NO) as well as levels of pro-inflammatory mediators including TNF-\u03b1, IL-6 and IL-1\u03b2 in rat hearts. The results implicate that mitochondrial damage, oxidative stress, cellular homeostasis imbalance and inflammation are potentially important mechanisms for the PM2.5-induced heart injury, and may have relations with cardiovascular disease.", "author" : [ { "dropping-particle" : "", "family" : "Li", "given" : "Ruijin", "non-dropping-particle" : "", "parse-names" : false, "suffix" : "" }, { "dropping-particle" : "", "family" : "Kou", "given" : "Xiaojing", "non-dropping-particle" : "", "parse-names" : false, "suffix" : "" }, { "dropping-particle" : "", "family" : "Geng", "given" : "Hong", "non-dropping-particle" : "", "parse-names" : false, "suffix" : "" }, { "dropping-particle" : "", "family" : "Xie", "given" : "Jingfang", "non-dropping-particle" : "", "parse-names" : false, "suffix" : "" }, { "dropping-particle" : "", "family" : "Tian", "given" : "Jingjing", "non-dropping-particle" : "", "parse-names" : false, "suffix" : "" }, { "dropping-particle" : "", "family" : "Cai", "given" : "Zongwei", "non-dropping-particle" : "", "parse-names" : false, "suffix" : "" }, { "dropping-particle" : "", "family" : "Dong", "given" : "Chuan", "non-dropping-particle" : "", "parse-names" : false, "suffix" : "" } ], "container-title" : "Journal of hazardous materials", "id" : "ITEM-1", "issue" : "92", "issued" : { "date-parts" : [ [ "2015" ] ] }, "page" : "392-401", "publisher" : "Elsevier B.V.", "title" : "Mitochondrial damage: An important mechanism of ambient PM2.5 exposure-induced acute heart injury in rats.", "type" : "article-journal", "volume" : "287C" }, "uris" : [ "http://www.mendeley.com/documents/?uuid=e939341c-674b-4b7f-9f9e-01fa464b46aa" ] } ], "mendeley" : { "formattedCitation" : "(15)", "plainTextFormattedCitation" : "(15)", "previouslyFormattedCitation" : "(15)" }, "properties" : { "noteIndex" : 0 }, "schema" : "https://github.com/citation-style-language/schema/raw/master/csl-citation.json" }</w:instrText>
      </w:r>
      <w:r w:rsidR="0075219B">
        <w:fldChar w:fldCharType="separate"/>
      </w:r>
      <w:r w:rsidR="0075219B" w:rsidRPr="0075219B">
        <w:rPr>
          <w:noProof/>
        </w:rPr>
        <w:t>(15)</w:t>
      </w:r>
      <w:r w:rsidR="0075219B">
        <w:fldChar w:fldCharType="end"/>
      </w:r>
      <w:r w:rsidR="0075219B">
        <w:t xml:space="preserve"> </w:t>
      </w:r>
      <w:r w:rsidR="005E1B42">
        <w:t xml:space="preserve">following exposure to EPFR’s. However, the effects of EPFR’s on skeletal muscle mitochondrial function remains to be determined. The </w:t>
      </w:r>
      <w:r w:rsidR="005E4209">
        <w:t>importance</w:t>
      </w:r>
      <w:r w:rsidR="005E1B42">
        <w:t xml:space="preserve"> of </w:t>
      </w:r>
      <w:r w:rsidR="005E4209">
        <w:t xml:space="preserve">skeletal muscle mitochondrial </w:t>
      </w:r>
      <w:r w:rsidR="005E1B42">
        <w:t>metabolism</w:t>
      </w:r>
      <w:r w:rsidR="005E4209">
        <w:t xml:space="preserve"> for</w:t>
      </w:r>
      <w:r w:rsidR="005E1B42">
        <w:t xml:space="preserve"> maintaining metabolic health is </w:t>
      </w:r>
      <w:r w:rsidR="005E4209">
        <w:t xml:space="preserve">becoming </w:t>
      </w:r>
      <w:r w:rsidR="005E4209">
        <w:lastRenderedPageBreak/>
        <w:t xml:space="preserve">well </w:t>
      </w:r>
      <w:r w:rsidR="00F53B31">
        <w:t xml:space="preserve">recognized </w:t>
      </w:r>
      <w:r w:rsidR="00F53B31">
        <w:fldChar w:fldCharType="begin" w:fldLock="1"/>
      </w:r>
      <w:r w:rsidR="00F53B31">
        <w:instrText>ADDIN CSL_CITATION { "citationItems" : [ { "id" : "ITEM-1", "itemData" : { "DOI" : "10.1016/j.tem.2012.05.007", "ISBN" : "1879-3061 (Electronic) 1043-2760 (Linking)", "ISSN" : "1879-3061", "PMID" : "22726362", "abstract" : "Reduced mitochondrial capacity in skeletal muscle has been suggested to underlie the development of insulin resistance and type 2 diabetes mellitus (T2DM). However, data obtained from human subjects concerning this putative relation indicate that the mitochondrial defect observed in diabetic muscle might be secondary to the insulin-resistant state instead of being a causal factor. Nonetheless, diminished mitochondrial function, even secondary to insulin resistance, may accelerate lipid deposition in non-adipose tissues and aggravate insulin resistance. Indeed, improving mitochondrial capacity via exercise training and calorie restriction is associated with positive metabolic health effects. Here we review muscle mitochondrial dysfunction in humans and propose that targeting muscle mitochondria to improve muscle oxidative capacity should be considered as a strategy for improving metabolic health.", "author" : [ { "dropping-particle" : "", "family" : "Hoeks", "given" : "Joris", "non-dropping-particle" : "", "parse-names" : false, "suffix" : "" }, { "dropping-particle" : "", "family" : "Schrauwen", "given" : "Patrick", "non-dropping-particle" : "", "parse-names" : false, "suffix" : "" } ], "container-title" : "Trends in endocrinology and metabolism: TEM", "id" : "ITEM-1", "issue" : "9", "issued" : { "date-parts" : [ [ "2012" ] ] }, "page" : "444-450", "publisher" : "Elsevier Ltd", "title" : "Muscle mitochondria and insulin resistance: a human perspective", "type" : "article-journal", "volume" : "23" }, "uris" : [ "http://www.mendeley.com/documents/?uuid=22150de5-c319-4373-bf70-5de60d50bfb2" ] }, { "id" : "ITEM-2",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"ITEM-2", "issue" : "4", "issued" : { "date-parts" : [ [ "2014" ] ] }, "page" : "1276-1284", "publisher" : "Elsevier B.V.", "title" : "Skeletal muscle mitochondria: A major player in exercise, health and disease", "type" : "article-journal", "volume" : "1840" }, "uris" : [ "http://www.mendeley.com/documents/?uuid=f021cff5-980f-418a-973f-58c9e5989ae4" ] }, { "id" : "ITEM-3", "itemData" : { "DOI" : "10.1016/j.bbagen.2013.12.004", "ISBN" : "0006-3002 (Print)\\r0006-3002 (Linking)", "ISSN" : "18728006", "PMID" : "24345456", "abstract" : "Background The increased prevalence of obesity and its co-morbidities and their strong association with inactivity have produced an 'exercise-deficient phenotype' in which individuals with a particular combination of disease-susceptible genes collide with environmental influences to cross a biological 'threshold' that ultimately manifests as overt clinical conditions (i.e., risk-factors for disease states). These risk-factors have been linked to impairments in skeletal muscle mitochondrial function. Scope of review The question of whether 'inborn' mitochondrial deficiencies and/or defective mitochondrial metabolism contribute to metabolic disease, or if environmental factors are the major determinant, will be examined. Major conclusions We contend that impaired whole-body insulin resistance along with impaired skeletal muscle handling of carbohydrate and lipid fuels (i.e., metabolic inflexibility) is associated with a reduced skeletal muscle mitochondrial content which, in large part, is a maladaptive response to an 'inactivity cycle' which predisposes to a reduced level of habitual physical activity. While genetic components play a role in the pathogenesis of metabolic disease, exercise is a powerful environmental stimulus capable of restoring the metabolic flexibility of fuel selection and reduces risk-factors for metabolic disease in genetically- susceptible individuals. General significance Given the apathy towards voluntary physical activity in most Western societies, it is clear that there is an urgent need for innovative, clinically-effective exercise strategies, coupled with changes in current attitudes and methods of delivering exercise prescription and dietary advice, in order to improve metabolic health and reduce metabolic disease risk at the population level. This article is part of a Special Issue entitled Frontiers of Mitochondrial Research. \u00a9 2013 Elsevier B.V.", "author" : [ { "dropping-particle" : "", "family" : "Stephenson", "given" : "Erin J.", "non-dropping-particle" : "", "parse-names" : false, "suffix" : "" }, { "dropping-particle" : "", "family" : "Hawley", "given" : "John a.", "non-dropping-particle" : "", "parse-names" : false, "suffix" : "" } ], "container-title" : "Biochimica et Biophysica Acta - General Subjects", "id" : "ITEM-3", "issue" : "4", "issued" : { "date-parts" : [ [ "2014" ] ] }, "page" : "1285-1294", "publisher" : "Elsevier B.V.", "title" : "Mitochondrial function in metabolic health: A genetic and environmental tug of war", "type" : "article-journal", "volume" : "1840" }, "uris" : [ "http://www.mendeley.com/documents/?uuid=a9832e44-856e-4f2d-8cab-1da672e38d39" ] } ], "mendeley" : { "formattedCitation" : "(16\u201318)", "plainTextFormattedCitation" : "(16\u201318)", "previouslyFormattedCitation" : "(16\u201318)" }, "properties" : { "noteIndex" : 0 }, "schema" : "https://github.com/citation-style-language/schema/raw/master/csl-citation.json" }</w:instrText>
      </w:r>
      <w:r w:rsidR="00F53B31">
        <w:fldChar w:fldCharType="separate"/>
      </w:r>
      <w:r w:rsidR="00F53B31" w:rsidRPr="00F53B31">
        <w:rPr>
          <w:noProof/>
        </w:rPr>
        <w:t>(16–18)</w:t>
      </w:r>
      <w:r w:rsidR="00F53B31">
        <w:fldChar w:fldCharType="end"/>
      </w:r>
      <w:r w:rsidR="00F53B31">
        <w:t xml:space="preserve"> w</w:t>
      </w:r>
      <w:r w:rsidR="005E1B42">
        <w:t>ith deficits in muscle quality and function</w:t>
      </w:r>
      <w:r w:rsidR="009E18DB">
        <w:t>, particularly during early development</w:t>
      </w:r>
      <w:r w:rsidR="00F53B31">
        <w:t xml:space="preserve"> </w:t>
      </w:r>
      <w:r w:rsidR="00F53B31">
        <w:fldChar w:fldCharType="begin" w:fldLock="1"/>
      </w:r>
      <w:r w:rsidR="004B62B5">
        <w:instrText>ADDIN CSL_CITATION { "citationItems" : [ { "id" : "ITEM-1", "itemData" : { "DOI" : "10.1530/JOE-13-0567.Endocrine", "ISSN" : "1479-6805", "PMID" : "24532817", "abstract" : "Establishing sufficient skeletal muscle mass is essential for lifelong metabolic health. The intrauterine environment is a major determinant of the muscle mass that is present during the life course of an individual, because muscle fiber number is set at the time of birth. Thus, a compromised intrauterine environment from maternal nutrient restriction or placental insufficiency that restricts muscle fiber number can have permanent effects on the amount of muscle an individual will live with. Reduced muscle mass due to fewer muscle fibers persists even after compensatory or 'catch-up' postnatal growth occurs. Furthermore, muscle hypertrophy can only partially compensate for this limitation in fiber number. Compelling associations link low birth weight and decreased muscle mass to future insulin resistance, which can drive the development of the metabolic syndrome and type 2 diabetes, and the risk of cardiovascular events later in life. There are gaps in knowledge about the origins of reduced muscle growth at the cellular level and how these patterns are set during fetal development. By understanding the nutrient and endocrine regulation of fetal skeletal muscle growth and development, we can direct research efforts toward improving muscle growth early in life to prevent the development of chronic metabolic diseases later in life.", "author" : [ { "dropping-particle" : "", "family" : "Brown", "given" : "Laura D", "non-dropping-particle" : "", "parse-names" : false, "suffix" : "" } ], "container-title" : "The Journal of endocrinology", "id" : "ITEM-1", "issue" : "2", "issued" : { "date-parts" : [ [ "2014" ] ] }, "page" : "R13-29", "title" : "Endocrine regulation of fetal skeletal muscle growth: impact on future metabolic health.", "type" : "article-journal", "volume" : "221" }, "uris" : [ "http://www.mendeley.com/documents/?uuid=da0dff6f-5e8e-49e6-a5a2-84172138531b" ] } ], "mendeley" : { "formattedCitation" : "(19)", "plainTextFormattedCitation" : "(19)", "previouslyFormattedCitation" : "(19)" }, "properties" : { "noteIndex" : 0 }, "schema" : "https://github.com/citation-style-language/schema/raw/master/csl-citation.json" }</w:instrText>
      </w:r>
      <w:r w:rsidR="00F53B31">
        <w:fldChar w:fldCharType="separate"/>
      </w:r>
      <w:r w:rsidR="00F53B31" w:rsidRPr="00F53B31">
        <w:rPr>
          <w:noProof/>
        </w:rPr>
        <w:t>(19)</w:t>
      </w:r>
      <w:r w:rsidR="00F53B31">
        <w:fldChar w:fldCharType="end"/>
      </w:r>
      <w:r w:rsidR="005E1B42">
        <w:t xml:space="preserve">being closely linked to many </w:t>
      </w:r>
      <w:r w:rsidR="009A7281">
        <w:t xml:space="preserve">different </w:t>
      </w:r>
      <w:r w:rsidR="005E1B42">
        <w:t xml:space="preserve">metabolic disease states </w:t>
      </w:r>
      <w:r w:rsidR="00F53B31">
        <w:fldChar w:fldCharType="begin" w:fldLock="1"/>
      </w:r>
      <w:r w:rsidR="00F53B31">
        <w:instrText>ADDIN CSL_CITATION { "citationItems" : [ { "id" : "ITEM-1",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"ITEM-1", "issue" : "4", "issued" : { "date-parts" : [ [ "2014" ] ] }, "page" : "1276-1284", "publisher" : "Elsevier B.V.", "title" : "Skeletal muscle mitochondria: A major player in exercise, health and disease", "type" : "article-journal", "volume" : "1840" }, "uris" : [ "http://www.mendeley.com/documents/?uuid=f021cff5-980f-418a-973f-58c9e5989ae4" ] } ], "mendeley" : { "formattedCitation" : "(17)", "plainTextFormattedCitation" : "(17)", "previouslyFormattedCitation" : "(17)" }, "properties" : { "noteIndex" : 0 }, "schema" : "https://github.com/citation-style-language/schema/raw/master/csl-citation.json" }</w:instrText>
      </w:r>
      <w:r w:rsidR="00F53B31">
        <w:fldChar w:fldCharType="separate"/>
      </w:r>
      <w:r w:rsidR="00F53B31" w:rsidRPr="00F53B31">
        <w:rPr>
          <w:noProof/>
        </w:rPr>
        <w:t>(17)</w:t>
      </w:r>
      <w:r w:rsidR="00F53B31">
        <w:fldChar w:fldCharType="end"/>
      </w:r>
      <w:r w:rsidR="00F53B31">
        <w:t xml:space="preserve"> </w:t>
      </w:r>
      <w:r w:rsidR="0023247F">
        <w:t xml:space="preserve">In this study, we have investigated the effects of </w:t>
      </w:r>
      <w:r w:rsidR="0023247F" w:rsidRPr="00F53B31">
        <w:rPr>
          <w:i/>
        </w:rPr>
        <w:t>in utero</w:t>
      </w:r>
      <w:r w:rsidR="0023247F">
        <w:t xml:space="preserve"> exposure to EPFR’s on growth, metabolism, energy utilization and skeletal muscle mitochondrial function in a mouse model of diet-induced obesity. </w:t>
      </w:r>
    </w:p>
    <w:p w14:paraId="06792243" w14:textId="77777777" w:rsidR="00DE3439" w:rsidRDefault="00DE3439" w:rsidP="00DE3439"/>
    <w:p w14:paraId="258E36EE" w14:textId="77777777" w:rsidR="007221E6" w:rsidRDefault="007221E6" w:rsidP="007221E6">
      <w:pPr>
        <w:pStyle w:val="Heading1"/>
      </w:pPr>
      <w:r>
        <w:t>Methods and Materials</w:t>
      </w:r>
    </w:p>
    <w:p w14:paraId="70672F2E" w14:textId="4189EB1A" w:rsidR="00230B4A" w:rsidRDefault="00230B4A" w:rsidP="00230B4A">
      <w:pPr>
        <w:pStyle w:val="Heading2"/>
      </w:pPr>
      <w:r>
        <w:t>MCP230 Preparation and Treatment</w:t>
      </w:r>
    </w:p>
    <w:p w14:paraId="020EB9A4" w14:textId="452C884E" w:rsidR="008A7513" w:rsidRPr="008A7513" w:rsidRDefault="008A7513" w:rsidP="008A7513">
      <w:commentRangeStart w:id="2"/>
      <w:proofErr w:type="spellStart"/>
      <w:r>
        <w:t>Steph</w:t>
      </w:r>
      <w:proofErr w:type="spellEnd"/>
      <w:r>
        <w:t xml:space="preserve"> can you</w:t>
      </w:r>
      <w:ins w:id="3" w:author="Dave Bridges" w:date="2015-10-25T10:45:00Z">
        <w:r w:rsidR="00EE13E8">
          <w:t xml:space="preserve"> or Sri</w:t>
        </w:r>
      </w:ins>
      <w:r>
        <w:t xml:space="preserve"> </w:t>
      </w:r>
      <w:proofErr w:type="gramStart"/>
      <w:r>
        <w:t>write</w:t>
      </w:r>
      <w:proofErr w:type="gramEnd"/>
      <w:r>
        <w:t xml:space="preserve"> this section</w:t>
      </w:r>
      <w:commentRangeEnd w:id="2"/>
      <w:r>
        <w:rPr>
          <w:rStyle w:val="CommentReference"/>
        </w:rPr>
        <w:commentReference w:id="2"/>
      </w:r>
    </w:p>
    <w:p w14:paraId="630D13CB" w14:textId="01725080" w:rsidR="00230B4A" w:rsidRDefault="00230B4A" w:rsidP="00230B4A">
      <w:pPr>
        <w:pStyle w:val="Heading2"/>
      </w:pPr>
      <w:r>
        <w:t>Animal Housing and High Fat Diet</w:t>
      </w:r>
    </w:p>
    <w:p w14:paraId="67DFDF7D" w14:textId="6DEC1551" w:rsidR="00493F6D" w:rsidRDefault="0012599A" w:rsidP="00493F6D">
      <w:r>
        <w:t xml:space="preserve">Mice were maintained in a 12h light/dark cycle room at constant temperature and humidity and allowed unrestricted access to food and water. At 10 weeks of age, mice were switched from chow to a high fat diet, consisting of 45% of calories from fat (Research Diets catalog D12451). </w:t>
      </w:r>
      <w:r w:rsidR="00493F6D">
        <w:t xml:space="preserve">One mouse, a MCP230 treated animal had a malocclusion and was removed from </w:t>
      </w:r>
      <w:r w:rsidR="00717233">
        <w:t>all</w:t>
      </w:r>
      <w:r w:rsidR="00493F6D">
        <w:t xml:space="preserve"> analyses.</w:t>
      </w:r>
      <w:r w:rsidRPr="0012599A">
        <w:t xml:space="preserve"> </w:t>
      </w:r>
      <w:r>
        <w:t xml:space="preserve">The UTHSC Institutional Animal Care and Use Committee approved all mouse procedures.  </w:t>
      </w:r>
    </w:p>
    <w:p w14:paraId="116B7A4B" w14:textId="6745338A" w:rsidR="00A671EA" w:rsidRDefault="008A7513" w:rsidP="00A671EA">
      <w:pPr>
        <w:pStyle w:val="Heading2"/>
      </w:pPr>
      <w:r>
        <w:t xml:space="preserve">Metabolite Assays </w:t>
      </w:r>
    </w:p>
    <w:p w14:paraId="10847BA1" w14:textId="3E2ADD73" w:rsidR="008A7513" w:rsidRPr="008A7513" w:rsidRDefault="008A7513" w:rsidP="008A7513">
      <w:r>
        <w:t xml:space="preserve">Glucose was determined using an </w:t>
      </w:r>
      <w:proofErr w:type="spellStart"/>
      <w:r>
        <w:t>Accu</w:t>
      </w:r>
      <w:r w:rsidR="00A476F7">
        <w:t>C</w:t>
      </w:r>
      <w:r>
        <w:t>heck</w:t>
      </w:r>
      <w:proofErr w:type="spellEnd"/>
      <w:r>
        <w:t xml:space="preserve"> glucometer.  Serum hormone levels were determined using a </w:t>
      </w:r>
      <w:r w:rsidR="00670D0F">
        <w:t>Bio-</w:t>
      </w:r>
      <w:proofErr w:type="spellStart"/>
      <w:r w:rsidR="00670D0F">
        <w:t>Plex</w:t>
      </w:r>
      <w:proofErr w:type="spellEnd"/>
      <w:r w:rsidR="00670D0F">
        <w:t xml:space="preserve"> pro mouse diabetes multiplex immunoassay, </w:t>
      </w:r>
      <w:proofErr w:type="spellStart"/>
      <w:r w:rsidR="00670D0F">
        <w:t>BioRad</w:t>
      </w:r>
      <w:proofErr w:type="spellEnd"/>
      <w:r w:rsidR="00C82568">
        <w:t xml:space="preserve"> (</w:t>
      </w:r>
      <w:r w:rsidR="00A671EA">
        <w:t xml:space="preserve">#171-F7001M) </w:t>
      </w:r>
      <w:r>
        <w:t xml:space="preserve">following the manufacturer’s instructions. </w:t>
      </w:r>
    </w:p>
    <w:p w14:paraId="62A8C3BE" w14:textId="172AB492" w:rsidR="00441A6B" w:rsidRDefault="00441A6B" w:rsidP="00D63FB0">
      <w:pPr>
        <w:pStyle w:val="Heading2"/>
      </w:pPr>
      <w:r>
        <w:t>Body Composition</w:t>
      </w:r>
      <w:r w:rsidR="008A533B">
        <w:t xml:space="preserve"> and Metabolic Cages</w:t>
      </w:r>
    </w:p>
    <w:p w14:paraId="145A7B75" w14:textId="77777777" w:rsidR="00FC49AE" w:rsidRDefault="008A533B" w:rsidP="0012599A">
      <w:r>
        <w:t xml:space="preserve">Mice were weighed weekly at approximately ZT10.   </w:t>
      </w:r>
      <w:r w:rsidR="0012599A">
        <w:t xml:space="preserve">Body composition was determined </w:t>
      </w:r>
      <w:r>
        <w:t xml:space="preserve">non-invasively </w:t>
      </w:r>
      <w:r w:rsidR="0012599A">
        <w:t xml:space="preserve">using an echo-MRI </w:t>
      </w:r>
      <w:r>
        <w:t>100 at approximately ZT10.</w:t>
      </w:r>
      <w:r w:rsidR="00B425D2">
        <w:t xml:space="preserve">  Food intake during the HFD phase was determined on a per-cage level by weigh</w:t>
      </w:r>
      <w:r w:rsidR="00740101">
        <w:t>ing the food on a weekly basis.  For pre-HFD food intake</w:t>
      </w:r>
      <w:r w:rsidR="00FC49AE">
        <w:t>, this was the sum of food eaten during the time in the metabolic cages, as determined by scaled feeder.</w:t>
      </w:r>
    </w:p>
    <w:p w14:paraId="02196AB5" w14:textId="77777777" w:rsidR="00FC49AE" w:rsidRDefault="00FC49AE" w:rsidP="0012599A"/>
    <w:p w14:paraId="17CBB1F0" w14:textId="44B9F930" w:rsidR="0012599A" w:rsidRPr="0012599A" w:rsidRDefault="00FC49AE" w:rsidP="0012599A">
      <w:r>
        <w:t xml:space="preserve">Energy expenditure, ambulatory </w:t>
      </w:r>
      <w:proofErr w:type="spellStart"/>
      <w:r>
        <w:t>locomotor</w:t>
      </w:r>
      <w:proofErr w:type="spellEnd"/>
      <w:r>
        <w:t xml:space="preserve"> activity and respiratory exchange ratios were determined in a home-cage style comprehensive laboratory animal monitoring system (Columbus Instruments).  Mice were placed in the cages at approximately ZT10 and monitored for 3-4 days.  Data from the first 6h were discarded as this was </w:t>
      </w:r>
      <w:proofErr w:type="gramStart"/>
      <w:r>
        <w:t>the  amount</w:t>
      </w:r>
      <w:proofErr w:type="gramEnd"/>
      <w:r>
        <w:t xml:space="preserve"> of time for the mice to become accustomed to their new single-caged environment.  </w:t>
      </w:r>
      <w:r w:rsidR="009A6E08">
        <w:t xml:space="preserve">The </w:t>
      </w:r>
      <w:proofErr w:type="spellStart"/>
      <w:r w:rsidR="009A6E08">
        <w:t>Oxymax</w:t>
      </w:r>
      <w:proofErr w:type="spellEnd"/>
      <w:r w:rsidR="009A6E08">
        <w:t xml:space="preserve"> software provided by the vendor calculated the volumes of O</w:t>
      </w:r>
      <w:r w:rsidR="009A6E08" w:rsidRPr="009A6E08">
        <w:rPr>
          <w:vertAlign w:val="subscript"/>
        </w:rPr>
        <w:t>2</w:t>
      </w:r>
      <w:r w:rsidR="009A6E08">
        <w:t>, CO</w:t>
      </w:r>
      <w:r w:rsidR="009A6E08" w:rsidRPr="009A6E08">
        <w:rPr>
          <w:vertAlign w:val="subscript"/>
        </w:rPr>
        <w:t>2</w:t>
      </w:r>
      <w:r w:rsidR="009A6E08">
        <w:t>, the respiratory exchange ratio, the ambulatory x-</w:t>
      </w:r>
      <w:r w:rsidR="00157E6E">
        <w:t xml:space="preserve"> and y-</w:t>
      </w:r>
      <w:r w:rsidR="009A6E08">
        <w:t>phase physical activity and the food consumption</w:t>
      </w:r>
      <w:r w:rsidR="00D56482">
        <w:t>.</w:t>
      </w:r>
    </w:p>
    <w:p w14:paraId="4A876186" w14:textId="6E656FA8" w:rsidR="00310EE0" w:rsidRDefault="00310EE0" w:rsidP="00576C73">
      <w:pPr>
        <w:pStyle w:val="Heading2"/>
      </w:pPr>
      <w:r>
        <w:t>Tissue C</w:t>
      </w:r>
      <w:r w:rsidR="00F659E1">
        <w:t>ollection and</w:t>
      </w:r>
      <w:r>
        <w:t xml:space="preserve"> </w:t>
      </w:r>
      <w:r w:rsidR="006B76D5">
        <w:t>Nucleic Acid Preparation</w:t>
      </w:r>
      <w:r>
        <w:t xml:space="preserve"> </w:t>
      </w:r>
    </w:p>
    <w:p w14:paraId="57D45FA5" w14:textId="554E6F03" w:rsidR="00310EE0" w:rsidRDefault="00310EE0" w:rsidP="00310EE0">
      <w:r>
        <w:t>After the 12 week high fat diet phase, mice were fasted overnight and anesthetized</w:t>
      </w:r>
      <w:r w:rsidR="00A75A22">
        <w:t xml:space="preserve"> using</w:t>
      </w:r>
      <w:commentRangeStart w:id="4"/>
      <w:r>
        <w:t>…</w:t>
      </w:r>
      <w:commentRangeEnd w:id="4"/>
      <w:r>
        <w:rPr>
          <w:rStyle w:val="CommentReference"/>
        </w:rPr>
        <w:commentReference w:id="4"/>
      </w:r>
      <w:r w:rsidR="00A75A22">
        <w:t xml:space="preserve"> Immediately after death, quadriceps muscles were </w:t>
      </w:r>
      <w:r w:rsidR="00533ED0">
        <w:t xml:space="preserve">quickly and </w:t>
      </w:r>
      <w:r w:rsidR="00A75A22">
        <w:t>carefully dissected</w:t>
      </w:r>
      <w:r w:rsidR="00533ED0">
        <w:t xml:space="preserve"> out</w:t>
      </w:r>
      <w:r w:rsidR="00A75A22">
        <w:t xml:space="preserve">, cleared of any visible adipose and connective tissue and snap frozen </w:t>
      </w:r>
      <w:r w:rsidR="00A75A22">
        <w:lastRenderedPageBreak/>
        <w:t>in liquid N</w:t>
      </w:r>
      <w:r w:rsidR="00A75A22" w:rsidRPr="00A75A22">
        <w:rPr>
          <w:vertAlign w:val="subscript"/>
        </w:rPr>
        <w:t>2</w:t>
      </w:r>
      <w:r w:rsidR="00A75A22">
        <w:t>.</w:t>
      </w:r>
      <w:r w:rsidR="002E53C1">
        <w:t xml:space="preserve"> </w:t>
      </w:r>
      <w:r w:rsidR="00533ED0">
        <w:t>Nucleic acids</w:t>
      </w:r>
      <w:r w:rsidR="00DF4C91">
        <w:t xml:space="preserve"> were</w:t>
      </w:r>
      <w:r w:rsidR="00A50501">
        <w:t xml:space="preserve"> isolated from f</w:t>
      </w:r>
      <w:r w:rsidR="002E53C1">
        <w:t xml:space="preserve">rozen </w:t>
      </w:r>
      <w:r w:rsidR="00DF4C91">
        <w:t>quadriceps</w:t>
      </w:r>
      <w:r w:rsidR="002E53C1">
        <w:t xml:space="preserve"> samples </w:t>
      </w:r>
      <w:r w:rsidR="00A50501">
        <w:t xml:space="preserve">via </w:t>
      </w:r>
      <w:proofErr w:type="spellStart"/>
      <w:r w:rsidR="00A50501">
        <w:t>Trizol</w:t>
      </w:r>
      <w:proofErr w:type="spellEnd"/>
      <w:r w:rsidR="00A50501">
        <w:t xml:space="preserve"> extraction</w:t>
      </w:r>
      <w:r w:rsidR="00DF4C91">
        <w:t xml:space="preserve">. </w:t>
      </w:r>
      <w:r w:rsidR="00533ED0">
        <w:t>Following careful and complete removal of the RNA-containing aqueous phase and its subsequent column purification</w:t>
      </w:r>
      <w:r w:rsidR="00DF4C91">
        <w:t xml:space="preserve"> (Life Technologies)</w:t>
      </w:r>
      <w:r w:rsidR="00533ED0">
        <w:t>,</w:t>
      </w:r>
      <w:r w:rsidR="00DF4C91">
        <w:t xml:space="preserve"> </w:t>
      </w:r>
      <w:r w:rsidR="006A47A3">
        <w:t xml:space="preserve">genomic </w:t>
      </w:r>
      <w:r w:rsidR="00DF4C91">
        <w:t xml:space="preserve">DNA </w:t>
      </w:r>
      <w:r w:rsidR="00533ED0">
        <w:t>extraction buffer (</w:t>
      </w:r>
      <w:proofErr w:type="spellStart"/>
      <w:r w:rsidR="009543EA">
        <w:t>T</w:t>
      </w:r>
      <w:r w:rsidR="00533ED0" w:rsidRPr="00533ED0">
        <w:t>ris</w:t>
      </w:r>
      <w:proofErr w:type="spellEnd"/>
      <w:r w:rsidR="00533ED0" w:rsidRPr="00533ED0">
        <w:t xml:space="preserve"> base [1 M], sodium citrate dibasic </w:t>
      </w:r>
      <w:proofErr w:type="spellStart"/>
      <w:r w:rsidR="00533ED0" w:rsidRPr="00533ED0">
        <w:t>trihydrate</w:t>
      </w:r>
      <w:proofErr w:type="spellEnd"/>
      <w:r w:rsidR="00533ED0" w:rsidRPr="00533ED0">
        <w:t xml:space="preserve"> [50 </w:t>
      </w:r>
      <w:proofErr w:type="spellStart"/>
      <w:r w:rsidR="00533ED0" w:rsidRPr="00533ED0">
        <w:t>mM</w:t>
      </w:r>
      <w:proofErr w:type="spellEnd"/>
      <w:r w:rsidR="00533ED0" w:rsidRPr="00533ED0">
        <w:t xml:space="preserve">], guanidine </w:t>
      </w:r>
      <w:proofErr w:type="spellStart"/>
      <w:r w:rsidR="00533ED0" w:rsidRPr="00533ED0">
        <w:t>thiocyanate</w:t>
      </w:r>
      <w:proofErr w:type="spellEnd"/>
      <w:r w:rsidR="00533ED0" w:rsidRPr="00533ED0">
        <w:t xml:space="preserve"> [4 M]</w:t>
      </w:r>
      <w:r w:rsidR="00533ED0">
        <w:t>)</w:t>
      </w:r>
      <w:r w:rsidR="00DC51A6">
        <w:t xml:space="preserve"> </w:t>
      </w:r>
      <w:r w:rsidR="00533ED0">
        <w:t xml:space="preserve">was added to </w:t>
      </w:r>
      <w:r w:rsidR="00DC51A6">
        <w:t xml:space="preserve">the tubes containing </w:t>
      </w:r>
      <w:r w:rsidR="003B1578">
        <w:t>the remaining</w:t>
      </w:r>
      <w:r w:rsidR="00B52DBA">
        <w:t xml:space="preserve"> interphase and </w:t>
      </w:r>
      <w:proofErr w:type="spellStart"/>
      <w:r w:rsidR="00B52DBA">
        <w:t>infranatant</w:t>
      </w:r>
      <w:proofErr w:type="spellEnd"/>
      <w:r w:rsidR="00DC51A6">
        <w:t>.</w:t>
      </w:r>
      <w:r w:rsidR="00B52DBA">
        <w:t xml:space="preserve"> Tubes were shaken vigorously and centrifuged at 12,000 G at room temperature for 30 minutes. The aqueous phase was</w:t>
      </w:r>
      <w:r w:rsidR="00995E55">
        <w:t xml:space="preserve"> then </w:t>
      </w:r>
      <w:r w:rsidR="00B52DBA">
        <w:t xml:space="preserve">collected and </w:t>
      </w:r>
      <w:r w:rsidR="00995E55">
        <w:t xml:space="preserve">the </w:t>
      </w:r>
      <w:r w:rsidR="006A47A3">
        <w:t xml:space="preserve">genomic </w:t>
      </w:r>
      <w:r w:rsidR="00995E55">
        <w:t xml:space="preserve">DNA </w:t>
      </w:r>
      <w:r w:rsidR="00B52DBA">
        <w:t xml:space="preserve">precipitated </w:t>
      </w:r>
      <w:r w:rsidR="00995E55">
        <w:t>in</w:t>
      </w:r>
      <w:r w:rsidR="002D2D87">
        <w:t xml:space="preserve"> isopropanol. Samples were re-spun at 12,000 G at 4</w:t>
      </w:r>
      <w:r w:rsidR="009543EA">
        <w:rPr>
          <w:rFonts w:ascii="Cambria" w:hAnsi="Cambria"/>
        </w:rPr>
        <w:t>°</w:t>
      </w:r>
      <w:r w:rsidR="009543EA">
        <w:t xml:space="preserve">C </w:t>
      </w:r>
      <w:r w:rsidR="002D2D87">
        <w:t xml:space="preserve">to pellet the DNA. The DNA pellet was </w:t>
      </w:r>
      <w:r w:rsidR="003B1578">
        <w:t xml:space="preserve">then </w:t>
      </w:r>
      <w:r w:rsidR="002D2D87">
        <w:t>washed in 70% ethanol, re-spun and</w:t>
      </w:r>
      <w:r w:rsidR="003B1578">
        <w:t>,</w:t>
      </w:r>
      <w:r w:rsidR="002D2D87">
        <w:t xml:space="preserve"> after careful ethanol removal, re-suspended in 1x </w:t>
      </w:r>
      <w:proofErr w:type="spellStart"/>
      <w:r w:rsidR="009543EA">
        <w:t>T</w:t>
      </w:r>
      <w:r w:rsidR="002D2D87">
        <w:t>ris</w:t>
      </w:r>
      <w:proofErr w:type="spellEnd"/>
      <w:r w:rsidR="002D2D87">
        <w:t xml:space="preserve">-EDTA buffer. </w:t>
      </w:r>
      <w:proofErr w:type="spellStart"/>
      <w:proofErr w:type="gramStart"/>
      <w:r w:rsidR="006A47A3">
        <w:t>cDNA</w:t>
      </w:r>
      <w:proofErr w:type="spellEnd"/>
      <w:proofErr w:type="gramEnd"/>
      <w:r w:rsidR="006A47A3">
        <w:t xml:space="preserve"> was generated from purified RNA using the Applied </w:t>
      </w:r>
      <w:proofErr w:type="spellStart"/>
      <w:r w:rsidR="006A47A3">
        <w:t>Biosystems</w:t>
      </w:r>
      <w:proofErr w:type="spellEnd"/>
      <w:r w:rsidR="006A47A3">
        <w:t xml:space="preserve"> </w:t>
      </w:r>
      <w:proofErr w:type="spellStart"/>
      <w:r w:rsidR="006A47A3">
        <w:t>cDNA</w:t>
      </w:r>
      <w:proofErr w:type="spellEnd"/>
      <w:r w:rsidR="006A47A3">
        <w:t xml:space="preserve"> Synthesis Kit. </w:t>
      </w:r>
      <w:r w:rsidR="00B52DBA">
        <w:t xml:space="preserve">  </w:t>
      </w:r>
      <w:r w:rsidR="0007239C">
        <w:t xml:space="preserve"> </w:t>
      </w:r>
    </w:p>
    <w:p w14:paraId="00AE8374" w14:textId="34C91CF0" w:rsidR="003B1578" w:rsidRDefault="003B1578" w:rsidP="003B1578">
      <w:pPr>
        <w:pStyle w:val="Heading2"/>
      </w:pPr>
      <w:proofErr w:type="spellStart"/>
      <w:proofErr w:type="gramStart"/>
      <w:r>
        <w:t>qPCR</w:t>
      </w:r>
      <w:proofErr w:type="spellEnd"/>
      <w:proofErr w:type="gramEnd"/>
      <w:r>
        <w:t xml:space="preserve"> Analysis of Mitochondrial DNA Copy Number </w:t>
      </w:r>
      <w:r w:rsidR="00BA6E0E">
        <w:t>and mRNA Transcripts</w:t>
      </w:r>
    </w:p>
    <w:p w14:paraId="378DDFC4" w14:textId="718651A7" w:rsidR="00551E2D" w:rsidRDefault="00551E2D" w:rsidP="00576C73">
      <w:pPr>
        <w:pStyle w:val="Heading2"/>
        <w:rPr>
          <w:rFonts w:asciiTheme="minorHAnsi" w:eastAsiaTheme="minorEastAsia" w:hAnsiTheme="minorHAnsi" w:cstheme="minorBidi"/>
          <w:b w:val="0"/>
          <w:bCs w:val="0"/>
          <w:color w:val="auto"/>
          <w:sz w:val="24"/>
          <w:szCs w:val="24"/>
        </w:rPr>
      </w:pPr>
      <w:r w:rsidRPr="00551E2D">
        <w:rPr>
          <w:rFonts w:asciiTheme="minorHAnsi" w:eastAsiaTheme="minorEastAsia" w:hAnsiTheme="minorHAnsi" w:cstheme="minorBidi"/>
          <w:b w:val="0"/>
          <w:bCs w:val="0"/>
          <w:color w:val="auto"/>
          <w:sz w:val="24"/>
          <w:szCs w:val="24"/>
        </w:rPr>
        <w:t xml:space="preserve">Primers designed for three mitochondrial-encoded gene regions were used to assess </w:t>
      </w:r>
      <w:r w:rsidR="00AF1A7D">
        <w:rPr>
          <w:rFonts w:asciiTheme="minorHAnsi" w:eastAsiaTheme="minorEastAsia" w:hAnsiTheme="minorHAnsi" w:cstheme="minorBidi"/>
          <w:b w:val="0"/>
          <w:bCs w:val="0"/>
          <w:color w:val="auto"/>
          <w:sz w:val="24"/>
          <w:szCs w:val="24"/>
        </w:rPr>
        <w:t>mitochondrial DNA (</w:t>
      </w:r>
      <w:proofErr w:type="spellStart"/>
      <w:r w:rsidRPr="00551E2D">
        <w:rPr>
          <w:rFonts w:asciiTheme="minorHAnsi" w:eastAsiaTheme="minorEastAsia" w:hAnsiTheme="minorHAnsi" w:cstheme="minorBidi"/>
          <w:b w:val="0"/>
          <w:bCs w:val="0"/>
          <w:color w:val="auto"/>
          <w:sz w:val="24"/>
          <w:szCs w:val="24"/>
        </w:rPr>
        <w:t>m</w:t>
      </w:r>
      <w:r w:rsidR="00AF1A7D">
        <w:rPr>
          <w:rFonts w:asciiTheme="minorHAnsi" w:eastAsiaTheme="minorEastAsia" w:hAnsiTheme="minorHAnsi" w:cstheme="minorBidi"/>
          <w:b w:val="0"/>
          <w:bCs w:val="0"/>
          <w:color w:val="auto"/>
          <w:sz w:val="24"/>
          <w:szCs w:val="24"/>
        </w:rPr>
        <w:t>t</w:t>
      </w:r>
      <w:r w:rsidRPr="00551E2D">
        <w:rPr>
          <w:rFonts w:asciiTheme="minorHAnsi" w:eastAsiaTheme="minorEastAsia" w:hAnsiTheme="minorHAnsi" w:cstheme="minorBidi"/>
          <w:b w:val="0"/>
          <w:bCs w:val="0"/>
          <w:color w:val="auto"/>
          <w:sz w:val="24"/>
          <w:szCs w:val="24"/>
        </w:rPr>
        <w:t>DNA</w:t>
      </w:r>
      <w:proofErr w:type="spellEnd"/>
      <w:r w:rsidR="00AF1A7D">
        <w:rPr>
          <w:rFonts w:asciiTheme="minorHAnsi" w:eastAsiaTheme="minorEastAsia" w:hAnsiTheme="minorHAnsi" w:cstheme="minorBidi"/>
          <w:b w:val="0"/>
          <w:bCs w:val="0"/>
          <w:color w:val="auto"/>
          <w:sz w:val="24"/>
          <w:szCs w:val="24"/>
        </w:rPr>
        <w:t>)</w:t>
      </w:r>
      <w:r w:rsidRPr="00551E2D">
        <w:rPr>
          <w:rFonts w:asciiTheme="minorHAnsi" w:eastAsiaTheme="minorEastAsia" w:hAnsiTheme="minorHAnsi" w:cstheme="minorBidi"/>
          <w:b w:val="0"/>
          <w:bCs w:val="0"/>
          <w:color w:val="auto"/>
          <w:sz w:val="24"/>
          <w:szCs w:val="24"/>
        </w:rPr>
        <w:t xml:space="preserve"> copy number in </w:t>
      </w:r>
      <w:r>
        <w:rPr>
          <w:rFonts w:asciiTheme="minorHAnsi" w:eastAsiaTheme="minorEastAsia" w:hAnsiTheme="minorHAnsi" w:cstheme="minorBidi"/>
          <w:b w:val="0"/>
          <w:bCs w:val="0"/>
          <w:color w:val="auto"/>
          <w:sz w:val="24"/>
          <w:szCs w:val="24"/>
        </w:rPr>
        <w:t xml:space="preserve">genomic </w:t>
      </w:r>
      <w:r w:rsidRPr="00551E2D">
        <w:rPr>
          <w:rFonts w:asciiTheme="minorHAnsi" w:eastAsiaTheme="minorEastAsia" w:hAnsiTheme="minorHAnsi" w:cstheme="minorBidi"/>
          <w:b w:val="0"/>
          <w:bCs w:val="0"/>
          <w:color w:val="auto"/>
          <w:sz w:val="24"/>
          <w:szCs w:val="24"/>
        </w:rPr>
        <w:t xml:space="preserve">DNA </w:t>
      </w:r>
      <w:r w:rsidR="007B6EF9">
        <w:rPr>
          <w:rFonts w:asciiTheme="minorHAnsi" w:eastAsiaTheme="minorEastAsia" w:hAnsiTheme="minorHAnsi" w:cstheme="minorBidi"/>
          <w:b w:val="0"/>
          <w:bCs w:val="0"/>
          <w:color w:val="auto"/>
          <w:sz w:val="24"/>
          <w:szCs w:val="24"/>
        </w:rPr>
        <w:t>and p</w:t>
      </w:r>
      <w:r w:rsidR="00BA6E0E">
        <w:rPr>
          <w:rFonts w:asciiTheme="minorHAnsi" w:eastAsiaTheme="minorEastAsia" w:hAnsiTheme="minorHAnsi" w:cstheme="minorBidi"/>
          <w:b w:val="0"/>
          <w:bCs w:val="0"/>
          <w:color w:val="auto"/>
          <w:sz w:val="24"/>
          <w:szCs w:val="24"/>
        </w:rPr>
        <w:t xml:space="preserve">rimers designed for both mitochondrial- and nuclear-encoded mitochondrial genes were used to assess mRNA transcript levels in </w:t>
      </w:r>
      <w:proofErr w:type="spellStart"/>
      <w:r w:rsidR="00BA6E0E">
        <w:rPr>
          <w:rFonts w:asciiTheme="minorHAnsi" w:eastAsiaTheme="minorEastAsia" w:hAnsiTheme="minorHAnsi" w:cstheme="minorBidi"/>
          <w:b w:val="0"/>
          <w:bCs w:val="0"/>
          <w:color w:val="auto"/>
          <w:sz w:val="24"/>
          <w:szCs w:val="24"/>
        </w:rPr>
        <w:t>cDNA</w:t>
      </w:r>
      <w:proofErr w:type="spellEnd"/>
      <w:r w:rsidR="00BA6E0E">
        <w:rPr>
          <w:rFonts w:asciiTheme="minorHAnsi" w:eastAsiaTheme="minorEastAsia" w:hAnsiTheme="minorHAnsi" w:cstheme="minorBidi"/>
          <w:b w:val="0"/>
          <w:bCs w:val="0"/>
          <w:color w:val="auto"/>
          <w:sz w:val="24"/>
          <w:szCs w:val="24"/>
        </w:rPr>
        <w:t xml:space="preserve"> </w:t>
      </w:r>
      <w:r w:rsidR="007B6EF9" w:rsidRPr="00551E2D">
        <w:rPr>
          <w:rFonts w:asciiTheme="minorHAnsi" w:eastAsiaTheme="minorEastAsia" w:hAnsiTheme="minorHAnsi" w:cstheme="minorBidi"/>
          <w:b w:val="0"/>
          <w:bCs w:val="0"/>
          <w:color w:val="auto"/>
          <w:sz w:val="24"/>
          <w:szCs w:val="24"/>
        </w:rPr>
        <w:t>extracted from the quadriceps muscle</w:t>
      </w:r>
      <w:r w:rsidR="007B6EF9">
        <w:rPr>
          <w:rFonts w:asciiTheme="minorHAnsi" w:eastAsiaTheme="minorEastAsia" w:hAnsiTheme="minorHAnsi" w:cstheme="minorBidi"/>
          <w:b w:val="0"/>
          <w:bCs w:val="0"/>
          <w:color w:val="auto"/>
          <w:sz w:val="24"/>
          <w:szCs w:val="24"/>
        </w:rPr>
        <w:t xml:space="preserve"> (</w:t>
      </w:r>
      <w:r w:rsidR="00543742">
        <w:rPr>
          <w:rFonts w:asciiTheme="minorHAnsi" w:eastAsiaTheme="minorEastAsia" w:hAnsiTheme="minorHAnsi" w:cstheme="minorBidi"/>
          <w:b w:val="0"/>
          <w:bCs w:val="0"/>
          <w:color w:val="auto"/>
          <w:sz w:val="24"/>
          <w:szCs w:val="24"/>
        </w:rPr>
        <w:t>Table 1</w:t>
      </w:r>
      <w:r w:rsidR="007B6EF9">
        <w:rPr>
          <w:rFonts w:asciiTheme="minorHAnsi" w:eastAsiaTheme="minorEastAsia" w:hAnsiTheme="minorHAnsi" w:cstheme="minorBidi"/>
          <w:b w:val="0"/>
          <w:bCs w:val="0"/>
          <w:color w:val="auto"/>
          <w:sz w:val="24"/>
          <w:szCs w:val="24"/>
        </w:rPr>
        <w:t>)</w:t>
      </w:r>
      <w:r w:rsidR="007B6EF9" w:rsidRPr="00551E2D">
        <w:rPr>
          <w:rFonts w:asciiTheme="minorHAnsi" w:eastAsiaTheme="minorEastAsia" w:hAnsiTheme="minorHAnsi" w:cstheme="minorBidi"/>
          <w:b w:val="0"/>
          <w:bCs w:val="0"/>
          <w:color w:val="auto"/>
          <w:sz w:val="24"/>
          <w:szCs w:val="24"/>
        </w:rPr>
        <w:t>.</w:t>
      </w:r>
      <w:r>
        <w:rPr>
          <w:rFonts w:asciiTheme="minorHAnsi" w:eastAsiaTheme="minorEastAsia" w:hAnsiTheme="minorHAnsi" w:cstheme="minorBidi"/>
          <w:b w:val="0"/>
          <w:bCs w:val="0"/>
          <w:color w:val="auto"/>
          <w:sz w:val="24"/>
          <w:szCs w:val="24"/>
        </w:rPr>
        <w:t xml:space="preserve"> Briefly, genomic </w:t>
      </w:r>
      <w:r w:rsidRPr="00551E2D">
        <w:rPr>
          <w:rFonts w:asciiTheme="minorHAnsi" w:eastAsiaTheme="minorEastAsia" w:hAnsiTheme="minorHAnsi" w:cstheme="minorBidi"/>
          <w:b w:val="0"/>
          <w:bCs w:val="0"/>
          <w:color w:val="auto"/>
          <w:sz w:val="24"/>
          <w:szCs w:val="24"/>
        </w:rPr>
        <w:t xml:space="preserve">DNA </w:t>
      </w:r>
      <w:r w:rsidR="007B6EF9">
        <w:rPr>
          <w:rFonts w:asciiTheme="minorHAnsi" w:eastAsiaTheme="minorEastAsia" w:hAnsiTheme="minorHAnsi" w:cstheme="minorBidi"/>
          <w:b w:val="0"/>
          <w:bCs w:val="0"/>
          <w:color w:val="auto"/>
          <w:sz w:val="24"/>
          <w:szCs w:val="24"/>
        </w:rPr>
        <w:t xml:space="preserve">or </w:t>
      </w:r>
      <w:proofErr w:type="spellStart"/>
      <w:r w:rsidR="007B6EF9">
        <w:rPr>
          <w:rFonts w:asciiTheme="minorHAnsi" w:eastAsiaTheme="minorEastAsia" w:hAnsiTheme="minorHAnsi" w:cstheme="minorBidi"/>
          <w:b w:val="0"/>
          <w:bCs w:val="0"/>
          <w:color w:val="auto"/>
          <w:sz w:val="24"/>
          <w:szCs w:val="24"/>
        </w:rPr>
        <w:t>cDNA</w:t>
      </w:r>
      <w:proofErr w:type="spellEnd"/>
      <w:r w:rsidR="007B6EF9">
        <w:rPr>
          <w:rFonts w:asciiTheme="minorHAnsi" w:eastAsiaTheme="minorEastAsia" w:hAnsiTheme="minorHAnsi" w:cstheme="minorBidi"/>
          <w:b w:val="0"/>
          <w:bCs w:val="0"/>
          <w:color w:val="auto"/>
          <w:sz w:val="24"/>
          <w:szCs w:val="24"/>
        </w:rPr>
        <w:t xml:space="preserve"> </w:t>
      </w:r>
      <w:r w:rsidRPr="00551E2D">
        <w:rPr>
          <w:rFonts w:asciiTheme="minorHAnsi" w:eastAsiaTheme="minorEastAsia" w:hAnsiTheme="minorHAnsi" w:cstheme="minorBidi"/>
          <w:b w:val="0"/>
          <w:bCs w:val="0"/>
          <w:color w:val="auto"/>
          <w:sz w:val="24"/>
          <w:szCs w:val="24"/>
        </w:rPr>
        <w:t xml:space="preserve">from each sample extraction </w:t>
      </w:r>
      <w:r>
        <w:rPr>
          <w:rFonts w:asciiTheme="minorHAnsi" w:eastAsiaTheme="minorEastAsia" w:hAnsiTheme="minorHAnsi" w:cstheme="minorBidi"/>
          <w:b w:val="0"/>
          <w:bCs w:val="0"/>
          <w:color w:val="auto"/>
          <w:sz w:val="24"/>
          <w:szCs w:val="24"/>
        </w:rPr>
        <w:t>was added to the</w:t>
      </w:r>
      <w:r w:rsidRPr="00551E2D">
        <w:rPr>
          <w:rFonts w:asciiTheme="minorHAnsi" w:eastAsiaTheme="minorEastAsia" w:hAnsiTheme="minorHAnsi" w:cstheme="minorBidi"/>
          <w:b w:val="0"/>
          <w:bCs w:val="0"/>
          <w:color w:val="auto"/>
          <w:sz w:val="24"/>
          <w:szCs w:val="24"/>
        </w:rPr>
        <w:t xml:space="preserve"> </w:t>
      </w:r>
      <w:r>
        <w:rPr>
          <w:rFonts w:asciiTheme="minorHAnsi" w:eastAsiaTheme="minorEastAsia" w:hAnsiTheme="minorHAnsi" w:cstheme="minorBidi"/>
          <w:b w:val="0"/>
          <w:bCs w:val="0"/>
          <w:color w:val="auto"/>
          <w:sz w:val="24"/>
          <w:szCs w:val="24"/>
        </w:rPr>
        <w:t xml:space="preserve">appropriated </w:t>
      </w:r>
      <w:r w:rsidRPr="00551E2D">
        <w:rPr>
          <w:rFonts w:asciiTheme="minorHAnsi" w:eastAsiaTheme="minorEastAsia" w:hAnsiTheme="minorHAnsi" w:cstheme="minorBidi"/>
          <w:b w:val="0"/>
          <w:bCs w:val="0"/>
          <w:color w:val="auto"/>
          <w:sz w:val="24"/>
          <w:szCs w:val="24"/>
        </w:rPr>
        <w:t xml:space="preserve">working </w:t>
      </w:r>
      <w:proofErr w:type="spellStart"/>
      <w:r>
        <w:rPr>
          <w:rFonts w:asciiTheme="minorHAnsi" w:eastAsiaTheme="minorEastAsia" w:hAnsiTheme="minorHAnsi" w:cstheme="minorBidi"/>
          <w:b w:val="0"/>
          <w:bCs w:val="0"/>
          <w:color w:val="auto"/>
          <w:sz w:val="24"/>
          <w:szCs w:val="24"/>
        </w:rPr>
        <w:t>q</w:t>
      </w:r>
      <w:r w:rsidRPr="00551E2D">
        <w:rPr>
          <w:rFonts w:asciiTheme="minorHAnsi" w:eastAsiaTheme="minorEastAsia" w:hAnsiTheme="minorHAnsi" w:cstheme="minorBidi"/>
          <w:b w:val="0"/>
          <w:bCs w:val="0"/>
          <w:color w:val="auto"/>
          <w:sz w:val="24"/>
          <w:szCs w:val="24"/>
        </w:rPr>
        <w:t>PCR</w:t>
      </w:r>
      <w:proofErr w:type="spellEnd"/>
      <w:r w:rsidRPr="00551E2D">
        <w:rPr>
          <w:rFonts w:asciiTheme="minorHAnsi" w:eastAsiaTheme="minorEastAsia" w:hAnsiTheme="minorHAnsi" w:cstheme="minorBidi"/>
          <w:b w:val="0"/>
          <w:bCs w:val="0"/>
          <w:color w:val="auto"/>
          <w:sz w:val="24"/>
          <w:szCs w:val="24"/>
        </w:rPr>
        <w:t xml:space="preserve"> master mix (containing SYBR Green and the </w:t>
      </w:r>
      <w:r w:rsidR="001215E2">
        <w:rPr>
          <w:rFonts w:asciiTheme="minorHAnsi" w:eastAsiaTheme="minorEastAsia" w:hAnsiTheme="minorHAnsi" w:cstheme="minorBidi"/>
          <w:b w:val="0"/>
          <w:bCs w:val="0"/>
          <w:color w:val="auto"/>
          <w:sz w:val="24"/>
          <w:szCs w:val="24"/>
        </w:rPr>
        <w:t>relevant</w:t>
      </w:r>
      <w:r w:rsidRPr="00551E2D">
        <w:rPr>
          <w:rFonts w:asciiTheme="minorHAnsi" w:eastAsiaTheme="minorEastAsia" w:hAnsiTheme="minorHAnsi" w:cstheme="minorBidi"/>
          <w:b w:val="0"/>
          <w:bCs w:val="0"/>
          <w:color w:val="auto"/>
          <w:sz w:val="24"/>
          <w:szCs w:val="24"/>
        </w:rPr>
        <w:t xml:space="preserve"> primers)</w:t>
      </w:r>
      <w:r>
        <w:rPr>
          <w:rFonts w:asciiTheme="minorHAnsi" w:eastAsiaTheme="minorEastAsia" w:hAnsiTheme="minorHAnsi" w:cstheme="minorBidi"/>
          <w:b w:val="0"/>
          <w:bCs w:val="0"/>
          <w:color w:val="auto"/>
          <w:sz w:val="24"/>
          <w:szCs w:val="24"/>
        </w:rPr>
        <w:t>.</w:t>
      </w:r>
      <w:r w:rsidRPr="00551E2D">
        <w:rPr>
          <w:rFonts w:asciiTheme="minorHAnsi" w:eastAsiaTheme="minorEastAsia" w:hAnsiTheme="minorHAnsi" w:cstheme="minorBidi"/>
          <w:b w:val="0"/>
          <w:bCs w:val="0"/>
          <w:color w:val="auto"/>
          <w:sz w:val="24"/>
          <w:szCs w:val="24"/>
        </w:rPr>
        <w:t xml:space="preserve"> PCR conditions included an activation cycle of 95 ⁰C for 10 min followed by 45 amplification cycles of 15 s at 95 ⁰C, 15 s at 60 ⁰C, and 10 s at 73 ⁰C. </w:t>
      </w:r>
      <w:proofErr w:type="spellStart"/>
      <w:r w:rsidRPr="00551E2D">
        <w:rPr>
          <w:rFonts w:asciiTheme="minorHAnsi" w:eastAsiaTheme="minorEastAsia" w:hAnsiTheme="minorHAnsi" w:cstheme="minorBidi"/>
          <w:b w:val="0"/>
          <w:bCs w:val="0"/>
          <w:color w:val="auto"/>
          <w:sz w:val="24"/>
          <w:szCs w:val="24"/>
        </w:rPr>
        <w:t>Cp</w:t>
      </w:r>
      <w:proofErr w:type="spellEnd"/>
      <w:r w:rsidRPr="00551E2D">
        <w:rPr>
          <w:rFonts w:asciiTheme="minorHAnsi" w:eastAsiaTheme="minorEastAsia" w:hAnsiTheme="minorHAnsi" w:cstheme="minorBidi"/>
          <w:b w:val="0"/>
          <w:bCs w:val="0"/>
          <w:color w:val="auto"/>
          <w:sz w:val="24"/>
          <w:szCs w:val="24"/>
        </w:rPr>
        <w:t xml:space="preserve"> values were quantified using Light Cycler 480 software. Values were calculated using the ∆Ct method, with data </w:t>
      </w:r>
      <w:r w:rsidR="007B6EF9">
        <w:rPr>
          <w:rFonts w:asciiTheme="minorHAnsi" w:eastAsiaTheme="minorEastAsia" w:hAnsiTheme="minorHAnsi" w:cstheme="minorBidi"/>
          <w:b w:val="0"/>
          <w:bCs w:val="0"/>
          <w:color w:val="auto"/>
          <w:sz w:val="24"/>
          <w:szCs w:val="24"/>
        </w:rPr>
        <w:t xml:space="preserve">for </w:t>
      </w:r>
      <w:proofErr w:type="spellStart"/>
      <w:r w:rsidR="007B6EF9">
        <w:rPr>
          <w:rFonts w:asciiTheme="minorHAnsi" w:eastAsiaTheme="minorEastAsia" w:hAnsiTheme="minorHAnsi" w:cstheme="minorBidi"/>
          <w:b w:val="0"/>
          <w:bCs w:val="0"/>
          <w:color w:val="auto"/>
          <w:sz w:val="24"/>
          <w:szCs w:val="24"/>
        </w:rPr>
        <w:t>mtDNA</w:t>
      </w:r>
      <w:proofErr w:type="spellEnd"/>
      <w:r w:rsidR="007B6EF9">
        <w:rPr>
          <w:rFonts w:asciiTheme="minorHAnsi" w:eastAsiaTheme="minorEastAsia" w:hAnsiTheme="minorHAnsi" w:cstheme="minorBidi"/>
          <w:b w:val="0"/>
          <w:bCs w:val="0"/>
          <w:color w:val="auto"/>
          <w:sz w:val="24"/>
          <w:szCs w:val="24"/>
        </w:rPr>
        <w:t xml:space="preserve"> copy number </w:t>
      </w:r>
      <w:r w:rsidRPr="00551E2D">
        <w:rPr>
          <w:rFonts w:asciiTheme="minorHAnsi" w:eastAsiaTheme="minorEastAsia" w:hAnsiTheme="minorHAnsi" w:cstheme="minorBidi"/>
          <w:b w:val="0"/>
          <w:bCs w:val="0"/>
          <w:color w:val="auto"/>
          <w:sz w:val="24"/>
          <w:szCs w:val="24"/>
        </w:rPr>
        <w:t xml:space="preserve">being normalized to values obtained for </w:t>
      </w:r>
      <w:r w:rsidR="007B10F3">
        <w:rPr>
          <w:rFonts w:asciiTheme="minorHAnsi" w:eastAsiaTheme="minorEastAsia" w:hAnsiTheme="minorHAnsi" w:cstheme="minorBidi"/>
          <w:b w:val="0"/>
          <w:bCs w:val="0"/>
          <w:color w:val="auto"/>
          <w:sz w:val="24"/>
          <w:szCs w:val="24"/>
        </w:rPr>
        <w:t xml:space="preserve">a </w:t>
      </w:r>
      <w:r w:rsidRPr="00551E2D">
        <w:rPr>
          <w:rFonts w:asciiTheme="minorHAnsi" w:eastAsiaTheme="minorEastAsia" w:hAnsiTheme="minorHAnsi" w:cstheme="minorBidi"/>
          <w:b w:val="0"/>
          <w:bCs w:val="0"/>
          <w:color w:val="auto"/>
          <w:sz w:val="24"/>
          <w:szCs w:val="24"/>
        </w:rPr>
        <w:t xml:space="preserve">nuclear-encoded </w:t>
      </w:r>
      <w:r w:rsidR="007B10F3">
        <w:rPr>
          <w:rFonts w:asciiTheme="minorHAnsi" w:eastAsiaTheme="minorEastAsia" w:hAnsiTheme="minorHAnsi" w:cstheme="minorBidi"/>
          <w:b w:val="0"/>
          <w:bCs w:val="0"/>
          <w:color w:val="auto"/>
          <w:sz w:val="24"/>
          <w:szCs w:val="24"/>
        </w:rPr>
        <w:t>genomic locus (</w:t>
      </w:r>
      <w:r w:rsidRPr="00EE13E8">
        <w:rPr>
          <w:rFonts w:asciiTheme="minorHAnsi" w:eastAsiaTheme="minorEastAsia" w:hAnsiTheme="minorHAnsi" w:cstheme="minorBidi"/>
          <w:b w:val="0"/>
          <w:bCs w:val="0"/>
          <w:i/>
          <w:color w:val="auto"/>
          <w:sz w:val="24"/>
          <w:szCs w:val="24"/>
        </w:rPr>
        <w:t>Tsc2</w:t>
      </w:r>
      <w:r w:rsidR="007B10F3">
        <w:rPr>
          <w:rFonts w:asciiTheme="minorHAnsi" w:eastAsiaTheme="minorEastAsia" w:hAnsiTheme="minorHAnsi" w:cstheme="minorBidi"/>
          <w:b w:val="0"/>
          <w:bCs w:val="0"/>
          <w:color w:val="auto"/>
          <w:sz w:val="24"/>
          <w:szCs w:val="24"/>
        </w:rPr>
        <w:t>)</w:t>
      </w:r>
      <w:r w:rsidR="007B6EF9">
        <w:rPr>
          <w:rFonts w:asciiTheme="minorHAnsi" w:eastAsiaTheme="minorEastAsia" w:hAnsiTheme="minorHAnsi" w:cstheme="minorBidi"/>
          <w:b w:val="0"/>
          <w:bCs w:val="0"/>
          <w:color w:val="auto"/>
          <w:sz w:val="24"/>
          <w:szCs w:val="24"/>
        </w:rPr>
        <w:t xml:space="preserve"> and mRNA levels being normalized to </w:t>
      </w:r>
      <w:r w:rsidR="007B6EF9" w:rsidRPr="00EE13E8">
        <w:rPr>
          <w:rFonts w:asciiTheme="minorHAnsi" w:eastAsiaTheme="minorEastAsia" w:hAnsiTheme="minorHAnsi" w:cstheme="minorBidi"/>
          <w:b w:val="0"/>
          <w:bCs w:val="0"/>
          <w:i/>
          <w:color w:val="auto"/>
          <w:sz w:val="24"/>
          <w:szCs w:val="24"/>
        </w:rPr>
        <w:t>Rpl13a</w:t>
      </w:r>
      <w:r w:rsidRPr="00551E2D">
        <w:rPr>
          <w:rFonts w:asciiTheme="minorHAnsi" w:eastAsiaTheme="minorEastAsia" w:hAnsiTheme="minorHAnsi" w:cstheme="minorBidi"/>
          <w:b w:val="0"/>
          <w:bCs w:val="0"/>
          <w:color w:val="auto"/>
          <w:sz w:val="24"/>
          <w:szCs w:val="24"/>
        </w:rPr>
        <w:t xml:space="preserve">. </w:t>
      </w:r>
    </w:p>
    <w:p w14:paraId="3FFD3C6D" w14:textId="77777777" w:rsidR="00551E2D" w:rsidRDefault="00551E2D" w:rsidP="00551E2D"/>
    <w:p w14:paraId="0092BF3F" w14:textId="77777777" w:rsidR="00BF3349" w:rsidRPr="00BF3349" w:rsidRDefault="00BF3349" w:rsidP="00BF3349"/>
    <w:p w14:paraId="64EE952D" w14:textId="2FDDC507" w:rsidR="007E4915" w:rsidRDefault="007E4915" w:rsidP="00576C73">
      <w:pPr>
        <w:pStyle w:val="Heading2"/>
      </w:pPr>
      <w:r>
        <w:t>Preparation of protein lysates and western blotting</w:t>
      </w:r>
    </w:p>
    <w:p w14:paraId="69DC63AC" w14:textId="7D262709" w:rsidR="007E4915" w:rsidRDefault="001E1AE7" w:rsidP="007E4915">
      <w:r>
        <w:t>Skeletal muscle homogenates</w:t>
      </w:r>
      <w:r w:rsidR="007E4915">
        <w:t xml:space="preserve"> were</w:t>
      </w:r>
      <w:r>
        <w:t xml:space="preserve"> prepared from ~30-50 mg of frozen quadriceps in RIPA buffer using stainless steel beads and a </w:t>
      </w:r>
      <w:proofErr w:type="spellStart"/>
      <w:r>
        <w:t>Qiagen</w:t>
      </w:r>
      <w:proofErr w:type="spellEnd"/>
      <w:r>
        <w:t xml:space="preserve"> tissue </w:t>
      </w:r>
      <w:proofErr w:type="spellStart"/>
      <w:r>
        <w:t>lyser</w:t>
      </w:r>
      <w:proofErr w:type="spellEnd"/>
      <w:r>
        <w:t>. Homogenates were centrifuged at 4</w:t>
      </w:r>
      <w:r w:rsidRPr="00551E2D">
        <w:t>⁰C</w:t>
      </w:r>
      <w:r>
        <w:t xml:space="preserve"> for 10 min at 14,000G, after which the protein concentration of supernatants was determined by Bradford assay. Lysates of equal protein concentration were prepared in 2x </w:t>
      </w:r>
      <w:proofErr w:type="spellStart"/>
      <w:r>
        <w:t>Laemli</w:t>
      </w:r>
      <w:proofErr w:type="spellEnd"/>
      <w:r>
        <w:t xml:space="preserve"> buffer containing 2-mercaptoethanol</w:t>
      </w:r>
      <w:r w:rsidR="005B27BD">
        <w:t xml:space="preserve"> and heated at 37</w:t>
      </w:r>
      <w:r w:rsidR="005B27BD" w:rsidRPr="00551E2D">
        <w:t>⁰C</w:t>
      </w:r>
      <w:r w:rsidR="005B27BD">
        <w:t xml:space="preserve"> for 5 min</w:t>
      </w:r>
      <w:r>
        <w:t xml:space="preserve">. </w:t>
      </w:r>
      <w:r w:rsidR="00BB4A3B">
        <w:t>P</w:t>
      </w:r>
      <w:r>
        <w:t xml:space="preserve">roteins were separated by SDS-PAGE and transferred to nitrocellulose membranes for western blotting. </w:t>
      </w:r>
      <w:r w:rsidR="00E64112">
        <w:t xml:space="preserve">After </w:t>
      </w:r>
      <w:proofErr w:type="spellStart"/>
      <w:r w:rsidR="00E64112">
        <w:t>ponceau</w:t>
      </w:r>
      <w:proofErr w:type="spellEnd"/>
      <w:r w:rsidR="00E64112">
        <w:t xml:space="preserve"> staining to ensure equal protein loading, m</w:t>
      </w:r>
      <w:r w:rsidR="00CA7E4B">
        <w:t>embranes w</w:t>
      </w:r>
      <w:r w:rsidR="00025F28">
        <w:t xml:space="preserve">ere blocked in BSA for 1 </w:t>
      </w:r>
      <w:proofErr w:type="spellStart"/>
      <w:r w:rsidR="00025F28">
        <w:t>hr</w:t>
      </w:r>
      <w:proofErr w:type="spellEnd"/>
      <w:r w:rsidR="00025F28">
        <w:t xml:space="preserve"> and incubated overnight in total OXPHOS rodent WB antibody cocktail (</w:t>
      </w:r>
      <w:proofErr w:type="spellStart"/>
      <w:r w:rsidR="00025F28">
        <w:t>Abcam</w:t>
      </w:r>
      <w:proofErr w:type="spellEnd"/>
      <w:r w:rsidR="00025F28">
        <w:t>)</w:t>
      </w:r>
      <w:r w:rsidR="0089602A">
        <w:t xml:space="preserve"> at 4</w:t>
      </w:r>
      <w:r w:rsidR="0089602A" w:rsidRPr="00551E2D">
        <w:t>⁰C</w:t>
      </w:r>
      <w:r w:rsidR="00025F28">
        <w:t xml:space="preserve">. </w:t>
      </w:r>
      <w:r w:rsidR="002D6EE3">
        <w:t>Blots were</w:t>
      </w:r>
      <w:r w:rsidR="0089602A">
        <w:t xml:space="preserve"> </w:t>
      </w:r>
      <w:r w:rsidR="00445104">
        <w:t>visualized</w:t>
      </w:r>
      <w:r w:rsidR="0089602A">
        <w:t xml:space="preserve"> after </w:t>
      </w:r>
      <w:r w:rsidR="00E64112">
        <w:t xml:space="preserve">a </w:t>
      </w:r>
      <w:r w:rsidR="0089602A">
        <w:t xml:space="preserve">1 </w:t>
      </w:r>
      <w:proofErr w:type="spellStart"/>
      <w:r w:rsidR="0089602A">
        <w:t>hr</w:t>
      </w:r>
      <w:proofErr w:type="spellEnd"/>
      <w:r w:rsidR="0089602A">
        <w:t xml:space="preserve"> incubation with infrared</w:t>
      </w:r>
      <w:r w:rsidR="002D6EE3">
        <w:t xml:space="preserve"> anti-mouse</w:t>
      </w:r>
      <w:r w:rsidR="0089602A">
        <w:t xml:space="preserve"> secondary antibody</w:t>
      </w:r>
      <w:r w:rsidR="002D6EE3">
        <w:t>, using a L</w:t>
      </w:r>
      <w:r w:rsidR="00E64112">
        <w:t>I-</w:t>
      </w:r>
      <w:r w:rsidR="002D6EE3">
        <w:t xml:space="preserve">COR </w:t>
      </w:r>
      <w:r w:rsidR="00445104">
        <w:t xml:space="preserve">Odyssey </w:t>
      </w:r>
      <w:r w:rsidR="002D6EE3">
        <w:t>fluorescent</w:t>
      </w:r>
      <w:r w:rsidR="00445104">
        <w:t xml:space="preserve"> </w:t>
      </w:r>
      <w:r w:rsidR="002D6EE3">
        <w:t>western blotting system.</w:t>
      </w:r>
      <w:r w:rsidR="00E64112">
        <w:t xml:space="preserve"> Protein expression was quantified using </w:t>
      </w:r>
      <w:proofErr w:type="spellStart"/>
      <w:r w:rsidR="00E64112">
        <w:t>densiometry</w:t>
      </w:r>
      <w:proofErr w:type="spellEnd"/>
      <w:r w:rsidR="00E64112">
        <w:t xml:space="preserve"> (Image Studio Lite, LI-COR).</w:t>
      </w:r>
    </w:p>
    <w:p w14:paraId="7CC173C9" w14:textId="77777777" w:rsidR="009B2449" w:rsidRDefault="009B2449" w:rsidP="007E4915"/>
    <w:p w14:paraId="1C4518F7" w14:textId="0F1A479A" w:rsidR="009B2449" w:rsidRDefault="009B2449" w:rsidP="009B2449">
      <w:pPr>
        <w:pStyle w:val="Heading2"/>
      </w:pPr>
      <w:r>
        <w:lastRenderedPageBreak/>
        <w:t>Citrate synthase activity</w:t>
      </w:r>
    </w:p>
    <w:p w14:paraId="32C372DD" w14:textId="015EC0C7" w:rsidR="009B2449" w:rsidRPr="009B2449" w:rsidRDefault="009B2449" w:rsidP="009B2449">
      <w:r>
        <w:t xml:space="preserve">Muscle homogenates were prepared in </w:t>
      </w:r>
      <w:proofErr w:type="spellStart"/>
      <w:r>
        <w:t>KCl</w:t>
      </w:r>
      <w:proofErr w:type="spellEnd"/>
      <w:r>
        <w:t>-EDTA buffer (pH 7.4) from ~10-40 mg of frozen quadriceps. Following 3 freeze-thaw cycles, samples were centrifuged at 4</w:t>
      </w:r>
      <w:r w:rsidRPr="00551E2D">
        <w:t>⁰</w:t>
      </w:r>
      <w:proofErr w:type="gramStart"/>
      <w:r w:rsidRPr="00551E2D">
        <w:t>C</w:t>
      </w:r>
      <w:r>
        <w:t xml:space="preserve">  for</w:t>
      </w:r>
      <w:proofErr w:type="gramEnd"/>
      <w:r>
        <w:t xml:space="preserve"> 10 min at 1000 G to settle cellular debris. Supernatants were analyzed for citrate synthase activity using a modified method of </w:t>
      </w:r>
      <w:r w:rsidR="007B10F3">
        <w:fldChar w:fldCharType="begin" w:fldLock="1"/>
      </w:r>
      <w:r w:rsidR="004B62B5">
        <w:instrText>ADDIN CSL_CITATION { "citationItems" : [ { "id" : "ITEM-1", "itemData" : { "author" : [ { "dropping-particle" : "", "family" : "Srere", "given" : "P.A.", "non-dropping-particle" : "", "parse-names" : false, "suffix" : "" } ], "container-title" : "Methods in enzymology", "id" : "ITEM-1", "issued" : { "date-parts" : [ [ "1969" ] ] }, "page" : "3-11", "title" : "Citrate synthase", "type" : "chapter" }, "uris" : [ "http://www.mendeley.com/documents/?uuid=b3790cc4-01f7-420f-b7ee-68cca4dde473" ] } ], "mendeley" : { "formattedCitation" : "(20)", "plainTextFormattedCitation" : "(20)", "previouslyFormattedCitation" : "(20)" }, "properties" : { "noteIndex" : 0 }, "schema" : "https://github.com/citation-style-language/schema/raw/master/csl-citation.json" }</w:instrText>
      </w:r>
      <w:r w:rsidR="007B10F3">
        <w:fldChar w:fldCharType="separate"/>
      </w:r>
      <w:r w:rsidR="00F53B31" w:rsidRPr="00F53B31">
        <w:rPr>
          <w:noProof/>
        </w:rPr>
        <w:t>(20)</w:t>
      </w:r>
      <w:r w:rsidR="007B10F3">
        <w:fldChar w:fldCharType="end"/>
      </w:r>
      <w:r w:rsidR="007B10F3">
        <w:t xml:space="preserve">.  </w:t>
      </w:r>
      <w:r w:rsidR="009C5457">
        <w:t xml:space="preserve">Briefly, </w:t>
      </w:r>
      <w:r w:rsidR="00DA1B2B">
        <w:t xml:space="preserve">aliquots of supernatant were added to the appropriate wells of a 96 well </w:t>
      </w:r>
      <w:proofErr w:type="spellStart"/>
      <w:r w:rsidR="00DA1B2B">
        <w:t>microplate</w:t>
      </w:r>
      <w:proofErr w:type="spellEnd"/>
      <w:r w:rsidR="00DA1B2B">
        <w:t xml:space="preserve"> containing an assay solution comprised of 72.5 </w:t>
      </w:r>
      <w:proofErr w:type="spellStart"/>
      <w:r w:rsidR="00DA1B2B">
        <w:t>mM</w:t>
      </w:r>
      <w:proofErr w:type="spellEnd"/>
      <w:r w:rsidR="00DA1B2B">
        <w:t xml:space="preserve"> </w:t>
      </w:r>
      <w:proofErr w:type="spellStart"/>
      <w:r w:rsidR="00DA1B2B">
        <w:t>Tris</w:t>
      </w:r>
      <w:proofErr w:type="spellEnd"/>
      <w:r w:rsidR="00DA1B2B">
        <w:t xml:space="preserve">, 0.45 </w:t>
      </w:r>
      <w:proofErr w:type="spellStart"/>
      <w:r w:rsidR="00DA1B2B">
        <w:t>mM</w:t>
      </w:r>
      <w:proofErr w:type="spellEnd"/>
      <w:r w:rsidR="00DA1B2B">
        <w:t xml:space="preserve"> acetyl CoA and 0.1 </w:t>
      </w:r>
      <w:proofErr w:type="spellStart"/>
      <w:r w:rsidR="00DA1B2B">
        <w:t>mM</w:t>
      </w:r>
      <w:proofErr w:type="spellEnd"/>
      <w:r w:rsidR="00DA1B2B">
        <w:t xml:space="preserve"> </w:t>
      </w:r>
      <w:r w:rsidR="00987462">
        <w:t>5,5’-dithiobis-2-nitrobenzoate (</w:t>
      </w:r>
      <w:r w:rsidR="00DA1B2B">
        <w:t>DTNB</w:t>
      </w:r>
      <w:r w:rsidR="00987462">
        <w:t>)</w:t>
      </w:r>
      <w:r w:rsidR="00DA1B2B">
        <w:t xml:space="preserve"> (pH 8.3). After monitoring the plate for </w:t>
      </w:r>
      <w:r w:rsidR="00355C40">
        <w:t xml:space="preserve">possible </w:t>
      </w:r>
      <w:r w:rsidR="00DA1B2B">
        <w:t xml:space="preserve">background activity, activity reactions were initiated by the addition of 0.5 </w:t>
      </w:r>
      <w:proofErr w:type="spellStart"/>
      <w:r w:rsidR="00DA1B2B">
        <w:t>mM</w:t>
      </w:r>
      <w:proofErr w:type="spellEnd"/>
      <w:r w:rsidR="00DA1B2B">
        <w:t xml:space="preserve"> </w:t>
      </w:r>
      <w:proofErr w:type="spellStart"/>
      <w:r w:rsidR="00DA1B2B">
        <w:t>oxaloacetic</w:t>
      </w:r>
      <w:proofErr w:type="spellEnd"/>
      <w:r w:rsidR="00DA1B2B">
        <w:t xml:space="preserve"> acid</w:t>
      </w:r>
      <w:r w:rsidR="00987462">
        <w:t xml:space="preserve"> to each well</w:t>
      </w:r>
      <w:r w:rsidR="00355C40">
        <w:t xml:space="preserve">. </w:t>
      </w:r>
      <w:r w:rsidR="001B0DE3">
        <w:t>C</w:t>
      </w:r>
      <w:r w:rsidR="00F66BF3">
        <w:t>hange</w:t>
      </w:r>
      <w:r w:rsidR="001B0DE3">
        <w:t>s</w:t>
      </w:r>
      <w:r w:rsidR="00F66BF3">
        <w:t xml:space="preserve"> in a</w:t>
      </w:r>
      <w:r w:rsidR="001B0DE3">
        <w:t xml:space="preserve">bsorbance </w:t>
      </w:r>
      <w:r w:rsidR="00F66BF3">
        <w:t>at 405 nm w</w:t>
      </w:r>
      <w:r w:rsidR="001B0DE3">
        <w:t>ere</w:t>
      </w:r>
      <w:r w:rsidR="00F66BF3">
        <w:t xml:space="preserve"> recorded </w:t>
      </w:r>
      <w:r w:rsidR="002B0297">
        <w:t xml:space="preserve">for each well </w:t>
      </w:r>
      <w:r w:rsidR="00F66BF3">
        <w:t>every 9-11 sec</w:t>
      </w:r>
      <w:r w:rsidR="00DA1B2B">
        <w:t xml:space="preserve"> </w:t>
      </w:r>
      <w:r w:rsidR="00F66BF3">
        <w:t xml:space="preserve">over 3 min at room temp. </w:t>
      </w:r>
      <w:r w:rsidR="00987462">
        <w:t>Citrate synthase activity was calculated using the extinction coefficient for DTNB (which is reduced by the CoA-SH released during the cleavage of acetyl-CoA by citrate synthase)</w:t>
      </w:r>
      <w:r w:rsidR="00044C02">
        <w:t>.</w:t>
      </w:r>
    </w:p>
    <w:p w14:paraId="748B3A36" w14:textId="77777777" w:rsidR="009B2449" w:rsidRPr="007E4915" w:rsidRDefault="009B2449" w:rsidP="007E4915"/>
    <w:p w14:paraId="368F1F32" w14:textId="58CE2590" w:rsidR="00576C73" w:rsidRDefault="00576C73" w:rsidP="00576C73">
      <w:pPr>
        <w:pStyle w:val="Heading2"/>
      </w:pPr>
      <w:r>
        <w:t>Statistics</w:t>
      </w:r>
    </w:p>
    <w:p w14:paraId="177E4A24" w14:textId="2AF76319" w:rsidR="00576C73" w:rsidRPr="00501427" w:rsidRDefault="00501427" w:rsidP="00576C73">
      <w:r>
        <w:t xml:space="preserve">Statistics and calculations were performed using Microsoft Excel and R version 3.1.1 </w:t>
      </w:r>
      <w:r>
        <w:fldChar w:fldCharType="begin" w:fldLock="1"/>
      </w:r>
      <w:r w:rsidR="004B62B5">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"(21)", "plainTextFormattedCitation" : "(21)", "previouslyFormattedCitation" : "(21)" }, "properties" : { "noteIndex" : 0 }, "schema" : "https://github.com/citation-style-language/schema/raw/master/csl-citation.json" }</w:instrText>
      </w:r>
      <w:r>
        <w:fldChar w:fldCharType="separate"/>
      </w:r>
      <w:r w:rsidR="00F53B31" w:rsidRPr="00F53B31">
        <w:rPr>
          <w:noProof/>
        </w:rPr>
        <w:t>(21)</w:t>
      </w:r>
      <w:r>
        <w:fldChar w:fldCharType="end"/>
      </w:r>
      <w:r>
        <w:t xml:space="preserve">.  </w:t>
      </w:r>
      <w:r w:rsidR="00576C73">
        <w:t xml:space="preserve">For longitudinal data, mixed linear models were used </w:t>
      </w:r>
      <w:r>
        <w:t xml:space="preserve">and </w:t>
      </w:r>
      <w:r>
        <w:sym w:font="Symbol" w:char="F063"/>
      </w:r>
      <w:r>
        <w:rPr>
          <w:vertAlign w:val="superscript"/>
        </w:rPr>
        <w:t xml:space="preserve">2 </w:t>
      </w:r>
      <w:r>
        <w:t xml:space="preserve">tests were performed to determine the significance of the MCP230 treatment.  Mixed linear models used the R package lme4 (version 1.1-7 </w:t>
      </w:r>
      <w:r>
        <w:fldChar w:fldCharType="begin" w:fldLock="1"/>
      </w:r>
      <w:r w:rsidR="004B62B5">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"(22)", "plainTextFormattedCitation" : "(22)", "previouslyFormattedCitation" : "(22)" }, "properties" : { "noteIndex" : 0 }, "schema" : "https://github.com/citation-style-language/schema/raw/master/csl-citation.json" }</w:instrText>
      </w:r>
      <w:r>
        <w:fldChar w:fldCharType="separate"/>
      </w:r>
      <w:r w:rsidR="00F53B31" w:rsidRPr="00F53B31">
        <w:rPr>
          <w:noProof/>
        </w:rPr>
        <w:t>(22)</w:t>
      </w:r>
      <w:r>
        <w:fldChar w:fldCharType="end"/>
      </w:r>
      <w:r>
        <w:t>).  In all cases, normality of the data and models were d</w:t>
      </w:r>
      <w:r w:rsidR="0012599A">
        <w:t>etermined via Shapiro-</w:t>
      </w:r>
      <w:proofErr w:type="spellStart"/>
      <w:r w:rsidR="0012599A">
        <w:t>Wilk</w:t>
      </w:r>
      <w:proofErr w:type="spellEnd"/>
      <w:r w:rsidR="0012599A">
        <w:t xml:space="preserve"> Test</w:t>
      </w:r>
      <w:r>
        <w:t xml:space="preserve"> and equal variance was tested using </w:t>
      </w:r>
      <w:proofErr w:type="spellStart"/>
      <w:r>
        <w:t>Levene’s</w:t>
      </w:r>
      <w:proofErr w:type="spellEnd"/>
      <w:r>
        <w:t xml:space="preserve"> test from the car package (version 2.0-21 </w:t>
      </w:r>
      <w:r>
        <w:fldChar w:fldCharType="begin" w:fldLock="1"/>
      </w:r>
      <w:r w:rsidR="004B62B5">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"(23)", "plainTextFormattedCitation" : "(23)", "previouslyFormattedCitation" : "(23)" }, "properties" : { "noteIndex" : 0 }, "schema" : "https://github.com/citation-style-language/schema/raw/master/csl-citation.json" }</w:instrText>
      </w:r>
      <w:r>
        <w:fldChar w:fldCharType="separate"/>
      </w:r>
      <w:r w:rsidR="00F53B31" w:rsidRPr="00F53B31">
        <w:rPr>
          <w:noProof/>
        </w:rPr>
        <w:t>(23)</w:t>
      </w:r>
      <w:r>
        <w:fldChar w:fldCharType="end"/>
      </w:r>
      <w:r w:rsidR="00031FF5">
        <w:t xml:space="preserve">). </w:t>
      </w:r>
      <w:r w:rsidR="0012599A">
        <w:t xml:space="preserve">In cases where </w:t>
      </w:r>
      <w:proofErr w:type="spellStart"/>
      <w:r w:rsidR="0012599A">
        <w:t>cabosil</w:t>
      </w:r>
      <w:proofErr w:type="spellEnd"/>
      <w:r w:rsidR="0012599A">
        <w:t xml:space="preserve"> and saline treatment were not significantly different, these data were combined and designated as “Control”.  </w:t>
      </w:r>
      <w:r w:rsidR="00622E03">
        <w:t>For energy expenditure calculations, we performed an ANCOVA analysis with lean body mass and the treatment group as non-interacting covariates and the averaged light or dark VO</w:t>
      </w:r>
      <w:r w:rsidR="00622E03">
        <w:rPr>
          <w:vertAlign w:val="subscript"/>
        </w:rPr>
        <w:t xml:space="preserve">2 </w:t>
      </w:r>
      <w:r w:rsidR="00622E03">
        <w:t>as the responding variable</w:t>
      </w:r>
      <w:r w:rsidR="009332E7">
        <w:t xml:space="preserve"> as described in </w:t>
      </w:r>
      <w:r w:rsidR="009332E7">
        <w:fldChar w:fldCharType="begin" w:fldLock="1"/>
      </w:r>
      <w:r w:rsidR="004B62B5">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"(24)", "plainTextFormattedCitation" : "(24)", "previouslyFormattedCitation" : "(24)" }, "properties" : { "noteIndex" : 0 }, "schema" : "https://github.com/citation-style-language/schema/raw/master/csl-citation.json" }</w:instrText>
      </w:r>
      <w:r w:rsidR="009332E7">
        <w:fldChar w:fldCharType="separate"/>
      </w:r>
      <w:r w:rsidR="00F53B31" w:rsidRPr="00F53B31">
        <w:rPr>
          <w:noProof/>
        </w:rPr>
        <w:t>(24)</w:t>
      </w:r>
      <w:r w:rsidR="009332E7">
        <w:fldChar w:fldCharType="end"/>
      </w:r>
      <w:r w:rsidR="00622E03">
        <w:t xml:space="preserve">. </w:t>
      </w:r>
      <w:r>
        <w:t>Statistical significance was designated as a p-value &lt;0.05.</w:t>
      </w:r>
      <w:r w:rsidR="009D2C30">
        <w:t xml:space="preserve">  </w:t>
      </w:r>
    </w:p>
    <w:p w14:paraId="5BDE1137" w14:textId="77777777" w:rsidR="007221E6" w:rsidRDefault="007221E6" w:rsidP="007221E6">
      <w:pPr>
        <w:pStyle w:val="Heading1"/>
      </w:pPr>
      <w:r>
        <w:t>Results</w:t>
      </w:r>
    </w:p>
    <w:p w14:paraId="71475321" w14:textId="1BBCB3F4" w:rsidR="007221E6" w:rsidRDefault="00230B4A" w:rsidP="00230B4A">
      <w:pPr>
        <w:pStyle w:val="Heading2"/>
      </w:pPr>
      <w:r>
        <w:t>Gestational exposure to MCP230 leads to increased weight gain in pups</w:t>
      </w:r>
    </w:p>
    <w:p w14:paraId="208B515A" w14:textId="1AB9B0FC" w:rsidR="00230B4A" w:rsidRDefault="00230B4A" w:rsidP="00230B4A">
      <w:r>
        <w:t>To test whether gestational exposure to an environmentally persistent free radical</w:t>
      </w:r>
      <w:r w:rsidR="00536D79">
        <w:t xml:space="preserve"> (EPFR)</w:t>
      </w:r>
      <w:r>
        <w:t xml:space="preserve">, we treated pregnant females with two exposures of MCP230 </w:t>
      </w:r>
      <w:r w:rsidR="000D0EF1">
        <w:t xml:space="preserve">on </w:t>
      </w:r>
      <w:r w:rsidR="005E42A8">
        <w:t>day 10 and 17</w:t>
      </w:r>
      <w:r w:rsidR="000D0EF1">
        <w:t xml:space="preserve"> of gestation</w:t>
      </w:r>
      <w:r w:rsidR="005E42A8">
        <w:t xml:space="preserve">.  </w:t>
      </w:r>
      <w:r w:rsidR="00D06C03">
        <w:t xml:space="preserve">As controls, mice were either exposed to </w:t>
      </w:r>
      <w:proofErr w:type="spellStart"/>
      <w:r w:rsidR="00D06C03">
        <w:t>cabosil</w:t>
      </w:r>
      <w:proofErr w:type="spellEnd"/>
      <w:r w:rsidR="00D06C03">
        <w:t xml:space="preserve"> (the non-conjugated particulate without the EPFR group) or saline.  </w:t>
      </w:r>
      <w:r w:rsidR="005E42A8">
        <w:t xml:space="preserve">These mice were then birthed, left with their dams and weaned at 21 days of age.  At 10 weeks of age, mice were placed on a high fat diet consisting of 45% of calories from fat (see Figure 1A).  </w:t>
      </w:r>
    </w:p>
    <w:p w14:paraId="29566B92" w14:textId="77777777" w:rsidR="005E42A8" w:rsidRDefault="005E42A8" w:rsidP="00230B4A"/>
    <w:p w14:paraId="736989EA" w14:textId="45300DDC" w:rsidR="005E42A8" w:rsidRDefault="005E42A8" w:rsidP="00230B4A">
      <w:r>
        <w:t xml:space="preserve">As shown in Figure 1B, mice that were pre-treated with MCP230 </w:t>
      </w:r>
      <w:r w:rsidR="00145233">
        <w:t>had</w:t>
      </w:r>
      <w:r>
        <w:t xml:space="preserve"> a higher body weight and proceeded to gain more weight during the diet.</w:t>
      </w:r>
      <w:r w:rsidR="00441A6B">
        <w:t xml:space="preserve">  At the end of the </w:t>
      </w:r>
      <w:r w:rsidR="00D63FB0">
        <w:t xml:space="preserve">12-week </w:t>
      </w:r>
      <w:r w:rsidR="00441A6B">
        <w:t xml:space="preserve">diet, we </w:t>
      </w:r>
      <w:r w:rsidR="00D63FB0">
        <w:t>observed a</w:t>
      </w:r>
      <w:r w:rsidR="000B435A">
        <w:t>n</w:t>
      </w:r>
      <w:r w:rsidR="00D63FB0">
        <w:t xml:space="preserve"> in</w:t>
      </w:r>
      <w:r w:rsidR="004C2FCD">
        <w:t>crease in body size (</w:t>
      </w:r>
      <w:r w:rsidR="000B435A">
        <w:t xml:space="preserve">4.5 g, 10.3%, p&lt;0.001; </w:t>
      </w:r>
      <w:r w:rsidR="004C2FCD">
        <w:t>Figure 1B</w:t>
      </w:r>
      <w:r w:rsidR="00A107BF">
        <w:t xml:space="preserve">).  We </w:t>
      </w:r>
      <w:r w:rsidR="00441A6B">
        <w:t>assessed t</w:t>
      </w:r>
      <w:r w:rsidR="00D63FB0">
        <w:t xml:space="preserve">he body composition and observed significant elevations in both </w:t>
      </w:r>
      <w:r w:rsidR="007F0C91">
        <w:t>fat</w:t>
      </w:r>
      <w:r w:rsidR="00D63FB0">
        <w:t xml:space="preserve"> </w:t>
      </w:r>
      <w:r w:rsidR="007F0C91">
        <w:t xml:space="preserve">mass (10.6% increase, p=0.011) </w:t>
      </w:r>
      <w:r w:rsidR="00D63FB0">
        <w:t xml:space="preserve">and </w:t>
      </w:r>
      <w:r w:rsidR="005402D3">
        <w:t xml:space="preserve">fat-free </w:t>
      </w:r>
      <w:r w:rsidR="00D63FB0">
        <w:t xml:space="preserve">mass </w:t>
      </w:r>
      <w:r w:rsidR="007F0C91">
        <w:t>(10.8% increase, p=2.2x10</w:t>
      </w:r>
      <w:r w:rsidR="007F0C91">
        <w:rPr>
          <w:vertAlign w:val="superscript"/>
        </w:rPr>
        <w:t>-4</w:t>
      </w:r>
      <w:r w:rsidR="007F0C91">
        <w:t xml:space="preserve">) </w:t>
      </w:r>
      <w:r w:rsidR="004C2FCD">
        <w:t xml:space="preserve">in </w:t>
      </w:r>
      <w:r w:rsidR="004C2FCD">
        <w:lastRenderedPageBreak/>
        <w:t>these mice (Figures 1C and D</w:t>
      </w:r>
      <w:r w:rsidR="00D63FB0">
        <w:t>).  The relative adiposity</w:t>
      </w:r>
      <w:r w:rsidR="007F0C91">
        <w:t xml:space="preserve"> of these mice as determined by the percent fat mass</w:t>
      </w:r>
      <w:r w:rsidR="00D63FB0">
        <w:t xml:space="preserve"> </w:t>
      </w:r>
      <w:r w:rsidR="004C2FCD">
        <w:t xml:space="preserve">was </w:t>
      </w:r>
      <w:r w:rsidR="00F73D0F">
        <w:t>not different between groups</w:t>
      </w:r>
      <w:r w:rsidR="004C2FCD">
        <w:t xml:space="preserve"> (Figure 1E</w:t>
      </w:r>
      <w:r w:rsidR="00D63FB0">
        <w:t>).</w:t>
      </w:r>
    </w:p>
    <w:p w14:paraId="450E0228" w14:textId="77777777" w:rsidR="008A533B" w:rsidRDefault="008A533B" w:rsidP="00230B4A"/>
    <w:p w14:paraId="3D1479E2" w14:textId="6DD8E437" w:rsidR="00BE555B" w:rsidRDefault="008A533B" w:rsidP="00230B4A">
      <w:r>
        <w:t>W</w:t>
      </w:r>
      <w:r w:rsidR="00140BB6">
        <w:t>e next evaluated the extent of obesity related co-morbidities in these mice</w:t>
      </w:r>
      <w:r>
        <w:t xml:space="preserve">.  </w:t>
      </w:r>
      <w:r w:rsidR="00550987">
        <w:t>We observed no</w:t>
      </w:r>
      <w:r w:rsidR="008A7513">
        <w:t xml:space="preserve"> changes in </w:t>
      </w:r>
      <w:r w:rsidR="00550987">
        <w:t xml:space="preserve">fasting </w:t>
      </w:r>
      <w:r w:rsidR="008A7513">
        <w:t>blood</w:t>
      </w:r>
      <w:r w:rsidR="00535157">
        <w:t xml:space="preserve"> glucose </w:t>
      </w:r>
      <w:r w:rsidR="00550987">
        <w:t xml:space="preserve">as a result of MCP230 exposure </w:t>
      </w:r>
      <w:r w:rsidR="00535157">
        <w:t>(Figure 2</w:t>
      </w:r>
      <w:r w:rsidR="008A7513">
        <w:t xml:space="preserve">B). </w:t>
      </w:r>
      <w:r w:rsidR="00BE555B">
        <w:t xml:space="preserve">As shown in Figure 2C, we also did not observe any changes in </w:t>
      </w:r>
      <w:r w:rsidR="0098057C">
        <w:t>serum insulin concentrations</w:t>
      </w:r>
      <w:r w:rsidR="00BE555B">
        <w:t xml:space="preserve">, suggesting </w:t>
      </w:r>
      <w:r w:rsidR="0098057C">
        <w:t>that there was similar</w:t>
      </w:r>
      <w:r w:rsidR="00BE555B">
        <w:t xml:space="preserve"> insulin sensitivity between the saline and MCP230 treated mice after high fat diet.</w:t>
      </w:r>
      <w:r w:rsidR="00140BB6">
        <w:t xml:space="preserve"> </w:t>
      </w:r>
    </w:p>
    <w:p w14:paraId="236D238F" w14:textId="77777777" w:rsidR="00C16E77" w:rsidRDefault="00C16E77" w:rsidP="00230B4A"/>
    <w:p w14:paraId="7422FC7B" w14:textId="2EE9D036" w:rsidR="00DC7316" w:rsidRDefault="00BE555B" w:rsidP="00230B4A">
      <w:r>
        <w:t>To test</w:t>
      </w:r>
      <w:r w:rsidR="008A7513">
        <w:t xml:space="preserve"> </w:t>
      </w:r>
      <w:r w:rsidR="00535157">
        <w:t xml:space="preserve">whether there were any other changes in key metabolic hormone levels, we evaluated the levels of a panel of </w:t>
      </w:r>
      <w:r w:rsidR="00144039">
        <w:t xml:space="preserve">hormones in </w:t>
      </w:r>
      <w:r w:rsidR="00D23D8F">
        <w:t>fed- and fasted-state serum</w:t>
      </w:r>
      <w:r>
        <w:t>.  As shown in F</w:t>
      </w:r>
      <w:r w:rsidR="006B74D4">
        <w:t>igures 2E</w:t>
      </w:r>
      <w:r w:rsidR="00AD4748">
        <w:t>-F, we did not observe</w:t>
      </w:r>
      <w:r>
        <w:t xml:space="preserve"> any changes in </w:t>
      </w:r>
      <w:proofErr w:type="spellStart"/>
      <w:r>
        <w:t>resistin</w:t>
      </w:r>
      <w:proofErr w:type="spellEnd"/>
      <w:r>
        <w:t xml:space="preserve"> or PAI-1 levels</w:t>
      </w:r>
      <w:r w:rsidR="00140BB6">
        <w:t xml:space="preserve">.  </w:t>
      </w:r>
      <w:proofErr w:type="spellStart"/>
      <w:r w:rsidR="00967682">
        <w:t>Leptin</w:t>
      </w:r>
      <w:proofErr w:type="spellEnd"/>
      <w:r w:rsidR="00967682">
        <w:t xml:space="preserve"> was modestly elevated in both the fasted and fed conditions (p-value </w:t>
      </w:r>
      <w:r w:rsidR="00016389">
        <w:t xml:space="preserve">for the effect of MCP230 treatment via ANOVA was 0.011, post-hoc </w:t>
      </w:r>
      <w:r w:rsidR="00016389">
        <w:rPr>
          <w:i/>
        </w:rPr>
        <w:t>t-</w:t>
      </w:r>
      <w:r w:rsidR="00016389">
        <w:t xml:space="preserve">test p-values were 0.058 for fasted and p=0.097 for fed </w:t>
      </w:r>
      <w:proofErr w:type="spellStart"/>
      <w:r w:rsidR="00016389">
        <w:t>leptin</w:t>
      </w:r>
      <w:proofErr w:type="spellEnd"/>
      <w:r w:rsidR="00016389">
        <w:t xml:space="preserve"> levels).  </w:t>
      </w:r>
      <w:r w:rsidR="00FA3E89">
        <w:t xml:space="preserve">These elevations in circulating </w:t>
      </w:r>
      <w:proofErr w:type="spellStart"/>
      <w:r w:rsidR="00FA3E89">
        <w:t>leptin</w:t>
      </w:r>
      <w:proofErr w:type="spellEnd"/>
      <w:r w:rsidR="00FA3E89">
        <w:t xml:space="preserve"> levels are consistent with </w:t>
      </w:r>
      <w:r w:rsidR="006B74D4">
        <w:t>the increases in fat mass described in Figure 1E.</w:t>
      </w:r>
      <w:r w:rsidR="008F3DC3">
        <w:t xml:space="preserve">  </w:t>
      </w:r>
      <w:r w:rsidR="00AD4748">
        <w:t xml:space="preserve">We </w:t>
      </w:r>
      <w:r w:rsidR="008F3DC3">
        <w:t>observed</w:t>
      </w:r>
      <w:r w:rsidR="00AD4748">
        <w:t xml:space="preserve"> </w:t>
      </w:r>
      <w:r w:rsidR="00016389">
        <w:t xml:space="preserve">significant </w:t>
      </w:r>
      <w:r w:rsidR="00AD4748">
        <w:t xml:space="preserve">elevations in both the fasting and fed state for Ghrelin, GLP-1, </w:t>
      </w:r>
      <w:r w:rsidR="00735CE1">
        <w:t>glucagon</w:t>
      </w:r>
      <w:r w:rsidR="00AD4748">
        <w:t xml:space="preserve"> and </w:t>
      </w:r>
      <w:r w:rsidR="00735CE1">
        <w:t xml:space="preserve">GIP-1, though the latter did not </w:t>
      </w:r>
      <w:r w:rsidR="00984DB6">
        <w:t>attain</w:t>
      </w:r>
      <w:r w:rsidR="00735CE1">
        <w:t xml:space="preserve"> </w:t>
      </w:r>
      <w:r w:rsidR="00016389">
        <w:t>statistical significance (p=0.069</w:t>
      </w:r>
      <w:r w:rsidR="00735CE1">
        <w:t xml:space="preserve"> for fasted</w:t>
      </w:r>
      <w:r w:rsidR="006A1A89">
        <w:t xml:space="preserve"> </w:t>
      </w:r>
      <w:r w:rsidR="008F3DC3">
        <w:t xml:space="preserve">GIP-1 levels </w:t>
      </w:r>
      <w:r w:rsidR="006A1A89">
        <w:t>by Wilcoxon Rank Sum Test</w:t>
      </w:r>
      <w:r w:rsidR="00735CE1">
        <w:t>).</w:t>
      </w:r>
      <w:r w:rsidR="00C16E77">
        <w:t xml:space="preserve"> </w:t>
      </w:r>
    </w:p>
    <w:p w14:paraId="09FB00E3" w14:textId="71372234" w:rsidR="00FB2906" w:rsidRDefault="00EF01EC" w:rsidP="00FB2906">
      <w:pPr>
        <w:pStyle w:val="Heading2"/>
      </w:pPr>
      <w:r>
        <w:t xml:space="preserve">MCP230-Exposed </w:t>
      </w:r>
      <w:r w:rsidR="00FB2906">
        <w:t>Mice Have Reduced Caloric Intake</w:t>
      </w:r>
    </w:p>
    <w:p w14:paraId="5F88E6AF" w14:textId="1543A4A5" w:rsidR="00FB2906" w:rsidRDefault="00DC7316" w:rsidP="00230B4A">
      <w:r>
        <w:t xml:space="preserve">To determine how energy balance was affected in these mice we first examined their food intake, longitudinally throughout the study.  </w:t>
      </w:r>
      <w:r w:rsidR="00A107BF">
        <w:t>As sho</w:t>
      </w:r>
      <w:r w:rsidR="00C16E77">
        <w:t>wn in Figure 3</w:t>
      </w:r>
      <w:r w:rsidR="00A107BF">
        <w:t xml:space="preserve">A, </w:t>
      </w:r>
      <w:r w:rsidR="009B452F">
        <w:t xml:space="preserve">all </w:t>
      </w:r>
      <w:r w:rsidR="000A10E7">
        <w:t xml:space="preserve">mice tended to eat </w:t>
      </w:r>
      <w:r w:rsidR="009B452F">
        <w:t xml:space="preserve">less </w:t>
      </w:r>
      <w:r w:rsidR="000A10E7">
        <w:t xml:space="preserve">food each week, though this did not reach statistical significance.  Cumulatively, the </w:t>
      </w:r>
      <w:r w:rsidR="00415F55">
        <w:t>MCP230</w:t>
      </w:r>
      <w:r w:rsidR="000A10E7">
        <w:t xml:space="preserve"> </w:t>
      </w:r>
      <w:r w:rsidR="00415F55">
        <w:t>ate</w:t>
      </w:r>
      <w:r w:rsidR="000A10E7">
        <w:t xml:space="preserve"> less food throughout the diet (</w:t>
      </w:r>
      <w:r w:rsidR="00415F55">
        <w:t>-</w:t>
      </w:r>
      <w:r w:rsidR="008C5F05">
        <w:t xml:space="preserve">6.3 +/- 1.8 kcal/week/mouse, </w:t>
      </w:r>
      <w:r w:rsidR="008C5F05">
        <w:sym w:font="Symbol" w:char="F063"/>
      </w:r>
      <w:r w:rsidR="008C5F05">
        <w:rPr>
          <w:vertAlign w:val="superscript"/>
        </w:rPr>
        <w:t>2</w:t>
      </w:r>
      <w:r w:rsidR="008C5F05">
        <w:t>=11.6, p=</w:t>
      </w:r>
      <w:r w:rsidR="004C687A">
        <w:t>8</w:t>
      </w:r>
      <w:r w:rsidR="00415F55">
        <w:t>.0</w:t>
      </w:r>
      <w:r w:rsidR="004C687A">
        <w:t xml:space="preserve"> x 10</w:t>
      </w:r>
      <w:r w:rsidR="004C687A">
        <w:rPr>
          <w:vertAlign w:val="superscript"/>
        </w:rPr>
        <w:t>-4</w:t>
      </w:r>
      <w:r w:rsidR="00C16E77">
        <w:t>, Figure 3</w:t>
      </w:r>
      <w:r w:rsidR="008C5F05">
        <w:t xml:space="preserve">B).  Through the </w:t>
      </w:r>
      <w:proofErr w:type="gramStart"/>
      <w:r w:rsidR="008C5F05">
        <w:t>12 week</w:t>
      </w:r>
      <w:proofErr w:type="gramEnd"/>
      <w:r w:rsidR="008C5F05">
        <w:t xml:space="preserve"> high fat diet treatment this corresponds to a 20% reduction in total caloric intake.  </w:t>
      </w:r>
      <w:r w:rsidR="00EE13E8">
        <w:t>T</w:t>
      </w:r>
      <w:r w:rsidR="00FB2906">
        <w:t xml:space="preserve">hese data suggest that the </w:t>
      </w:r>
      <w:r w:rsidR="00D1519E">
        <w:t xml:space="preserve">increased </w:t>
      </w:r>
      <w:r w:rsidR="005D5CBA">
        <w:t xml:space="preserve">body mass of </w:t>
      </w:r>
      <w:r w:rsidR="009B452F">
        <w:t>MCP230</w:t>
      </w:r>
      <w:r w:rsidR="00FB2906">
        <w:t xml:space="preserve"> </w:t>
      </w:r>
      <w:r w:rsidR="009B452F">
        <w:t>exposed</w:t>
      </w:r>
      <w:r w:rsidR="00FB2906">
        <w:t xml:space="preserve"> mice </w:t>
      </w:r>
      <w:r w:rsidR="005D5CBA">
        <w:t xml:space="preserve">was not </w:t>
      </w:r>
      <w:r w:rsidR="00FB2906">
        <w:t xml:space="preserve">due to </w:t>
      </w:r>
      <w:r w:rsidR="005D5CBA">
        <w:t xml:space="preserve">increased </w:t>
      </w:r>
      <w:r w:rsidR="00FB2906">
        <w:t xml:space="preserve">caloric intake, </w:t>
      </w:r>
      <w:r w:rsidR="005D5CBA">
        <w:t>as this was</w:t>
      </w:r>
      <w:r w:rsidR="00FB2906">
        <w:t xml:space="preserve"> substantially less </w:t>
      </w:r>
      <w:r w:rsidR="005D5CBA">
        <w:t>compared to the control mice</w:t>
      </w:r>
      <w:r w:rsidR="00FB2906">
        <w:t>.</w:t>
      </w:r>
    </w:p>
    <w:p w14:paraId="6FA61FB9" w14:textId="77777777" w:rsidR="00EF01EC" w:rsidRDefault="00EF01EC" w:rsidP="00230B4A"/>
    <w:p w14:paraId="19D4AE39" w14:textId="63D32A1A" w:rsidR="00FB2906" w:rsidRDefault="00FB2906" w:rsidP="00FB2906">
      <w:pPr>
        <w:pStyle w:val="Heading2"/>
      </w:pPr>
      <w:r>
        <w:t xml:space="preserve">MCP230 Mice Have </w:t>
      </w:r>
      <w:r w:rsidR="008A533B">
        <w:t>Reduced</w:t>
      </w:r>
      <w:r>
        <w:t xml:space="preserve"> Energy Expenditure</w:t>
      </w:r>
    </w:p>
    <w:p w14:paraId="74FABF33" w14:textId="7CB3B256" w:rsidR="00FB2906" w:rsidRDefault="004A4358" w:rsidP="00230B4A">
      <w:r>
        <w:t>Since the MCP230 mice did not appear</w:t>
      </w:r>
      <w:r w:rsidR="00FB1BC5">
        <w:t xml:space="preserve"> to be</w:t>
      </w:r>
      <w:r>
        <w:t xml:space="preserve"> larger due to excessive caloric intake, we next examined their energy utilization.  </w:t>
      </w:r>
      <w:r w:rsidR="00FB2906">
        <w:t xml:space="preserve">To evaluate energy expenditure, we placed mice at </w:t>
      </w:r>
      <w:r w:rsidR="00243797">
        <w:t>9</w:t>
      </w:r>
      <w:r w:rsidR="00FB2906">
        <w:t xml:space="preserve"> weeks of age (prior to HFD)</w:t>
      </w:r>
      <w:r w:rsidR="00243797">
        <w:t xml:space="preserve"> in individual cages for indirect </w:t>
      </w:r>
      <w:proofErr w:type="spellStart"/>
      <w:r w:rsidR="00243797">
        <w:t>calorimetry</w:t>
      </w:r>
      <w:proofErr w:type="spellEnd"/>
      <w:r w:rsidR="00243797">
        <w:t>, physical activity monitoring and evaluation of gas exchange rates.</w:t>
      </w:r>
    </w:p>
    <w:p w14:paraId="6F76CA5E" w14:textId="77777777" w:rsidR="00622E03" w:rsidRDefault="00622E03" w:rsidP="00230B4A"/>
    <w:p w14:paraId="3B3E75E1" w14:textId="4786A8BB" w:rsidR="00622E03" w:rsidRDefault="00126ED1" w:rsidP="00230B4A">
      <w:r>
        <w:t>As shown in Figure 3C, the MCP230 treated mice had lower energy expenditure</w:t>
      </w:r>
      <w:r w:rsidR="00FB1BC5">
        <w:t>,</w:t>
      </w:r>
      <w:r>
        <w:t xml:space="preserve"> as determined by </w:t>
      </w:r>
      <w:r w:rsidR="007B2AFE">
        <w:t>oxygen consumption</w:t>
      </w:r>
      <w:r w:rsidR="00FB7EF8">
        <w:t xml:space="preserve"> (VO</w:t>
      </w:r>
      <w:r w:rsidR="00FB7EF8" w:rsidRPr="00FB7EF8">
        <w:rPr>
          <w:vertAlign w:val="subscript"/>
        </w:rPr>
        <w:t>2</w:t>
      </w:r>
      <w:r w:rsidR="00FB7EF8">
        <w:t>)</w:t>
      </w:r>
      <w:r>
        <w:t>.  Figure 3D</w:t>
      </w:r>
      <w:r w:rsidR="00622E03">
        <w:t xml:space="preserve"> </w:t>
      </w:r>
      <w:r>
        <w:t>de</w:t>
      </w:r>
      <w:r w:rsidR="00952844">
        <w:t>picts</w:t>
      </w:r>
      <w:r w:rsidR="00622E03">
        <w:t xml:space="preserve"> the energy expenditure, as determined by the </w:t>
      </w:r>
      <w:r w:rsidR="00952844">
        <w:t>V</w:t>
      </w:r>
      <w:r w:rsidR="00622E03">
        <w:t>O</w:t>
      </w:r>
      <w:r w:rsidR="00622E03">
        <w:rPr>
          <w:vertAlign w:val="subscript"/>
        </w:rPr>
        <w:t>2</w:t>
      </w:r>
      <w:r w:rsidR="00622E03">
        <w:t xml:space="preserve"> for each mouse, plotted against </w:t>
      </w:r>
      <w:r>
        <w:t>the animal’s</w:t>
      </w:r>
      <w:r w:rsidR="00622E03">
        <w:t xml:space="preserve"> </w:t>
      </w:r>
      <w:r w:rsidR="00D74A69">
        <w:t>fat-free</w:t>
      </w:r>
      <w:r w:rsidR="00622E03">
        <w:t xml:space="preserve"> mass.  </w:t>
      </w:r>
      <w:r w:rsidR="004C3CD7">
        <w:t xml:space="preserve">Accounting for change in </w:t>
      </w:r>
      <w:r w:rsidR="00FC28B9">
        <w:t xml:space="preserve">lean </w:t>
      </w:r>
      <w:r w:rsidR="009332E7">
        <w:t>mass is necessary due to known associations between this covariate and oxygen consumption</w:t>
      </w:r>
      <w:r w:rsidR="004C3CD7">
        <w:t xml:space="preserve"> rates</w:t>
      </w:r>
      <w:r w:rsidR="009332E7">
        <w:t xml:space="preserve"> </w:t>
      </w:r>
      <w:r w:rsidR="004C3CD7">
        <w:fldChar w:fldCharType="begin" w:fldLock="1"/>
      </w:r>
      <w:r w:rsidR="004B62B5">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"(24)", "plainTextFormattedCitation" : "(24)", "previouslyFormattedCitation" : "(24)" }, "properties" : { "noteIndex" : 0 }, "schema" : "https://github.com/citation-style-language/schema/raw/master/csl-citation.json" }</w:instrText>
      </w:r>
      <w:r w:rsidR="004C3CD7">
        <w:fldChar w:fldCharType="separate"/>
      </w:r>
      <w:r w:rsidR="00F53B31" w:rsidRPr="00F53B31">
        <w:rPr>
          <w:noProof/>
        </w:rPr>
        <w:t>(24)</w:t>
      </w:r>
      <w:r w:rsidR="004C3CD7">
        <w:fldChar w:fldCharType="end"/>
      </w:r>
      <w:r w:rsidR="009332E7">
        <w:t xml:space="preserve">.  </w:t>
      </w:r>
      <w:r>
        <w:t>Based on these calculations, w</w:t>
      </w:r>
      <w:r w:rsidR="009332E7">
        <w:t>e observed decreased energy expenditure of the MCP230 treated mice in both the dark (-19.1%, p=0.020) and light (-16.8%, p=0.031)</w:t>
      </w:r>
      <w:r>
        <w:t xml:space="preserve"> phases</w:t>
      </w:r>
      <w:r w:rsidR="009332E7">
        <w:t>.</w:t>
      </w:r>
    </w:p>
    <w:p w14:paraId="36CA5AF7" w14:textId="77777777" w:rsidR="001E12F3" w:rsidRDefault="001E12F3" w:rsidP="00230B4A"/>
    <w:p w14:paraId="0C107EB7" w14:textId="67456FCD" w:rsidR="001E12F3" w:rsidRDefault="001E12F3" w:rsidP="00230B4A">
      <w:r>
        <w:lastRenderedPageBreak/>
        <w:t xml:space="preserve">To determine whether these decreases in energy expenditure were </w:t>
      </w:r>
      <w:r w:rsidR="008612D1">
        <w:t>correlated with changes in</w:t>
      </w:r>
      <w:r>
        <w:t xml:space="preserve"> </w:t>
      </w:r>
      <w:proofErr w:type="spellStart"/>
      <w:r>
        <w:t>locomotor</w:t>
      </w:r>
      <w:proofErr w:type="spellEnd"/>
      <w:r>
        <w:t xml:space="preserve"> activity, we simultaneously monitored ambulatory activity of these mice.  As shown in Figure 3E, we observed </w:t>
      </w:r>
      <w:r w:rsidR="00DE49ED">
        <w:t xml:space="preserve">a 21.4% reduction in </w:t>
      </w:r>
      <w:r w:rsidR="00FB1BC5">
        <w:t xml:space="preserve">physical </w:t>
      </w:r>
      <w:r w:rsidR="00DE49ED">
        <w:t xml:space="preserve">activity in the dark phase (p=0.040) and a </w:t>
      </w:r>
      <w:r w:rsidR="00B425D2">
        <w:t xml:space="preserve">26.2% decrease in light phase </w:t>
      </w:r>
      <w:proofErr w:type="spellStart"/>
      <w:r w:rsidR="00B425D2">
        <w:t>locomotor</w:t>
      </w:r>
      <w:proofErr w:type="spellEnd"/>
      <w:r w:rsidR="00B425D2">
        <w:t xml:space="preserve"> activity (p=0.0099)</w:t>
      </w:r>
      <w:r w:rsidR="00FB1BC5">
        <w:t xml:space="preserve"> for the mice exposed to MCP230, compared to the control mice</w:t>
      </w:r>
      <w:r w:rsidR="008612D1">
        <w:t>.</w:t>
      </w:r>
      <w:r w:rsidR="007B2AFE">
        <w:t xml:space="preserve">  </w:t>
      </w:r>
    </w:p>
    <w:p w14:paraId="1B14326E" w14:textId="77777777" w:rsidR="007B2AFE" w:rsidRDefault="007B2AFE" w:rsidP="00230B4A"/>
    <w:p w14:paraId="454B7A47" w14:textId="0E75D952" w:rsidR="007B2AFE" w:rsidRPr="00622E03" w:rsidRDefault="007B2AFE" w:rsidP="00230B4A">
      <w:r>
        <w:t xml:space="preserve">We next evaluated </w:t>
      </w:r>
      <w:r w:rsidR="00125748">
        <w:t xml:space="preserve">energy </w:t>
      </w:r>
      <w:r>
        <w:t>substrate preference by analyzing the respiratory exchange ratio of the three groups.  When this ratio nears 1, that indicates preference of carbohydrates</w:t>
      </w:r>
      <w:r w:rsidR="00125748">
        <w:t xml:space="preserve"> as fuel</w:t>
      </w:r>
      <w:r>
        <w:t xml:space="preserve">, and as it nears 0.7 it indicates utilization of </w:t>
      </w:r>
      <w:r w:rsidR="00125748">
        <w:t xml:space="preserve">mainly </w:t>
      </w:r>
      <w:r>
        <w:t>lipids</w:t>
      </w:r>
      <w:r w:rsidR="00462A1C">
        <w:t xml:space="preserve"> </w:t>
      </w:r>
      <w:r w:rsidR="00462A1C">
        <w:fldChar w:fldCharType="begin" w:fldLock="1"/>
      </w:r>
      <w:r w:rsidR="004B62B5">
        <w:instrText>ADDIN CSL_CITATION { "citationItems" : [ { "id" : "ITEM-1", "itemData" : { "DOI" : "10.1098/rspb.1924.0037", "ISSN" : "0962-8452", "author" : [ { "dropping-particle" : "V.", "family" : "Hill", "given" : "A.", "non-dropping-particle" : "", "parse-names" : false, "suffix" : "" }, { "dropping-particle" : "", "family" : "Long", "given" : "C. N. H.", "non-dropping-particle" : "", "parse-names" : false, "suffix" : "" }, { "dropping-particle" : "", "family" : "Lupton", "given" : "H.", "non-dropping-particle" : "", "parse-names" : false, "suffix" : "" } ], "container-title" : "Proceedings of the Royal Society B: Biological Sciences", "id" : "ITEM-1", "issue" : "679", "issued" : { "date-parts" : [ [ "1924", "9", "1" ] ] }, "page" : "438-475", "title" : "Muscular Exercise, Lactic Acid, and the Supply and Utilisation of Oxygen", "type" : "article-journal", "volume" : "96" }, "uris" : [ "http://www.mendeley.com/documents/?uuid=2ab2f047-3c49-48a7-b2c4-1a18da68ebc7" ] } ], "mendeley" : { "formattedCitation" : "(25)", "plainTextFormattedCitation" : "(25)", "previouslyFormattedCitation" : "(25)" }, "properties" : { "noteIndex" : 0 }, "schema" : "https://github.com/citation-style-language/schema/raw/master/csl-citation.json" }</w:instrText>
      </w:r>
      <w:r w:rsidR="00462A1C">
        <w:fldChar w:fldCharType="separate"/>
      </w:r>
      <w:r w:rsidR="00F53B31" w:rsidRPr="00F53B31">
        <w:rPr>
          <w:noProof/>
        </w:rPr>
        <w:t>(25)</w:t>
      </w:r>
      <w:r w:rsidR="00462A1C">
        <w:fldChar w:fldCharType="end"/>
      </w:r>
      <w:r>
        <w:t xml:space="preserve">.  Although there was no difference between MCP230 and </w:t>
      </w:r>
      <w:proofErr w:type="spellStart"/>
      <w:r>
        <w:t>cabosil</w:t>
      </w:r>
      <w:proofErr w:type="spellEnd"/>
      <w:r>
        <w:t xml:space="preserve"> treated mice, we did observe a significant elevation (carbohydrate preference) of the saline treated mice</w:t>
      </w:r>
      <w:r w:rsidR="000A578E">
        <w:t>, relative to either the control (</w:t>
      </w:r>
      <w:proofErr w:type="spellStart"/>
      <w:r w:rsidR="000A578E">
        <w:t>cabosil</w:t>
      </w:r>
      <w:proofErr w:type="spellEnd"/>
      <w:r w:rsidR="000A578E">
        <w:t>) or EPFR (MCP230) treated mice</w:t>
      </w:r>
      <w:r w:rsidR="009D54BB">
        <w:t xml:space="preserve"> </w:t>
      </w:r>
      <w:r w:rsidR="000A578E">
        <w:t xml:space="preserve">in both the light and dark phases </w:t>
      </w:r>
      <w:r w:rsidR="009D54BB">
        <w:t>(Figure 3F</w:t>
      </w:r>
      <w:r w:rsidR="00462A1C">
        <w:t>)</w:t>
      </w:r>
      <w:r>
        <w:t>.  These data indicate that the unconjugated particle exposure itself (though not the EPFR group) may alter substrate preference in these mice.</w:t>
      </w:r>
    </w:p>
    <w:p w14:paraId="37032314" w14:textId="77777777" w:rsidR="008A533B" w:rsidRDefault="008A533B" w:rsidP="00230B4A"/>
    <w:p w14:paraId="0E6584DE" w14:textId="66F2F27A" w:rsidR="008A533B" w:rsidRDefault="00631F34" w:rsidP="008A533B">
      <w:pPr>
        <w:pStyle w:val="Heading2"/>
      </w:pPr>
      <w:r>
        <w:t>Skeletal Muscle</w:t>
      </w:r>
      <w:r w:rsidR="008A533B">
        <w:t xml:space="preserve"> from MCP230 Treated Mice Have Reduced Mitochondrial </w:t>
      </w:r>
      <w:r w:rsidR="00795012">
        <w:t>DNA Copy Number</w:t>
      </w:r>
      <w:r w:rsidR="00743FA3">
        <w:t xml:space="preserve"> and a Lower Citrate Synthase Activity</w:t>
      </w:r>
    </w:p>
    <w:p w14:paraId="7794A691" w14:textId="5BCDDA1B" w:rsidR="0036482C" w:rsidRDefault="00410F14" w:rsidP="00410F14">
      <w:r>
        <w:t xml:space="preserve">Due to the observed reductions in </w:t>
      </w:r>
      <w:r w:rsidR="00147DCC">
        <w:t xml:space="preserve">whole-body </w:t>
      </w:r>
      <w:r>
        <w:t xml:space="preserve">oxygen consumption and </w:t>
      </w:r>
      <w:r w:rsidR="00147DCC">
        <w:t xml:space="preserve">total </w:t>
      </w:r>
      <w:r>
        <w:t xml:space="preserve">energy expenditure, we next explored the hypothesis that there may be defects in </w:t>
      </w:r>
      <w:r w:rsidR="000D3EBA">
        <w:t xml:space="preserve">the </w:t>
      </w:r>
      <w:r w:rsidR="00147DCC">
        <w:t xml:space="preserve">skeletal </w:t>
      </w:r>
      <w:r>
        <w:t>muscle mitochondria</w:t>
      </w:r>
      <w:r w:rsidR="00D07A92">
        <w:t xml:space="preserve"> of MCP230-</w:t>
      </w:r>
      <w:r w:rsidR="008E1F6B">
        <w:t>exposed mice</w:t>
      </w:r>
      <w:r>
        <w:t xml:space="preserve">.  To test this, we first determined </w:t>
      </w:r>
      <w:proofErr w:type="spellStart"/>
      <w:r w:rsidR="000D3EBA">
        <w:t>m</w:t>
      </w:r>
      <w:r w:rsidR="00AF1A7D">
        <w:t>t</w:t>
      </w:r>
      <w:r w:rsidR="000D3EBA">
        <w:t>DNA</w:t>
      </w:r>
      <w:proofErr w:type="spellEnd"/>
      <w:r w:rsidR="000D3EBA">
        <w:t xml:space="preserve"> copy number in quadriceps muscle after the </w:t>
      </w:r>
      <w:proofErr w:type="gramStart"/>
      <w:r w:rsidR="000D3EBA">
        <w:t>12 week</w:t>
      </w:r>
      <w:proofErr w:type="gramEnd"/>
      <w:r w:rsidR="000D3EBA">
        <w:t xml:space="preserve"> high fat diet phase. </w:t>
      </w:r>
      <w:r w:rsidR="0058343B">
        <w:t xml:space="preserve">Figure 4A demonstrates that </w:t>
      </w:r>
      <w:r w:rsidR="00AF1A7D">
        <w:t>MCP230-exposed mice ha</w:t>
      </w:r>
      <w:r w:rsidR="0058343B">
        <w:t>ve</w:t>
      </w:r>
      <w:r w:rsidR="00AF1A7D">
        <w:t xml:space="preserve"> </w:t>
      </w:r>
      <w:r w:rsidR="00606930">
        <w:t>a</w:t>
      </w:r>
      <w:r w:rsidR="000966F1">
        <w:t xml:space="preserve"> </w:t>
      </w:r>
      <w:r w:rsidR="00EF0ECE">
        <w:t>marked reduction</w:t>
      </w:r>
      <w:r w:rsidR="000966F1">
        <w:t xml:space="preserve"> in </w:t>
      </w:r>
      <w:proofErr w:type="spellStart"/>
      <w:r w:rsidR="00AF1A7D">
        <w:t>mtDNA</w:t>
      </w:r>
      <w:proofErr w:type="spellEnd"/>
      <w:r w:rsidR="00245CF5">
        <w:t xml:space="preserve"> copy number</w:t>
      </w:r>
      <w:r w:rsidR="00E74D94">
        <w:t xml:space="preserve"> relative to the saline-exposed mice</w:t>
      </w:r>
      <w:r w:rsidR="00AF1A7D">
        <w:t xml:space="preserve">, as determined using primers designed for three distinct </w:t>
      </w:r>
      <w:proofErr w:type="spellStart"/>
      <w:r w:rsidR="0050340E">
        <w:t>mtDNA</w:t>
      </w:r>
      <w:proofErr w:type="spellEnd"/>
      <w:r w:rsidR="00AF1A7D">
        <w:t>-</w:t>
      </w:r>
      <w:r w:rsidR="004F3E87">
        <w:t xml:space="preserve">encoded </w:t>
      </w:r>
      <w:r w:rsidR="0050340E">
        <w:t>gene</w:t>
      </w:r>
      <w:r w:rsidR="00AF1A7D">
        <w:t xml:space="preserve"> regions</w:t>
      </w:r>
      <w:r w:rsidR="00914587">
        <w:t>. D</w:t>
      </w:r>
      <w:r w:rsidR="00606930">
        <w:t>ecreases of 61.2%, 68.0% and 51.9%</w:t>
      </w:r>
      <w:r w:rsidR="00914587">
        <w:t xml:space="preserve"> were observed</w:t>
      </w:r>
      <w:r w:rsidR="00606930">
        <w:t xml:space="preserve"> for the </w:t>
      </w:r>
      <w:proofErr w:type="spellStart"/>
      <w:r w:rsidR="00606930">
        <w:t>dLoop</w:t>
      </w:r>
      <w:proofErr w:type="spellEnd"/>
      <w:r w:rsidR="00606930">
        <w:t xml:space="preserve">, </w:t>
      </w:r>
      <w:proofErr w:type="spellStart"/>
      <w:r w:rsidR="008F73FF" w:rsidRPr="00EE13E8">
        <w:rPr>
          <w:i/>
        </w:rPr>
        <w:t>mt-</w:t>
      </w:r>
      <w:r w:rsidR="008F73FF">
        <w:rPr>
          <w:i/>
        </w:rPr>
        <w:t>C</w:t>
      </w:r>
      <w:r w:rsidR="00606930" w:rsidRPr="00EE13E8">
        <w:rPr>
          <w:i/>
        </w:rPr>
        <w:t>yt</w:t>
      </w:r>
      <w:r w:rsidR="001F72A7" w:rsidRPr="00EE13E8">
        <w:rPr>
          <w:i/>
        </w:rPr>
        <w:t>b</w:t>
      </w:r>
      <w:proofErr w:type="spellEnd"/>
      <w:r w:rsidR="00606930">
        <w:t xml:space="preserve"> and </w:t>
      </w:r>
      <w:r w:rsidR="008F73FF" w:rsidRPr="00EE13E8">
        <w:rPr>
          <w:i/>
        </w:rPr>
        <w:t>mt-</w:t>
      </w:r>
      <w:r w:rsidR="008F73FF">
        <w:rPr>
          <w:i/>
        </w:rPr>
        <w:t>N</w:t>
      </w:r>
      <w:r w:rsidR="00606930" w:rsidRPr="00EE13E8">
        <w:rPr>
          <w:i/>
        </w:rPr>
        <w:t>d1</w:t>
      </w:r>
      <w:r w:rsidR="00606930">
        <w:t>, respectively</w:t>
      </w:r>
      <w:r w:rsidR="00331D2C">
        <w:t xml:space="preserve"> (p=0.039, p=0.031 and p=0.032, respectively)</w:t>
      </w:r>
      <w:r w:rsidR="00AF1A7D">
        <w:t>.</w:t>
      </w:r>
      <w:r w:rsidR="00691583">
        <w:t xml:space="preserve"> </w:t>
      </w:r>
      <w:r w:rsidR="003A4037">
        <w:t xml:space="preserve">Citrate </w:t>
      </w:r>
      <w:r w:rsidR="0036482C">
        <w:t xml:space="preserve">synthase activity </w:t>
      </w:r>
      <w:r w:rsidR="00B77D60">
        <w:t>i</w:t>
      </w:r>
      <w:r w:rsidR="0036482C">
        <w:t>s strongly</w:t>
      </w:r>
      <w:r w:rsidR="00B77D60">
        <w:t xml:space="preserve"> associated</w:t>
      </w:r>
      <w:r w:rsidR="0036482C">
        <w:t xml:space="preserve"> with skeletal muscle mitochondrial content </w:t>
      </w:r>
      <w:r w:rsidR="000109CF">
        <w:fldChar w:fldCharType="begin" w:fldLock="1"/>
      </w:r>
      <w:r w:rsidR="004B62B5">
        <w:instrText>ADDIN CSL_CITATION { "citationItems" : [ { "id" : "ITEM-1", "itemData" : { "DOI" : "10.1113/jphysiol.2012.230185", "ISBN" : "1469-7793 (Electronic)\\r0022-3751 (Linking)", "ISSN" : "1469-7793", "PMID" : "22586215", "abstract" : "Skeletal muscle mitochondrial content varies extensively between human subjects. Biochemical measures of mitochondrial proteins, enzyme activities and lipids are often used as markers of mitochondrial content and muscle oxidative capacity (OXPHOS). The purpose of this study was to determine how closely associated these commonly used biochemical measures are to muscle mitochondrial content and OXPHOS. Sixteen young healthy male subjects were recruited for this study. Subjects completed a graded exercise test to determine maximal oxygen uptake (VO2peak) and muscle biopsies were obtained from the vastus lateralis. Mitochondrial content was determined using transmission electron microscopy imaging and OXPHOS was determined as the maximal coupled respiration in permeabilized fibres. Biomarkers of interest were citrate synthase (CS) activity, cardiolipin content, mitochondrial DNA content (mtDNA), complex I\u2013V protein content, and complex I\u2013IV activity. Spearman correlation coefficient tests and Lin's concordance tests were applied to assess the absolute and relative association between the markers and mitochondrial content or OXPHOS. Subjects had a large range of VO2peak (range 29.9\u201371.6ml min\u22121 kg\u22121) and mitochondrial content (4\u201315% of cell volume).Cardiolipin content showed the strongest association with mitochondrial content followed by CS and complex I activities. mtDNA was not related to mitochondrial content. Complex IV activity showed the strongest association with muscle oxidative capacity followed by complex II activity.We conclude that cardiolipin content, and CS and complex I activities are the biomarkers that exhibit the strongest association with mitochondrial content, while complex IV activity is strongly associated with OXPHOS capacity in human skeletal muscle.", "author" : [ { "dropping-particle" : "", "family" : "Larsen", "given" : "Steen", "non-dropping-particle" : "", "parse-names" : false, "suffix" : "" }, { "dropping-particle" : "", "family" : "Nielsen", "given" : "Joachim", "non-dropping-particle" : "", "parse-names" : false, "suffix" : "" }, { "dropping-particle" : "", "family" : "Hansen", "given" : "Christina Neigaard", "non-dropping-particle" : "", "parse-names" : false, "suffix" : "" }, { "dropping-particle" : "", "family" : "Nielsen", "given" : "Lars Bo", "non-dropping-particle" : "", "parse-names" : false, "suffix" : "" }, { "dropping-particle" : "", "family" : "Wibrand", "given" : "Flemming", "non-dropping-particle" : "", "parse-names" : false, "suffix" : "" }, { "dropping-particle" : "", "family" : "Stride", "given" : "Nis", "non-dropping-particle" : "", "parse-names" : false, "suffix" : "" }, { "dropping-particle" : "", "family" : "Schroder", "given" : "Henrik Daa", "non-dropping-particle" : "", "parse-names" : false, "suffix" : "" }, { "dropping-particle" : "", "family" : "Boushel", "given" : "Robert", "non-dropping-particle" : "", "parse-names" : false, "suffix" : "" }, { "dropping-particle" : "", "family" : "Helge", "given" : "J\u00f8rn Wulff", "non-dropping-particle" : "", "parse-names" : false, "suffix" : "" }, { "dropping-particle" : "", "family" : "Dela", "given" : "Flemming", "non-dropping-particle" : "", "parse-names" : false, "suffix" : "" }, { "dropping-particle" : "", "family" : "Hey-Mogensen", "given" : "Martin", "non-dropping-particle" : "", "parse-names" : false, "suffix" : "" } ], "container-title" : "The Journal of physiology", "id" : "ITEM-1", "issue" : "Pt 14", "issued" : { "date-parts" : [ [ "2012" ] ] }, "page" : "3349-60", "title" : "Biomarkers of mitochondrial content in skeletal muscle of healthy young human subjects.", "type" : "article-journal", "volume" : "590" }, "uris" : [ "http://www.mendeley.com/documents/?uuid=a643963f-c7b3-4716-ac7c-659303b2f291" ] } ], "mendeley" : { "formattedCitation" : "(26)", "plainTextFormattedCitation" : "(26)", "previouslyFormattedCitation" : "(26)" }, "properties" : { "noteIndex" : 0 }, "schema" : "https://github.com/citation-style-language/schema/raw/master/csl-citation.json" }</w:instrText>
      </w:r>
      <w:r w:rsidR="000109CF">
        <w:fldChar w:fldCharType="separate"/>
      </w:r>
      <w:r w:rsidR="00F53B31" w:rsidRPr="00F53B31">
        <w:rPr>
          <w:noProof/>
        </w:rPr>
        <w:t>(26)</w:t>
      </w:r>
      <w:r w:rsidR="000109CF">
        <w:fldChar w:fldCharType="end"/>
      </w:r>
      <w:r w:rsidR="000109CF">
        <w:t xml:space="preserve"> </w:t>
      </w:r>
      <w:r w:rsidR="0036482C">
        <w:t xml:space="preserve">and </w:t>
      </w:r>
      <w:r w:rsidR="001F3D5E">
        <w:t>it</w:t>
      </w:r>
      <w:r w:rsidR="000109CF">
        <w:t>’</w:t>
      </w:r>
      <w:r w:rsidR="001F3D5E">
        <w:t xml:space="preserve">s activity is </w:t>
      </w:r>
      <w:r w:rsidR="00882641">
        <w:t>rate-limiting for the</w:t>
      </w:r>
      <w:r w:rsidR="001F3D5E">
        <w:t xml:space="preserve"> </w:t>
      </w:r>
      <w:proofErr w:type="spellStart"/>
      <w:r w:rsidR="001F3D5E">
        <w:t>tricarboxylic</w:t>
      </w:r>
      <w:proofErr w:type="spellEnd"/>
      <w:r w:rsidR="001F3D5E">
        <w:t xml:space="preserve"> acid cycle</w:t>
      </w:r>
      <w:r w:rsidR="003A4037">
        <w:t xml:space="preserve">. Given that </w:t>
      </w:r>
      <w:proofErr w:type="spellStart"/>
      <w:r w:rsidR="003A4037">
        <w:t>mtDNA</w:t>
      </w:r>
      <w:proofErr w:type="spellEnd"/>
      <w:r w:rsidR="003A4037">
        <w:t xml:space="preserve"> copy number was reduced with MCP203 exposure, we </w:t>
      </w:r>
      <w:r w:rsidR="00882641">
        <w:t>sought</w:t>
      </w:r>
      <w:r w:rsidR="003A4037">
        <w:t xml:space="preserve"> to determine if there were any mitochondrial functional defects in the skeletal muscle from particulate-exposed mice. </w:t>
      </w:r>
      <w:r w:rsidR="00C5110D">
        <w:t>As shown in Figure 4B, maximal citrate synthase activity was reduced 24</w:t>
      </w:r>
      <w:r w:rsidR="00F24FBA">
        <w:t>.1</w:t>
      </w:r>
      <w:r w:rsidR="00C5110D">
        <w:t>% in the quadriceps from MCP230-exposed mice (p=0.03).</w:t>
      </w:r>
      <w:r w:rsidR="00F24FBA">
        <w:t xml:space="preserve"> Taken together, these data suggest that mice exposed to MCP230 are likely to have reduced mitochondrial oxidative enzyme content and, as a result, reduced skeletal muscle oxidative capacity</w:t>
      </w:r>
      <w:r w:rsidR="00820C95">
        <w:t>,</w:t>
      </w:r>
      <w:r w:rsidR="00F24FBA">
        <w:t xml:space="preserve"> which</w:t>
      </w:r>
      <w:r w:rsidR="00820C95">
        <w:t>, along with the reduction in physical activity,</w:t>
      </w:r>
      <w:r w:rsidR="00F24FBA">
        <w:t xml:space="preserve"> would likely contribute to the reduced VO</w:t>
      </w:r>
      <w:r w:rsidR="00F24FBA" w:rsidRPr="00820C95">
        <w:rPr>
          <w:vertAlign w:val="subscript"/>
        </w:rPr>
        <w:t>2</w:t>
      </w:r>
      <w:r w:rsidR="00F24FBA">
        <w:t xml:space="preserve"> seen in these mice.</w:t>
      </w:r>
    </w:p>
    <w:p w14:paraId="18568C63" w14:textId="77777777" w:rsidR="0036482C" w:rsidRDefault="0036482C" w:rsidP="00410F14"/>
    <w:p w14:paraId="7042994D" w14:textId="08239EA3" w:rsidR="005D172E" w:rsidRDefault="00CF173F" w:rsidP="00410F14">
      <w:r>
        <w:t xml:space="preserve">Indeed, </w:t>
      </w:r>
      <w:r w:rsidR="00691583">
        <w:t>mRNA transcript levels for the mitochondrial-</w:t>
      </w:r>
      <w:r w:rsidR="009857B0">
        <w:t xml:space="preserve"> and nuclear-</w:t>
      </w:r>
      <w:r w:rsidR="00691583">
        <w:t>encoded electro</w:t>
      </w:r>
      <w:r w:rsidR="007425D4">
        <w:t xml:space="preserve">n transport genes </w:t>
      </w:r>
      <w:r w:rsidR="008F73FF" w:rsidRPr="00EE13E8">
        <w:rPr>
          <w:i/>
        </w:rPr>
        <w:t>mt-</w:t>
      </w:r>
      <w:r w:rsidR="007425D4" w:rsidRPr="00EE13E8">
        <w:rPr>
          <w:i/>
        </w:rPr>
        <w:t>Nd4</w:t>
      </w:r>
      <w:r w:rsidR="001E01AC">
        <w:t xml:space="preserve"> (25.2%)</w:t>
      </w:r>
      <w:r w:rsidR="007425D4">
        <w:t xml:space="preserve">, </w:t>
      </w:r>
      <w:proofErr w:type="spellStart"/>
      <w:r w:rsidR="007425D4" w:rsidRPr="00EE13E8">
        <w:rPr>
          <w:i/>
        </w:rPr>
        <w:t>Sdha</w:t>
      </w:r>
      <w:proofErr w:type="spellEnd"/>
      <w:r w:rsidR="001E01AC">
        <w:t xml:space="preserve"> (35.9%),</w:t>
      </w:r>
      <w:r w:rsidR="007425D4">
        <w:t xml:space="preserve"> </w:t>
      </w:r>
      <w:proofErr w:type="spellStart"/>
      <w:r w:rsidR="008F73FF" w:rsidRPr="00EE13E8">
        <w:rPr>
          <w:i/>
        </w:rPr>
        <w:t>mt-</w:t>
      </w:r>
      <w:r w:rsidR="00691583" w:rsidRPr="00EE13E8">
        <w:rPr>
          <w:i/>
        </w:rPr>
        <w:t>Cytb</w:t>
      </w:r>
      <w:proofErr w:type="spellEnd"/>
      <w:r w:rsidR="001E01AC">
        <w:t xml:space="preserve"> (35.4%)</w:t>
      </w:r>
      <w:r w:rsidR="007425D4">
        <w:t xml:space="preserve"> and </w:t>
      </w:r>
      <w:r w:rsidR="008F73FF">
        <w:rPr>
          <w:i/>
        </w:rPr>
        <w:t>mt-Co2</w:t>
      </w:r>
      <w:r w:rsidR="008F73FF">
        <w:t xml:space="preserve"> </w:t>
      </w:r>
      <w:r w:rsidR="001E01AC">
        <w:t xml:space="preserve">(35.1%) </w:t>
      </w:r>
      <w:r w:rsidR="00691583">
        <w:t>were all also reduced</w:t>
      </w:r>
      <w:r w:rsidR="00D07A92">
        <w:t xml:space="preserve"> in the quadriceps from MCP230-exposed mice</w:t>
      </w:r>
      <w:r w:rsidR="00691583">
        <w:t>, although not all of these</w:t>
      </w:r>
      <w:r w:rsidR="00A51087">
        <w:t xml:space="preserve"> reductions </w:t>
      </w:r>
      <w:r w:rsidR="00691583">
        <w:t>attained statistical significance</w:t>
      </w:r>
      <w:r w:rsidR="001E01AC">
        <w:t xml:space="preserve"> (p=0.12, p=0.08, p=0.04 and p=0.10, respectively</w:t>
      </w:r>
      <w:r w:rsidR="00E56245">
        <w:t xml:space="preserve"> (Figure 5</w:t>
      </w:r>
      <w:r w:rsidR="001E01AC">
        <w:t>)</w:t>
      </w:r>
      <w:r w:rsidR="001417C8">
        <w:t xml:space="preserve">. </w:t>
      </w:r>
      <w:r w:rsidR="00766DB4">
        <w:t xml:space="preserve"> </w:t>
      </w:r>
      <w:r w:rsidR="002167AD">
        <w:t xml:space="preserve">To determine </w:t>
      </w:r>
      <w:r w:rsidR="00AA53B5">
        <w:t>whether</w:t>
      </w:r>
      <w:r w:rsidR="002167AD">
        <w:t xml:space="preserve"> </w:t>
      </w:r>
      <w:r w:rsidR="00AA53B5">
        <w:t>similar differences</w:t>
      </w:r>
      <w:r w:rsidR="002167AD">
        <w:t xml:space="preserve"> in </w:t>
      </w:r>
      <w:r w:rsidR="00A10E45">
        <w:t xml:space="preserve">skeletal muscle </w:t>
      </w:r>
      <w:r w:rsidR="002167AD">
        <w:t xml:space="preserve">mitochondrial </w:t>
      </w:r>
      <w:r>
        <w:t>electron transport enzymes</w:t>
      </w:r>
      <w:r w:rsidR="002167AD">
        <w:t xml:space="preserve"> </w:t>
      </w:r>
      <w:r w:rsidR="00AA53B5">
        <w:t>were also present</w:t>
      </w:r>
      <w:r w:rsidR="00E6527D">
        <w:t xml:space="preserve"> </w:t>
      </w:r>
      <w:r w:rsidR="002167AD">
        <w:t>at the protein level, w</w:t>
      </w:r>
      <w:r w:rsidR="00A440F3">
        <w:t xml:space="preserve">e </w:t>
      </w:r>
      <w:r w:rsidR="00A10E45">
        <w:t>next</w:t>
      </w:r>
      <w:r w:rsidR="00A440F3">
        <w:t xml:space="preserve"> measured</w:t>
      </w:r>
      <w:r w:rsidR="00A432D6">
        <w:t xml:space="preserve"> the relative expression</w:t>
      </w:r>
      <w:r w:rsidR="00A440F3">
        <w:t xml:space="preserve"> </w:t>
      </w:r>
      <w:r w:rsidR="00A432D6">
        <w:t xml:space="preserve">of </w:t>
      </w:r>
      <w:r w:rsidR="002167AD">
        <w:t>several</w:t>
      </w:r>
      <w:r w:rsidR="00A440F3">
        <w:t xml:space="preserve"> </w:t>
      </w:r>
      <w:r w:rsidR="00A440F3">
        <w:lastRenderedPageBreak/>
        <w:t xml:space="preserve">electron transport chain proteins </w:t>
      </w:r>
      <w:r w:rsidR="00E6527D">
        <w:t>via</w:t>
      </w:r>
      <w:r w:rsidR="00A432D6">
        <w:t xml:space="preserve"> western blotting </w:t>
      </w:r>
      <w:r w:rsidR="00A440F3">
        <w:t>(Figure 4</w:t>
      </w:r>
      <w:r w:rsidR="001749D8">
        <w:t>C</w:t>
      </w:r>
      <w:r w:rsidR="00A440F3">
        <w:t xml:space="preserve">). </w:t>
      </w:r>
      <w:r w:rsidR="005D172E">
        <w:t xml:space="preserve">Interestingly, we observed </w:t>
      </w:r>
      <w:r w:rsidR="0043113B">
        <w:t>an inc</w:t>
      </w:r>
      <w:r w:rsidR="005D172E">
        <w:t xml:space="preserve">rease </w:t>
      </w:r>
      <w:r w:rsidR="0043113B">
        <w:t>in the relative abundance</w:t>
      </w:r>
      <w:r w:rsidR="005D172E">
        <w:t xml:space="preserve"> of the </w:t>
      </w:r>
      <w:r>
        <w:t xml:space="preserve">two of the five </w:t>
      </w:r>
      <w:r w:rsidR="005D172E">
        <w:t xml:space="preserve">proteins </w:t>
      </w:r>
      <w:r>
        <w:t>measured in skeletal muscle from mice treated with MPC230 compared to the saline-treated mice</w:t>
      </w:r>
      <w:r w:rsidR="00794142">
        <w:t>;</w:t>
      </w:r>
      <w:r>
        <w:t xml:space="preserve"> </w:t>
      </w:r>
      <w:r w:rsidR="005D172E">
        <w:t xml:space="preserve">NDUFB8 </w:t>
      </w:r>
      <w:r w:rsidR="00794142">
        <w:t>and ATP5A were elevated 66.2% (</w:t>
      </w:r>
      <w:r w:rsidR="005D172E">
        <w:t>p=0.042</w:t>
      </w:r>
      <w:r w:rsidR="00794142">
        <w:t>) and 64.2% (</w:t>
      </w:r>
      <w:r w:rsidR="005D172E">
        <w:t>p=0.022</w:t>
      </w:r>
      <w:r w:rsidR="00794142">
        <w:t>), respectively</w:t>
      </w:r>
      <w:r w:rsidR="00186195">
        <w:t xml:space="preserve">, whereas the other three electron transport proteins measured were </w:t>
      </w:r>
      <w:r w:rsidR="0054682B">
        <w:t xml:space="preserve">expressed </w:t>
      </w:r>
      <w:r w:rsidR="00186195">
        <w:t>similar</w:t>
      </w:r>
      <w:r w:rsidR="0054682B">
        <w:t>ly</w:t>
      </w:r>
      <w:r w:rsidR="00186195">
        <w:t xml:space="preserve"> between </w:t>
      </w:r>
      <w:r w:rsidR="0054682B">
        <w:t xml:space="preserve">the two </w:t>
      </w:r>
      <w:r w:rsidR="00186195">
        <w:t>groups</w:t>
      </w:r>
      <w:r w:rsidR="005D172E">
        <w:t>.</w:t>
      </w:r>
      <w:r w:rsidR="000D59B5">
        <w:t xml:space="preserve"> </w:t>
      </w:r>
      <w:r w:rsidR="001C3B10">
        <w:t xml:space="preserve">This finding suggests that </w:t>
      </w:r>
      <w:r w:rsidR="00DE79FB">
        <w:t xml:space="preserve">functional </w:t>
      </w:r>
      <w:r w:rsidR="001C3B10">
        <w:t xml:space="preserve">impairments in the oxidative capacity of the skeletal muscle are </w:t>
      </w:r>
      <w:r w:rsidR="00DE79FB">
        <w:t xml:space="preserve">likely to be </w:t>
      </w:r>
      <w:r w:rsidR="001C3B10">
        <w:t xml:space="preserve">secondary to the ability of the </w:t>
      </w:r>
      <w:proofErr w:type="spellStart"/>
      <w:r w:rsidR="00DE79FB">
        <w:t>myocyte</w:t>
      </w:r>
      <w:proofErr w:type="spellEnd"/>
      <w:r w:rsidR="001C3B10">
        <w:t xml:space="preserve"> to </w:t>
      </w:r>
      <w:r w:rsidR="009249F9">
        <w:t>generate</w:t>
      </w:r>
      <w:r w:rsidR="001C3B10">
        <w:t xml:space="preserve"> mitochondrial </w:t>
      </w:r>
      <w:r w:rsidR="00186195">
        <w:t>enzymes</w:t>
      </w:r>
      <w:r w:rsidR="00DE79FB">
        <w:t xml:space="preserve"> at the protein level</w:t>
      </w:r>
      <w:r w:rsidR="009249F9">
        <w:t>.</w:t>
      </w:r>
    </w:p>
    <w:p w14:paraId="584D0542" w14:textId="77777777" w:rsidR="007221E6" w:rsidRDefault="007221E6" w:rsidP="007221E6">
      <w:pPr>
        <w:pStyle w:val="Heading1"/>
      </w:pPr>
      <w:r>
        <w:t>Discussion</w:t>
      </w:r>
    </w:p>
    <w:p w14:paraId="26663291" w14:textId="51204B97" w:rsidR="0098441B" w:rsidRDefault="00317C44" w:rsidP="00E16694">
      <w:r>
        <w:t xml:space="preserve">In this study we have </w:t>
      </w:r>
      <w:r w:rsidR="0098441B">
        <w:t>tested</w:t>
      </w:r>
      <w:r>
        <w:t xml:space="preserve"> the</w:t>
      </w:r>
      <w:r w:rsidR="002B38BB">
        <w:t xml:space="preserve"> metabolic</w:t>
      </w:r>
      <w:r>
        <w:t xml:space="preserve"> effects of </w:t>
      </w:r>
      <w:r w:rsidR="0098441B">
        <w:t xml:space="preserve">a limited </w:t>
      </w:r>
      <w:r>
        <w:t>gestational</w:t>
      </w:r>
      <w:r w:rsidR="0098441B">
        <w:t xml:space="preserve"> exposure to a</w:t>
      </w:r>
      <w:r w:rsidR="002859AC">
        <w:t>n</w:t>
      </w:r>
      <w:r w:rsidR="0098441B">
        <w:t xml:space="preserve"> environmentally persistent free radical associated with particulate matter as a mimic of combustion derived pollutants.  We have noted that these mice grew larger</w:t>
      </w:r>
      <w:r w:rsidR="000C0348">
        <w:t>,</w:t>
      </w:r>
      <w:r w:rsidR="0098441B">
        <w:t xml:space="preserve"> </w:t>
      </w:r>
      <w:r w:rsidR="000C0348">
        <w:t>despite</w:t>
      </w:r>
      <w:r w:rsidR="0098441B">
        <w:t xml:space="preserve"> reductions in food intake, </w:t>
      </w:r>
      <w:r w:rsidR="000C0348">
        <w:t xml:space="preserve">and that this is </w:t>
      </w:r>
      <w:r w:rsidR="000C5C97">
        <w:t>potentially</w:t>
      </w:r>
      <w:r w:rsidR="0098441B">
        <w:t xml:space="preserve"> due to reduced energy expenditure and </w:t>
      </w:r>
      <w:r w:rsidR="00031818">
        <w:t xml:space="preserve">impaired </w:t>
      </w:r>
      <w:r w:rsidR="0098441B">
        <w:t xml:space="preserve">mitochondrial </w:t>
      </w:r>
      <w:r w:rsidR="000C0348">
        <w:t xml:space="preserve">oxidative function </w:t>
      </w:r>
      <w:r w:rsidR="000C5C97">
        <w:t xml:space="preserve">in </w:t>
      </w:r>
      <w:r w:rsidR="00031818">
        <w:t xml:space="preserve">skeletal </w:t>
      </w:r>
      <w:r w:rsidR="000C5C97">
        <w:t>muscle</w:t>
      </w:r>
      <w:r w:rsidR="0098441B">
        <w:t xml:space="preserve">. </w:t>
      </w:r>
    </w:p>
    <w:p w14:paraId="7E00D471" w14:textId="77777777" w:rsidR="0098441B" w:rsidRDefault="0098441B" w:rsidP="00E16694"/>
    <w:p w14:paraId="23DD4AE3" w14:textId="6BAAAB5D" w:rsidR="0098441B" w:rsidRDefault="0098441B" w:rsidP="00E16694">
      <w:r>
        <w:t xml:space="preserve">One potential explanation for the reductions in energy expenditure </w:t>
      </w:r>
      <w:r w:rsidR="00B34FAC">
        <w:t xml:space="preserve">and </w:t>
      </w:r>
      <w:r w:rsidR="00717241">
        <w:t xml:space="preserve">skeletal muscle </w:t>
      </w:r>
      <w:r w:rsidR="00B34FAC">
        <w:t xml:space="preserve">mitochondrial </w:t>
      </w:r>
      <w:r w:rsidR="00717241">
        <w:t xml:space="preserve">function </w:t>
      </w:r>
      <w:r>
        <w:t xml:space="preserve">is </w:t>
      </w:r>
      <w:r w:rsidR="00B06370">
        <w:t>the observed reduction in</w:t>
      </w:r>
      <w:r>
        <w:t xml:space="preserve"> </w:t>
      </w:r>
      <w:r w:rsidR="00B34FAC">
        <w:t>physical</w:t>
      </w:r>
      <w:r>
        <w:t xml:space="preserve"> activity</w:t>
      </w:r>
      <w:r w:rsidR="00B06370">
        <w:t xml:space="preserve"> for MCP230-exposed mice</w:t>
      </w:r>
      <w:r>
        <w:t xml:space="preserve">. </w:t>
      </w:r>
      <w:r w:rsidR="00B06370">
        <w:t>I</w:t>
      </w:r>
      <w:r>
        <w:t xml:space="preserve">t is </w:t>
      </w:r>
      <w:r w:rsidR="00B06370">
        <w:t xml:space="preserve">also </w:t>
      </w:r>
      <w:r>
        <w:t>possible that muscle weakness</w:t>
      </w:r>
      <w:r w:rsidR="00B06370">
        <w:t>,</w:t>
      </w:r>
      <w:r>
        <w:t xml:space="preserve"> due to r</w:t>
      </w:r>
      <w:r w:rsidR="00B16924">
        <w:t xml:space="preserve">educed skeletal muscle oxidative </w:t>
      </w:r>
      <w:r w:rsidR="0097395C">
        <w:t>capacity</w:t>
      </w:r>
      <w:r w:rsidR="004B62B5">
        <w:t xml:space="preserve"> </w:t>
      </w:r>
      <w:r w:rsidR="004B62B5">
        <w:fldChar w:fldCharType="begin" w:fldLock="1"/>
      </w:r>
      <w:r w:rsidR="004B62B5">
        <w:instrText>ADDIN CSL_CITATION { "citationItems" : [ { "id" : "ITEM-1", "itemData" : { "author" : [ { "dropping-particle" : "", "family" : "Zurlo", "given" : "Francesco", "non-dropping-particle" : "", "parse-names" : false, "suffix" : "" }, { "dropping-particle" : "", "family" : "Larson", "given" : "Karen", "non-dropping-particle" : "", "parse-names" : false, "suffix" : "" }, { "dropping-particle" : "", "family" : "Bogardus", "given" : "Clifton", "non-dropping-particle" : "", "parse-names" : false, "suffix" : "" }, { "dropping-particle" : "", "family" : "Ravussin", "given" : "Eric", "non-dropping-particle" : "", "parse-names" : false, "suffix" : "" } ], "container-title" : "Journal of Clinical Investigation", "id" : "ITEM-1", "issue" : "5", "issued" : { "date-parts" : [ [ "1990" ] ] }, "page" : "1423", "title" : "Skeletal muscle metabolism is a major determinant of resting energy expenditure.", "type" : "article-journal", "volume" : "86" }, "uris" : [ "http://www.mendeley.com/documents/?uuid=b6d49d62-c46e-4f30-8b06-81c50d932e16" ] }, { "id" : "ITEM-2", "itemData" : { "DOI" : "10.1093/brain/awg028", "ISSN" : "0006-8950", "PMID" : "12538407", "abstract" : "Impaired skeletal muscle oxidative phosphorylation in patients with severe mitochondrial respiratory chain defects results in disabling exercise intolerance that is associated with a markedly blunted capacity of muscle to increase oxygen utilization in relation to circulatory and ventilatory responses that increase oxygen delivery to muscle during exercise. The range of oxidative limitation and the relationship between the severity of oxidative defects and physiological responses to exercise among a broader spectrum of mitochondrial respiratory chain defects has not been defined. We evaluated oxidative capacity and circulatory and ventilatory responses to maximal cycle exercise in 40 patients with biochemically and/or molecularly defined mitochondrial myopathy (MM) associated with varying levels of exercise tolerance, and compared responses with those in healthy sedentary individuals. In the MM patients, mean peak work capacity (0.88 +/- 0.6 W/kg) and oxygen uptake (VO(2), 16 +/- 8 ml/kg/min) were significantly lower (P &lt; 0.01) than in controls (mean work capacity = 2.2 +/- 0.7 W/kg; VO(2) = 32 +/- 7 ml/kg/min), but the patient range was broad (0.17-3.2 W/kg; 6-47 ml/kg/min). Oxidative capacity in patients was limited by the ability of muscle to extract available oxygen from blood [mean peak systemic arteriovenous O(2) difference (a-vO(2)); patients = 7.7 +/- 3.5, range 2.7-17.6 ml/dl, controls = 15.2 +/- 2.1 ml/dl], as indicated by a linear correlation between peak VO(2) and peak systemic a-vO(2) difference (r(2) = 0.69). In the patients, the increase in cardiac output relative to VO(2) (mean DeltaQ/DeltaVO(2) = 15.0 +/- 13.6; range 3.3-73) and ventilation (mean peak VE/VO(2) = 65 +/- 24; range 21-104) were exaggerated compared with controls (mean DeltaQ/DeltaVO(2) = 5.1 +/- 0.7; VE/VO(2) = 41.2 +/- 7.4, P &lt; 0.01). There was a negative exponential relationship between DeltaQ/DeltaVO(2) and peak systemic a-vO(2) difference (r(2) = 0.92) and between peak VE/VO(2) and systemic a-vO(2) difference (r(2) = 0.53). In patients with heteroplasmic mtDNA mutations, we found an inverse relationship between the proportion of skeletal muscle mutant mtDNA and peak extraction of available oxygen during exercise (r(2) = 0.70). We conclude that the degree of exercise intolerance in MM correlates directly with the severity of impaired muscle oxidative phosphorylation as indicated by the peak capacity for muscle oxygen extraction. Exaggerated circulatory and ventilatory r\u2026", "author" : [ { "dropping-particle" : "", "family" : "Taivassalo", "given" : "Tanja", "non-dropping-particle" : "", "parse-names" : false, "suffix" : "" }, { "dropping-particle" : "", "family" : "Jensen", "given" : "Tina Dysgaard", "non-dropping-particle" : "", "parse-names" : false, "suffix" : "" }, { "dropping-particle" : "", "family" : "Kennaway", "given" : "Nancy", "non-dropping-particle" : "", "parse-names" : false, "suffix" : "" }, { "dropping-particle" : "", "family" : "DiMauro", "given" : "Salvatore", "non-dropping-particle" : "", "parse-names" : false, "suffix" : "" }, { "dropping-particle" : "", "family" : "Vissing", "given" : "John", "non-dropping-particle" : "", "parse-names" : false, "suffix" : "" }, { "dropping-particle" : "", "family" : "Haller", "given" : "Ronald G", "non-dropping-particle" : "", "parse-names" : false, "suffix" : "" } ], "container-title" : "Brain : a journal of neurology", "id" : "ITEM-2", "issue" : "Pt 2", "issued" : { "date-parts" : [ [ "2003", "2", "1" ] ] }, "page" : "413-23", "title" : "The spectrum of exercise tolerance in mitochondrial myopathies: a study of 40 patients.", "type" : "article-journal", "volume" : "126" }, "uris" : [ "http://www.mendeley.com/documents/?uuid=c3aa447e-ed51-4de2-87d2-72ea800e2ec9" ] } ], "mendeley" : { "formattedCitation" : "(27, 28)", "plainTextFormattedCitation" : "(27, 28)" }, "properties" : { "noteIndex" : 0 }, "schema" : "https://github.com/citation-style-language/schema/raw/master/csl-citation.json" }</w:instrText>
      </w:r>
      <w:r w:rsidR="004B62B5">
        <w:fldChar w:fldCharType="separate"/>
      </w:r>
      <w:r w:rsidR="004B62B5" w:rsidRPr="004B62B5">
        <w:rPr>
          <w:noProof/>
        </w:rPr>
        <w:t>(27, 28)</w:t>
      </w:r>
      <w:r w:rsidR="004B62B5">
        <w:fldChar w:fldCharType="end"/>
      </w:r>
      <w:r w:rsidR="004B62B5">
        <w:t xml:space="preserve">, </w:t>
      </w:r>
      <w:r w:rsidR="00B06370">
        <w:t>could</w:t>
      </w:r>
      <w:r w:rsidR="000917CE">
        <w:t xml:space="preserve"> </w:t>
      </w:r>
      <w:r w:rsidR="00B16924">
        <w:t>contribute to</w:t>
      </w:r>
      <w:r w:rsidR="00B06370">
        <w:t xml:space="preserve"> the reduced physical activity of </w:t>
      </w:r>
      <w:r w:rsidR="000917CE">
        <w:t>MCP230-exposed</w:t>
      </w:r>
      <w:r>
        <w:t xml:space="preserve"> animals.</w:t>
      </w:r>
      <w:r w:rsidR="00B34FAC">
        <w:t xml:space="preserve">  </w:t>
      </w:r>
      <w:r w:rsidR="001646BA">
        <w:t>Both of these hypotheses are consistent with cross-sectional studies showing negative associations between pollutant exposure and leisure time physical activity</w:t>
      </w:r>
      <w:r w:rsidR="003725F0">
        <w:t xml:space="preserve"> </w:t>
      </w:r>
      <w:r w:rsidR="001646BA">
        <w:fldChar w:fldCharType="begin" w:fldLock="1"/>
      </w:r>
      <w:r w:rsidR="004B62B5">
        <w:instrText>ADDIN CSL_CITATION { "citationItems" : [ { "id" : "ITEM-1", "itemData" : { "DOI" : "10.1371/journal.pone.0090143", "ISSN" : "1932-6203", "PMID" : "24598907", "abstract" : "BACKGROUND: Physical inactivity, ambient air pollution and obesity are modifiable risk factors for non-communicable diseases, with the first accounting for 10% of premature deaths worldwide. Although community level interventions may target each simultaneously, research on the relationship between these risk factors is lacking. OBJECTIVES: After comparing spatial interpolation methods to determine the best predictor for particulate matter (PM2.5; PM10) and ozone (O3) exposures throughout the U.S., we evaluated the cross-sectional association of ambient air pollution with leisure-time physical inactivity among adults. METHODS: In this cross-sectional study, we assessed leisure-time physical inactivity using individual self-reported survey data from the Centers for Disease Control and Prevention's 2011 Behavioral Risk Factor Surveillance System. These data were combined with county-level U.S. Environmental Protection Agency air pollution exposure estimates using two interpolation methods (Inverse Distance Weighting and Empirical Bayesian Kriging). Finally, we evaluated whether those exposed to higher levels of air pollution were less active by performing logistic regression, adjusting for demographic and behavioral risk factors, and after stratifying by body weight category. RESULTS: With Empirical Bayesian Kriging air pollution values, we estimated a statistically significant 16-35% relative increase in the odds of leisure-time physical inactivity per exposure class increase of PM2.5 in the fully adjusted model across the normal weight respondents (p-value&lt;0.0001). Evidence suggested a relationship between the increasing dose of PM2.5 exposure and the increasing odds of physical inactivity. CONCLUSIONS: In a nationally representative, cross-sectional sample, increased community level air pollution is associated with reduced leisure-time physical activity particularly among the normal weight. Although our design precludes a causal inference, these results provide additional evidence that air pollution should be investigated as an environmental determinant of inactivity.", "author" : [ { "dropping-particle" : "", "family" : "Roberts", "given" : "Jennifer D", "non-dropping-particle" : "", "parse-names" : false, "suffix" : "" }, { "dropping-particle" : "", "family" : "Voss", "given" : "Jameson D", "non-dropping-particle" : "", "parse-names" : false, "suffix" : "" }, { "dropping-particle" : "", "family" : "Knight", "given" : "Brandon", "non-dropping-particle" : "", "parse-names" : false, "suffix" : "" } ], "container-title" : "PloS one", "id" : "ITEM-1", "issue" : "3", "issued" : { "date-parts" : [ [ "2014", "1" ] ] }, "page" : "e90143", "title" : "The association of ambient air pollution and physical inactivity in the United States.", "type" : "article-journal", "volume" : "9" }, "uris" : [ "http://www.mendeley.com/documents/?uuid=7d9877ec-903b-44d5-952e-b1530af1a7b9" ] } ], "mendeley" : { "formattedCitation" : "(29)", "plainTextFormattedCitation" : "(29)", "previouslyFormattedCitation" : "(27)" }, "properties" : { "noteIndex" : 0 }, "schema" : "https://github.com/citation-style-language/schema/raw/master/csl-citation.json" }</w:instrText>
      </w:r>
      <w:r w:rsidR="001646BA">
        <w:fldChar w:fldCharType="separate"/>
      </w:r>
      <w:r w:rsidR="004B62B5" w:rsidRPr="004B62B5">
        <w:rPr>
          <w:noProof/>
        </w:rPr>
        <w:t>(29)</w:t>
      </w:r>
      <w:r w:rsidR="001646BA">
        <w:fldChar w:fldCharType="end"/>
      </w:r>
      <w:r w:rsidR="003725F0">
        <w:t xml:space="preserve"> and exercise performance </w:t>
      </w:r>
      <w:r w:rsidR="003725F0">
        <w:fldChar w:fldCharType="begin" w:fldLock="1"/>
      </w:r>
      <w:r w:rsidR="004B62B5">
        <w:instrText>ADDIN CSL_CITATION { "citationItems" : [ { "id" : "ITEM-1", "itemData" : { "DOI" : "10.1249/MSS.0b013e3181b84a85", "ISSN" : "1530-0315", "PMID" : "19952812", "abstract" : "UNLABELLED: Before the 2008 Olympic Games, there was concern that air pollution in Beijing would affect the performance of marathon runners. Air pollutant concentrations during marathon running and their effect on performance have not been reported. Evidence suggests that the lung function of females may be more susceptible than that of males to air pollution, but it is uncertain if this translates to decreased marathon performance. PURPOSE: The purposes of this study were to 1) describe ambient air pollutant concentrations present during major US marathons, 2) quantify performance decrements associated with air pollutants, and 3) examine potential sex difference in performance related to air pollutants. METHODS: Marathon race results, weather data, and air pollutant concentrations were obtained for seven marathons for 8-28 yr. The top three male and female finishing times were compared with the course record and contrasted with air pollutant levels and wet bulb globe temperature (WBGT). A WBGT-adjusted performance decrement was calculated, and regression analysis was used to quantify performance decrements associated with pollutants. RESULTS: The air pollutant concentrations of carbon monoxide, ozone, particulate matter smaller than 10 microm (PM(10)), PM(2.5), nitrogen dioxide, and sulfur dioxide ranged from 0 to 5.9 ppm, from 0 to 0.07 ppm, from 4.5 to 41.0 microg x m(-3), from 2.8 to 42.0 microg x m(-3), from 0 to 0.06 ppm, and from 0 to 0.05 ppm, respectively. After adjusting for WBGT-associated performance decrements, only PM(10) was associated with decrements in performance of women. For every 10-microg x m(-3) increase in PM(10), performance can be expected to decrease by 1.4%. CONCLUSIONS: The concentrations of air pollution present during marathons rarely exceed health-based national standards and levels known to affect lung function in laboratory situations. Regardless, PM(10) was significantly correlated with performance of women marathon runners.", "author" : [ { "dropping-particle" : "", "family" : "Marr", "given" : "Linsey C", "non-dropping-particle" : "", "parse-names" : false, "suffix" : "" }, { "dropping-particle" : "", "family" : "Ely", "given" : "Matthew R", "non-dropping-particle" : "", "parse-names" : false, "suffix" : "" } ], "container-title" : "Medicine and science in sports and exercise", "id" : "ITEM-1", "issue" : "3", "issued" : { "date-parts" : [ [ "2010", "3" ] ] }, "page" : "585-91", "title" : "Effect of air pollution on marathon running performance.", "type" : "article-journal", "volume" : "42" }, "uris" : [ "http://www.mendeley.com/documents/?uuid=b913fb62-eb1b-477b-8c1e-13b23ce8906f" ] }, { "id" : "ITEM-2", "itemData" : { "DOI" : "10.3109/08958378.2011.604106", "ISSN" : "1091-7691", "PMID" : "21867399", "abstract" : "CONTEXT: Internal combustion engines are a major source of particulate matter (PM) which has been shown to result in vasoconstriction, yet no present study to our knowledge has investigated the effect of exhaust emissions on both exercise performance and the vasculature. OBJECTIVE: To examine the effect of freshly generated whole exhaust on exercise performance, pulmonary arterial pressure (PP), and flow-mediated vasodilation (FMD) of the brachial artery. MATERIALS AND METHODS: Sixteen male, collegiate athletes (age: 20.8\u00b11.28 years) were randomly assigned to submaximal exercise for 20 min followed by a 6 min maximal work accumulation exercise test in either high PM (HPM) or low PM (LPM) conditions on two consecutive days. After a 7-day washout period, subjects completed identical exercise trials in the alternate condition. HPM conditions were generated from a 4-cycle gasoline engine. The participants' PP and FMD were assessed before and after each exercise trial by tricuspid regurgitant velocity and brachial artery imaging, respectively. RESULTS: Total work (LPM: 108.0\u00b114.8 kJ; HPM: 104.9\u00b115.2 kJ, p=0.019) and FMD (LPM: 8.17\u00b16.41%; HPM: 6.59\u00b12.53%; p=0.034) significantly decreased in HPM while PP was significantly increased (LPM: 16.9\u00b11.13 mmHg; HPM: 17.9\u00b11.70 mmHg; p=0.004). A significant correlation was identified between the change in exercise performance and the change in FMD (r=0.494; p=0.026) after the first HPM trial. CONCLUSION: Exercise performance declined in HPM conditions in part due to impaired vasodilation in the peripheral vasculature.", "author" : [ { "dropping-particle" : "", "family" : "Cutrufello", "given" : "Paul T", "non-dropping-particle" : "", "parse-names" : false, "suffix" : "" }, { "dropping-particle" : "", "family" : "Rundell", "given" : "Kenneth W", "non-dropping-particle" : "", "parse-names" : false, "suffix" : "" }, { "dropping-particle" : "", "family" : "Smoliga", "given" : "James M", "non-dropping-particle" : "", "parse-names" : false, "suffix" : "" }, { "dropping-particle" : "", "family" : "Stylianides", "given" : "Georgios A", "non-dropping-particle" : "", "parse-names" : false, "suffix" : "" } ], "container-title" : "Inhalation toxicology", "id" : "ITEM-2", "issue" : "11", "issued" : { "date-parts" : [ [ "2011", "9" ] ] }, "page" : "658-67", "title" : "Inhaled whole exhaust and its effect on exercise performance and vascular function.", "type" : "article-journal", "volume" : "23" }, "uris" : [ "http://www.mendeley.com/documents/?uuid=0d1862aa-82a5-42c4-af3e-ac181d779f04" ] }, { "id" : "ITEM-3", "itemData" : { "DOI" : "10.1519/JSC.0b013e31815ef98b", "ISSN" : "1533-4287", "PMID" : "18296948", "abstract" : "The purpose of this study was to investigate effects of PM1 (particulate matter with aerodynamic diameter 0.02-2 microm) inhalation on exercise performance in healthy subjects. Inhalation of internal combustion-derived PM is associated with adverse effects to the pulmonary and muscle microcirculation. No data are available concerning air pollution and exercise performance. Fifteen healthy college-aged males performed 4 maximal effort 6-min cycle ergometer trials while breathing low or high PM1 to achieve maximal work accumulation (kJ). Low PM1 inhalation trials 1 and 2 were separated by 3 days; then after a 7 day washout, trials 3 and 4 (separated by 3 days) were done while breathing high PM1 generated from a gasoline engine; CO was kept below 10 ppm. Lung function was done after trial 1 to verify nonasthmatic status. Lung function was normal before and after low PM1 exercise. PM1 number counts were not different between high PM1 trials (336,730 +/- 149,206 and 396,200 +/- 82,564 for trial 3 and 4, respectively) and were different from low PM1 trial number counts (2,260 +/- 500) (P &lt; 0.0001). Mean heart rate was not different between trials (189 +/- 6.0, 188 +/- 7.6, 188 +/- 7.6, 187 +/- 7.4, for low and high PM1 trials; respectively). Work accumulated was not different between low PM1 trials (96.1 +/- 9.38 versus 96.6 +/- 10.83 kJ) and the first high PM1 trial (trial 3, 96.8 +/- 10.65 kJ). Work accumulated in the second high PM1 trial 4, 91.3 +/- 10.04 kJ) was less than in low PM1 trials 1 and 2, and high PM1 trial 3 (P = 0.004, P = 0.003, P = 0.0008; respectively). Acute inhalation of high (PM1) typical of many urban environments could impair exercise performance.", "author" : [ { "dropping-particle" : "", "family" : "Rundell", "given" : "Kenneth W", "non-dropping-particle" : "", "parse-names" : false, "suffix" : "" }, { "dropping-particle" : "", "family" : "Caviston", "given" : "Renee", "non-dropping-particle" : "", "parse-names" : false, "suffix" : "" } ], "container-title" : "Journal of strength and conditioning research / National Strength &amp; Conditioning Association", "id" : "ITEM-3", "issue" : "1", "issued" : { "date-parts" : [ [ "2008", "1" ] ] }, "page" : "2-5", "title" : "Ultrafine and fine particulate matter inhalation decreases exercise performance in healthy subjects.", "type" : "article-journal", "volume" : "22" }, "uris" : [ "http://www.mendeley.com/documents/?uuid=3c92a1ea-5e6d-4812-82c5-f91cf8e9ae90" ] } ], "mendeley" : { "formattedCitation" : "(30\u201332)", "plainTextFormattedCitation" : "(30\u201332)", "previouslyFormattedCitation" : "(28\u201330)" }, "properties" : { "noteIndex" : 0 }, "schema" : "https://github.com/citation-style-language/schema/raw/master/csl-citation.json" }</w:instrText>
      </w:r>
      <w:r w:rsidR="003725F0">
        <w:fldChar w:fldCharType="separate"/>
      </w:r>
      <w:r w:rsidR="004B62B5" w:rsidRPr="004B62B5">
        <w:rPr>
          <w:noProof/>
        </w:rPr>
        <w:t>(30–32)</w:t>
      </w:r>
      <w:r w:rsidR="003725F0">
        <w:fldChar w:fldCharType="end"/>
      </w:r>
      <w:r w:rsidR="001646BA">
        <w:t xml:space="preserve">.  </w:t>
      </w:r>
      <w:r w:rsidR="00B34FAC">
        <w:t xml:space="preserve">Our current data are unable to determine </w:t>
      </w:r>
      <w:r w:rsidR="003725F0">
        <w:t>whether reduced mitochondrial function</w:t>
      </w:r>
      <w:r w:rsidR="00B34FAC">
        <w:t xml:space="preserve"> is the primary cause</w:t>
      </w:r>
      <w:r w:rsidR="004A562E">
        <w:t xml:space="preserve"> of these reductions in energy e</w:t>
      </w:r>
      <w:r w:rsidR="006717EC">
        <w:t>x</w:t>
      </w:r>
      <w:r w:rsidR="004A562E">
        <w:t>penditure</w:t>
      </w:r>
      <w:r w:rsidR="003725F0">
        <w:t xml:space="preserve"> or </w:t>
      </w:r>
      <w:r w:rsidR="00F35846">
        <w:t xml:space="preserve">if this observation </w:t>
      </w:r>
      <w:r w:rsidR="003725F0">
        <w:t>is secondary to</w:t>
      </w:r>
      <w:r w:rsidR="004A562E">
        <w:t xml:space="preserve"> </w:t>
      </w:r>
      <w:r w:rsidR="00F35846">
        <w:t xml:space="preserve">a </w:t>
      </w:r>
      <w:r w:rsidR="004A562E">
        <w:t xml:space="preserve">reduced propensity </w:t>
      </w:r>
      <w:r w:rsidR="008147B8">
        <w:t>for</w:t>
      </w:r>
      <w:r w:rsidR="004A562E">
        <w:t xml:space="preserve"> physical</w:t>
      </w:r>
      <w:r w:rsidR="00F35846">
        <w:t xml:space="preserve"> activity</w:t>
      </w:r>
      <w:r w:rsidR="004A562E">
        <w:t>.</w:t>
      </w:r>
      <w:r w:rsidR="00B34FAC">
        <w:t xml:space="preserve"> </w:t>
      </w:r>
      <w:r w:rsidR="00B02E5E">
        <w:t>However, our observations of</w:t>
      </w:r>
      <w:r w:rsidR="00B34FAC">
        <w:t xml:space="preserve"> reductions in mitochondrial </w:t>
      </w:r>
      <w:r w:rsidR="008147B8">
        <w:t>DNA</w:t>
      </w:r>
      <w:r w:rsidR="00B34FAC">
        <w:t>,</w:t>
      </w:r>
      <w:r w:rsidR="008147B8">
        <w:t xml:space="preserve"> citrate synthase activity and mRNA transcripts su</w:t>
      </w:r>
      <w:r w:rsidR="00B34FAC">
        <w:t xml:space="preserve">pport the possibility that </w:t>
      </w:r>
      <w:r w:rsidR="000C2AA4">
        <w:t xml:space="preserve">gestational treatment with EPFRs may </w:t>
      </w:r>
      <w:r w:rsidR="004A562E">
        <w:t>exert their effects on energy expenditure by directly affecting</w:t>
      </w:r>
      <w:r w:rsidR="008147B8">
        <w:t xml:space="preserve"> skeletal</w:t>
      </w:r>
      <w:r w:rsidR="004A562E">
        <w:t xml:space="preserve"> muscle mitochondrial </w:t>
      </w:r>
      <w:r w:rsidR="008147B8">
        <w:t xml:space="preserve">oxidative </w:t>
      </w:r>
      <w:r w:rsidR="00B903AF">
        <w:t>function</w:t>
      </w:r>
      <w:r w:rsidR="000C2AA4">
        <w:t>.</w:t>
      </w:r>
      <w:r w:rsidR="007F0C01">
        <w:t xml:space="preserve"> </w:t>
      </w:r>
    </w:p>
    <w:p w14:paraId="28578A63" w14:textId="77777777" w:rsidR="000C2AA4" w:rsidRDefault="000C2AA4" w:rsidP="00E16694"/>
    <w:p w14:paraId="4F5990FB" w14:textId="51C26660" w:rsidR="000C2AA4" w:rsidRDefault="000C2AA4" w:rsidP="00E16694">
      <w:r>
        <w:t xml:space="preserve">The mechanisms by which gestational EPFR treatment may result in reduced mitochondrial </w:t>
      </w:r>
      <w:r w:rsidR="007F0C01">
        <w:t>function</w:t>
      </w:r>
      <w:r>
        <w:t xml:space="preserve"> are not yet clear.</w:t>
      </w:r>
      <w:r w:rsidR="00CC46E5">
        <w:t xml:space="preserve">  These data are consistent with chronic models of PM</w:t>
      </w:r>
      <w:r w:rsidR="00CC46E5">
        <w:rPr>
          <w:vertAlign w:val="subscript"/>
        </w:rPr>
        <w:t>2.5</w:t>
      </w:r>
      <w:r w:rsidR="00CC46E5">
        <w:t xml:space="preserve"> treatment, which </w:t>
      </w:r>
      <w:r w:rsidR="00146ECC">
        <w:t>show reduced</w:t>
      </w:r>
      <w:r w:rsidR="00CC46E5">
        <w:t xml:space="preserve"> mitochondrial numbers</w:t>
      </w:r>
      <w:r w:rsidR="00B761A4">
        <w:t xml:space="preserve"> in white adipose tissue</w:t>
      </w:r>
      <w:r w:rsidR="00CC46E5">
        <w:t xml:space="preserve"> </w:t>
      </w:r>
      <w:r w:rsidR="00CC46E5">
        <w:fldChar w:fldCharType="begin" w:fldLock="1"/>
      </w:r>
      <w:r w:rsidR="009543EA">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"(7, 8)", "plainTextFormattedCitation" : "(7, 8)", "previouslyFormattedCitation" : "(7, 8)" }, "properties" : { "noteIndex" : 0 }, "schema" : "https://github.com/citation-style-language/schema/raw/master/csl-citation.json" }</w:instrText>
      </w:r>
      <w:r w:rsidR="00CC46E5">
        <w:fldChar w:fldCharType="separate"/>
      </w:r>
      <w:r w:rsidR="00362DC5" w:rsidRPr="00362DC5">
        <w:rPr>
          <w:noProof/>
        </w:rPr>
        <w:t>(7, 8)</w:t>
      </w:r>
      <w:r w:rsidR="00CC46E5">
        <w:fldChar w:fldCharType="end"/>
      </w:r>
      <w:r w:rsidR="005E31F8">
        <w:t>.  Analyses of placental tissues from mothers showed a strong correlation between late-gestational PM</w:t>
      </w:r>
      <w:r w:rsidR="005E31F8">
        <w:rPr>
          <w:vertAlign w:val="subscript"/>
        </w:rPr>
        <w:t>10</w:t>
      </w:r>
      <w:r w:rsidR="005E31F8">
        <w:rPr>
          <w:vertAlign w:val="superscript"/>
        </w:rPr>
        <w:t xml:space="preserve"> </w:t>
      </w:r>
      <w:r w:rsidR="005E31F8">
        <w:t xml:space="preserve">exposure and placental mitochondrial DNA content </w:t>
      </w:r>
      <w:r w:rsidR="005E31F8">
        <w:fldChar w:fldCharType="begin" w:fldLock="1"/>
      </w:r>
      <w:r w:rsidR="004B62B5">
        <w:instrText>ADDIN CSL_CITATION { "citationItems" : [ { "id" : "ITEM-1",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"ITEM-1", "issue" : "9", "issued" : { "date-parts" : [ [ "2012", "9" ] ] }, "page" : "1346-52", "title" : "Placental mitochondrial DNA content and particulate air pollution during in utero life.", "type" : "article-journal", "volume" : "120" }, "uris" : [ "http://www.mendeley.com/documents/?uuid=92a7cdca-3ee1-4131-9099-612cd17681b4" ] } ], "mendeley" : { "formattedCitation" : "(33)", "plainTextFormattedCitation" : "(33)", "previouslyFormattedCitation" : "(31)" }, "properties" : { "noteIndex" : 0 }, "schema" : "https://github.com/citation-style-language/schema/raw/master/csl-citation.json" }</w:instrText>
      </w:r>
      <w:r w:rsidR="005E31F8">
        <w:fldChar w:fldCharType="separate"/>
      </w:r>
      <w:r w:rsidR="004B62B5" w:rsidRPr="004B62B5">
        <w:rPr>
          <w:noProof/>
        </w:rPr>
        <w:t>(33)</w:t>
      </w:r>
      <w:r w:rsidR="005E31F8">
        <w:fldChar w:fldCharType="end"/>
      </w:r>
      <w:r w:rsidR="005E31F8">
        <w:t>.  Given the elevated sensitivity of mitochondria to free radicals and oxidative stress, it is reasonable to hypothesize that during development, EPFR-mediated mitochondrial damage may result in chronic de</w:t>
      </w:r>
      <w:r w:rsidR="0012477B">
        <w:t>creases</w:t>
      </w:r>
      <w:r w:rsidR="005E31F8">
        <w:t xml:space="preserve"> in mitochondrial </w:t>
      </w:r>
      <w:r w:rsidR="0012477B">
        <w:t xml:space="preserve">oxidative </w:t>
      </w:r>
      <w:r w:rsidR="005E31F8">
        <w:t>function</w:t>
      </w:r>
      <w:r w:rsidR="00223477">
        <w:t>, either directly</w:t>
      </w:r>
      <w:r w:rsidR="0012477B">
        <w:t>,</w:t>
      </w:r>
      <w:r w:rsidR="00223477">
        <w:t xml:space="preserve"> via reactive oxygen species, or indirectly</w:t>
      </w:r>
      <w:r w:rsidR="0012477B">
        <w:t>,</w:t>
      </w:r>
      <w:r w:rsidR="00223477">
        <w:t xml:space="preserve"> via </w:t>
      </w:r>
      <w:r w:rsidR="007A42DE">
        <w:t>inflammatory processes</w:t>
      </w:r>
      <w:r w:rsidR="005E31F8">
        <w:t>.</w:t>
      </w:r>
      <w:r w:rsidR="0087161F">
        <w:t xml:space="preserve"> Based on our current protocol, mice are treated with EPFRs after inheritance of maternal mitochondria, indicating that this mitochondrial </w:t>
      </w:r>
      <w:r w:rsidR="0087161F">
        <w:lastRenderedPageBreak/>
        <w:t xml:space="preserve">damage occurs </w:t>
      </w:r>
      <w:r w:rsidR="0087161F">
        <w:rPr>
          <w:i/>
        </w:rPr>
        <w:t>in situ</w:t>
      </w:r>
      <w:r w:rsidR="0087161F">
        <w:t xml:space="preserve"> in the progeny.</w:t>
      </w:r>
      <w:r w:rsidR="000C5C97">
        <w:t xml:space="preserve">  </w:t>
      </w:r>
      <w:r w:rsidR="00FC766B">
        <w:t>In contrast to previous studies that</w:t>
      </w:r>
      <w:r w:rsidR="000C5C97">
        <w:t xml:space="preserve"> us</w:t>
      </w:r>
      <w:r w:rsidR="00FC766B">
        <w:t>e</w:t>
      </w:r>
      <w:r w:rsidR="000C5C97">
        <w:t xml:space="preserve"> chronic pollution models </w:t>
      </w:r>
      <w:r w:rsidR="000C5C97">
        <w:fldChar w:fldCharType="begin" w:fldLock="1"/>
      </w:r>
      <w:r w:rsidR="004B62B5">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"10.1289/ehp.10565", "ISSN" : "0091-6765", "PMID" : "18470293", "abstract" : "BACKGROUND: Human data linking inflammation with long-term particulate matter (PM) exposure are still lacking. Emerging evidence suggests that people with metabolic syndrome (MS) may be a more susceptible population.\n\nOBJECTIVES: Our goal was to examine potential inflammatory responses associated with long-term PM exposure and MS-dependent susceptibility.\n\nMETHODS: We conducted secondary analyses of white blood cell (WBC) count and MS data from The Third National Health and Nutrition Examination Survey and PM10 (PM with aerodynamic diameter &lt; 10 microm) data from the U.S. Environmental Protection Agency Aerometric Information Retrieval System. Estimated 1-year PM10 exposures were aggregated at the centroid of each residential census-block group, using distance-weighted averages from all monitors in the residing and adjoining counties. We restricted our analyses to adults (20-89 years of age) with normal WBC (4,000-11,000 x 10(6)/L), no existing cardiovascular disease, complete PM10 and MS data, and living in current residences &gt; 1 year (n = 2,978; age 48.5 +/- 17.8 years). Mixed-effects models were constructed to account for autocorrelation and potential confounders.\n\nRESULTS: After adjustment for demographics, socioeconomic factors, lifestyles, residential characteristics, and MS, we observed a statistically significant association between WBC count and estimated local PM10 levels (p = 0.035). Participants from the least polluted areas (1-year PM10 &lt; 1st quartile cutoff: 27.8 mug/m3) had lower WBC counts than the others (difference = 145 x 10(6)/L; 95% confidence interval, 10-281). We also noted a graded association between PM10 and WBC across subpopulations with increasing MS components, with 91 x 10(6)/L difference in WBC for those with no MS versus 214, 338, and 461 x 10(6)/L for those with 3, 4, and 5 metabolic abnormalities (trend-test p = 0.15).\n\nCONCLUSIONS: Our study revealed a positive association between long-term PM exposure and hematological markers of inflammation and supported the hypothesized MS-dependent susceptibility.", "author" : [ { "dropping-particle" : "", "family" : "Chen", "given" : "Jiu-Chiuan", "non-dropping-particle" : "", "parse-names" : false, "suffix" : "" }, { "dropping-particle" : "", "family" : "Schwartz", "given" : "Joel", "non-dropping-particle" : "", "parse-names" : false, "suffix" : "" } ], "container-title" : "Environmental health perspectives", "id" : "ITEM-2", "issue" : "5", "issued" : { "date-parts" : [ [ "2008", "5" ] ] }, "page" : "612-7", "title" : "Metabolic syndrome and inflammatory responses to long-term particulate air pollutants.", "type" : "article-journal", "volume" : "116" }, "uris" : [ "http://www.mendeley.com/documents/?uuid=24dac40c-f922-43b8-9966-817475993597"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"ITEM-5",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"ITEM-5", "issue" : "1", "issued" : { "date-parts" : [ [ "2012", "1" ] ] }, "page" : "92-8", "title" : "Diabetes incidence and long-term exposure to air pollution: a cohort study.", "type" : "article-journal", "volume" : "35" }, "uris" : [ "http://www.mendeley.com/documents/?uuid=32b97284-2791-42d4-b039-c411f329a2b5" ] } ], "mendeley" : { "formattedCitation" : "(1, 3, 4, 6, 34)", "plainTextFormattedCitation" : "(1, 3, 4, 6, 34)", "previouslyFormattedCitation" : "(1, 3, 4, 6, 32)" }, "properties" : { "noteIndex" : 0 }, "schema" : "https://github.com/citation-style-language/schema/raw/master/csl-citation.json" }</w:instrText>
      </w:r>
      <w:r w:rsidR="000C5C97">
        <w:fldChar w:fldCharType="separate"/>
      </w:r>
      <w:r w:rsidR="004B62B5" w:rsidRPr="004B62B5">
        <w:rPr>
          <w:noProof/>
        </w:rPr>
        <w:t>(1, 3, 4, 6, 34)</w:t>
      </w:r>
      <w:r w:rsidR="000C5C97">
        <w:fldChar w:fldCharType="end"/>
      </w:r>
      <w:r w:rsidR="000C5C97">
        <w:t>, we did not observe any differe</w:t>
      </w:r>
      <w:r w:rsidR="00C15BC9">
        <w:t>nces in insulin sensitivity</w:t>
      </w:r>
      <w:r w:rsidR="000C5C97">
        <w:t xml:space="preserve"> (via glucose/insulin levels), indicating that the effects of gestational particulate exposure do not mimic the effects of chronic exposure, and the risk profiles </w:t>
      </w:r>
      <w:r w:rsidR="00EE799C">
        <w:t>and mechanisms associated with these exposures may differ</w:t>
      </w:r>
      <w:r w:rsidR="000C5C97">
        <w:t>.</w:t>
      </w:r>
    </w:p>
    <w:p w14:paraId="4670B6FE" w14:textId="77777777" w:rsidR="00B14B91" w:rsidRDefault="00B14B91" w:rsidP="00B14B91"/>
    <w:p w14:paraId="6D2917B2" w14:textId="5091BC8A" w:rsidR="00B14B91" w:rsidRDefault="009E399D" w:rsidP="00B14B91">
      <w:r>
        <w:t xml:space="preserve">Another potential contributor to the reduced energy expenditure we observed </w:t>
      </w:r>
      <w:r w:rsidR="00920265">
        <w:t xml:space="preserve">in MCP230-exposed mice </w:t>
      </w:r>
      <w:r>
        <w:t xml:space="preserve">is ghrelin. </w:t>
      </w:r>
      <w:r w:rsidR="00B14B91">
        <w:t xml:space="preserve">Ghrelin is an </w:t>
      </w:r>
      <w:proofErr w:type="spellStart"/>
      <w:r w:rsidR="00B14B91">
        <w:t>orexogenic</w:t>
      </w:r>
      <w:proofErr w:type="spellEnd"/>
      <w:r w:rsidR="00B14B91">
        <w:t xml:space="preserve"> peptide hormone that exerts its actions primarily through hypothalamic signaling </w:t>
      </w:r>
      <w:r w:rsidR="009D2C30">
        <w:fldChar w:fldCharType="begin" w:fldLock="1"/>
      </w:r>
      <w:r w:rsidR="004B62B5">
        <w:instrText>ADDIN CSL_CITATION { "citationItems" : [ { "id" : "ITEM-1", "itemData" : { "DOI" : "10.1016/j.mce.2015.08.022", "ISSN" : "0303-7207", "author" : [ { "dropping-particle" : "", "family" : "Wilson", "given" : "Jenny L", "non-dropping-particle" : "", "parse-names" : false, "suffix" : "" }, { "dropping-particle" : "", "family" : "Enriori", "given" : "Pablo J", "non-dropping-particle" : "", "parse-names" : false, "suffix" : "" } ], "container-title" : "Molecular and Cellular Endocrinology", "id" : "ITEM-1", "issued" : { "date-parts" : [ [ "2015" ] ] }, "publisher" : "Elsevier Ireland Ltd", "title" : "Molecular and Cellular Endocrinology A talk between fat tissue , gut , pancreas and brain to control body weight", "type" : "article-journal" }, "uris" : [ "http://www.mendeley.com/documents/?uuid=751d0220-6d27-4723-9763-15922638275a" ] } ], "mendeley" : { "formattedCitation" : "(35)", "plainTextFormattedCitation" : "(35)", "previouslyFormattedCitation" : "(33)" }, "properties" : { "noteIndex" : 0 }, "schema" : "https://github.com/citation-style-language/schema/raw/master/csl-citation.json" }</w:instrText>
      </w:r>
      <w:r w:rsidR="009D2C30">
        <w:fldChar w:fldCharType="separate"/>
      </w:r>
      <w:r w:rsidR="004B62B5" w:rsidRPr="004B62B5">
        <w:rPr>
          <w:noProof/>
        </w:rPr>
        <w:t>(35)</w:t>
      </w:r>
      <w:r w:rsidR="009D2C30">
        <w:fldChar w:fldCharType="end"/>
      </w:r>
      <w:r w:rsidR="009D2C30">
        <w:t>.</w:t>
      </w:r>
      <w:r w:rsidR="00B14B91">
        <w:t xml:space="preserve"> Ghrelin concentrations are typically elevated with fasting (See Figure 2G; </w:t>
      </w:r>
      <w:r w:rsidR="00B14B91">
        <w:fldChar w:fldCharType="begin" w:fldLock="1"/>
      </w:r>
      <w:r w:rsidR="004B62B5">
        <w:instrText>ADDIN CSL_CITATION { "citationItems" : [ { "id" : "ITEM-1",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"Matthias H", "non-dropping-particle" : "", "parse-names" : false, "suffix" : "" }, { "dropping-particle" : "", "family" : "Smiley", "given" : "D L", "non-dropping-particle" : "", "parse-names" : false, "suffix" : "" }, { "dropping-particle" : "", "family" : "Heiman", "given" : "M L", "non-dropping-particle" : "", "parse-names" : false, "suffix" : "" } ], "container-title" : "Nature", "id" : "ITEM-1", "issue" : "6806", "issued" : { "date-parts" : [ [ "2000", "10", "19" ] ] }, "page" : "908-13", "title" : "Ghrelin induces adiposity in rodents.", "type" : "article-journal", "volume" : "407" }, "uris" : [ "http://www.mendeley.com/documents/?uuid=c7c479d3-a8a7-4cdd-8b7c-47f5fd4496f5" ] }, { "id" : "ITEM-2", "itemData" : { "DOI" : "10.1006/bbrc.2001.4518", "ISSN" : "0006-291X", "PMID" : "11243865", "abstract" : "Ghrelin is a novel gut-brain peptide that binds to the growth hormone secretagogue receptor (GHS-R), thereby functioning in the regulation of growth hormone (GH) release and food intake. Ghrelin-producing cells are most abundant in the oxyntic glands of the stomach. The regulatory mechanism that governs the biosynthesis and secretion of ghrelin has not been clarified. We report that ghrelin mRNA expression in the gastric fundus was increased, but that ghrelin peptide content decreased after a 48-h fast. Both values returned to control levels after refeeding. The ghrelin plasma concentration in the gastric vein and systemic venous blood increased after 24- and 48-h fasts. Furthermore, des-octanoylated ghrelin and n-octanoylated ghrelin were found in rat stomach, with the ratio of des-octanoylated ghrelin to n-octanoylated ghrelin markedly increased after fasting. The ghrelin mRNA level in the stomach also increased after administration of insulin and leptin. Conversely, db/db mice, which are deficient in the leptin receptor, had lower ghrelin mRNA levels than control mice. These findings suggest that this novel gastrointestinal hormone plays a role in the regulation of energy balance.", "author" : [ { "dropping-particle" : "", "family" : "Toshinai", "given" : "K", "non-dropping-particle" : "", "parse-names" : false, "suffix" : "" }, { "dropping-particle" : "", "family" : "Mondal", "given" : "M S", "non-dropping-particle" : "", "parse-names" : false, "suffix" : "" }, { "dropping-particle" : "", "family" : "Nakazato", "given" : "M", "non-dropping-particle" : "", "parse-names" : false, "suffix" : "" }, { "dropping-particle" : "", "family" : "Date", "given" : "Y", "non-dropping-particle" : "", "parse-names" : false, "suffix" : "" }, { "dropping-particle" : "", "family" : "Murakami", "given" : "N", "non-dropping-particle" : "", "parse-names" : false, "suffix" : "" }, { "dropping-particle" : "", "family" : "Kojima", "given" : "M", "non-dropping-particle" : "", "parse-names" : false, "suffix" : "" }, { "dropping-particle" : "", "family" : "Kangawa", "given" : "K", "non-dropping-particle" : "", "parse-names" : false, "suffix" : "" }, { "dropping-particle" : "", "family" : "Matsukura", "given" : "S", "non-dropping-particle" : "", "parse-names" : false, "suffix" : "" } ], "container-title" : "Biochemical and biophysical research communications", "id" : "ITEM-2", "issue" : "5", "issued" : { "date-parts" : [ [ "2001", "3" ] ] }, "page" : "1220-5", "title" : "Upregulation of Ghrelin expression in the stomach upon fasting, insulin-induced hypoglycemia, and leptin administration.", "type" : "article-journal", "volume" : "281" }, "uris" : [ "http://www.mendeley.com/documents/?uuid=003882e7-3697-495f-9d87-845915306a1f" ] } ], "mendeley" : { "formattedCitation" : "(36, 37)", "plainTextFormattedCitation" : "(36, 37)", "previouslyFormattedCitation" : "(34, 35)" }, "properties" : { "noteIndex" : 0 }, "schema" : "https://github.com/citation-style-language/schema/raw/master/csl-citation.json" }</w:instrText>
      </w:r>
      <w:r w:rsidR="00B14B91">
        <w:fldChar w:fldCharType="separate"/>
      </w:r>
      <w:r w:rsidR="004B62B5" w:rsidRPr="004B62B5">
        <w:rPr>
          <w:noProof/>
        </w:rPr>
        <w:t>(36, 37)</w:t>
      </w:r>
      <w:r w:rsidR="00B14B91">
        <w:fldChar w:fldCharType="end"/>
      </w:r>
      <w:r w:rsidR="00B14B91">
        <w:t>), acting to increase hunger signals and down-regulate energy expenditure pathways</w:t>
      </w:r>
      <w:r w:rsidR="009D2C30">
        <w:t xml:space="preserve"> </w:t>
      </w:r>
      <w:r w:rsidR="009D2C30">
        <w:fldChar w:fldCharType="begin" w:fldLock="1"/>
      </w:r>
      <w:r w:rsidR="004B62B5">
        <w:instrText>ADDIN CSL_CITATION { "citationItems" : [ { "id" : "ITEM-1", "itemData" : { "DOI" : "10.1016/j.mce.2015.08.022", "ISSN" : "0303-7207", "author" : [ { "dropping-particle" : "", "family" : "Wilson", "given" : "Jenny L", "non-dropping-particle" : "", "parse-names" : false, "suffix" : "" }, { "dropping-particle" : "", "family" : "Enriori", "given" : "Pablo J", "non-dropping-particle" : "", "parse-names" : false, "suffix" : "" } ], "container-title" : "Molecular and Cellular Endocrinology", "id" : "ITEM-1", "issued" : { "date-parts" : [ [ "2015" ] ] }, "publisher" : "Elsevier Ireland Ltd", "title" : "Molecular and Cellular Endocrinology A talk between fat tissue , gut , pancreas and brain to control body weight", "type" : "article-journal" }, "uris" : [ "http://www.mendeley.com/documents/?uuid=751d0220-6d27-4723-9763-15922638275a" ] }, { "id" : "ITEM-2", "itemData" : { "DOI" : "10.1016/S0896-6273(03)00063-1", "ISBN" : "0896-6273 (Print)\\r0896-6273 (Linking)", "ISSN" : "08966273", "PMID" : "12597862", "abstract" : "The gastrointestinal peptide hormone ghrelin stimulates appetite in rodents and humans via hypothalamic actions. We discovered expression of ghrelin in a previously uncharacterized group of neurons adjacent to the third ventricle between the dorsal, ventral, paraventricular, and arcuate hypothalamic nuclei. These neurons send efferents onto key hypothalamic circuits, including those producing neuropeptide Y (NPY), Agouti-related protein (AGRP), proopiomelanocortin (POMC) products, and corticotropin-releasing hormone (CRH). Within the hypothalamus, ghrelin bound mostly on presynaptic terminals of NPY neurons. Using electrophysiological recordings, we found that ghrelin stimulated the activity of arcuate NPY neurons and mimicked the effect of NPY in the paraventricular nucleus of the hypothalamus (PVH). We propose that at these sites, release of ghrelin may stimulate the release of orexigenic peptides and neurotransmitters, thus representing a novel regulatory circuit controlling energy homeostasis.", "author" : [ { "dropping-particle" : "", "family" : "Cowley", "given" : "Michael a.", "non-dropping-particle" : "", "parse-names" : false, "suffix" : "" }, { "dropping-particle" : "", "family" : "Smith", "given" : "Roy G.", "non-dropping-particle" : "", "parse-names" : false, "suffix" : "" }, { "dropping-particle" : "", "family" : "Diano", "given" : "Sabrina", "non-dropping-particle" : "", "parse-names" : false, "suffix" : "" }, { "dropping-particle" : "", "family" : "Tsch\u00f6p", "given" : "Matthias", "non-dropping-particle" : "", "parse-names" : false, "suffix" : "" }, { "dropping-particle" : "", "family" : "Pronchuk", "given" : "Nina", "non-dropping-particle" : "", "parse-names" : false, "suffix" : "" }, { "dropping-particle" : "", "family" : "Grove", "given" : "Kevin L.", "non-dropping-particle" : "", "parse-names" : false, "suffix" : "" }, { "dropping-particle" : "", "family" : "Strasburger", "given" : "Christian J.", "non-dropping-particle" : "", "parse-names" : false, "suffix" : "" }, { "dropping-particle" : "", "family" : "Bidlingmaier", "given" : "Martin", "non-dropping-particle" : "", "parse-names" : false, "suffix" : "" }, { "dropping-particle" : "", "family" : "Esterman", "given" : "Michael", "non-dropping-particle" : "", "parse-names" : false, "suffix" : "" }, { "dropping-particle" : "", "family" : "Heiman", "given" : "Mark L.", "non-dropping-particle" : "", "parse-names" : false, "suffix" : "" }, { "dropping-particle" : "", "family" : "Garcia-Segura", "given" : "Luis Miguel", "non-dropping-particle" : "", "parse-names" : false, "suffix" : "" }, { "dropping-particle" : "", "family" : "Nillni", "given" : "Eduardo a.", "non-dropping-particle" : "", "parse-names" : false, "suffix" : "" }, { "dropping-particle" : "", "family" : "Mendez", "given" : "Pablo", "non-dropping-particle" : "", "parse-names" : false, "suffix" : "" }, { "dropping-particle" : "", "family" : "Low", "given" : "Malcolm J.", "non-dropping-particle" : "", "parse-names" : false, "suffix" : "" }, { "dropping-particle" : "", "family" : "Sotonyi", "given" : "Peter", "non-dropping-particle" : "", "parse-names" : false, "suffix" : "" }, { "dropping-particle" : "", "family" : "Friedman", "given" : "Jeffrey M.", "non-dropping-particle" : "", "parse-names" : false, "suffix" : "" }, { "dropping-particle" : "", "family" : "Liu", "given" : "Hongyan", "non-dropping-particle" : "", "parse-names" : false, "suffix" : "" }, { "dropping-particle" : "", "family" : "Pinto", "given" : "Shirly", "non-dropping-particle" : "", "parse-names" : false, "suffix" : "" }, { "dropping-particle" : "", "family" : "Colmers", "given" : "William F.", "non-dropping-particle" : "", "parse-names" : false, "suffix" : "" }, { "dropping-particle" : "", "family" : "Cone", "given" : "Roger D.", "non-dropping-particle" : "", "parse-names" : false, "suffix" : "" }, { "dropping-particle" : "", "family" : "Horvath", "given" : "Tamas L.", "non-dropping-particle" : "", "parse-names" : false, "suffix" : "" } ], "container-title" : "Neuron", "id" : "ITEM-2", "issue" : "4", "issued" : { "date-parts" : [ [ "2003" ] ] }, "page" : "649-661", "title" : "The distribution and mechanism of action of ghrelin in the CNS demonstrates a novel hypothalamic circuit regulating energy homeostasis", "type" : "article-journal", "volume" : "37" }, "uris" : [ "http://www.mendeley.com/documents/?uuid=6e39803b-8778-4fe8-866c-b2876ebf3df0" ] } ], "mendeley" : { "formattedCitation" : "(35, 38)", "plainTextFormattedCitation" : "(35, 38)", "previouslyFormattedCitation" : "(33, 36)" }, "properties" : { "noteIndex" : 0 }, "schema" : "https://github.com/citation-style-language/schema/raw/master/csl-citation.json" }</w:instrText>
      </w:r>
      <w:r w:rsidR="009D2C30">
        <w:fldChar w:fldCharType="separate"/>
      </w:r>
      <w:r w:rsidR="004B62B5" w:rsidRPr="004B62B5">
        <w:rPr>
          <w:noProof/>
        </w:rPr>
        <w:t>(35, 38)</w:t>
      </w:r>
      <w:r w:rsidR="009D2C30">
        <w:fldChar w:fldCharType="end"/>
      </w:r>
      <w:r w:rsidR="009D2C30">
        <w:t xml:space="preserve">.  </w:t>
      </w:r>
      <w:r w:rsidR="00B14B91">
        <w:t>Thus, although the elevated ghrelin levels observed in the MCP230-exposed mice could be a result of these mice eating less (Figure 2A and B), the finding that MCP230-exposed mice have higher ghrelin levels could also help explain their reduced VO</w:t>
      </w:r>
      <w:r w:rsidR="00B14B91" w:rsidRPr="004B62B5">
        <w:rPr>
          <w:vertAlign w:val="subscript"/>
        </w:rPr>
        <w:t>2</w:t>
      </w:r>
      <w:r w:rsidR="00B14B91">
        <w:t xml:space="preserve"> and physical activity.  In the context of reduced observed food intake, it is likely that the elevated ghrelin levels in the MCP230 are a response to </w:t>
      </w:r>
      <w:r w:rsidR="00920265">
        <w:t xml:space="preserve">their </w:t>
      </w:r>
      <w:r w:rsidR="00B14B91">
        <w:t xml:space="preserve">reduced food intake.  This potential counter-regulatory mechanism is consistent with observations that ghrelin levels are reduced with obesity </w:t>
      </w:r>
      <w:r w:rsidR="00B14B91">
        <w:fldChar w:fldCharType="begin" w:fldLock="1"/>
      </w:r>
      <w:r w:rsidR="004B62B5">
        <w:instrText>ADDIN CSL_CITATION { "citationItems" : [ { "id" : "ITEM-1", "itemData" : { "ISSN" : "0012-1797", "PMID" : "11289032", "abstract" : "Ghrelin is a novel endogenous natural ligand for the growth hormone (GH) secretagogue receptor that has recently been isolated from the rat stomach. Ghrelin administration stimulates GH secretion but also causes weight gain by increasing food intake and reducing fat utilization in rodents. To investigate the possible involvement of ghrelin in the pathogenesis of human obesity, we measured body composition (by dual X-ray absorption) as well as fasting plasma ghrelin concentrations (radioimmunoassay) in 15 Caucasians (8 men and 7 women, 31+/-9 years of age, 92+/-24 kg body wt, and 29+/-10% body fat, mean +/- SD) and 15 Pima Indians (8 men and 7 women, 33+/-5 years of age, 97+/-29 kg body wt, and 30+/-8% body fat). Fasting plasma ghrelin was negatively correlated with percent body fat (r = -0.45; P = 0.01), fasting insulin (r = -0.45; P = 0.01) and leptin (r = -0.38; P = 0.03) concentrations. Plasma ghrelin concentration was decreased in obese Caucasians as compared with lean Caucasians (P &lt; 0.01). Also, fasting plasma ghrelin was lower in Pima Indians, a population with a very high prevalence of obesity, compared with Caucasians (87+/-28 vs. 129+/-34 fmol/ml; P &lt; 0.01). This result did not change after adjustment for fasting plasma insulin concentration. There was no correlation between fasting plasma ghrelin and height. Prospective clinical studies are now needed to establish the role of ghrelin in the pathogenesis of human obesity.", "author" : [ { "dropping-particle" : "", "family" : "Tsch\u00f6p", "given" : "Matthias H", "non-dropping-particle" : "", "parse-names" : false, "suffix" : "" }, { "dropping-particle" : "", "family" : "Weyer", "given" : "C", "non-dropping-particle" : "", "parse-names" : false, "suffix" : "" }, { "dropping-particle" : "", "family" : "Tataranni", "given" : "P a", "non-dropping-particle" : "", "parse-names" : false, "suffix" : "" }, { "dropping-particle" : "", "family" : "Devanarayan", "given" : "V", "non-dropping-particle" : "", "parse-names" : false, "suffix" : "" }, { "dropping-particle" : "", "family" : "Ravussin", "given" : "Eric", "non-dropping-particle" : "", "parse-names" : false, "suffix" : "" }, { "dropping-particle" : "", "family" : "Heiman", "given" : "M L", "non-dropping-particle" : "", "parse-names" : false, "suffix" : "" } ], "container-title" : "Diabetes", "id" : "ITEM-1", "issue" : "4", "issued" : { "date-parts" : [ [ "2001", "4" ] ] }, "page" : "707-9", "title" : "Circulating ghrelin levels are decreased in human obesity.", "type" : "article-journal", "volume" : "50" }, "uris" : [ "http://www.mendeley.com/documents/?uuid=8f4f8b20-0a1e-408a-8918-29afe5ff63e1" ] }, { "id" : "ITEM-2", "itemData" : { "DOI" : "10.1101/004283", "abstract" : "Inbred C57BL/6J mice have been used to study diet-induced obesity and the consequential physiological effects associated with it. Little is understood about predictive factors that predispose an animal to weight gain. To address this, mice were fed a high fat diet, control diet or normal chow diet. High fat diet fed mice exhibited a large amount of variation in body weights between the mice at the conclusion of the diet protocol. This variation is not present in obese leptin deficient mice, which have less variation in body weight. Several measurements including pre-diet serum hormone levels and pre-diet body weight were analyzed, but had no predictive value regarding weight gain. However, weight loss response due to food deprivation showed a strong positive correlation with high fat diet induced weight gain. These data suggest that adolescent fasting induced weight loss is a useful predictor of diet-induced weight gain.Received April 17, 2014.Accepted April 17, 2014.\u00a9 2014, Published by Cold Spring Harbor Laboratory PressThis pre-print is available under a Creative Commons License (Attribution 4.0 International), CC BY 4.0, as described at http://creativecommons.org/licenses/by/4.0/", "author" : [ { "dropping-particle" : "", "family" : "Peloquin", "given" : "Matthew J", "non-dropping-particle" : "", "parse-names" : false, "suffix" : "" }, { "dropping-particle" : "", "family" : "Bridges", "given" : "Dave", "non-dropping-particle" : "", "parse-names" : false, "suffix" : "" } ], "container-title" : "bioRxiv", "id" : "ITEM-2", "issued" : { "date-parts" : [ [ "2014", "4", "17" ] ] }, "title" : "Weight Loss in Response to Food Deprivation Predicts The Extent of Diet Induced Obesity in C57BL/6J Mice", "type" : "article-journal" }, "uris" : [ "http://www.mendeley.com/documents/?uuid=6b3a94dd-1531-4be6-9e42-faadf555e298" ] }, { "id" : "ITEM-3", "itemData" : { "DOI" : "10.2337/diabetes.51.12.3408", "ISSN" : "0012-1797", "author" : [ { "dropping-particle" : "", "family" : "Ikezaki", "given" : "Ayako", "non-dropping-particle" : "", "parse-names" : false, "suffix" : "" }, { "dropping-particle" : "", "family" : "Hosoda", "given" : "Hiroshi", "non-dropping-particle" : "", "parse-names" : false, "suffix" : "" }, { "dropping-particle" : "", "family" : "Ito", "given" : "Keiko", "non-dropping-particle" : "", "parse-names" : false, "suffix" : "" }, { "dropping-particle" : "", "family" : "Iwama", "given" : "Saika", "non-dropping-particle" : "", "parse-names" : false, "suffix" : "" }, { "dropping-particle" : "", "family" : "Miura", "given" : "Naoko", "non-dropping-particle" : "", "parse-names" : false, "suffix" : "" }, { "dropping-particle" : "", "family" : "Matsuoka", "given" : "Hisafumi", "non-dropping-particle" : "", "parse-names" : false, "suffix" : "" }, { "dropping-particle" : "", "family" : "Kondo", "given" : "Chisato", "non-dropping-particle" : "", "parse-names" : false, "suffix" : "" }, { "dropping-particle" : "", "family" : "Kojima", "given" : "Masayasu", "non-dropping-particle" : "", "parse-names" : false, "suffix" : "" }, { "dropping-particle" : "", "family" : "Kangawa", "given" : "Kenji", "non-dropping-particle" : "", "parse-names" : false, "suffix" : "" }, { "dropping-particle" : "", "family" : "Sugihara", "given" : "Shigetaka", "non-dropping-particle" : "", "parse-names" : false, "suffix" : "" } ], "container-title" : "Diabetes", "id" : "ITEM-3", "issue" : "12", "issued" : { "date-parts" : [ [ "2002", "12", "1" ] ] }, "page" : "3408-3411", "title" : "Fasting Plasma Ghrelin Levels Are Negatively Correlated With Insulin Resistance and PAI-1, but Not With Leptin, in Obese Children and Adolescents", "type" : "article-journal", "volume" : "51" }, "uris" : [ "http://www.mendeley.com/documents/?uuid=995ae5bb-3f8c-4a1f-b268-42e50ffe1c61" ] } ], "mendeley" : { "formattedCitation" : "(39\u201341)", "plainTextFormattedCitation" : "(39\u201341)", "previouslyFormattedCitation" : "(37\u201339)" }, "properties" : { "noteIndex" : 0 }, "schema" : "https://github.com/citation-style-language/schema/raw/master/csl-citation.json" }</w:instrText>
      </w:r>
      <w:r w:rsidR="00B14B91">
        <w:fldChar w:fldCharType="separate"/>
      </w:r>
      <w:r w:rsidR="004B62B5" w:rsidRPr="004B62B5">
        <w:rPr>
          <w:noProof/>
        </w:rPr>
        <w:t>(39–41)</w:t>
      </w:r>
      <w:r w:rsidR="00B14B91">
        <w:fldChar w:fldCharType="end"/>
      </w:r>
      <w:r w:rsidR="00B14B91">
        <w:t xml:space="preserve">.  </w:t>
      </w:r>
      <w:r w:rsidR="00904E7C">
        <w:t>In contrast, e</w:t>
      </w:r>
      <w:r w:rsidR="00B14B91">
        <w:t>levations in GLP-1</w:t>
      </w:r>
      <w:r w:rsidR="00904E7C">
        <w:t xml:space="preserve"> can </w:t>
      </w:r>
      <w:r w:rsidR="00B14B91">
        <w:t xml:space="preserve">inhibit food intake </w:t>
      </w:r>
      <w:r w:rsidR="00B14B91">
        <w:fldChar w:fldCharType="begin" w:fldLock="1"/>
      </w:r>
      <w:r w:rsidR="004B62B5">
        <w:instrText>ADDIN CSL_CITATION { "citationItems" : [ { "id" : "ITEM-1", "itemData" : { "DOI" : "10.1053/j.gastro.2004.04.063", "ISSN" : "00165085", "author" : [ { "dropping-particle" : "", "family" : "Baggio", "given" : "Laurie L.", "non-dropping-particle" : "", "parse-names" : false, "suffix" : "" }, { "dropping-particle" : "", "family" : "Huang", "given" : "Qingling", "non-dropping-particle" : "", "parse-names" : false, "suffix" : "" }, { "dropping-particle" : "", "family" : "Brown", "given" : "Theodore J.", "non-dropping-particle" : "", "parse-names" : false, "suffix" : "" }, { "dropping-particle" : "", "family" : "Drucker", "given" : "Daniel J.", "non-dropping-particle" : "", "parse-names" : false, "suffix" : "" } ], "container-title" : "Gastroenterology", "id" : "ITEM-1", "issue" : "2", "issued" : { "date-parts" : [ [ "2004", "8" ] ] }, "page" : "546-558", "title" : "Oxyntomodulin and glucagon-like peptide-1 differentially regulate murine food intake and energy expenditure", "type" : "article-journal", "volume" : "127" }, "uris" : [ "http://www.mendeley.com/documents/?uuid=c8513132-8497-4549-a5c1-006d74c5563c" ] }, { "id" : "ITEM-2", "itemData" : { "DOI" : "10.1038/379069a0", "ISSN" : "0028-0836", "PMID" : "8538742", "abstract" : "The sequence of glucagon-like peptide-1 (7-36) amide (GLP-1) is completely conserved in all mammalian species studied, implying that it plays a critical physiological role. We have shown that GLP-1 and its specific receptors are present in the hypothalamus. No physiological role for central GLP-1 has been established. We report here that intracerebroventricular (ICV) GLP-1 powerfully inhibits feeding in fasted rats. ICV injection of the specific GLP-1-receptor antagonist, exendin (9-39), blocked the inhibitory effect of GLP-1 on food intake. Exendin (9-39) alone had no influence on fast-induced feeding but more than doubled food intake in satiated rats, and augmented the feeding response to the appetite stimulant, neuropeptide Y. Induction of c-fos is a marker of neuronal activation. Following ICV GLP-1 injection, c-fos appeared exclusively in the paraventricular nucleus of the hypothalamus and central nucleus of the amygdala, and this was inhibited by prior administration of exendin (9-39). Both of these regions of the brain are of primary importance in the regulation of feeding. These findings suggest that central GLP-1 is a new physiological mediator of satiety.", "author" : [ { "dropping-particle" : "", "family" : "Turton", "given" : "M D", "non-dropping-particle" : "", "parse-names" : false, "suffix" : "" }, { "dropping-particle" : "", "family" : "O'Shea", "given" : "D", "non-dropping-particle" : "", "parse-names" : false, "suffix" : "" }, { "dropping-particle" : "", "family" : "Gunn", "given" : "I", "non-dropping-particle" : "", "parse-names" : false, "suffix" : "" }, { "dropping-particle" : "", "family" : "Beak", "given" : "S A", "non-dropping-particle" : "", "parse-names" : false, "suffix" : "" }, { "dropping-particle" : "", "family" : "Edwards", "given" : "C M", "non-dropping-particle" : "", "parse-names" : false, "suffix" : "" }, { "dropping-particle" : "", "family" : "Meeran", "given" : "K", "non-dropping-particle" : "", "parse-names" : false, "suffix" : "" }, { "dropping-particle" : "", "family" : "Choi", "given" : "S J", "non-dropping-particle" : "", "parse-names" : false, "suffix" : "" }, { "dropping-particle" : "", "family" : "Taylor", "given" : "G M", "non-dropping-particle" : "", "parse-names" : false, "suffix" : "" }, { "dropping-particle" : "", "family" : "Heath", "given" : "M M", "non-dropping-particle" : "", "parse-names" : false, "suffix" : "" }, { "dropping-particle" : "", "family" : "Lambert", "given" : "P D", "non-dropping-particle" : "", "parse-names" : false, "suffix" : "" }, { "dropping-particle" : "", "family" : "Wilding", "given" : "J P", "non-dropping-particle" : "", "parse-names" : false, "suffix" : "" }, { "dropping-particle" : "", "family" : "Smith", "given" : "D M", "non-dropping-particle" : "", "parse-names" : false, "suffix" : "" }, { "dropping-particle" : "", "family" : "Ghatei", "given" : "M A", "non-dropping-particle" : "", "parse-names" : false, "suffix" : "" }, { "dropping-particle" : "", "family" : "Herbert", "given" : "J", "non-dropping-particle" : "", "parse-names" : false, "suffix" : "" }, { "dropping-particle" : "", "family" : "Bloom", "given" : "S R", "non-dropping-particle" : "", "parse-names" : false, "suffix" : "" } ], "container-title" : "Nature", "id" : "ITEM-2", "issue" : "6560", "issued" : { "date-parts" : [ [ "1996", "1", "4" ] ] }, "page" : "69-72", "title" : "A role for glucagon-like peptide-1 in the central regulation of feeding.", "type" : "article-journal", "volume" : "379" }, "uris" : [ "http://www.mendeley.com/documents/?uuid=4ffd10bf-ff08-40ae-9817-51ba9821f7f1" ] } ], "mendeley" : { "formattedCitation" : "(42, 43)", "plainTextFormattedCitation" : "(42, 43)", "previouslyFormattedCitation" : "(40, 41)" }, "properties" : { "noteIndex" : 0 }, "schema" : "https://github.com/citation-style-language/schema/raw/master/csl-citation.json" }</w:instrText>
      </w:r>
      <w:r w:rsidR="00B14B91">
        <w:fldChar w:fldCharType="separate"/>
      </w:r>
      <w:r w:rsidR="004B62B5" w:rsidRPr="004B62B5">
        <w:rPr>
          <w:noProof/>
        </w:rPr>
        <w:t>(42, 43)</w:t>
      </w:r>
      <w:r w:rsidR="00B14B91">
        <w:fldChar w:fldCharType="end"/>
      </w:r>
      <w:r w:rsidR="00DB43EF">
        <w:t>.</w:t>
      </w:r>
      <w:r w:rsidR="00B14B91">
        <w:t xml:space="preserve"> </w:t>
      </w:r>
      <w:r w:rsidR="00DB43EF">
        <w:t>Therefore, there are likely</w:t>
      </w:r>
      <w:r w:rsidR="001A4114">
        <w:t xml:space="preserve"> to be</w:t>
      </w:r>
      <w:r w:rsidR="00DB43EF">
        <w:t xml:space="preserve"> </w:t>
      </w:r>
      <w:r w:rsidR="00467FF9">
        <w:t xml:space="preserve">many </w:t>
      </w:r>
      <w:r w:rsidR="00DB43EF">
        <w:t xml:space="preserve">other </w:t>
      </w:r>
      <w:r w:rsidR="00D92FCC">
        <w:t xml:space="preserve">peripheral </w:t>
      </w:r>
      <w:r w:rsidR="00DB43EF">
        <w:t>factors contributing to the r</w:t>
      </w:r>
      <w:r w:rsidR="00B14B91">
        <w:t>educed appetite</w:t>
      </w:r>
      <w:r w:rsidR="00467FF9">
        <w:t xml:space="preserve"> and lower energy expenditure</w:t>
      </w:r>
      <w:r w:rsidR="00B14B91">
        <w:t xml:space="preserve"> of the MCP230</w:t>
      </w:r>
      <w:r w:rsidR="00DB43EF">
        <w:t xml:space="preserve">-exposed </w:t>
      </w:r>
      <w:r w:rsidR="00B14B91">
        <w:t>mice.</w:t>
      </w:r>
    </w:p>
    <w:p w14:paraId="7554A7BF" w14:textId="77777777" w:rsidR="00223477" w:rsidRDefault="00223477" w:rsidP="00E16694"/>
    <w:p w14:paraId="4BB43E27" w14:textId="1A637309" w:rsidR="00223477" w:rsidRPr="0087161F" w:rsidRDefault="00F12E69" w:rsidP="00E16694">
      <w:r>
        <w:t xml:space="preserve">In </w:t>
      </w:r>
      <w:r w:rsidR="00F664BD">
        <w:t>conclusion,</w:t>
      </w:r>
      <w:r>
        <w:t xml:space="preserve"> we </w:t>
      </w:r>
      <w:r w:rsidR="00F664BD">
        <w:t xml:space="preserve">have </w:t>
      </w:r>
      <w:r>
        <w:t>investigated the effects of limited, gestational exposure to combustion-derived pollutants in a mouse model of diet-induced obesity. Our findings</w:t>
      </w:r>
      <w:r w:rsidR="00223477">
        <w:t xml:space="preserve"> show that even brief gestational exposure to environmental pollutants such as EPFR</w:t>
      </w:r>
      <w:r w:rsidR="0028045F">
        <w:t>’</w:t>
      </w:r>
      <w:r w:rsidR="00223477">
        <w:t>s can result in chronic changes in growth, metabolism and energy balance</w:t>
      </w:r>
      <w:r w:rsidR="00B775AB">
        <w:t xml:space="preserve">.  These changes </w:t>
      </w:r>
      <w:r w:rsidR="0028045F">
        <w:t xml:space="preserve">are associated </w:t>
      </w:r>
      <w:r w:rsidR="007A42DE">
        <w:t xml:space="preserve">with </w:t>
      </w:r>
      <w:r w:rsidR="00DF4A10">
        <w:t>skeletal m</w:t>
      </w:r>
      <w:bookmarkStart w:id="5" w:name="_GoBack"/>
      <w:bookmarkEnd w:id="5"/>
      <w:r w:rsidR="00DF4A10">
        <w:t>uscle mitochondrial deficits</w:t>
      </w:r>
      <w:r w:rsidR="00B775AB">
        <w:t xml:space="preserve"> and</w:t>
      </w:r>
      <w:r w:rsidR="007A42DE">
        <w:t xml:space="preserve"> </w:t>
      </w:r>
      <w:r w:rsidR="00DF4A10">
        <w:t>reductions in physical activity</w:t>
      </w:r>
      <w:r>
        <w:t>,</w:t>
      </w:r>
      <w:r w:rsidR="00B775AB">
        <w:t xml:space="preserve"> which likely</w:t>
      </w:r>
      <w:r w:rsidR="00DF4A10">
        <w:t xml:space="preserve"> contribute</w:t>
      </w:r>
      <w:r w:rsidR="007A42DE">
        <w:t xml:space="preserve"> to reduced oxygen consumption and a predisposition to elevated body weight on a high fat diet.</w:t>
      </w:r>
      <w:r w:rsidR="00EA43F5">
        <w:t xml:space="preserve"> </w:t>
      </w:r>
      <w:r w:rsidR="00406E19">
        <w:t xml:space="preserve">While the mechanisms behind these changes remain to be determined, </w:t>
      </w:r>
      <w:r w:rsidR="00AB07F9" w:rsidRPr="00AB07F9">
        <w:t>the finding that</w:t>
      </w:r>
      <w:r w:rsidR="00AB07F9">
        <w:t xml:space="preserve"> limited</w:t>
      </w:r>
      <w:r w:rsidR="00AB07F9" w:rsidRPr="00AB07F9">
        <w:t xml:space="preserve"> </w:t>
      </w:r>
      <w:r w:rsidR="00AB07F9" w:rsidRPr="004B62B5">
        <w:rPr>
          <w:i/>
        </w:rPr>
        <w:t>in utero</w:t>
      </w:r>
      <w:r w:rsidR="00AB07F9">
        <w:t xml:space="preserve"> exposure to </w:t>
      </w:r>
      <w:r w:rsidR="00AB07F9" w:rsidRPr="00AB07F9">
        <w:t>EPFR’s can affect later life energy metabolism highlights a need for further research into this area of study.</w:t>
      </w:r>
    </w:p>
    <w:p w14:paraId="1DCFA0F3" w14:textId="77777777" w:rsidR="007221E6" w:rsidRDefault="007221E6" w:rsidP="007221E6">
      <w:pPr>
        <w:pStyle w:val="Heading1"/>
      </w:pPr>
      <w:r>
        <w:t>Acknowledgements</w:t>
      </w:r>
    </w:p>
    <w:p w14:paraId="028BCFC2" w14:textId="24B5D54C" w:rsidR="004B62B5" w:rsidRPr="004B62B5" w:rsidRDefault="004A4358" w:rsidP="004B62B5">
      <w:r>
        <w:t>We would like to acknowledge funding from</w:t>
      </w:r>
      <w:r w:rsidR="004B62B5">
        <w:t xml:space="preserve"> NIH grant </w:t>
      </w:r>
      <w:r w:rsidR="004B62B5" w:rsidRPr="004B62B5">
        <w:t>1R01DK107535-01</w:t>
      </w:r>
      <w:r w:rsidR="004B62B5">
        <w:t>(DB)</w:t>
      </w:r>
    </w:p>
    <w:p w14:paraId="48E67CCE" w14:textId="10CD5E01" w:rsidR="004A4358" w:rsidRPr="004A4358" w:rsidRDefault="004B62B5" w:rsidP="004B62B5">
      <w:r w:rsidRPr="004B62B5">
        <w:t xml:space="preserve"> </w:t>
      </w:r>
      <w:r w:rsidR="00933298">
        <w:t>Le Bonheur Grant #</w:t>
      </w:r>
      <w:r w:rsidR="00BF0E89">
        <w:t>650700</w:t>
      </w:r>
      <w:r w:rsidR="00933298">
        <w:t xml:space="preserve"> (DB) and </w:t>
      </w:r>
      <w:commentRangeStart w:id="6"/>
      <w:r w:rsidR="00933298">
        <w:t>XXXX</w:t>
      </w:r>
      <w:commentRangeEnd w:id="6"/>
      <w:r w:rsidR="00933298">
        <w:rPr>
          <w:rStyle w:val="CommentReference"/>
        </w:rPr>
        <w:commentReference w:id="6"/>
      </w:r>
      <w:r w:rsidR="00933298">
        <w:t xml:space="preserve">.  The authors would like to thank </w:t>
      </w:r>
      <w:commentRangeStart w:id="7"/>
      <w:proofErr w:type="spellStart"/>
      <w:r w:rsidR="00933298">
        <w:t>Jordy</w:t>
      </w:r>
      <w:proofErr w:type="spellEnd"/>
      <w:r w:rsidR="00933298">
        <w:t xml:space="preserve"> </w:t>
      </w:r>
      <w:proofErr w:type="spellStart"/>
      <w:r w:rsidR="00933298">
        <w:t>Saravia</w:t>
      </w:r>
      <w:proofErr w:type="spellEnd"/>
      <w:r w:rsidR="00933298">
        <w:t xml:space="preserve"> </w:t>
      </w:r>
      <w:commentRangeEnd w:id="7"/>
      <w:r w:rsidR="00621B6A">
        <w:rPr>
          <w:rStyle w:val="CommentReference"/>
        </w:rPr>
        <w:commentReference w:id="7"/>
      </w:r>
      <w:r w:rsidR="00933298">
        <w:t xml:space="preserve">for assistance with the </w:t>
      </w:r>
      <w:proofErr w:type="spellStart"/>
      <w:r w:rsidR="00933298">
        <w:t>luminex</w:t>
      </w:r>
      <w:proofErr w:type="spellEnd"/>
      <w:r w:rsidR="00933298">
        <w:t xml:space="preserve"> assay and the other members of the Bridges and Cormier</w:t>
      </w:r>
      <w:r>
        <w:t xml:space="preserve">, O’Connell and Han </w:t>
      </w:r>
      <w:r w:rsidR="00933298">
        <w:t>labs for helpful discussions and insights.</w:t>
      </w:r>
    </w:p>
    <w:p w14:paraId="14907E92" w14:textId="77777777" w:rsidR="0012599A" w:rsidRDefault="0012599A">
      <w:pPr>
        <w:rPr>
          <w:rFonts w:asciiTheme="majorHAnsi" w:eastAsiaTheme="majorEastAsia" w:hAnsiTheme="majorHAnsi" w:cstheme="majorBidi"/>
          <w:b/>
          <w:bCs/>
          <w:color w:val="345A8A" w:themeColor="accent1" w:themeShade="B5"/>
          <w:sz w:val="32"/>
          <w:szCs w:val="32"/>
        </w:rPr>
      </w:pPr>
      <w:r>
        <w:br w:type="page"/>
      </w:r>
    </w:p>
    <w:p w14:paraId="250A51D1" w14:textId="356591A0" w:rsidR="005E42A8" w:rsidRDefault="005E42A8" w:rsidP="001B3EBF">
      <w:pPr>
        <w:pStyle w:val="Heading1"/>
      </w:pPr>
      <w:r>
        <w:lastRenderedPageBreak/>
        <w:t>References</w:t>
      </w:r>
    </w:p>
    <w:p w14:paraId="65FD1321" w14:textId="7D9B8BA8" w:rsidR="004B62B5" w:rsidRPr="004B62B5" w:rsidRDefault="001B3EBF">
      <w:pPr>
        <w:widowControl w:val="0"/>
        <w:autoSpaceDE w:val="0"/>
        <w:autoSpaceDN w:val="0"/>
        <w:adjustRightInd w:val="0"/>
        <w:spacing w:after="140" w:line="288" w:lineRule="auto"/>
        <w:rPr>
          <w:rFonts w:ascii="Cambria" w:hAnsi="Cambria"/>
          <w:noProof/>
        </w:rPr>
      </w:pPr>
      <w:r>
        <w:fldChar w:fldCharType="begin" w:fldLock="1"/>
      </w:r>
      <w:r>
        <w:instrText xml:space="preserve">ADDIN Mendeley Bibliography CSL_BIBLIOGRAPHY </w:instrText>
      </w:r>
      <w:r>
        <w:fldChar w:fldCharType="separate"/>
      </w:r>
    </w:p>
    <w:p w14:paraId="38D3BAFF"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1. </w:t>
      </w:r>
      <w:r w:rsidRPr="004B62B5">
        <w:rPr>
          <w:rFonts w:ascii="Cambria" w:hAnsi="Cambria"/>
          <w:noProof/>
        </w:rPr>
        <w:tab/>
        <w:t xml:space="preserve">Brook RD, Jerrett M, Brook JR, Bard RL, Finkelstein MM. The relationship between diabetes mellitus and traffic-related air pollution. </w:t>
      </w:r>
      <w:r w:rsidRPr="004B62B5">
        <w:rPr>
          <w:rFonts w:ascii="Cambria" w:hAnsi="Cambria"/>
          <w:i/>
          <w:iCs/>
          <w:noProof/>
        </w:rPr>
        <w:t>J Occup Environ Med</w:t>
      </w:r>
      <w:r w:rsidRPr="004B62B5">
        <w:rPr>
          <w:rFonts w:ascii="Cambria" w:hAnsi="Cambria"/>
          <w:noProof/>
        </w:rPr>
        <w:t xml:space="preserve"> 2008;50:32–8.</w:t>
      </w:r>
    </w:p>
    <w:p w14:paraId="2DB99298" w14:textId="77777777" w:rsidR="004B62B5" w:rsidRPr="004B62B5" w:rsidRDefault="004B62B5">
      <w:pPr>
        <w:widowControl w:val="0"/>
        <w:autoSpaceDE w:val="0"/>
        <w:autoSpaceDN w:val="0"/>
        <w:adjustRightInd w:val="0"/>
        <w:spacing w:after="140" w:line="288" w:lineRule="auto"/>
        <w:rPr>
          <w:rFonts w:ascii="Cambria" w:hAnsi="Cambria"/>
          <w:noProof/>
        </w:rPr>
      </w:pPr>
    </w:p>
    <w:p w14:paraId="43398F69"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2. </w:t>
      </w:r>
      <w:r w:rsidRPr="004B62B5">
        <w:rPr>
          <w:rFonts w:ascii="Cambria" w:hAnsi="Cambria"/>
          <w:noProof/>
        </w:rPr>
        <w:tab/>
        <w:t xml:space="preserve">Cakmak S, Dales R, Leech J, Liu L. The influence of air pollution on cardiovascular and pulmonary function and exercise capacity: Canadian Health Measures Survey (CHMS). </w:t>
      </w:r>
      <w:r w:rsidRPr="004B62B5">
        <w:rPr>
          <w:rFonts w:ascii="Cambria" w:hAnsi="Cambria"/>
          <w:i/>
          <w:iCs/>
          <w:noProof/>
        </w:rPr>
        <w:t>Environ Res</w:t>
      </w:r>
      <w:r w:rsidRPr="004B62B5">
        <w:rPr>
          <w:rFonts w:ascii="Cambria" w:hAnsi="Cambria"/>
          <w:noProof/>
        </w:rPr>
        <w:t xml:space="preserve"> 2011;111:1309–12.</w:t>
      </w:r>
    </w:p>
    <w:p w14:paraId="123F7FD8" w14:textId="77777777" w:rsidR="004B62B5" w:rsidRPr="004B62B5" w:rsidRDefault="004B62B5">
      <w:pPr>
        <w:widowControl w:val="0"/>
        <w:autoSpaceDE w:val="0"/>
        <w:autoSpaceDN w:val="0"/>
        <w:adjustRightInd w:val="0"/>
        <w:spacing w:after="140" w:line="288" w:lineRule="auto"/>
        <w:rPr>
          <w:rFonts w:ascii="Cambria" w:hAnsi="Cambria"/>
          <w:noProof/>
        </w:rPr>
      </w:pPr>
    </w:p>
    <w:p w14:paraId="29184D00"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3. </w:t>
      </w:r>
      <w:r w:rsidRPr="004B62B5">
        <w:rPr>
          <w:rFonts w:ascii="Cambria" w:hAnsi="Cambria"/>
          <w:noProof/>
        </w:rPr>
        <w:tab/>
        <w:t xml:space="preserve">Andersen ZJ, Raaschou-Nielsen O, Ketzel M, </w:t>
      </w:r>
      <w:r w:rsidRPr="004B62B5">
        <w:rPr>
          <w:rFonts w:ascii="Cambria" w:hAnsi="Cambria"/>
          <w:i/>
          <w:iCs/>
          <w:noProof/>
        </w:rPr>
        <w:t>et al.</w:t>
      </w:r>
      <w:r w:rsidRPr="004B62B5">
        <w:rPr>
          <w:rFonts w:ascii="Cambria" w:hAnsi="Cambria"/>
          <w:noProof/>
        </w:rPr>
        <w:t xml:space="preserve"> Diabetes incidence and long-term exposure to air pollution: a cohort study. </w:t>
      </w:r>
      <w:r w:rsidRPr="004B62B5">
        <w:rPr>
          <w:rFonts w:ascii="Cambria" w:hAnsi="Cambria"/>
          <w:i/>
          <w:iCs/>
          <w:noProof/>
        </w:rPr>
        <w:t>Diabetes Care</w:t>
      </w:r>
      <w:r w:rsidRPr="004B62B5">
        <w:rPr>
          <w:rFonts w:ascii="Cambria" w:hAnsi="Cambria"/>
          <w:noProof/>
        </w:rPr>
        <w:t xml:space="preserve"> 2012;35:92–8.</w:t>
      </w:r>
    </w:p>
    <w:p w14:paraId="244EB013" w14:textId="77777777" w:rsidR="004B62B5" w:rsidRPr="004B62B5" w:rsidRDefault="004B62B5">
      <w:pPr>
        <w:widowControl w:val="0"/>
        <w:autoSpaceDE w:val="0"/>
        <w:autoSpaceDN w:val="0"/>
        <w:adjustRightInd w:val="0"/>
        <w:spacing w:after="140" w:line="288" w:lineRule="auto"/>
        <w:rPr>
          <w:rFonts w:ascii="Cambria" w:hAnsi="Cambria"/>
          <w:noProof/>
        </w:rPr>
      </w:pPr>
    </w:p>
    <w:p w14:paraId="79C58FC8"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4. </w:t>
      </w:r>
      <w:r w:rsidRPr="004B62B5">
        <w:rPr>
          <w:rFonts w:ascii="Cambria" w:hAnsi="Cambria"/>
          <w:noProof/>
        </w:rPr>
        <w:tab/>
        <w:t xml:space="preserve">Thiering E, Cyrys J, Kratzsch J, </w:t>
      </w:r>
      <w:r w:rsidRPr="004B62B5">
        <w:rPr>
          <w:rFonts w:ascii="Cambria" w:hAnsi="Cambria"/>
          <w:i/>
          <w:iCs/>
          <w:noProof/>
        </w:rPr>
        <w:t>et al.</w:t>
      </w:r>
      <w:r w:rsidRPr="004B62B5">
        <w:rPr>
          <w:rFonts w:ascii="Cambria" w:hAnsi="Cambria"/>
          <w:noProof/>
        </w:rPr>
        <w:t xml:space="preserve"> Long-term exposure to traffic-related air pollution and insulin resistance in children: results from the GINIplus and LISAplus birth cohorts. </w:t>
      </w:r>
      <w:r w:rsidRPr="004B62B5">
        <w:rPr>
          <w:rFonts w:ascii="Cambria" w:hAnsi="Cambria"/>
          <w:i/>
          <w:iCs/>
          <w:noProof/>
        </w:rPr>
        <w:t>Diabetologia</w:t>
      </w:r>
      <w:r w:rsidRPr="004B62B5">
        <w:rPr>
          <w:rFonts w:ascii="Cambria" w:hAnsi="Cambria"/>
          <w:noProof/>
        </w:rPr>
        <w:t xml:space="preserve"> 2013;56:1696–704.</w:t>
      </w:r>
    </w:p>
    <w:p w14:paraId="2B29E56B" w14:textId="77777777" w:rsidR="004B62B5" w:rsidRPr="004B62B5" w:rsidRDefault="004B62B5">
      <w:pPr>
        <w:widowControl w:val="0"/>
        <w:autoSpaceDE w:val="0"/>
        <w:autoSpaceDN w:val="0"/>
        <w:adjustRightInd w:val="0"/>
        <w:spacing w:after="140" w:line="288" w:lineRule="auto"/>
        <w:rPr>
          <w:rFonts w:ascii="Cambria" w:hAnsi="Cambria"/>
          <w:noProof/>
        </w:rPr>
      </w:pPr>
    </w:p>
    <w:p w14:paraId="0152F3CB"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5. </w:t>
      </w:r>
      <w:r w:rsidRPr="004B62B5">
        <w:rPr>
          <w:rFonts w:ascii="Cambria" w:hAnsi="Cambria"/>
          <w:noProof/>
        </w:rPr>
        <w:tab/>
        <w:t xml:space="preserve">Li XY, Gilmour PS, Donaldson K, MacNee W. Free radical activity and pro-inflammatory effects of particulate air pollution (PM10) in vivo and in vitro. </w:t>
      </w:r>
      <w:r w:rsidRPr="004B62B5">
        <w:rPr>
          <w:rFonts w:ascii="Cambria" w:hAnsi="Cambria"/>
          <w:i/>
          <w:iCs/>
          <w:noProof/>
        </w:rPr>
        <w:t>Thorax</w:t>
      </w:r>
      <w:r w:rsidRPr="004B62B5">
        <w:rPr>
          <w:rFonts w:ascii="Cambria" w:hAnsi="Cambria"/>
          <w:noProof/>
        </w:rPr>
        <w:t xml:space="preserve"> 1996;51:1216–1222.</w:t>
      </w:r>
    </w:p>
    <w:p w14:paraId="665F75E1" w14:textId="77777777" w:rsidR="004B62B5" w:rsidRPr="004B62B5" w:rsidRDefault="004B62B5">
      <w:pPr>
        <w:widowControl w:val="0"/>
        <w:autoSpaceDE w:val="0"/>
        <w:autoSpaceDN w:val="0"/>
        <w:adjustRightInd w:val="0"/>
        <w:spacing w:after="140" w:line="288" w:lineRule="auto"/>
        <w:rPr>
          <w:rFonts w:ascii="Cambria" w:hAnsi="Cambria"/>
          <w:noProof/>
        </w:rPr>
      </w:pPr>
    </w:p>
    <w:p w14:paraId="773A2F59"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6. </w:t>
      </w:r>
      <w:r w:rsidRPr="004B62B5">
        <w:rPr>
          <w:rFonts w:ascii="Cambria" w:hAnsi="Cambria"/>
          <w:noProof/>
        </w:rPr>
        <w:tab/>
        <w:t xml:space="preserve">Sun Q, Yue P, Deiuliis J a, </w:t>
      </w:r>
      <w:r w:rsidRPr="004B62B5">
        <w:rPr>
          <w:rFonts w:ascii="Cambria" w:hAnsi="Cambria"/>
          <w:i/>
          <w:iCs/>
          <w:noProof/>
        </w:rPr>
        <w:t>et al.</w:t>
      </w:r>
      <w:r w:rsidRPr="004B62B5">
        <w:rPr>
          <w:rFonts w:ascii="Cambria" w:hAnsi="Cambria"/>
          <w:noProof/>
        </w:rPr>
        <w:t xml:space="preserve"> Ambient air pollution exaggerates adipose inflammation and insulin resistance in a mouse model of diet-induced obesity. </w:t>
      </w:r>
      <w:r w:rsidRPr="004B62B5">
        <w:rPr>
          <w:rFonts w:ascii="Cambria" w:hAnsi="Cambria"/>
          <w:i/>
          <w:iCs/>
          <w:noProof/>
        </w:rPr>
        <w:t>Circulation</w:t>
      </w:r>
      <w:r w:rsidRPr="004B62B5">
        <w:rPr>
          <w:rFonts w:ascii="Cambria" w:hAnsi="Cambria"/>
          <w:noProof/>
        </w:rPr>
        <w:t xml:space="preserve"> 2009;119:538–46.</w:t>
      </w:r>
    </w:p>
    <w:p w14:paraId="0E37633E" w14:textId="77777777" w:rsidR="004B62B5" w:rsidRPr="004B62B5" w:rsidRDefault="004B62B5">
      <w:pPr>
        <w:widowControl w:val="0"/>
        <w:autoSpaceDE w:val="0"/>
        <w:autoSpaceDN w:val="0"/>
        <w:adjustRightInd w:val="0"/>
        <w:spacing w:after="140" w:line="288" w:lineRule="auto"/>
        <w:rPr>
          <w:rFonts w:ascii="Cambria" w:hAnsi="Cambria"/>
          <w:noProof/>
        </w:rPr>
      </w:pPr>
    </w:p>
    <w:p w14:paraId="7DE70960"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7. </w:t>
      </w:r>
      <w:r w:rsidRPr="004B62B5">
        <w:rPr>
          <w:rFonts w:ascii="Cambria" w:hAnsi="Cambria"/>
          <w:noProof/>
        </w:rPr>
        <w:tab/>
        <w:t xml:space="preserve">Xu X, Liu C, Xu Z, </w:t>
      </w:r>
      <w:r w:rsidRPr="004B62B5">
        <w:rPr>
          <w:rFonts w:ascii="Cambria" w:hAnsi="Cambria"/>
          <w:i/>
          <w:iCs/>
          <w:noProof/>
        </w:rPr>
        <w:t>et al.</w:t>
      </w:r>
      <w:r w:rsidRPr="004B62B5">
        <w:rPr>
          <w:rFonts w:ascii="Cambria" w:hAnsi="Cambria"/>
          <w:noProof/>
        </w:rPr>
        <w:t xml:space="preserve"> Long-term exposure to ambient fine particulate pollution induces insulin resistance and mitochondrial alteration in adipose tissue. </w:t>
      </w:r>
      <w:r w:rsidRPr="004B62B5">
        <w:rPr>
          <w:rFonts w:ascii="Cambria" w:hAnsi="Cambria"/>
          <w:i/>
          <w:iCs/>
          <w:noProof/>
        </w:rPr>
        <w:t>Toxicol Sci</w:t>
      </w:r>
      <w:r w:rsidRPr="004B62B5">
        <w:rPr>
          <w:rFonts w:ascii="Cambria" w:hAnsi="Cambria"/>
          <w:noProof/>
        </w:rPr>
        <w:t xml:space="preserve"> 2011;124:88–98.</w:t>
      </w:r>
    </w:p>
    <w:p w14:paraId="235FAF7F" w14:textId="77777777" w:rsidR="004B62B5" w:rsidRPr="004B62B5" w:rsidRDefault="004B62B5">
      <w:pPr>
        <w:widowControl w:val="0"/>
        <w:autoSpaceDE w:val="0"/>
        <w:autoSpaceDN w:val="0"/>
        <w:adjustRightInd w:val="0"/>
        <w:spacing w:after="140" w:line="288" w:lineRule="auto"/>
        <w:rPr>
          <w:rFonts w:ascii="Cambria" w:hAnsi="Cambria"/>
          <w:noProof/>
        </w:rPr>
      </w:pPr>
    </w:p>
    <w:p w14:paraId="28DC6C49"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8. </w:t>
      </w:r>
      <w:r w:rsidRPr="004B62B5">
        <w:rPr>
          <w:rFonts w:ascii="Cambria" w:hAnsi="Cambria"/>
          <w:noProof/>
        </w:rPr>
        <w:tab/>
        <w:t xml:space="preserve">Xu Z, Xu X, Zhong M, </w:t>
      </w:r>
      <w:r w:rsidRPr="004B62B5">
        <w:rPr>
          <w:rFonts w:ascii="Cambria" w:hAnsi="Cambria"/>
          <w:i/>
          <w:iCs/>
          <w:noProof/>
        </w:rPr>
        <w:t>et al.</w:t>
      </w:r>
      <w:r w:rsidRPr="004B62B5">
        <w:rPr>
          <w:rFonts w:ascii="Cambria" w:hAnsi="Cambria"/>
          <w:noProof/>
        </w:rPr>
        <w:t xml:space="preserve"> Ambient particulate air pollution induces oxidative stress and alterations of mitochondria and gene expression in brown and white adipose tissues. </w:t>
      </w:r>
      <w:r w:rsidRPr="004B62B5">
        <w:rPr>
          <w:rFonts w:ascii="Cambria" w:hAnsi="Cambria"/>
          <w:i/>
          <w:iCs/>
          <w:noProof/>
        </w:rPr>
        <w:t>Part Fibre Toxicol</w:t>
      </w:r>
      <w:r w:rsidRPr="004B62B5">
        <w:rPr>
          <w:rFonts w:ascii="Cambria" w:hAnsi="Cambria"/>
          <w:noProof/>
        </w:rPr>
        <w:t xml:space="preserve"> 2011;8:20.</w:t>
      </w:r>
    </w:p>
    <w:p w14:paraId="2B32FB7F" w14:textId="77777777" w:rsidR="004B62B5" w:rsidRPr="004B62B5" w:rsidRDefault="004B62B5">
      <w:pPr>
        <w:widowControl w:val="0"/>
        <w:autoSpaceDE w:val="0"/>
        <w:autoSpaceDN w:val="0"/>
        <w:adjustRightInd w:val="0"/>
        <w:spacing w:after="140" w:line="288" w:lineRule="auto"/>
        <w:rPr>
          <w:rFonts w:ascii="Cambria" w:hAnsi="Cambria"/>
          <w:noProof/>
        </w:rPr>
      </w:pPr>
    </w:p>
    <w:p w14:paraId="5DE6FBD8"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9. </w:t>
      </w:r>
      <w:r w:rsidRPr="004B62B5">
        <w:rPr>
          <w:rFonts w:ascii="Cambria" w:hAnsi="Cambria"/>
          <w:noProof/>
        </w:rPr>
        <w:tab/>
        <w:t xml:space="preserve">Liu C, Fonken LK, Wang A, </w:t>
      </w:r>
      <w:r w:rsidRPr="004B62B5">
        <w:rPr>
          <w:rFonts w:ascii="Cambria" w:hAnsi="Cambria"/>
          <w:i/>
          <w:iCs/>
          <w:noProof/>
        </w:rPr>
        <w:t>et al.</w:t>
      </w:r>
      <w:r w:rsidRPr="004B62B5">
        <w:rPr>
          <w:rFonts w:ascii="Cambria" w:hAnsi="Cambria"/>
          <w:noProof/>
        </w:rPr>
        <w:t xml:space="preserve"> Central IKKβ inhibition prevents air pollution mediated peripheral inflammation and exaggeration of type II diabetes. </w:t>
      </w:r>
      <w:r w:rsidRPr="004B62B5">
        <w:rPr>
          <w:rFonts w:ascii="Cambria" w:hAnsi="Cambria"/>
          <w:i/>
          <w:iCs/>
          <w:noProof/>
        </w:rPr>
        <w:t>Part Fibre Toxicol</w:t>
      </w:r>
      <w:r w:rsidRPr="004B62B5">
        <w:rPr>
          <w:rFonts w:ascii="Cambria" w:hAnsi="Cambria"/>
          <w:noProof/>
        </w:rPr>
        <w:t xml:space="preserve"> 2014;11:53.</w:t>
      </w:r>
    </w:p>
    <w:p w14:paraId="01587CF7" w14:textId="77777777" w:rsidR="004B62B5" w:rsidRPr="004B62B5" w:rsidRDefault="004B62B5">
      <w:pPr>
        <w:widowControl w:val="0"/>
        <w:autoSpaceDE w:val="0"/>
        <w:autoSpaceDN w:val="0"/>
        <w:adjustRightInd w:val="0"/>
        <w:spacing w:after="140" w:line="288" w:lineRule="auto"/>
        <w:rPr>
          <w:rFonts w:ascii="Cambria" w:hAnsi="Cambria"/>
          <w:noProof/>
        </w:rPr>
      </w:pPr>
    </w:p>
    <w:p w14:paraId="3ABECDFF"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10. </w:t>
      </w:r>
      <w:r w:rsidRPr="004B62B5">
        <w:rPr>
          <w:rFonts w:ascii="Cambria" w:hAnsi="Cambria"/>
          <w:noProof/>
        </w:rPr>
        <w:tab/>
        <w:t xml:space="preserve">Crawley HF, While D. Parental smoking and the nutrient intake and food choice of British teenagers aged 16-17 years. </w:t>
      </w:r>
      <w:r w:rsidRPr="004B62B5">
        <w:rPr>
          <w:rFonts w:ascii="Cambria" w:hAnsi="Cambria"/>
          <w:i/>
          <w:iCs/>
          <w:noProof/>
        </w:rPr>
        <w:t>J Epidemiol Community Heal</w:t>
      </w:r>
      <w:r w:rsidRPr="004B62B5">
        <w:rPr>
          <w:rFonts w:ascii="Cambria" w:hAnsi="Cambria"/>
          <w:noProof/>
        </w:rPr>
        <w:t xml:space="preserve"> 1996;50:306–312.</w:t>
      </w:r>
    </w:p>
    <w:p w14:paraId="44F1874E" w14:textId="77777777" w:rsidR="004B62B5" w:rsidRPr="004B62B5" w:rsidRDefault="004B62B5">
      <w:pPr>
        <w:widowControl w:val="0"/>
        <w:autoSpaceDE w:val="0"/>
        <w:autoSpaceDN w:val="0"/>
        <w:adjustRightInd w:val="0"/>
        <w:spacing w:after="140" w:line="288" w:lineRule="auto"/>
        <w:rPr>
          <w:rFonts w:ascii="Cambria" w:hAnsi="Cambria"/>
          <w:noProof/>
        </w:rPr>
      </w:pPr>
    </w:p>
    <w:p w14:paraId="00E08E36"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11. </w:t>
      </w:r>
      <w:r w:rsidRPr="004B62B5">
        <w:rPr>
          <w:rFonts w:ascii="Cambria" w:hAnsi="Cambria"/>
          <w:noProof/>
        </w:rPr>
        <w:tab/>
        <w:t xml:space="preserve">Johnson RK, Wang MQ, Smith MJ, Connolly G. The association between parental smoking and the diet quality of low-income children. </w:t>
      </w:r>
      <w:r w:rsidRPr="004B62B5">
        <w:rPr>
          <w:rFonts w:ascii="Cambria" w:hAnsi="Cambria"/>
          <w:i/>
          <w:iCs/>
          <w:noProof/>
        </w:rPr>
        <w:t>Pediatrics</w:t>
      </w:r>
      <w:r w:rsidRPr="004B62B5">
        <w:rPr>
          <w:rFonts w:ascii="Cambria" w:hAnsi="Cambria"/>
          <w:noProof/>
        </w:rPr>
        <w:t xml:space="preserve"> 1996;97:312–317.</w:t>
      </w:r>
    </w:p>
    <w:p w14:paraId="41BC5D0C" w14:textId="77777777" w:rsidR="004B62B5" w:rsidRPr="004B62B5" w:rsidRDefault="004B62B5">
      <w:pPr>
        <w:widowControl w:val="0"/>
        <w:autoSpaceDE w:val="0"/>
        <w:autoSpaceDN w:val="0"/>
        <w:adjustRightInd w:val="0"/>
        <w:spacing w:after="140" w:line="288" w:lineRule="auto"/>
        <w:rPr>
          <w:rFonts w:ascii="Cambria" w:hAnsi="Cambria"/>
          <w:noProof/>
        </w:rPr>
      </w:pPr>
    </w:p>
    <w:p w14:paraId="724A6E5F"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12. </w:t>
      </w:r>
      <w:r w:rsidRPr="004B62B5">
        <w:rPr>
          <w:rFonts w:ascii="Cambria" w:hAnsi="Cambria"/>
          <w:noProof/>
        </w:rPr>
        <w:tab/>
        <w:t xml:space="preserve">Burke V, Gracey MP, Milligan RA, Thompson C, Taggart AC, Beilin LJ. Parental smoking and risk factors for cardiovascular disease in 10- to 12-year-old children. </w:t>
      </w:r>
      <w:r w:rsidRPr="004B62B5">
        <w:rPr>
          <w:rFonts w:ascii="Cambria" w:hAnsi="Cambria"/>
          <w:i/>
          <w:iCs/>
          <w:noProof/>
        </w:rPr>
        <w:t>J Pediatr</w:t>
      </w:r>
      <w:r w:rsidRPr="004B62B5">
        <w:rPr>
          <w:rFonts w:ascii="Cambria" w:hAnsi="Cambria"/>
          <w:noProof/>
        </w:rPr>
        <w:t xml:space="preserve"> 1998;133:206–213.</w:t>
      </w:r>
    </w:p>
    <w:p w14:paraId="2C793616" w14:textId="77777777" w:rsidR="004B62B5" w:rsidRPr="004B62B5" w:rsidRDefault="004B62B5">
      <w:pPr>
        <w:widowControl w:val="0"/>
        <w:autoSpaceDE w:val="0"/>
        <w:autoSpaceDN w:val="0"/>
        <w:adjustRightInd w:val="0"/>
        <w:spacing w:after="140" w:line="288" w:lineRule="auto"/>
        <w:rPr>
          <w:rFonts w:ascii="Cambria" w:hAnsi="Cambria"/>
          <w:noProof/>
        </w:rPr>
      </w:pPr>
    </w:p>
    <w:p w14:paraId="411CC255"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13. </w:t>
      </w:r>
      <w:r w:rsidRPr="004B62B5">
        <w:rPr>
          <w:rFonts w:ascii="Cambria" w:hAnsi="Cambria"/>
          <w:noProof/>
        </w:rPr>
        <w:tab/>
        <w:t xml:space="preserve">Bolton JL, Smith SH, Huff NC, </w:t>
      </w:r>
      <w:r w:rsidRPr="004B62B5">
        <w:rPr>
          <w:rFonts w:ascii="Cambria" w:hAnsi="Cambria"/>
          <w:i/>
          <w:iCs/>
          <w:noProof/>
        </w:rPr>
        <w:t>et al.</w:t>
      </w:r>
      <w:r w:rsidRPr="004B62B5">
        <w:rPr>
          <w:rFonts w:ascii="Cambria" w:hAnsi="Cambria"/>
          <w:noProof/>
        </w:rPr>
        <w:t xml:space="preserve"> Prenatal air pollution exposure induces neuroinflammation and predisposes offspring to weight gain in adulthood in a sex-specific manner. </w:t>
      </w:r>
      <w:r w:rsidRPr="004B62B5">
        <w:rPr>
          <w:rFonts w:ascii="Cambria" w:hAnsi="Cambria"/>
          <w:i/>
          <w:iCs/>
          <w:noProof/>
        </w:rPr>
        <w:t>FASEB J</w:t>
      </w:r>
      <w:r w:rsidRPr="004B62B5">
        <w:rPr>
          <w:rFonts w:ascii="Cambria" w:hAnsi="Cambria"/>
          <w:noProof/>
        </w:rPr>
        <w:t xml:space="preserve"> 2012;26:4743–4754.</w:t>
      </w:r>
    </w:p>
    <w:p w14:paraId="075816A4" w14:textId="77777777" w:rsidR="004B62B5" w:rsidRPr="004B62B5" w:rsidRDefault="004B62B5">
      <w:pPr>
        <w:widowControl w:val="0"/>
        <w:autoSpaceDE w:val="0"/>
        <w:autoSpaceDN w:val="0"/>
        <w:adjustRightInd w:val="0"/>
        <w:spacing w:after="140" w:line="288" w:lineRule="auto"/>
        <w:rPr>
          <w:rFonts w:ascii="Cambria" w:hAnsi="Cambria"/>
          <w:noProof/>
        </w:rPr>
      </w:pPr>
    </w:p>
    <w:p w14:paraId="59694A4C"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14. </w:t>
      </w:r>
      <w:r w:rsidRPr="004B62B5">
        <w:rPr>
          <w:rFonts w:ascii="Cambria" w:hAnsi="Cambria"/>
          <w:noProof/>
        </w:rPr>
        <w:tab/>
        <w:t xml:space="preserve">Westbrook DG, Anderson PG, Pinkerton KE, Ballinger SW. Perinatal tobacco smoke exposure increases vascular oxidative stress and mitochondrial damage in non-human primates. </w:t>
      </w:r>
      <w:r w:rsidRPr="004B62B5">
        <w:rPr>
          <w:rFonts w:ascii="Cambria" w:hAnsi="Cambria"/>
          <w:i/>
          <w:iCs/>
          <w:noProof/>
        </w:rPr>
        <w:t>Cardiovasc Toxicol</w:t>
      </w:r>
      <w:r w:rsidRPr="004B62B5">
        <w:rPr>
          <w:rFonts w:ascii="Cambria" w:hAnsi="Cambria"/>
          <w:noProof/>
        </w:rPr>
        <w:t xml:space="preserve"> 2010;10:216–226.</w:t>
      </w:r>
    </w:p>
    <w:p w14:paraId="375432B5" w14:textId="77777777" w:rsidR="004B62B5" w:rsidRPr="004B62B5" w:rsidRDefault="004B62B5">
      <w:pPr>
        <w:widowControl w:val="0"/>
        <w:autoSpaceDE w:val="0"/>
        <w:autoSpaceDN w:val="0"/>
        <w:adjustRightInd w:val="0"/>
        <w:spacing w:after="140" w:line="288" w:lineRule="auto"/>
        <w:rPr>
          <w:rFonts w:ascii="Cambria" w:hAnsi="Cambria"/>
          <w:noProof/>
        </w:rPr>
      </w:pPr>
    </w:p>
    <w:p w14:paraId="342A0F37"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15. </w:t>
      </w:r>
      <w:r w:rsidRPr="004B62B5">
        <w:rPr>
          <w:rFonts w:ascii="Cambria" w:hAnsi="Cambria"/>
          <w:noProof/>
        </w:rPr>
        <w:tab/>
        <w:t xml:space="preserve">Li R, Kou X, Geng H, </w:t>
      </w:r>
      <w:r w:rsidRPr="004B62B5">
        <w:rPr>
          <w:rFonts w:ascii="Cambria" w:hAnsi="Cambria"/>
          <w:i/>
          <w:iCs/>
          <w:noProof/>
        </w:rPr>
        <w:t>et al.</w:t>
      </w:r>
      <w:r w:rsidRPr="004B62B5">
        <w:rPr>
          <w:rFonts w:ascii="Cambria" w:hAnsi="Cambria"/>
          <w:noProof/>
        </w:rPr>
        <w:t xml:space="preserve"> Mitochondrial damage: An important mechanism of ambient PM2.5 exposure-induced acute heart injury in rats. </w:t>
      </w:r>
      <w:r w:rsidRPr="004B62B5">
        <w:rPr>
          <w:rFonts w:ascii="Cambria" w:hAnsi="Cambria"/>
          <w:i/>
          <w:iCs/>
          <w:noProof/>
        </w:rPr>
        <w:t>J Hazard Mater</w:t>
      </w:r>
      <w:r w:rsidRPr="004B62B5">
        <w:rPr>
          <w:rFonts w:ascii="Cambria" w:hAnsi="Cambria"/>
          <w:noProof/>
        </w:rPr>
        <w:t xml:space="preserve"> 2015;287C:392–401.</w:t>
      </w:r>
    </w:p>
    <w:p w14:paraId="4C967311" w14:textId="77777777" w:rsidR="004B62B5" w:rsidRPr="004B62B5" w:rsidRDefault="004B62B5">
      <w:pPr>
        <w:widowControl w:val="0"/>
        <w:autoSpaceDE w:val="0"/>
        <w:autoSpaceDN w:val="0"/>
        <w:adjustRightInd w:val="0"/>
        <w:spacing w:after="140" w:line="288" w:lineRule="auto"/>
        <w:rPr>
          <w:rFonts w:ascii="Cambria" w:hAnsi="Cambria"/>
          <w:noProof/>
        </w:rPr>
      </w:pPr>
    </w:p>
    <w:p w14:paraId="42C934F5"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16. </w:t>
      </w:r>
      <w:r w:rsidRPr="004B62B5">
        <w:rPr>
          <w:rFonts w:ascii="Cambria" w:hAnsi="Cambria"/>
          <w:noProof/>
        </w:rPr>
        <w:tab/>
        <w:t xml:space="preserve">Hoeks J, Schrauwen P. Muscle mitochondria and insulin resistance: a human perspective. </w:t>
      </w:r>
      <w:r w:rsidRPr="004B62B5">
        <w:rPr>
          <w:rFonts w:ascii="Cambria" w:hAnsi="Cambria"/>
          <w:i/>
          <w:iCs/>
          <w:noProof/>
        </w:rPr>
        <w:t>Trends Endocrinol Metab</w:t>
      </w:r>
      <w:r w:rsidRPr="004B62B5">
        <w:rPr>
          <w:rFonts w:ascii="Cambria" w:hAnsi="Cambria"/>
          <w:noProof/>
        </w:rPr>
        <w:t xml:space="preserve"> 2012;23:444–450.</w:t>
      </w:r>
    </w:p>
    <w:p w14:paraId="3C01766B" w14:textId="77777777" w:rsidR="004B62B5" w:rsidRPr="004B62B5" w:rsidRDefault="004B62B5">
      <w:pPr>
        <w:widowControl w:val="0"/>
        <w:autoSpaceDE w:val="0"/>
        <w:autoSpaceDN w:val="0"/>
        <w:adjustRightInd w:val="0"/>
        <w:spacing w:after="140" w:line="288" w:lineRule="auto"/>
        <w:rPr>
          <w:rFonts w:ascii="Cambria" w:hAnsi="Cambria"/>
          <w:noProof/>
        </w:rPr>
      </w:pPr>
    </w:p>
    <w:p w14:paraId="1F28B16D"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17. </w:t>
      </w:r>
      <w:r w:rsidRPr="004B62B5">
        <w:rPr>
          <w:rFonts w:ascii="Cambria" w:hAnsi="Cambria"/>
          <w:noProof/>
        </w:rPr>
        <w:tab/>
        <w:t xml:space="preserve">Russell AP, Foletta VC, Snow RJ, Wadley GD. Skeletal muscle mitochondria: A major player in exercise, health and disease. </w:t>
      </w:r>
      <w:r w:rsidRPr="004B62B5">
        <w:rPr>
          <w:rFonts w:ascii="Cambria" w:hAnsi="Cambria"/>
          <w:i/>
          <w:iCs/>
          <w:noProof/>
        </w:rPr>
        <w:t>Biochim Biophys Acta - Gen Subj</w:t>
      </w:r>
      <w:r w:rsidRPr="004B62B5">
        <w:rPr>
          <w:rFonts w:ascii="Cambria" w:hAnsi="Cambria"/>
          <w:noProof/>
        </w:rPr>
        <w:t xml:space="preserve"> 2014;1840:1276–1284.</w:t>
      </w:r>
    </w:p>
    <w:p w14:paraId="772B722B" w14:textId="77777777" w:rsidR="004B62B5" w:rsidRPr="004B62B5" w:rsidRDefault="004B62B5">
      <w:pPr>
        <w:widowControl w:val="0"/>
        <w:autoSpaceDE w:val="0"/>
        <w:autoSpaceDN w:val="0"/>
        <w:adjustRightInd w:val="0"/>
        <w:spacing w:after="140" w:line="288" w:lineRule="auto"/>
        <w:rPr>
          <w:rFonts w:ascii="Cambria" w:hAnsi="Cambria"/>
          <w:noProof/>
        </w:rPr>
      </w:pPr>
    </w:p>
    <w:p w14:paraId="58C7D813"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18. </w:t>
      </w:r>
      <w:r w:rsidRPr="004B62B5">
        <w:rPr>
          <w:rFonts w:ascii="Cambria" w:hAnsi="Cambria"/>
          <w:noProof/>
        </w:rPr>
        <w:tab/>
        <w:t xml:space="preserve">Stephenson EJ, Hawley J a. Mitochondrial function in metabolic health: A genetic and environmental tug of war. </w:t>
      </w:r>
      <w:r w:rsidRPr="004B62B5">
        <w:rPr>
          <w:rFonts w:ascii="Cambria" w:hAnsi="Cambria"/>
          <w:i/>
          <w:iCs/>
          <w:noProof/>
        </w:rPr>
        <w:t>Biochim Biophys Acta - Gen Subj</w:t>
      </w:r>
      <w:r w:rsidRPr="004B62B5">
        <w:rPr>
          <w:rFonts w:ascii="Cambria" w:hAnsi="Cambria"/>
          <w:noProof/>
        </w:rPr>
        <w:t xml:space="preserve"> 2014;1840:1285–1294.</w:t>
      </w:r>
    </w:p>
    <w:p w14:paraId="05B945DF" w14:textId="77777777" w:rsidR="004B62B5" w:rsidRPr="004B62B5" w:rsidRDefault="004B62B5">
      <w:pPr>
        <w:widowControl w:val="0"/>
        <w:autoSpaceDE w:val="0"/>
        <w:autoSpaceDN w:val="0"/>
        <w:adjustRightInd w:val="0"/>
        <w:spacing w:after="140" w:line="288" w:lineRule="auto"/>
        <w:rPr>
          <w:rFonts w:ascii="Cambria" w:hAnsi="Cambria"/>
          <w:noProof/>
        </w:rPr>
      </w:pPr>
    </w:p>
    <w:p w14:paraId="2FBA1DE1"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19. </w:t>
      </w:r>
      <w:r w:rsidRPr="004B62B5">
        <w:rPr>
          <w:rFonts w:ascii="Cambria" w:hAnsi="Cambria"/>
          <w:noProof/>
        </w:rPr>
        <w:tab/>
        <w:t xml:space="preserve">Brown LD. Endocrine regulation of fetal skeletal muscle growth: impact on future metabolic health. </w:t>
      </w:r>
      <w:r w:rsidRPr="004B62B5">
        <w:rPr>
          <w:rFonts w:ascii="Cambria" w:hAnsi="Cambria"/>
          <w:i/>
          <w:iCs/>
          <w:noProof/>
        </w:rPr>
        <w:t>J Endocrinol</w:t>
      </w:r>
      <w:r w:rsidRPr="004B62B5">
        <w:rPr>
          <w:rFonts w:ascii="Cambria" w:hAnsi="Cambria"/>
          <w:noProof/>
        </w:rPr>
        <w:t xml:space="preserve"> 2014;221:R13–29.</w:t>
      </w:r>
    </w:p>
    <w:p w14:paraId="12191E7A" w14:textId="77777777" w:rsidR="004B62B5" w:rsidRPr="004B62B5" w:rsidRDefault="004B62B5">
      <w:pPr>
        <w:widowControl w:val="0"/>
        <w:autoSpaceDE w:val="0"/>
        <w:autoSpaceDN w:val="0"/>
        <w:adjustRightInd w:val="0"/>
        <w:spacing w:after="140" w:line="288" w:lineRule="auto"/>
        <w:rPr>
          <w:rFonts w:ascii="Cambria" w:hAnsi="Cambria"/>
          <w:noProof/>
        </w:rPr>
      </w:pPr>
    </w:p>
    <w:p w14:paraId="68B2EAB6"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20. </w:t>
      </w:r>
      <w:r w:rsidRPr="004B62B5">
        <w:rPr>
          <w:rFonts w:ascii="Cambria" w:hAnsi="Cambria"/>
          <w:noProof/>
        </w:rPr>
        <w:tab/>
        <w:t xml:space="preserve">Srere PA. Citrate synthase. In: </w:t>
      </w:r>
      <w:r w:rsidRPr="004B62B5">
        <w:rPr>
          <w:rFonts w:ascii="Cambria" w:hAnsi="Cambria"/>
          <w:i/>
          <w:iCs/>
          <w:noProof/>
        </w:rPr>
        <w:t>Methods in enzymology</w:t>
      </w:r>
      <w:r w:rsidRPr="004B62B5">
        <w:rPr>
          <w:rFonts w:ascii="Cambria" w:hAnsi="Cambria"/>
          <w:noProof/>
        </w:rPr>
        <w:t>., 1969, pp 3–11.</w:t>
      </w:r>
    </w:p>
    <w:p w14:paraId="32E33164" w14:textId="77777777" w:rsidR="004B62B5" w:rsidRPr="004B62B5" w:rsidRDefault="004B62B5">
      <w:pPr>
        <w:widowControl w:val="0"/>
        <w:autoSpaceDE w:val="0"/>
        <w:autoSpaceDN w:val="0"/>
        <w:adjustRightInd w:val="0"/>
        <w:spacing w:after="140" w:line="288" w:lineRule="auto"/>
        <w:rPr>
          <w:rFonts w:ascii="Cambria" w:hAnsi="Cambria"/>
          <w:noProof/>
        </w:rPr>
      </w:pPr>
    </w:p>
    <w:p w14:paraId="50EAAB09"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21. </w:t>
      </w:r>
      <w:r w:rsidRPr="004B62B5">
        <w:rPr>
          <w:rFonts w:ascii="Cambria" w:hAnsi="Cambria"/>
          <w:noProof/>
        </w:rPr>
        <w:tab/>
        <w:t>R Core Team. R: A Language and Environment for Statistical Computing. 2013.</w:t>
      </w:r>
    </w:p>
    <w:p w14:paraId="55B04CB6" w14:textId="77777777" w:rsidR="004B62B5" w:rsidRPr="004B62B5" w:rsidRDefault="004B62B5">
      <w:pPr>
        <w:widowControl w:val="0"/>
        <w:autoSpaceDE w:val="0"/>
        <w:autoSpaceDN w:val="0"/>
        <w:adjustRightInd w:val="0"/>
        <w:spacing w:after="140" w:line="288" w:lineRule="auto"/>
        <w:rPr>
          <w:rFonts w:ascii="Cambria" w:hAnsi="Cambria"/>
          <w:noProof/>
        </w:rPr>
      </w:pPr>
    </w:p>
    <w:p w14:paraId="677BD727"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22. </w:t>
      </w:r>
      <w:r w:rsidRPr="004B62B5">
        <w:rPr>
          <w:rFonts w:ascii="Cambria" w:hAnsi="Cambria"/>
          <w:noProof/>
        </w:rPr>
        <w:tab/>
        <w:t xml:space="preserve">Bates D, Mächler M, Bolker B, Walker S. Fitting Linear Mixed-Effects Models using lme4. </w:t>
      </w:r>
      <w:r w:rsidRPr="004B62B5">
        <w:rPr>
          <w:rFonts w:ascii="Cambria" w:hAnsi="Cambria"/>
          <w:i/>
          <w:iCs/>
          <w:noProof/>
        </w:rPr>
        <w:t>ArXiv</w:t>
      </w:r>
      <w:r w:rsidRPr="004B62B5">
        <w:rPr>
          <w:rFonts w:ascii="Cambria" w:hAnsi="Cambria"/>
          <w:noProof/>
        </w:rPr>
        <w:t xml:space="preserve"> 2014;1406.5823:1–51.</w:t>
      </w:r>
    </w:p>
    <w:p w14:paraId="14F9E8BC" w14:textId="77777777" w:rsidR="004B62B5" w:rsidRPr="004B62B5" w:rsidRDefault="004B62B5">
      <w:pPr>
        <w:widowControl w:val="0"/>
        <w:autoSpaceDE w:val="0"/>
        <w:autoSpaceDN w:val="0"/>
        <w:adjustRightInd w:val="0"/>
        <w:spacing w:after="140" w:line="288" w:lineRule="auto"/>
        <w:rPr>
          <w:rFonts w:ascii="Cambria" w:hAnsi="Cambria"/>
          <w:noProof/>
        </w:rPr>
      </w:pPr>
    </w:p>
    <w:p w14:paraId="5262278C"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23. </w:t>
      </w:r>
      <w:r w:rsidRPr="004B62B5">
        <w:rPr>
          <w:rFonts w:ascii="Cambria" w:hAnsi="Cambria"/>
          <w:noProof/>
        </w:rPr>
        <w:tab/>
        <w:t xml:space="preserve">Fox J, Weisberg S. </w:t>
      </w:r>
      <w:r w:rsidRPr="004B62B5">
        <w:rPr>
          <w:rFonts w:ascii="Cambria" w:hAnsi="Cambria"/>
          <w:i/>
          <w:iCs/>
          <w:noProof/>
        </w:rPr>
        <w:t>An {R} Companion to Applied Regression</w:t>
      </w:r>
      <w:r w:rsidRPr="004B62B5">
        <w:rPr>
          <w:rFonts w:ascii="Cambria" w:hAnsi="Cambria"/>
          <w:noProof/>
        </w:rPr>
        <w:t>. Second. Thousand Oaks {CA}: Sage; 2011.</w:t>
      </w:r>
    </w:p>
    <w:p w14:paraId="1A9408FE" w14:textId="77777777" w:rsidR="004B62B5" w:rsidRPr="004B62B5" w:rsidRDefault="004B62B5">
      <w:pPr>
        <w:widowControl w:val="0"/>
        <w:autoSpaceDE w:val="0"/>
        <w:autoSpaceDN w:val="0"/>
        <w:adjustRightInd w:val="0"/>
        <w:spacing w:after="140" w:line="288" w:lineRule="auto"/>
        <w:rPr>
          <w:rFonts w:ascii="Cambria" w:hAnsi="Cambria"/>
          <w:noProof/>
        </w:rPr>
      </w:pPr>
    </w:p>
    <w:p w14:paraId="3C29B7AA"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24. </w:t>
      </w:r>
      <w:r w:rsidRPr="004B62B5">
        <w:rPr>
          <w:rFonts w:ascii="Cambria" w:hAnsi="Cambria"/>
          <w:noProof/>
        </w:rPr>
        <w:tab/>
        <w:t xml:space="preserve">Tschöp MH, Speakman JR, Arch JRS, </w:t>
      </w:r>
      <w:r w:rsidRPr="004B62B5">
        <w:rPr>
          <w:rFonts w:ascii="Cambria" w:hAnsi="Cambria"/>
          <w:i/>
          <w:iCs/>
          <w:noProof/>
        </w:rPr>
        <w:t>et al.</w:t>
      </w:r>
      <w:r w:rsidRPr="004B62B5">
        <w:rPr>
          <w:rFonts w:ascii="Cambria" w:hAnsi="Cambria"/>
          <w:noProof/>
        </w:rPr>
        <w:t xml:space="preserve"> A guide to analysis of mouse energy metabolism. </w:t>
      </w:r>
      <w:r w:rsidRPr="004B62B5">
        <w:rPr>
          <w:rFonts w:ascii="Cambria" w:hAnsi="Cambria"/>
          <w:i/>
          <w:iCs/>
          <w:noProof/>
        </w:rPr>
        <w:t>Nat Methods</w:t>
      </w:r>
      <w:r w:rsidRPr="004B62B5">
        <w:rPr>
          <w:rFonts w:ascii="Cambria" w:hAnsi="Cambria"/>
          <w:noProof/>
        </w:rPr>
        <w:t xml:space="preserve"> 2011;9:57–63.</w:t>
      </w:r>
    </w:p>
    <w:p w14:paraId="2777C1DC" w14:textId="77777777" w:rsidR="004B62B5" w:rsidRPr="004B62B5" w:rsidRDefault="004B62B5">
      <w:pPr>
        <w:widowControl w:val="0"/>
        <w:autoSpaceDE w:val="0"/>
        <w:autoSpaceDN w:val="0"/>
        <w:adjustRightInd w:val="0"/>
        <w:spacing w:after="140" w:line="288" w:lineRule="auto"/>
        <w:rPr>
          <w:rFonts w:ascii="Cambria" w:hAnsi="Cambria"/>
          <w:noProof/>
        </w:rPr>
      </w:pPr>
    </w:p>
    <w:p w14:paraId="3854EB3D"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25. </w:t>
      </w:r>
      <w:r w:rsidRPr="004B62B5">
        <w:rPr>
          <w:rFonts w:ascii="Cambria" w:hAnsi="Cambria"/>
          <w:noProof/>
        </w:rPr>
        <w:tab/>
        <w:t xml:space="preserve">Hill A V., Long CNH, Lupton H. Muscular Exercise, Lactic Acid, and the Supply and Utilisation of Oxygen. </w:t>
      </w:r>
      <w:r w:rsidRPr="004B62B5">
        <w:rPr>
          <w:rFonts w:ascii="Cambria" w:hAnsi="Cambria"/>
          <w:i/>
          <w:iCs/>
          <w:noProof/>
        </w:rPr>
        <w:t>Proc R Soc B Biol Sci</w:t>
      </w:r>
      <w:r w:rsidRPr="004B62B5">
        <w:rPr>
          <w:rFonts w:ascii="Cambria" w:hAnsi="Cambria"/>
          <w:noProof/>
        </w:rPr>
        <w:t xml:space="preserve"> 1924;96:438–475.</w:t>
      </w:r>
    </w:p>
    <w:p w14:paraId="2CD16697" w14:textId="77777777" w:rsidR="004B62B5" w:rsidRPr="004B62B5" w:rsidRDefault="004B62B5">
      <w:pPr>
        <w:widowControl w:val="0"/>
        <w:autoSpaceDE w:val="0"/>
        <w:autoSpaceDN w:val="0"/>
        <w:adjustRightInd w:val="0"/>
        <w:spacing w:after="140" w:line="288" w:lineRule="auto"/>
        <w:rPr>
          <w:rFonts w:ascii="Cambria" w:hAnsi="Cambria"/>
          <w:noProof/>
        </w:rPr>
      </w:pPr>
    </w:p>
    <w:p w14:paraId="78598A1D"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26. </w:t>
      </w:r>
      <w:r w:rsidRPr="004B62B5">
        <w:rPr>
          <w:rFonts w:ascii="Cambria" w:hAnsi="Cambria"/>
          <w:noProof/>
        </w:rPr>
        <w:tab/>
        <w:t xml:space="preserve">Larsen S, Nielsen J, Hansen CN, </w:t>
      </w:r>
      <w:r w:rsidRPr="004B62B5">
        <w:rPr>
          <w:rFonts w:ascii="Cambria" w:hAnsi="Cambria"/>
          <w:i/>
          <w:iCs/>
          <w:noProof/>
        </w:rPr>
        <w:t>et al.</w:t>
      </w:r>
      <w:r w:rsidRPr="004B62B5">
        <w:rPr>
          <w:rFonts w:ascii="Cambria" w:hAnsi="Cambria"/>
          <w:noProof/>
        </w:rPr>
        <w:t xml:space="preserve"> Biomarkers of mitochondrial content in skeletal muscle of healthy young human subjects. </w:t>
      </w:r>
      <w:r w:rsidRPr="004B62B5">
        <w:rPr>
          <w:rFonts w:ascii="Cambria" w:hAnsi="Cambria"/>
          <w:i/>
          <w:iCs/>
          <w:noProof/>
        </w:rPr>
        <w:t>J Physiol</w:t>
      </w:r>
      <w:r w:rsidRPr="004B62B5">
        <w:rPr>
          <w:rFonts w:ascii="Cambria" w:hAnsi="Cambria"/>
          <w:noProof/>
        </w:rPr>
        <w:t xml:space="preserve"> 2012;590:3349–60.</w:t>
      </w:r>
    </w:p>
    <w:p w14:paraId="1E1483E2" w14:textId="77777777" w:rsidR="004B62B5" w:rsidRPr="004B62B5" w:rsidRDefault="004B62B5">
      <w:pPr>
        <w:widowControl w:val="0"/>
        <w:autoSpaceDE w:val="0"/>
        <w:autoSpaceDN w:val="0"/>
        <w:adjustRightInd w:val="0"/>
        <w:spacing w:after="140" w:line="288" w:lineRule="auto"/>
        <w:rPr>
          <w:rFonts w:ascii="Cambria" w:hAnsi="Cambria"/>
          <w:noProof/>
        </w:rPr>
      </w:pPr>
    </w:p>
    <w:p w14:paraId="141426A2"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27. </w:t>
      </w:r>
      <w:r w:rsidRPr="004B62B5">
        <w:rPr>
          <w:rFonts w:ascii="Cambria" w:hAnsi="Cambria"/>
          <w:noProof/>
        </w:rPr>
        <w:tab/>
        <w:t xml:space="preserve">Zurlo F, Larson K, Bogardus C, Ravussin E. Skeletal muscle metabolism is a major determinant of resting energy expenditure. </w:t>
      </w:r>
      <w:r w:rsidRPr="004B62B5">
        <w:rPr>
          <w:rFonts w:ascii="Cambria" w:hAnsi="Cambria"/>
          <w:i/>
          <w:iCs/>
          <w:noProof/>
        </w:rPr>
        <w:t>J Clin Invest</w:t>
      </w:r>
      <w:r w:rsidRPr="004B62B5">
        <w:rPr>
          <w:rFonts w:ascii="Cambria" w:hAnsi="Cambria"/>
          <w:noProof/>
        </w:rPr>
        <w:t xml:space="preserve"> 1990;86:1423.</w:t>
      </w:r>
    </w:p>
    <w:p w14:paraId="641ACACC" w14:textId="77777777" w:rsidR="004B62B5" w:rsidRPr="004B62B5" w:rsidRDefault="004B62B5">
      <w:pPr>
        <w:widowControl w:val="0"/>
        <w:autoSpaceDE w:val="0"/>
        <w:autoSpaceDN w:val="0"/>
        <w:adjustRightInd w:val="0"/>
        <w:spacing w:after="140" w:line="288" w:lineRule="auto"/>
        <w:rPr>
          <w:rFonts w:ascii="Cambria" w:hAnsi="Cambria"/>
          <w:noProof/>
        </w:rPr>
      </w:pPr>
    </w:p>
    <w:p w14:paraId="72E2EBEB"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28. </w:t>
      </w:r>
      <w:r w:rsidRPr="004B62B5">
        <w:rPr>
          <w:rFonts w:ascii="Cambria" w:hAnsi="Cambria"/>
          <w:noProof/>
        </w:rPr>
        <w:tab/>
        <w:t xml:space="preserve">Taivassalo T, Jensen TD, Kennaway N, DiMauro S, Vissing J, Haller RG. The spectrum of exercise tolerance in mitochondrial myopathies: a study of 40 patients. </w:t>
      </w:r>
      <w:r w:rsidRPr="004B62B5">
        <w:rPr>
          <w:rFonts w:ascii="Cambria" w:hAnsi="Cambria"/>
          <w:i/>
          <w:iCs/>
          <w:noProof/>
        </w:rPr>
        <w:t>Brain</w:t>
      </w:r>
      <w:r w:rsidRPr="004B62B5">
        <w:rPr>
          <w:rFonts w:ascii="Cambria" w:hAnsi="Cambria"/>
          <w:noProof/>
        </w:rPr>
        <w:t xml:space="preserve"> 2003;126:413–23.</w:t>
      </w:r>
    </w:p>
    <w:p w14:paraId="06818139" w14:textId="77777777" w:rsidR="004B62B5" w:rsidRPr="004B62B5" w:rsidRDefault="004B62B5">
      <w:pPr>
        <w:widowControl w:val="0"/>
        <w:autoSpaceDE w:val="0"/>
        <w:autoSpaceDN w:val="0"/>
        <w:adjustRightInd w:val="0"/>
        <w:spacing w:after="140" w:line="288" w:lineRule="auto"/>
        <w:rPr>
          <w:rFonts w:ascii="Cambria" w:hAnsi="Cambria"/>
          <w:noProof/>
        </w:rPr>
      </w:pPr>
    </w:p>
    <w:p w14:paraId="31471C15"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29. </w:t>
      </w:r>
      <w:r w:rsidRPr="004B62B5">
        <w:rPr>
          <w:rFonts w:ascii="Cambria" w:hAnsi="Cambria"/>
          <w:noProof/>
        </w:rPr>
        <w:tab/>
        <w:t xml:space="preserve">Roberts JD, Voss JD, Knight B. The association of ambient air pollution and physical inactivity in the United States. </w:t>
      </w:r>
      <w:r w:rsidRPr="004B62B5">
        <w:rPr>
          <w:rFonts w:ascii="Cambria" w:hAnsi="Cambria"/>
          <w:i/>
          <w:iCs/>
          <w:noProof/>
        </w:rPr>
        <w:t>PLoS One</w:t>
      </w:r>
      <w:r w:rsidRPr="004B62B5">
        <w:rPr>
          <w:rFonts w:ascii="Cambria" w:hAnsi="Cambria"/>
          <w:noProof/>
        </w:rPr>
        <w:t xml:space="preserve"> 2014;9:e90143.</w:t>
      </w:r>
    </w:p>
    <w:p w14:paraId="100D2A33" w14:textId="77777777" w:rsidR="004B62B5" w:rsidRPr="004B62B5" w:rsidRDefault="004B62B5">
      <w:pPr>
        <w:widowControl w:val="0"/>
        <w:autoSpaceDE w:val="0"/>
        <w:autoSpaceDN w:val="0"/>
        <w:adjustRightInd w:val="0"/>
        <w:spacing w:after="140" w:line="288" w:lineRule="auto"/>
        <w:rPr>
          <w:rFonts w:ascii="Cambria" w:hAnsi="Cambria"/>
          <w:noProof/>
        </w:rPr>
      </w:pPr>
    </w:p>
    <w:p w14:paraId="64188E76"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30. </w:t>
      </w:r>
      <w:r w:rsidRPr="004B62B5">
        <w:rPr>
          <w:rFonts w:ascii="Cambria" w:hAnsi="Cambria"/>
          <w:noProof/>
        </w:rPr>
        <w:tab/>
        <w:t xml:space="preserve">Marr LC, Ely MR. Effect of air pollution on marathon running performance. </w:t>
      </w:r>
      <w:r w:rsidRPr="004B62B5">
        <w:rPr>
          <w:rFonts w:ascii="Cambria" w:hAnsi="Cambria"/>
          <w:i/>
          <w:iCs/>
          <w:noProof/>
        </w:rPr>
        <w:t>Med Sci Sports Exerc</w:t>
      </w:r>
      <w:r w:rsidRPr="004B62B5">
        <w:rPr>
          <w:rFonts w:ascii="Cambria" w:hAnsi="Cambria"/>
          <w:noProof/>
        </w:rPr>
        <w:t xml:space="preserve"> 2010;42:585–91.</w:t>
      </w:r>
    </w:p>
    <w:p w14:paraId="1D1E3DF4" w14:textId="77777777" w:rsidR="004B62B5" w:rsidRPr="004B62B5" w:rsidRDefault="004B62B5">
      <w:pPr>
        <w:widowControl w:val="0"/>
        <w:autoSpaceDE w:val="0"/>
        <w:autoSpaceDN w:val="0"/>
        <w:adjustRightInd w:val="0"/>
        <w:spacing w:after="140" w:line="288" w:lineRule="auto"/>
        <w:rPr>
          <w:rFonts w:ascii="Cambria" w:hAnsi="Cambria"/>
          <w:noProof/>
        </w:rPr>
      </w:pPr>
    </w:p>
    <w:p w14:paraId="2C3B8180"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31. </w:t>
      </w:r>
      <w:r w:rsidRPr="004B62B5">
        <w:rPr>
          <w:rFonts w:ascii="Cambria" w:hAnsi="Cambria"/>
          <w:noProof/>
        </w:rPr>
        <w:tab/>
        <w:t xml:space="preserve">Cutrufello PT, Rundell KW, Smoliga JM, Stylianides GA. Inhaled whole exhaust and its effect on exercise performance and vascular function. </w:t>
      </w:r>
      <w:r w:rsidRPr="004B62B5">
        <w:rPr>
          <w:rFonts w:ascii="Cambria" w:hAnsi="Cambria"/>
          <w:i/>
          <w:iCs/>
          <w:noProof/>
        </w:rPr>
        <w:t>Inhal Toxicol</w:t>
      </w:r>
      <w:r w:rsidRPr="004B62B5">
        <w:rPr>
          <w:rFonts w:ascii="Cambria" w:hAnsi="Cambria"/>
          <w:noProof/>
        </w:rPr>
        <w:t xml:space="preserve"> 2011;23:658–67.</w:t>
      </w:r>
    </w:p>
    <w:p w14:paraId="01E3C666" w14:textId="77777777" w:rsidR="004B62B5" w:rsidRPr="004B62B5" w:rsidRDefault="004B62B5">
      <w:pPr>
        <w:widowControl w:val="0"/>
        <w:autoSpaceDE w:val="0"/>
        <w:autoSpaceDN w:val="0"/>
        <w:adjustRightInd w:val="0"/>
        <w:spacing w:after="140" w:line="288" w:lineRule="auto"/>
        <w:rPr>
          <w:rFonts w:ascii="Cambria" w:hAnsi="Cambria"/>
          <w:noProof/>
        </w:rPr>
      </w:pPr>
    </w:p>
    <w:p w14:paraId="1A3EE1B1"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32. </w:t>
      </w:r>
      <w:r w:rsidRPr="004B62B5">
        <w:rPr>
          <w:rFonts w:ascii="Cambria" w:hAnsi="Cambria"/>
          <w:noProof/>
        </w:rPr>
        <w:tab/>
        <w:t xml:space="preserve">Rundell KW, Caviston R. Ultrafine and fine particulate matter inhalation decreases exercise performance in healthy subjects. </w:t>
      </w:r>
      <w:r w:rsidRPr="004B62B5">
        <w:rPr>
          <w:rFonts w:ascii="Cambria" w:hAnsi="Cambria"/>
          <w:i/>
          <w:iCs/>
          <w:noProof/>
        </w:rPr>
        <w:t>J Strength Cond Res</w:t>
      </w:r>
      <w:r w:rsidRPr="004B62B5">
        <w:rPr>
          <w:rFonts w:ascii="Cambria" w:hAnsi="Cambria"/>
          <w:noProof/>
        </w:rPr>
        <w:t xml:space="preserve"> 2008;22:2–5.</w:t>
      </w:r>
    </w:p>
    <w:p w14:paraId="79650456" w14:textId="77777777" w:rsidR="004B62B5" w:rsidRPr="004B62B5" w:rsidRDefault="004B62B5">
      <w:pPr>
        <w:widowControl w:val="0"/>
        <w:autoSpaceDE w:val="0"/>
        <w:autoSpaceDN w:val="0"/>
        <w:adjustRightInd w:val="0"/>
        <w:spacing w:after="140" w:line="288" w:lineRule="auto"/>
        <w:rPr>
          <w:rFonts w:ascii="Cambria" w:hAnsi="Cambria"/>
          <w:noProof/>
        </w:rPr>
      </w:pPr>
    </w:p>
    <w:p w14:paraId="33646190"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33. </w:t>
      </w:r>
      <w:r w:rsidRPr="004B62B5">
        <w:rPr>
          <w:rFonts w:ascii="Cambria" w:hAnsi="Cambria"/>
          <w:noProof/>
        </w:rPr>
        <w:tab/>
        <w:t xml:space="preserve">Janssen BG, Munters E, Pieters N, </w:t>
      </w:r>
      <w:r w:rsidRPr="004B62B5">
        <w:rPr>
          <w:rFonts w:ascii="Cambria" w:hAnsi="Cambria"/>
          <w:i/>
          <w:iCs/>
          <w:noProof/>
        </w:rPr>
        <w:t>et al.</w:t>
      </w:r>
      <w:r w:rsidRPr="004B62B5">
        <w:rPr>
          <w:rFonts w:ascii="Cambria" w:hAnsi="Cambria"/>
          <w:noProof/>
        </w:rPr>
        <w:t xml:space="preserve"> Placental mitochondrial DNA content and particulate air pollution during in utero life. </w:t>
      </w:r>
      <w:r w:rsidRPr="004B62B5">
        <w:rPr>
          <w:rFonts w:ascii="Cambria" w:hAnsi="Cambria"/>
          <w:i/>
          <w:iCs/>
          <w:noProof/>
        </w:rPr>
        <w:t>Environ Health Perspect</w:t>
      </w:r>
      <w:r w:rsidRPr="004B62B5">
        <w:rPr>
          <w:rFonts w:ascii="Cambria" w:hAnsi="Cambria"/>
          <w:noProof/>
        </w:rPr>
        <w:t xml:space="preserve"> 2012;120:1346–52.</w:t>
      </w:r>
    </w:p>
    <w:p w14:paraId="2CFF90C7" w14:textId="77777777" w:rsidR="004B62B5" w:rsidRPr="004B62B5" w:rsidRDefault="004B62B5">
      <w:pPr>
        <w:widowControl w:val="0"/>
        <w:autoSpaceDE w:val="0"/>
        <w:autoSpaceDN w:val="0"/>
        <w:adjustRightInd w:val="0"/>
        <w:spacing w:after="140" w:line="288" w:lineRule="auto"/>
        <w:rPr>
          <w:rFonts w:ascii="Cambria" w:hAnsi="Cambria"/>
          <w:noProof/>
        </w:rPr>
      </w:pPr>
    </w:p>
    <w:p w14:paraId="6361F65C"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34. </w:t>
      </w:r>
      <w:r w:rsidRPr="004B62B5">
        <w:rPr>
          <w:rFonts w:ascii="Cambria" w:hAnsi="Cambria"/>
          <w:noProof/>
        </w:rPr>
        <w:tab/>
        <w:t xml:space="preserve">Chen J-C, Schwartz J. Metabolic syndrome and inflammatory responses to long-term particulate air pollutants. </w:t>
      </w:r>
      <w:r w:rsidRPr="004B62B5">
        <w:rPr>
          <w:rFonts w:ascii="Cambria" w:hAnsi="Cambria"/>
          <w:i/>
          <w:iCs/>
          <w:noProof/>
        </w:rPr>
        <w:t>Environ Health Perspect</w:t>
      </w:r>
      <w:r w:rsidRPr="004B62B5">
        <w:rPr>
          <w:rFonts w:ascii="Cambria" w:hAnsi="Cambria"/>
          <w:noProof/>
        </w:rPr>
        <w:t xml:space="preserve"> 2008;116:612–7.</w:t>
      </w:r>
    </w:p>
    <w:p w14:paraId="40351FFB" w14:textId="77777777" w:rsidR="004B62B5" w:rsidRPr="004B62B5" w:rsidRDefault="004B62B5">
      <w:pPr>
        <w:widowControl w:val="0"/>
        <w:autoSpaceDE w:val="0"/>
        <w:autoSpaceDN w:val="0"/>
        <w:adjustRightInd w:val="0"/>
        <w:spacing w:after="140" w:line="288" w:lineRule="auto"/>
        <w:rPr>
          <w:rFonts w:ascii="Cambria" w:hAnsi="Cambria"/>
          <w:noProof/>
        </w:rPr>
      </w:pPr>
    </w:p>
    <w:p w14:paraId="5118C3FD"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35. </w:t>
      </w:r>
      <w:r w:rsidRPr="004B62B5">
        <w:rPr>
          <w:rFonts w:ascii="Cambria" w:hAnsi="Cambria"/>
          <w:noProof/>
        </w:rPr>
        <w:tab/>
        <w:t xml:space="preserve">Wilson JL, Enriori PJ. Molecular and Cellular Endocrinology A talk between fat tissue , gut , pancreas and brain to control body weight. </w:t>
      </w:r>
      <w:r w:rsidRPr="004B62B5">
        <w:rPr>
          <w:rFonts w:ascii="Cambria" w:hAnsi="Cambria"/>
          <w:i/>
          <w:iCs/>
          <w:noProof/>
        </w:rPr>
        <w:t>Mol Cell Endocrinol</w:t>
      </w:r>
      <w:r w:rsidRPr="004B62B5">
        <w:rPr>
          <w:rFonts w:ascii="Cambria" w:hAnsi="Cambria"/>
          <w:noProof/>
        </w:rPr>
        <w:t xml:space="preserve"> 2015.</w:t>
      </w:r>
    </w:p>
    <w:p w14:paraId="3E2398A7" w14:textId="77777777" w:rsidR="004B62B5" w:rsidRPr="004B62B5" w:rsidRDefault="004B62B5">
      <w:pPr>
        <w:widowControl w:val="0"/>
        <w:autoSpaceDE w:val="0"/>
        <w:autoSpaceDN w:val="0"/>
        <w:adjustRightInd w:val="0"/>
        <w:spacing w:after="140" w:line="288" w:lineRule="auto"/>
        <w:rPr>
          <w:rFonts w:ascii="Cambria" w:hAnsi="Cambria"/>
          <w:noProof/>
        </w:rPr>
      </w:pPr>
    </w:p>
    <w:p w14:paraId="76A40D0A"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36. </w:t>
      </w:r>
      <w:r w:rsidRPr="004B62B5">
        <w:rPr>
          <w:rFonts w:ascii="Cambria" w:hAnsi="Cambria"/>
          <w:noProof/>
        </w:rPr>
        <w:tab/>
        <w:t xml:space="preserve">Tschöp MH, Smiley DL, Heiman ML. Ghrelin induces adiposity in rodents. </w:t>
      </w:r>
      <w:r w:rsidRPr="004B62B5">
        <w:rPr>
          <w:rFonts w:ascii="Cambria" w:hAnsi="Cambria"/>
          <w:i/>
          <w:iCs/>
          <w:noProof/>
        </w:rPr>
        <w:t>Nature</w:t>
      </w:r>
      <w:r w:rsidRPr="004B62B5">
        <w:rPr>
          <w:rFonts w:ascii="Cambria" w:hAnsi="Cambria"/>
          <w:noProof/>
        </w:rPr>
        <w:t xml:space="preserve"> 2000;407:908–13.</w:t>
      </w:r>
    </w:p>
    <w:p w14:paraId="0E9538B0" w14:textId="77777777" w:rsidR="004B62B5" w:rsidRPr="004B62B5" w:rsidRDefault="004B62B5">
      <w:pPr>
        <w:widowControl w:val="0"/>
        <w:autoSpaceDE w:val="0"/>
        <w:autoSpaceDN w:val="0"/>
        <w:adjustRightInd w:val="0"/>
        <w:spacing w:after="140" w:line="288" w:lineRule="auto"/>
        <w:rPr>
          <w:rFonts w:ascii="Cambria" w:hAnsi="Cambria"/>
          <w:noProof/>
        </w:rPr>
      </w:pPr>
    </w:p>
    <w:p w14:paraId="0DAC7BC0"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37. </w:t>
      </w:r>
      <w:r w:rsidRPr="004B62B5">
        <w:rPr>
          <w:rFonts w:ascii="Cambria" w:hAnsi="Cambria"/>
          <w:noProof/>
        </w:rPr>
        <w:tab/>
        <w:t xml:space="preserve">Toshinai K, Mondal MS, Nakazato M, </w:t>
      </w:r>
      <w:r w:rsidRPr="004B62B5">
        <w:rPr>
          <w:rFonts w:ascii="Cambria" w:hAnsi="Cambria"/>
          <w:i/>
          <w:iCs/>
          <w:noProof/>
        </w:rPr>
        <w:t>et al.</w:t>
      </w:r>
      <w:r w:rsidRPr="004B62B5">
        <w:rPr>
          <w:rFonts w:ascii="Cambria" w:hAnsi="Cambria"/>
          <w:noProof/>
        </w:rPr>
        <w:t xml:space="preserve"> Upregulation of Ghrelin expression in the stomach upon fasting, insulin-induced hypoglycemia, and leptin administration. </w:t>
      </w:r>
      <w:r w:rsidRPr="004B62B5">
        <w:rPr>
          <w:rFonts w:ascii="Cambria" w:hAnsi="Cambria"/>
          <w:i/>
          <w:iCs/>
          <w:noProof/>
        </w:rPr>
        <w:t>Biochem Biophys Res Commun</w:t>
      </w:r>
      <w:r w:rsidRPr="004B62B5">
        <w:rPr>
          <w:rFonts w:ascii="Cambria" w:hAnsi="Cambria"/>
          <w:noProof/>
        </w:rPr>
        <w:t xml:space="preserve"> 2001;281:1220–5.</w:t>
      </w:r>
    </w:p>
    <w:p w14:paraId="2D1436FD" w14:textId="77777777" w:rsidR="004B62B5" w:rsidRPr="004B62B5" w:rsidRDefault="004B62B5">
      <w:pPr>
        <w:widowControl w:val="0"/>
        <w:autoSpaceDE w:val="0"/>
        <w:autoSpaceDN w:val="0"/>
        <w:adjustRightInd w:val="0"/>
        <w:spacing w:after="140" w:line="288" w:lineRule="auto"/>
        <w:rPr>
          <w:rFonts w:ascii="Cambria" w:hAnsi="Cambria"/>
          <w:noProof/>
        </w:rPr>
      </w:pPr>
    </w:p>
    <w:p w14:paraId="7B8E5143"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38. </w:t>
      </w:r>
      <w:r w:rsidRPr="004B62B5">
        <w:rPr>
          <w:rFonts w:ascii="Cambria" w:hAnsi="Cambria"/>
          <w:noProof/>
        </w:rPr>
        <w:tab/>
        <w:t xml:space="preserve">Cowley M a., Smith RG, Diano S, </w:t>
      </w:r>
      <w:r w:rsidRPr="004B62B5">
        <w:rPr>
          <w:rFonts w:ascii="Cambria" w:hAnsi="Cambria"/>
          <w:i/>
          <w:iCs/>
          <w:noProof/>
        </w:rPr>
        <w:t>et al.</w:t>
      </w:r>
      <w:r w:rsidRPr="004B62B5">
        <w:rPr>
          <w:rFonts w:ascii="Cambria" w:hAnsi="Cambria"/>
          <w:noProof/>
        </w:rPr>
        <w:t xml:space="preserve"> The distribution and mechanism of action of ghrelin in the CNS demonstrates a novel hypothalamic circuit regulating energy homeostasis. </w:t>
      </w:r>
      <w:r w:rsidRPr="004B62B5">
        <w:rPr>
          <w:rFonts w:ascii="Cambria" w:hAnsi="Cambria"/>
          <w:i/>
          <w:iCs/>
          <w:noProof/>
        </w:rPr>
        <w:t>Neuron</w:t>
      </w:r>
      <w:r w:rsidRPr="004B62B5">
        <w:rPr>
          <w:rFonts w:ascii="Cambria" w:hAnsi="Cambria"/>
          <w:noProof/>
        </w:rPr>
        <w:t xml:space="preserve"> 2003;37:649–661.</w:t>
      </w:r>
    </w:p>
    <w:p w14:paraId="1DD070E0" w14:textId="77777777" w:rsidR="004B62B5" w:rsidRPr="004B62B5" w:rsidRDefault="004B62B5">
      <w:pPr>
        <w:widowControl w:val="0"/>
        <w:autoSpaceDE w:val="0"/>
        <w:autoSpaceDN w:val="0"/>
        <w:adjustRightInd w:val="0"/>
        <w:spacing w:after="140" w:line="288" w:lineRule="auto"/>
        <w:rPr>
          <w:rFonts w:ascii="Cambria" w:hAnsi="Cambria"/>
          <w:noProof/>
        </w:rPr>
      </w:pPr>
    </w:p>
    <w:p w14:paraId="60870CD3"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39. </w:t>
      </w:r>
      <w:r w:rsidRPr="004B62B5">
        <w:rPr>
          <w:rFonts w:ascii="Cambria" w:hAnsi="Cambria"/>
          <w:noProof/>
        </w:rPr>
        <w:tab/>
        <w:t xml:space="preserve">Tschöp MH, Weyer C, Tataranni P a, Devanarayan V, Ravussin E, Heiman ML. Circulating ghrelin levels are decreased in human obesity. </w:t>
      </w:r>
      <w:r w:rsidRPr="004B62B5">
        <w:rPr>
          <w:rFonts w:ascii="Cambria" w:hAnsi="Cambria"/>
          <w:i/>
          <w:iCs/>
          <w:noProof/>
        </w:rPr>
        <w:t>Diabetes</w:t>
      </w:r>
      <w:r w:rsidRPr="004B62B5">
        <w:rPr>
          <w:rFonts w:ascii="Cambria" w:hAnsi="Cambria"/>
          <w:noProof/>
        </w:rPr>
        <w:t xml:space="preserve"> 2001;50:707–9.</w:t>
      </w:r>
    </w:p>
    <w:p w14:paraId="3803F77C" w14:textId="77777777" w:rsidR="004B62B5" w:rsidRPr="004B62B5" w:rsidRDefault="004B62B5">
      <w:pPr>
        <w:widowControl w:val="0"/>
        <w:autoSpaceDE w:val="0"/>
        <w:autoSpaceDN w:val="0"/>
        <w:adjustRightInd w:val="0"/>
        <w:spacing w:after="140" w:line="288" w:lineRule="auto"/>
        <w:rPr>
          <w:rFonts w:ascii="Cambria" w:hAnsi="Cambria"/>
          <w:noProof/>
        </w:rPr>
      </w:pPr>
    </w:p>
    <w:p w14:paraId="0B3A1B0E"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40. </w:t>
      </w:r>
      <w:r w:rsidRPr="004B62B5">
        <w:rPr>
          <w:rFonts w:ascii="Cambria" w:hAnsi="Cambria"/>
          <w:noProof/>
        </w:rPr>
        <w:tab/>
        <w:t xml:space="preserve">Peloquin MJ, Bridges D. Weight Loss in Response to Food Deprivation Predicts The Extent of Diet Induced Obesity in C57BL/6J Mice. </w:t>
      </w:r>
      <w:r w:rsidRPr="004B62B5">
        <w:rPr>
          <w:rFonts w:ascii="Cambria" w:hAnsi="Cambria"/>
          <w:i/>
          <w:iCs/>
          <w:noProof/>
        </w:rPr>
        <w:t>bioRxiv</w:t>
      </w:r>
      <w:r w:rsidRPr="004B62B5">
        <w:rPr>
          <w:rFonts w:ascii="Cambria" w:hAnsi="Cambria"/>
          <w:noProof/>
        </w:rPr>
        <w:t xml:space="preserve"> 2014.</w:t>
      </w:r>
    </w:p>
    <w:p w14:paraId="4F2C94BE" w14:textId="77777777" w:rsidR="004B62B5" w:rsidRPr="004B62B5" w:rsidRDefault="004B62B5">
      <w:pPr>
        <w:widowControl w:val="0"/>
        <w:autoSpaceDE w:val="0"/>
        <w:autoSpaceDN w:val="0"/>
        <w:adjustRightInd w:val="0"/>
        <w:spacing w:after="140" w:line="288" w:lineRule="auto"/>
        <w:rPr>
          <w:rFonts w:ascii="Cambria" w:hAnsi="Cambria"/>
          <w:noProof/>
        </w:rPr>
      </w:pPr>
    </w:p>
    <w:p w14:paraId="7C5320C0"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41. </w:t>
      </w:r>
      <w:r w:rsidRPr="004B62B5">
        <w:rPr>
          <w:rFonts w:ascii="Cambria" w:hAnsi="Cambria"/>
          <w:noProof/>
        </w:rPr>
        <w:tab/>
        <w:t xml:space="preserve">Ikezaki A, Hosoda H, Ito K, </w:t>
      </w:r>
      <w:r w:rsidRPr="004B62B5">
        <w:rPr>
          <w:rFonts w:ascii="Cambria" w:hAnsi="Cambria"/>
          <w:i/>
          <w:iCs/>
          <w:noProof/>
        </w:rPr>
        <w:t>et al.</w:t>
      </w:r>
      <w:r w:rsidRPr="004B62B5">
        <w:rPr>
          <w:rFonts w:ascii="Cambria" w:hAnsi="Cambria"/>
          <w:noProof/>
        </w:rPr>
        <w:t xml:space="preserve"> Fasting Plasma Ghrelin Levels Are Negatively Correlated With Insulin Resistance and PAI-1, but Not With Leptin, in Obese Children and Adolescents. </w:t>
      </w:r>
      <w:r w:rsidRPr="004B62B5">
        <w:rPr>
          <w:rFonts w:ascii="Cambria" w:hAnsi="Cambria"/>
          <w:i/>
          <w:iCs/>
          <w:noProof/>
        </w:rPr>
        <w:t>Diabetes</w:t>
      </w:r>
      <w:r w:rsidRPr="004B62B5">
        <w:rPr>
          <w:rFonts w:ascii="Cambria" w:hAnsi="Cambria"/>
          <w:noProof/>
        </w:rPr>
        <w:t xml:space="preserve"> 2002;51:3408–3411.</w:t>
      </w:r>
    </w:p>
    <w:p w14:paraId="1C1C5CE3" w14:textId="77777777" w:rsidR="004B62B5" w:rsidRPr="004B62B5" w:rsidRDefault="004B62B5">
      <w:pPr>
        <w:widowControl w:val="0"/>
        <w:autoSpaceDE w:val="0"/>
        <w:autoSpaceDN w:val="0"/>
        <w:adjustRightInd w:val="0"/>
        <w:spacing w:after="140" w:line="288" w:lineRule="auto"/>
        <w:rPr>
          <w:rFonts w:ascii="Cambria" w:hAnsi="Cambria"/>
          <w:noProof/>
        </w:rPr>
      </w:pPr>
    </w:p>
    <w:p w14:paraId="0724431D"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42. </w:t>
      </w:r>
      <w:r w:rsidRPr="004B62B5">
        <w:rPr>
          <w:rFonts w:ascii="Cambria" w:hAnsi="Cambria"/>
          <w:noProof/>
        </w:rPr>
        <w:tab/>
        <w:t xml:space="preserve">Baggio LL, Huang Q, Brown TJ, Drucker DJ. Oxyntomodulin and glucagon-like peptide-1 differentially regulate murine food intake and energy expenditure. </w:t>
      </w:r>
      <w:r w:rsidRPr="004B62B5">
        <w:rPr>
          <w:rFonts w:ascii="Cambria" w:hAnsi="Cambria"/>
          <w:i/>
          <w:iCs/>
          <w:noProof/>
        </w:rPr>
        <w:t>Gastroenterology</w:t>
      </w:r>
      <w:r w:rsidRPr="004B62B5">
        <w:rPr>
          <w:rFonts w:ascii="Cambria" w:hAnsi="Cambria"/>
          <w:noProof/>
        </w:rPr>
        <w:t xml:space="preserve"> 2004;127:546–558.</w:t>
      </w:r>
    </w:p>
    <w:p w14:paraId="152F706D" w14:textId="77777777" w:rsidR="004B62B5" w:rsidRPr="004B62B5" w:rsidRDefault="004B62B5">
      <w:pPr>
        <w:widowControl w:val="0"/>
        <w:autoSpaceDE w:val="0"/>
        <w:autoSpaceDN w:val="0"/>
        <w:adjustRightInd w:val="0"/>
        <w:spacing w:after="140" w:line="288" w:lineRule="auto"/>
        <w:rPr>
          <w:rFonts w:ascii="Cambria" w:hAnsi="Cambria"/>
          <w:noProof/>
        </w:rPr>
      </w:pPr>
    </w:p>
    <w:p w14:paraId="57F8C49C"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43. </w:t>
      </w:r>
      <w:r w:rsidRPr="004B62B5">
        <w:rPr>
          <w:rFonts w:ascii="Cambria" w:hAnsi="Cambria"/>
          <w:noProof/>
        </w:rPr>
        <w:tab/>
        <w:t xml:space="preserve">Turton MD, O’Shea D, Gunn I, </w:t>
      </w:r>
      <w:r w:rsidRPr="004B62B5">
        <w:rPr>
          <w:rFonts w:ascii="Cambria" w:hAnsi="Cambria"/>
          <w:i/>
          <w:iCs/>
          <w:noProof/>
        </w:rPr>
        <w:t>et al.</w:t>
      </w:r>
      <w:r w:rsidRPr="004B62B5">
        <w:rPr>
          <w:rFonts w:ascii="Cambria" w:hAnsi="Cambria"/>
          <w:noProof/>
        </w:rPr>
        <w:t xml:space="preserve"> A role for glucagon-like peptide-1 in the central regulation of feeding. </w:t>
      </w:r>
      <w:r w:rsidRPr="004B62B5">
        <w:rPr>
          <w:rFonts w:ascii="Cambria" w:hAnsi="Cambria"/>
          <w:i/>
          <w:iCs/>
          <w:noProof/>
        </w:rPr>
        <w:t>Nature</w:t>
      </w:r>
      <w:r w:rsidRPr="004B62B5">
        <w:rPr>
          <w:rFonts w:ascii="Cambria" w:hAnsi="Cambria"/>
          <w:noProof/>
        </w:rPr>
        <w:t xml:space="preserve"> 1996;379:69–72.</w:t>
      </w:r>
    </w:p>
    <w:p w14:paraId="6CFBED4E" w14:textId="5C050B00" w:rsidR="0012599A" w:rsidRPr="00C15BC9" w:rsidRDefault="001B3EBF" w:rsidP="004B62B5">
      <w:pPr>
        <w:widowControl w:val="0"/>
        <w:autoSpaceDE w:val="0"/>
        <w:autoSpaceDN w:val="0"/>
        <w:adjustRightInd w:val="0"/>
        <w:spacing w:after="140" w:line="288" w:lineRule="auto"/>
      </w:pPr>
      <w:r>
        <w:fldChar w:fldCharType="end"/>
      </w:r>
    </w:p>
    <w:p w14:paraId="17F17C85" w14:textId="0654598B" w:rsidR="005E42A8" w:rsidRDefault="005E42A8" w:rsidP="001B3EBF">
      <w:pPr>
        <w:pStyle w:val="Heading1"/>
      </w:pPr>
      <w:r>
        <w:t>Figure Legends</w:t>
      </w:r>
    </w:p>
    <w:p w14:paraId="3B8017AC" w14:textId="77777777" w:rsidR="005E42A8" w:rsidRDefault="005E42A8" w:rsidP="005E42A8"/>
    <w:p w14:paraId="68D841FB" w14:textId="7F64AA94" w:rsidR="005E42A8" w:rsidRPr="00AA50B4" w:rsidRDefault="00D41E59" w:rsidP="005E42A8">
      <w:r>
        <w:rPr>
          <w:b/>
        </w:rPr>
        <w:t>Figure 1:  Gestational</w:t>
      </w:r>
      <w:r w:rsidR="005E42A8" w:rsidRPr="005E42A8">
        <w:rPr>
          <w:b/>
        </w:rPr>
        <w:t xml:space="preserve"> </w:t>
      </w:r>
      <w:r w:rsidR="00063F60">
        <w:rPr>
          <w:b/>
        </w:rPr>
        <w:t>exposure</w:t>
      </w:r>
      <w:r w:rsidR="00063F60" w:rsidRPr="005E42A8">
        <w:rPr>
          <w:b/>
        </w:rPr>
        <w:t xml:space="preserve"> </w:t>
      </w:r>
      <w:r w:rsidR="005E42A8" w:rsidRPr="005E42A8">
        <w:rPr>
          <w:b/>
        </w:rPr>
        <w:t>of MCP230 leads to mice with elevated weight gain on high fat diet.</w:t>
      </w:r>
      <w:r w:rsidR="005E42A8">
        <w:rPr>
          <w:b/>
        </w:rPr>
        <w:t xml:space="preserve">  </w:t>
      </w:r>
      <w:r w:rsidR="005E42A8">
        <w:t>A) Schematic of treatment</w:t>
      </w:r>
      <w:r w:rsidR="00063F60">
        <w:t xml:space="preserve"> period</w:t>
      </w:r>
      <w:r w:rsidR="005E42A8">
        <w:t xml:space="preserve">.  B) </w:t>
      </w:r>
      <w:r w:rsidR="00AA50B4">
        <w:t xml:space="preserve">Body weight throughout the HFD treatment.  C-E) </w:t>
      </w:r>
      <w:proofErr w:type="gramStart"/>
      <w:r w:rsidR="00AA50B4">
        <w:t>After</w:t>
      </w:r>
      <w:proofErr w:type="gramEnd"/>
      <w:r w:rsidR="00AA50B4">
        <w:t xml:space="preserve"> 12 weeks of HFD, body composition was determined in the fed state (ZT12).  Asterisks indicate p&lt;0.05 via a Student’s </w:t>
      </w:r>
      <w:r w:rsidR="00AA50B4">
        <w:rPr>
          <w:i/>
        </w:rPr>
        <w:t>t</w:t>
      </w:r>
      <w:r w:rsidR="00AA50B4">
        <w:t>-test (C</w:t>
      </w:r>
      <w:r w:rsidR="007F0C91">
        <w:t>-D</w:t>
      </w:r>
      <w:r w:rsidR="00AA50B4">
        <w:t>).</w:t>
      </w:r>
    </w:p>
    <w:p w14:paraId="5B2FEB9D" w14:textId="77777777" w:rsidR="006E5F28" w:rsidRDefault="006E5F28" w:rsidP="005E42A8"/>
    <w:p w14:paraId="586ED933" w14:textId="53F0DA8A" w:rsidR="006E5F28" w:rsidRDefault="006E5F28" w:rsidP="005E42A8">
      <w:r w:rsidRPr="004E720F">
        <w:rPr>
          <w:b/>
        </w:rPr>
        <w:t xml:space="preserve">Figure 2:  </w:t>
      </w:r>
      <w:proofErr w:type="spellStart"/>
      <w:r w:rsidRPr="004E720F">
        <w:rPr>
          <w:b/>
        </w:rPr>
        <w:t>Gestationally</w:t>
      </w:r>
      <w:proofErr w:type="spellEnd"/>
      <w:r w:rsidRPr="004E720F">
        <w:rPr>
          <w:b/>
        </w:rPr>
        <w:t xml:space="preserve"> MCP230 </w:t>
      </w:r>
      <w:r w:rsidR="00063F60">
        <w:rPr>
          <w:b/>
        </w:rPr>
        <w:t>exposed</w:t>
      </w:r>
      <w:r w:rsidRPr="004E720F">
        <w:rPr>
          <w:b/>
        </w:rPr>
        <w:t xml:space="preserve"> mice have no changes in liver triglycerides or insulin sensitivity but have elevations in </w:t>
      </w:r>
      <w:r w:rsidR="004E720F" w:rsidRPr="004E720F">
        <w:rPr>
          <w:b/>
        </w:rPr>
        <w:t>ghrelin.</w:t>
      </w:r>
      <w:r w:rsidR="0000538F">
        <w:t xml:space="preserve">  A) </w:t>
      </w:r>
      <w:r w:rsidR="004E720F">
        <w:t xml:space="preserve">Liver triglycerides and B) blood glucose levels were determined from mice after a 16h fast at approximately ZT4. C-J) Fed (ZT12) and fasted (ZT4) </w:t>
      </w:r>
      <w:r w:rsidR="00494F36">
        <w:t>serum hormone levels were determined.  Asterisk indicates p&lt;0.05 via a Wilcoxon Rank Sum Test.</w:t>
      </w:r>
    </w:p>
    <w:p w14:paraId="30448957" w14:textId="77777777" w:rsidR="00B425D2" w:rsidRDefault="00B425D2" w:rsidP="005E42A8"/>
    <w:p w14:paraId="50559111" w14:textId="59FCB3D4" w:rsidR="00B425D2" w:rsidRPr="004E720F" w:rsidRDefault="00B425D2" w:rsidP="005E42A8">
      <w:r w:rsidRPr="00B425D2">
        <w:rPr>
          <w:b/>
        </w:rPr>
        <w:t xml:space="preserve">Figure 3:  Decreased food intake and energy expenditure in pups from </w:t>
      </w:r>
      <w:proofErr w:type="spellStart"/>
      <w:r w:rsidRPr="00B425D2">
        <w:rPr>
          <w:b/>
        </w:rPr>
        <w:t>gestationally</w:t>
      </w:r>
      <w:proofErr w:type="spellEnd"/>
      <w:r w:rsidRPr="00B425D2">
        <w:rPr>
          <w:b/>
        </w:rPr>
        <w:t xml:space="preserve"> </w:t>
      </w:r>
      <w:r w:rsidR="00A2444E">
        <w:rPr>
          <w:b/>
        </w:rPr>
        <w:t>exposed</w:t>
      </w:r>
      <w:r w:rsidR="00A2444E" w:rsidRPr="00B425D2">
        <w:rPr>
          <w:b/>
        </w:rPr>
        <w:t xml:space="preserve"> </w:t>
      </w:r>
      <w:r w:rsidRPr="00B425D2">
        <w:rPr>
          <w:b/>
        </w:rPr>
        <w:t>MCP230 mice.</w:t>
      </w:r>
      <w:r>
        <w:t xml:space="preserve">  Food intake per mouse was calculated on </w:t>
      </w:r>
      <w:proofErr w:type="gramStart"/>
      <w:r>
        <w:t>a</w:t>
      </w:r>
      <w:proofErr w:type="gramEnd"/>
      <w:r>
        <w:t xml:space="preserve"> </w:t>
      </w:r>
      <w:proofErr w:type="spellStart"/>
      <w:r>
        <w:t>A</w:t>
      </w:r>
      <w:proofErr w:type="spellEnd"/>
      <w:r>
        <w:t xml:space="preserve">) weekly and B) cumulative basis throughout the High-Fat Diet Treatment.  C) </w:t>
      </w:r>
      <w:r w:rsidR="00293C50">
        <w:t>Oxygen consumption rates for mice in metabolic cages.  Shaded area indicates the dark phase.</w:t>
      </w:r>
      <w:r w:rsidR="00F72C06">
        <w:t xml:space="preserve"> D) </w:t>
      </w:r>
      <w:r w:rsidR="00293C50">
        <w:t>Analysis of oxygen consumption, normalized to lean body mass in light and dark phase.  Each dot represents the average oxygen consumption per mouse.</w:t>
      </w:r>
      <w:r w:rsidR="00373884">
        <w:t xml:space="preserve"> </w:t>
      </w:r>
      <w:r w:rsidR="00121976">
        <w:t>E</w:t>
      </w:r>
      <w:r w:rsidR="009D54BB">
        <w:t xml:space="preserve">) Quantification of x-phase ambulatory movement during the light and </w:t>
      </w:r>
      <w:proofErr w:type="gramStart"/>
      <w:r w:rsidR="009D54BB">
        <w:t>dark  phases</w:t>
      </w:r>
      <w:proofErr w:type="gramEnd"/>
      <w:r w:rsidR="009D54BB">
        <w:t xml:space="preserve">.  </w:t>
      </w:r>
      <w:proofErr w:type="gramStart"/>
      <w:r w:rsidR="00121976">
        <w:t>F</w:t>
      </w:r>
      <w:r w:rsidR="00373884">
        <w:t>)  Respiratory</w:t>
      </w:r>
      <w:proofErr w:type="gramEnd"/>
      <w:r w:rsidR="00373884">
        <w:t xml:space="preserve"> exchange ratio of each group.  In this case, the saline and </w:t>
      </w:r>
      <w:proofErr w:type="spellStart"/>
      <w:r w:rsidR="00373884">
        <w:t>cabosil</w:t>
      </w:r>
      <w:proofErr w:type="spellEnd"/>
      <w:r w:rsidR="00373884">
        <w:t xml:space="preserve"> groups were not combined due to a significant depression of the ratio in both the </w:t>
      </w:r>
      <w:proofErr w:type="spellStart"/>
      <w:r w:rsidR="00373884">
        <w:t>cabosil</w:t>
      </w:r>
      <w:proofErr w:type="spellEnd"/>
      <w:r w:rsidR="00373884">
        <w:t xml:space="preserve"> and MCP230 treated groups.</w:t>
      </w:r>
      <w:r w:rsidR="00121976">
        <w:t xml:space="preserve">  Asterisks indicate p&lt;0.05 by Mixed Linear Models Compared by </w:t>
      </w:r>
      <w:r w:rsidR="00121976">
        <w:sym w:font="Symbol" w:char="F063"/>
      </w:r>
      <w:proofErr w:type="gramStart"/>
      <w:r w:rsidR="00121976">
        <w:rPr>
          <w:vertAlign w:val="superscript"/>
        </w:rPr>
        <w:t xml:space="preserve">2 </w:t>
      </w:r>
      <w:r w:rsidR="00121976">
        <w:t>test</w:t>
      </w:r>
      <w:proofErr w:type="gramEnd"/>
      <w:r w:rsidR="00121976">
        <w:t xml:space="preserve"> (B), ANOVA (D), Student’s </w:t>
      </w:r>
      <w:r w:rsidR="00121976" w:rsidRPr="00121976">
        <w:rPr>
          <w:i/>
        </w:rPr>
        <w:t>t</w:t>
      </w:r>
      <w:r w:rsidR="00121976">
        <w:t xml:space="preserve">-test (E) </w:t>
      </w:r>
      <w:r w:rsidR="00EC6826">
        <w:t xml:space="preserve">or </w:t>
      </w:r>
      <w:r w:rsidR="00121976" w:rsidRPr="00121976">
        <w:t>Wilcoxon</w:t>
      </w:r>
      <w:r w:rsidR="00121976">
        <w:t>-Rank Sum Test (F)</w:t>
      </w:r>
      <w:r w:rsidR="00EC6826">
        <w:t>.</w:t>
      </w:r>
    </w:p>
    <w:p w14:paraId="415E5A4D" w14:textId="2BCE390F" w:rsidR="007221E6" w:rsidRDefault="007221E6"/>
    <w:p w14:paraId="3A210ECC" w14:textId="47C07FFC" w:rsidR="00A2444E" w:rsidRPr="004E720F" w:rsidRDefault="00A2444E" w:rsidP="00A2444E">
      <w:r w:rsidRPr="00B425D2">
        <w:rPr>
          <w:b/>
        </w:rPr>
        <w:t xml:space="preserve">Figure </w:t>
      </w:r>
      <w:r>
        <w:rPr>
          <w:b/>
        </w:rPr>
        <w:t>4</w:t>
      </w:r>
      <w:r w:rsidRPr="00B425D2">
        <w:rPr>
          <w:b/>
        </w:rPr>
        <w:t xml:space="preserve">:  </w:t>
      </w:r>
      <w:r>
        <w:rPr>
          <w:b/>
        </w:rPr>
        <w:t xml:space="preserve">Mitochondrial abnormalities in skeletal muscle of adult mice following gestational </w:t>
      </w:r>
      <w:r w:rsidRPr="00B425D2">
        <w:rPr>
          <w:b/>
        </w:rPr>
        <w:t>MCP230</w:t>
      </w:r>
      <w:r>
        <w:rPr>
          <w:b/>
        </w:rPr>
        <w:t>-exposure</w:t>
      </w:r>
      <w:r w:rsidR="00C75024">
        <w:rPr>
          <w:b/>
        </w:rPr>
        <w:t xml:space="preserve"> and high fat diet treatment</w:t>
      </w:r>
      <w:r w:rsidRPr="00B425D2">
        <w:rPr>
          <w:b/>
        </w:rPr>
        <w:t>.</w:t>
      </w:r>
      <w:r>
        <w:t xml:space="preserve">  </w:t>
      </w:r>
      <w:proofErr w:type="spellStart"/>
      <w:proofErr w:type="gramStart"/>
      <w:r>
        <w:t>mtDNA</w:t>
      </w:r>
      <w:proofErr w:type="spellEnd"/>
      <w:proofErr w:type="gramEnd"/>
      <w:r>
        <w:t xml:space="preserve"> copy number (A), citrate synthase activity (B) and mRNA </w:t>
      </w:r>
      <w:r w:rsidR="004337D0">
        <w:t>levels of</w:t>
      </w:r>
      <w:r>
        <w:t xml:space="preserve"> oxidative phosphorylation genes </w:t>
      </w:r>
      <w:r w:rsidR="008E178A">
        <w:t>(</w:t>
      </w:r>
      <w:r>
        <w:t>C) w</w:t>
      </w:r>
      <w:r w:rsidR="008E178A">
        <w:t>ere</w:t>
      </w:r>
      <w:r>
        <w:t xml:space="preserve"> reduced in </w:t>
      </w:r>
      <w:r w:rsidR="008E178A">
        <w:t xml:space="preserve">the quadriceps muscles of </w:t>
      </w:r>
      <w:r w:rsidR="001478A5">
        <w:t>m</w:t>
      </w:r>
      <w:r>
        <w:t xml:space="preserve">ice that were exposed </w:t>
      </w:r>
      <w:r w:rsidRPr="004B62B5">
        <w:rPr>
          <w:i/>
        </w:rPr>
        <w:t>in utero</w:t>
      </w:r>
      <w:r w:rsidR="00FF2DB1">
        <w:t xml:space="preserve"> to MCP230</w:t>
      </w:r>
      <w:r w:rsidR="001478A5">
        <w:t xml:space="preserve"> and subjected to 12 </w:t>
      </w:r>
      <w:proofErr w:type="spellStart"/>
      <w:r w:rsidR="001478A5">
        <w:t>wk</w:t>
      </w:r>
      <w:proofErr w:type="spellEnd"/>
      <w:r w:rsidR="001478A5">
        <w:t xml:space="preserve"> of high fat diet as adults</w:t>
      </w:r>
      <w:r w:rsidR="008E178A">
        <w:t>.</w:t>
      </w:r>
      <w:r w:rsidR="00FF2DB1">
        <w:t xml:space="preserve"> </w:t>
      </w:r>
      <w:r w:rsidR="008E178A">
        <w:t>E</w:t>
      </w:r>
      <w:r w:rsidR="00FF2DB1">
        <w:t xml:space="preserve">lectron transport chain protein expression was either unchanged, or greater (D). </w:t>
      </w:r>
      <w:r w:rsidR="004337D0">
        <w:t xml:space="preserve">Asterisk indicates p&lt;0.05 via Student’s </w:t>
      </w:r>
      <w:r w:rsidR="004337D0" w:rsidRPr="004B62B5">
        <w:rPr>
          <w:i/>
        </w:rPr>
        <w:t>t</w:t>
      </w:r>
      <w:r w:rsidR="004337D0">
        <w:t>-test.</w:t>
      </w:r>
    </w:p>
    <w:p w14:paraId="0CBC9807" w14:textId="77777777" w:rsidR="00A2444E" w:rsidRDefault="00A2444E"/>
    <w:sectPr w:rsidR="00A2444E"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10-25T10:55:00Z" w:initials="DB">
    <w:p w14:paraId="643014C7" w14:textId="64840C60" w:rsidR="004B62B5" w:rsidRDefault="004B62B5">
      <w:pPr>
        <w:pStyle w:val="CommentText"/>
      </w:pPr>
      <w:r>
        <w:rPr>
          <w:rStyle w:val="CommentReference"/>
        </w:rPr>
        <w:annotationRef/>
      </w:r>
      <w:r>
        <w:t xml:space="preserve">Currently </w:t>
      </w:r>
      <w:r w:rsidR="00022B22">
        <w:t>171</w:t>
      </w:r>
      <w:r>
        <w:t xml:space="preserve"> words</w:t>
      </w:r>
    </w:p>
  </w:comment>
  <w:comment w:id="1" w:author="Dave Bridges" w:date="2015-10-25T10:31:00Z" w:initials="DB">
    <w:p w14:paraId="74016D31" w14:textId="043DAAA1" w:rsidR="004B62B5" w:rsidRDefault="004B62B5">
      <w:pPr>
        <w:pStyle w:val="CommentText"/>
      </w:pPr>
      <w:r>
        <w:rPr>
          <w:rStyle w:val="CommentReference"/>
        </w:rPr>
        <w:annotationRef/>
      </w:r>
      <w:r>
        <w:t>Erin, you need to add a reference</w:t>
      </w:r>
    </w:p>
  </w:comment>
  <w:comment w:id="2" w:author="Dave Bridges" w:date="2014-11-13T17:25:00Z" w:initials="DB">
    <w:p w14:paraId="7D88D754" w14:textId="05B9A31C" w:rsidR="004B62B5" w:rsidRDefault="004B62B5">
      <w:pPr>
        <w:pStyle w:val="CommentText"/>
      </w:pPr>
      <w:r>
        <w:rPr>
          <w:rStyle w:val="CommentReference"/>
        </w:rPr>
        <w:annotationRef/>
      </w:r>
    </w:p>
  </w:comment>
  <w:comment w:id="4" w:author="Stephenson, Erin" w:date="2015-10-25T10:46:00Z" w:initials="SE">
    <w:p w14:paraId="32F8EA17" w14:textId="3A0B7F4E" w:rsidR="004B62B5" w:rsidRDefault="004B62B5">
      <w:pPr>
        <w:pStyle w:val="CommentText"/>
      </w:pPr>
      <w:r>
        <w:rPr>
          <w:rStyle w:val="CommentReference"/>
        </w:rPr>
        <w:annotationRef/>
      </w:r>
      <w:r>
        <w:t xml:space="preserve">Need to add details of how mice were anesthetized and sacrificed. </w:t>
      </w:r>
      <w:proofErr w:type="spellStart"/>
      <w:r>
        <w:t>Steph</w:t>
      </w:r>
      <w:proofErr w:type="spellEnd"/>
      <w:r>
        <w:t xml:space="preserve"> or Sri, can you provide this information?</w:t>
      </w:r>
    </w:p>
  </w:comment>
  <w:comment w:id="6" w:author="Dave Bridges" w:date="2014-11-16T16:12:00Z" w:initials="DB">
    <w:p w14:paraId="1F4492DF" w14:textId="45B83AA5" w:rsidR="004B62B5" w:rsidRDefault="004B62B5">
      <w:pPr>
        <w:pStyle w:val="CommentText"/>
      </w:pPr>
      <w:r>
        <w:rPr>
          <w:rStyle w:val="CommentReference"/>
        </w:rPr>
        <w:annotationRef/>
      </w:r>
      <w:proofErr w:type="spellStart"/>
      <w:r>
        <w:t>Steph</w:t>
      </w:r>
      <w:proofErr w:type="spellEnd"/>
      <w:r>
        <w:t xml:space="preserve"> can you put your funding here</w:t>
      </w:r>
    </w:p>
  </w:comment>
  <w:comment w:id="7" w:author="Dave Bridges" w:date="2014-11-16T16:11:00Z" w:initials="DB">
    <w:p w14:paraId="6B971EFC" w14:textId="6EFB42F7" w:rsidR="004B62B5" w:rsidRDefault="004B62B5">
      <w:pPr>
        <w:pStyle w:val="CommentText"/>
      </w:pPr>
      <w:r>
        <w:rPr>
          <w:rStyle w:val="CommentReference"/>
        </w:rPr>
        <w:annotationRef/>
      </w:r>
      <w:r>
        <w:t xml:space="preserve">Steph, we can add Jordy as an author if you want, he basically did the </w:t>
      </w:r>
      <w:proofErr w:type="spellStart"/>
      <w:r>
        <w:t>luminex</w:t>
      </w:r>
      <w:proofErr w:type="spellEnd"/>
      <w:r>
        <w:t xml:space="preserve"> calculations for us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4806DA" w15:done="0"/>
  <w15:commentEx w15:paraId="623D45E0" w15:done="0"/>
  <w15:commentEx w15:paraId="6AE0C71D" w15:done="0"/>
  <w15:commentEx w15:paraId="3410FF7D" w15:done="0"/>
  <w15:commentEx w15:paraId="72CD5981" w15:done="0"/>
  <w15:commentEx w15:paraId="56BFFE34" w15:done="0"/>
  <w15:commentEx w15:paraId="1A8EE033" w15:done="0"/>
  <w15:commentEx w15:paraId="64B788DB" w15:done="0"/>
  <w15:commentEx w15:paraId="6463F1F5" w15:done="0"/>
  <w15:commentEx w15:paraId="7AB0FF54" w15:done="0"/>
  <w15:commentEx w15:paraId="0436CCB5" w15:done="0"/>
  <w15:commentEx w15:paraId="57C6C88E" w15:done="0"/>
  <w15:commentEx w15:paraId="0F0D2285" w15:done="0"/>
  <w15:commentEx w15:paraId="2C2915AF" w15:done="0"/>
  <w15:commentEx w15:paraId="2158974C" w15:done="0"/>
  <w15:commentEx w15:paraId="7D88D754" w15:done="0"/>
  <w15:commentEx w15:paraId="1DF0D2E4" w15:done="0"/>
  <w15:commentEx w15:paraId="32F8EA17" w15:done="0"/>
  <w15:commentEx w15:paraId="554837E8" w15:done="0"/>
  <w15:commentEx w15:paraId="79D947CB" w15:done="0"/>
  <w15:commentEx w15:paraId="100CED23" w15:done="0"/>
  <w15:commentEx w15:paraId="3E5F7CD2" w15:done="0"/>
  <w15:commentEx w15:paraId="3188BF80" w15:done="0"/>
  <w15:commentEx w15:paraId="294B37C3" w15:done="0"/>
  <w15:commentEx w15:paraId="593DBF68" w15:done="0"/>
  <w15:commentEx w15:paraId="3E126E3E" w15:done="0"/>
  <w15:commentEx w15:paraId="3143A03C" w15:done="0"/>
  <w15:commentEx w15:paraId="099CE424" w15:done="0"/>
  <w15:commentEx w15:paraId="78101F61" w15:done="0"/>
  <w15:commentEx w15:paraId="65A0D914" w15:done="0"/>
  <w15:commentEx w15:paraId="72E70831" w15:done="0"/>
  <w15:commentEx w15:paraId="147F23E3" w15:done="0"/>
  <w15:commentEx w15:paraId="0BE0234E" w15:done="0"/>
  <w15:commentEx w15:paraId="4B5AA49A" w15:done="0"/>
  <w15:commentEx w15:paraId="403EF615" w15:done="0"/>
  <w15:commentEx w15:paraId="1F4492DF" w15:done="0"/>
  <w15:commentEx w15:paraId="6B971EFC" w15:done="0"/>
  <w15:commentEx w15:paraId="719598B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24C15"/>
    <w:multiLevelType w:val="hybridMultilevel"/>
    <w:tmpl w:val="1D7A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enson, Erin">
    <w15:presenceInfo w15:providerId="AD" w15:userId="S-1-5-21-1543255473-1774939808-2802695540-48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1E6"/>
    <w:rsid w:val="0000538F"/>
    <w:rsid w:val="000058E9"/>
    <w:rsid w:val="000109CF"/>
    <w:rsid w:val="00016389"/>
    <w:rsid w:val="00022B22"/>
    <w:rsid w:val="00025F28"/>
    <w:rsid w:val="000267F2"/>
    <w:rsid w:val="00031818"/>
    <w:rsid w:val="00031FF5"/>
    <w:rsid w:val="00044C02"/>
    <w:rsid w:val="00063F60"/>
    <w:rsid w:val="000663D5"/>
    <w:rsid w:val="0007239C"/>
    <w:rsid w:val="00076974"/>
    <w:rsid w:val="00082C2E"/>
    <w:rsid w:val="000917CE"/>
    <w:rsid w:val="000966F1"/>
    <w:rsid w:val="000A10E7"/>
    <w:rsid w:val="000A286D"/>
    <w:rsid w:val="000A578E"/>
    <w:rsid w:val="000B435A"/>
    <w:rsid w:val="000C0348"/>
    <w:rsid w:val="000C1298"/>
    <w:rsid w:val="000C2306"/>
    <w:rsid w:val="000C2AA4"/>
    <w:rsid w:val="000C2B4E"/>
    <w:rsid w:val="000C5C97"/>
    <w:rsid w:val="000C7C69"/>
    <w:rsid w:val="000D0EF1"/>
    <w:rsid w:val="000D137A"/>
    <w:rsid w:val="000D3EBA"/>
    <w:rsid w:val="000D59B5"/>
    <w:rsid w:val="000E51A5"/>
    <w:rsid w:val="000F7FCB"/>
    <w:rsid w:val="001114DD"/>
    <w:rsid w:val="00111E3A"/>
    <w:rsid w:val="00113C1F"/>
    <w:rsid w:val="001215E2"/>
    <w:rsid w:val="00121976"/>
    <w:rsid w:val="0012253B"/>
    <w:rsid w:val="0012477B"/>
    <w:rsid w:val="00125748"/>
    <w:rsid w:val="0012599A"/>
    <w:rsid w:val="00126ED1"/>
    <w:rsid w:val="001314D4"/>
    <w:rsid w:val="00131BB5"/>
    <w:rsid w:val="00132A4F"/>
    <w:rsid w:val="00140BB6"/>
    <w:rsid w:val="001417C8"/>
    <w:rsid w:val="00144039"/>
    <w:rsid w:val="00145233"/>
    <w:rsid w:val="00146ECC"/>
    <w:rsid w:val="0014706A"/>
    <w:rsid w:val="001478A5"/>
    <w:rsid w:val="00147DCC"/>
    <w:rsid w:val="00157E6E"/>
    <w:rsid w:val="001640EF"/>
    <w:rsid w:val="001646BA"/>
    <w:rsid w:val="001749D8"/>
    <w:rsid w:val="0017760C"/>
    <w:rsid w:val="001827FE"/>
    <w:rsid w:val="00186195"/>
    <w:rsid w:val="00186D81"/>
    <w:rsid w:val="001A4114"/>
    <w:rsid w:val="001B0DE3"/>
    <w:rsid w:val="001B3EBF"/>
    <w:rsid w:val="001C2C0E"/>
    <w:rsid w:val="001C3B10"/>
    <w:rsid w:val="001D1BE1"/>
    <w:rsid w:val="001E01AC"/>
    <w:rsid w:val="001E12F3"/>
    <w:rsid w:val="001E1AE7"/>
    <w:rsid w:val="001F3D5E"/>
    <w:rsid w:val="001F59A1"/>
    <w:rsid w:val="001F72A7"/>
    <w:rsid w:val="00207EA1"/>
    <w:rsid w:val="00213096"/>
    <w:rsid w:val="002167AD"/>
    <w:rsid w:val="00223477"/>
    <w:rsid w:val="00230B4A"/>
    <w:rsid w:val="0023247F"/>
    <w:rsid w:val="00243797"/>
    <w:rsid w:val="00245CF5"/>
    <w:rsid w:val="00270755"/>
    <w:rsid w:val="002779EC"/>
    <w:rsid w:val="0028045F"/>
    <w:rsid w:val="002859AC"/>
    <w:rsid w:val="00293C50"/>
    <w:rsid w:val="002A09A5"/>
    <w:rsid w:val="002A58AC"/>
    <w:rsid w:val="002B0297"/>
    <w:rsid w:val="002B38BB"/>
    <w:rsid w:val="002B4DD5"/>
    <w:rsid w:val="002B5370"/>
    <w:rsid w:val="002C44B6"/>
    <w:rsid w:val="002C650B"/>
    <w:rsid w:val="002D2D87"/>
    <w:rsid w:val="002D51DD"/>
    <w:rsid w:val="002D6EE3"/>
    <w:rsid w:val="002E1A8D"/>
    <w:rsid w:val="002E53C1"/>
    <w:rsid w:val="002F5891"/>
    <w:rsid w:val="0030696D"/>
    <w:rsid w:val="00310EE0"/>
    <w:rsid w:val="00317755"/>
    <w:rsid w:val="00317C44"/>
    <w:rsid w:val="00331D2C"/>
    <w:rsid w:val="0033301A"/>
    <w:rsid w:val="00352FA2"/>
    <w:rsid w:val="00354B0D"/>
    <w:rsid w:val="00355C40"/>
    <w:rsid w:val="00362DC5"/>
    <w:rsid w:val="0036482C"/>
    <w:rsid w:val="003725F0"/>
    <w:rsid w:val="00373884"/>
    <w:rsid w:val="0038128F"/>
    <w:rsid w:val="00392E97"/>
    <w:rsid w:val="003A4037"/>
    <w:rsid w:val="003B1578"/>
    <w:rsid w:val="003B29FF"/>
    <w:rsid w:val="003B4388"/>
    <w:rsid w:val="003C5C3B"/>
    <w:rsid w:val="003C6260"/>
    <w:rsid w:val="003C6BD5"/>
    <w:rsid w:val="003F048B"/>
    <w:rsid w:val="003F2823"/>
    <w:rsid w:val="003F46FE"/>
    <w:rsid w:val="00405DB1"/>
    <w:rsid w:val="00406E19"/>
    <w:rsid w:val="00410F14"/>
    <w:rsid w:val="00415F55"/>
    <w:rsid w:val="0043113B"/>
    <w:rsid w:val="00432581"/>
    <w:rsid w:val="004337D0"/>
    <w:rsid w:val="00435C2A"/>
    <w:rsid w:val="00441A6B"/>
    <w:rsid w:val="00442795"/>
    <w:rsid w:val="00442D2D"/>
    <w:rsid w:val="00445104"/>
    <w:rsid w:val="00445B6C"/>
    <w:rsid w:val="004478AA"/>
    <w:rsid w:val="00462A1C"/>
    <w:rsid w:val="00467FF9"/>
    <w:rsid w:val="00470EF4"/>
    <w:rsid w:val="0047549A"/>
    <w:rsid w:val="00475C6A"/>
    <w:rsid w:val="00493F6D"/>
    <w:rsid w:val="0049462D"/>
    <w:rsid w:val="00494F36"/>
    <w:rsid w:val="004A1350"/>
    <w:rsid w:val="004A4358"/>
    <w:rsid w:val="004A562E"/>
    <w:rsid w:val="004B62B5"/>
    <w:rsid w:val="004C2FCD"/>
    <w:rsid w:val="004C3CD7"/>
    <w:rsid w:val="004C687A"/>
    <w:rsid w:val="004E720F"/>
    <w:rsid w:val="004F14D7"/>
    <w:rsid w:val="004F3E87"/>
    <w:rsid w:val="004F48E9"/>
    <w:rsid w:val="00501427"/>
    <w:rsid w:val="0050340E"/>
    <w:rsid w:val="00510BEA"/>
    <w:rsid w:val="00515CB9"/>
    <w:rsid w:val="0052135D"/>
    <w:rsid w:val="00532F5A"/>
    <w:rsid w:val="00533ED0"/>
    <w:rsid w:val="00535157"/>
    <w:rsid w:val="00536D79"/>
    <w:rsid w:val="005402D3"/>
    <w:rsid w:val="00543742"/>
    <w:rsid w:val="00545918"/>
    <w:rsid w:val="0054682B"/>
    <w:rsid w:val="0055056A"/>
    <w:rsid w:val="00550987"/>
    <w:rsid w:val="00551E2D"/>
    <w:rsid w:val="00575B7D"/>
    <w:rsid w:val="00576C73"/>
    <w:rsid w:val="00582A6A"/>
    <w:rsid w:val="0058343B"/>
    <w:rsid w:val="00592A7F"/>
    <w:rsid w:val="005944A4"/>
    <w:rsid w:val="005A4DAF"/>
    <w:rsid w:val="005B27BD"/>
    <w:rsid w:val="005B469E"/>
    <w:rsid w:val="005C4C8D"/>
    <w:rsid w:val="005C6AB9"/>
    <w:rsid w:val="005D172E"/>
    <w:rsid w:val="005D5CBA"/>
    <w:rsid w:val="005D7E1F"/>
    <w:rsid w:val="005E1B42"/>
    <w:rsid w:val="005E31F8"/>
    <w:rsid w:val="005E4209"/>
    <w:rsid w:val="005E42A8"/>
    <w:rsid w:val="0060276A"/>
    <w:rsid w:val="00603B85"/>
    <w:rsid w:val="00606930"/>
    <w:rsid w:val="0061209E"/>
    <w:rsid w:val="0061350C"/>
    <w:rsid w:val="00621B6A"/>
    <w:rsid w:val="00622E03"/>
    <w:rsid w:val="00623F68"/>
    <w:rsid w:val="006264DC"/>
    <w:rsid w:val="00631F34"/>
    <w:rsid w:val="00644282"/>
    <w:rsid w:val="00663FBB"/>
    <w:rsid w:val="00670D0F"/>
    <w:rsid w:val="006717EC"/>
    <w:rsid w:val="00691583"/>
    <w:rsid w:val="00691BA2"/>
    <w:rsid w:val="00695979"/>
    <w:rsid w:val="00696A45"/>
    <w:rsid w:val="006A1A89"/>
    <w:rsid w:val="006A1EF4"/>
    <w:rsid w:val="006A47A3"/>
    <w:rsid w:val="006A6E74"/>
    <w:rsid w:val="006B74D4"/>
    <w:rsid w:val="006B76D5"/>
    <w:rsid w:val="006D59E1"/>
    <w:rsid w:val="006D5ADE"/>
    <w:rsid w:val="006E5F28"/>
    <w:rsid w:val="006F42DC"/>
    <w:rsid w:val="006F47B0"/>
    <w:rsid w:val="006F49B3"/>
    <w:rsid w:val="007042B8"/>
    <w:rsid w:val="00707621"/>
    <w:rsid w:val="00717233"/>
    <w:rsid w:val="00717241"/>
    <w:rsid w:val="007221E6"/>
    <w:rsid w:val="00731819"/>
    <w:rsid w:val="00733B5B"/>
    <w:rsid w:val="00735CE1"/>
    <w:rsid w:val="00740101"/>
    <w:rsid w:val="007425D4"/>
    <w:rsid w:val="00743FA3"/>
    <w:rsid w:val="0075219B"/>
    <w:rsid w:val="00766DB4"/>
    <w:rsid w:val="0079285E"/>
    <w:rsid w:val="00794142"/>
    <w:rsid w:val="00795012"/>
    <w:rsid w:val="007A42DE"/>
    <w:rsid w:val="007A682A"/>
    <w:rsid w:val="007A7DA9"/>
    <w:rsid w:val="007B10F3"/>
    <w:rsid w:val="007B2AFE"/>
    <w:rsid w:val="007B6EF9"/>
    <w:rsid w:val="007E33C8"/>
    <w:rsid w:val="007E4915"/>
    <w:rsid w:val="007F0C01"/>
    <w:rsid w:val="007F0C91"/>
    <w:rsid w:val="007F42AF"/>
    <w:rsid w:val="00800A23"/>
    <w:rsid w:val="008147B8"/>
    <w:rsid w:val="00820C95"/>
    <w:rsid w:val="00850D76"/>
    <w:rsid w:val="008612D1"/>
    <w:rsid w:val="00871299"/>
    <w:rsid w:val="0087161F"/>
    <w:rsid w:val="00881AC0"/>
    <w:rsid w:val="008821F8"/>
    <w:rsid w:val="00882641"/>
    <w:rsid w:val="0089602A"/>
    <w:rsid w:val="008A533B"/>
    <w:rsid w:val="008A7513"/>
    <w:rsid w:val="008B4674"/>
    <w:rsid w:val="008C5F05"/>
    <w:rsid w:val="008E178A"/>
    <w:rsid w:val="008E1F6B"/>
    <w:rsid w:val="008E5C58"/>
    <w:rsid w:val="008F3DC3"/>
    <w:rsid w:val="008F73FF"/>
    <w:rsid w:val="00904E7C"/>
    <w:rsid w:val="009075CE"/>
    <w:rsid w:val="00914587"/>
    <w:rsid w:val="00920265"/>
    <w:rsid w:val="009249F9"/>
    <w:rsid w:val="00925EF2"/>
    <w:rsid w:val="00927356"/>
    <w:rsid w:val="00933298"/>
    <w:rsid w:val="009332E7"/>
    <w:rsid w:val="009519A7"/>
    <w:rsid w:val="00952844"/>
    <w:rsid w:val="009532BE"/>
    <w:rsid w:val="009543EA"/>
    <w:rsid w:val="00967682"/>
    <w:rsid w:val="0097395C"/>
    <w:rsid w:val="00973CB5"/>
    <w:rsid w:val="00974C50"/>
    <w:rsid w:val="0098057C"/>
    <w:rsid w:val="0098441B"/>
    <w:rsid w:val="00984DB6"/>
    <w:rsid w:val="009857B0"/>
    <w:rsid w:val="00987462"/>
    <w:rsid w:val="00995E55"/>
    <w:rsid w:val="00996217"/>
    <w:rsid w:val="0099736D"/>
    <w:rsid w:val="009A6E08"/>
    <w:rsid w:val="009A7281"/>
    <w:rsid w:val="009B2449"/>
    <w:rsid w:val="009B452F"/>
    <w:rsid w:val="009C5457"/>
    <w:rsid w:val="009D2C30"/>
    <w:rsid w:val="009D54BB"/>
    <w:rsid w:val="009E18DB"/>
    <w:rsid w:val="009E399D"/>
    <w:rsid w:val="00A107BF"/>
    <w:rsid w:val="00A10E45"/>
    <w:rsid w:val="00A14E5F"/>
    <w:rsid w:val="00A2444E"/>
    <w:rsid w:val="00A34EF3"/>
    <w:rsid w:val="00A402A6"/>
    <w:rsid w:val="00A432D6"/>
    <w:rsid w:val="00A440F3"/>
    <w:rsid w:val="00A44593"/>
    <w:rsid w:val="00A476F7"/>
    <w:rsid w:val="00A50501"/>
    <w:rsid w:val="00A51087"/>
    <w:rsid w:val="00A60ADB"/>
    <w:rsid w:val="00A617AE"/>
    <w:rsid w:val="00A671EA"/>
    <w:rsid w:val="00A75A22"/>
    <w:rsid w:val="00A944A2"/>
    <w:rsid w:val="00A96D0E"/>
    <w:rsid w:val="00AA50B4"/>
    <w:rsid w:val="00AA53B5"/>
    <w:rsid w:val="00AA782B"/>
    <w:rsid w:val="00AB07F9"/>
    <w:rsid w:val="00AB2C1D"/>
    <w:rsid w:val="00AD09F7"/>
    <w:rsid w:val="00AD4748"/>
    <w:rsid w:val="00AF0C83"/>
    <w:rsid w:val="00AF1A7D"/>
    <w:rsid w:val="00AF461E"/>
    <w:rsid w:val="00B02A49"/>
    <w:rsid w:val="00B02E5E"/>
    <w:rsid w:val="00B0500E"/>
    <w:rsid w:val="00B06370"/>
    <w:rsid w:val="00B14B91"/>
    <w:rsid w:val="00B15802"/>
    <w:rsid w:val="00B16924"/>
    <w:rsid w:val="00B251FC"/>
    <w:rsid w:val="00B27EEE"/>
    <w:rsid w:val="00B30C0A"/>
    <w:rsid w:val="00B34FAC"/>
    <w:rsid w:val="00B425D2"/>
    <w:rsid w:val="00B52DBA"/>
    <w:rsid w:val="00B6539D"/>
    <w:rsid w:val="00B761A4"/>
    <w:rsid w:val="00B775AB"/>
    <w:rsid w:val="00B77D60"/>
    <w:rsid w:val="00B903AF"/>
    <w:rsid w:val="00B97C46"/>
    <w:rsid w:val="00BA6E0E"/>
    <w:rsid w:val="00BB3C8C"/>
    <w:rsid w:val="00BB4A3B"/>
    <w:rsid w:val="00BC74F7"/>
    <w:rsid w:val="00BD4AF5"/>
    <w:rsid w:val="00BD7D9F"/>
    <w:rsid w:val="00BE33E5"/>
    <w:rsid w:val="00BE555B"/>
    <w:rsid w:val="00BF0E89"/>
    <w:rsid w:val="00BF3349"/>
    <w:rsid w:val="00C140A7"/>
    <w:rsid w:val="00C15BC9"/>
    <w:rsid w:val="00C16E77"/>
    <w:rsid w:val="00C3038F"/>
    <w:rsid w:val="00C3303B"/>
    <w:rsid w:val="00C5110D"/>
    <w:rsid w:val="00C524D1"/>
    <w:rsid w:val="00C61950"/>
    <w:rsid w:val="00C70DD7"/>
    <w:rsid w:val="00C75024"/>
    <w:rsid w:val="00C82568"/>
    <w:rsid w:val="00CA73E4"/>
    <w:rsid w:val="00CA7E4B"/>
    <w:rsid w:val="00CB5BD6"/>
    <w:rsid w:val="00CC46E5"/>
    <w:rsid w:val="00CD5E6F"/>
    <w:rsid w:val="00CF04E9"/>
    <w:rsid w:val="00CF173F"/>
    <w:rsid w:val="00CF74EA"/>
    <w:rsid w:val="00D06C03"/>
    <w:rsid w:val="00D07A92"/>
    <w:rsid w:val="00D12310"/>
    <w:rsid w:val="00D1519E"/>
    <w:rsid w:val="00D166B0"/>
    <w:rsid w:val="00D1740F"/>
    <w:rsid w:val="00D23D8F"/>
    <w:rsid w:val="00D302B9"/>
    <w:rsid w:val="00D41E59"/>
    <w:rsid w:val="00D56482"/>
    <w:rsid w:val="00D63FB0"/>
    <w:rsid w:val="00D6535B"/>
    <w:rsid w:val="00D66DB7"/>
    <w:rsid w:val="00D74A69"/>
    <w:rsid w:val="00D92FCC"/>
    <w:rsid w:val="00DA1B2B"/>
    <w:rsid w:val="00DB43EF"/>
    <w:rsid w:val="00DC3317"/>
    <w:rsid w:val="00DC51A6"/>
    <w:rsid w:val="00DC7316"/>
    <w:rsid w:val="00DE3439"/>
    <w:rsid w:val="00DE41EE"/>
    <w:rsid w:val="00DE49ED"/>
    <w:rsid w:val="00DE79FB"/>
    <w:rsid w:val="00DF4A10"/>
    <w:rsid w:val="00DF4C91"/>
    <w:rsid w:val="00DF5BC3"/>
    <w:rsid w:val="00E13B14"/>
    <w:rsid w:val="00E16694"/>
    <w:rsid w:val="00E231A2"/>
    <w:rsid w:val="00E2619E"/>
    <w:rsid w:val="00E33D23"/>
    <w:rsid w:val="00E52114"/>
    <w:rsid w:val="00E56245"/>
    <w:rsid w:val="00E6084A"/>
    <w:rsid w:val="00E611CC"/>
    <w:rsid w:val="00E64112"/>
    <w:rsid w:val="00E6527D"/>
    <w:rsid w:val="00E74D94"/>
    <w:rsid w:val="00E75E5D"/>
    <w:rsid w:val="00E77DBA"/>
    <w:rsid w:val="00E954FB"/>
    <w:rsid w:val="00E97253"/>
    <w:rsid w:val="00EA43F5"/>
    <w:rsid w:val="00EC6826"/>
    <w:rsid w:val="00EE13E8"/>
    <w:rsid w:val="00EE6DA1"/>
    <w:rsid w:val="00EE799C"/>
    <w:rsid w:val="00EF01EC"/>
    <w:rsid w:val="00EF0ECE"/>
    <w:rsid w:val="00EF26B8"/>
    <w:rsid w:val="00F10627"/>
    <w:rsid w:val="00F12E69"/>
    <w:rsid w:val="00F20707"/>
    <w:rsid w:val="00F20FEC"/>
    <w:rsid w:val="00F2467B"/>
    <w:rsid w:val="00F24FBA"/>
    <w:rsid w:val="00F30066"/>
    <w:rsid w:val="00F35846"/>
    <w:rsid w:val="00F53B31"/>
    <w:rsid w:val="00F570D1"/>
    <w:rsid w:val="00F659E1"/>
    <w:rsid w:val="00F664BD"/>
    <w:rsid w:val="00F66BF3"/>
    <w:rsid w:val="00F72C06"/>
    <w:rsid w:val="00F73D0F"/>
    <w:rsid w:val="00F83FCA"/>
    <w:rsid w:val="00F84242"/>
    <w:rsid w:val="00F868C9"/>
    <w:rsid w:val="00F8783E"/>
    <w:rsid w:val="00FA3E89"/>
    <w:rsid w:val="00FA574A"/>
    <w:rsid w:val="00FA5992"/>
    <w:rsid w:val="00FA6C96"/>
    <w:rsid w:val="00FA798A"/>
    <w:rsid w:val="00FB1BC5"/>
    <w:rsid w:val="00FB2906"/>
    <w:rsid w:val="00FB567D"/>
    <w:rsid w:val="00FB6AC9"/>
    <w:rsid w:val="00FB7EF8"/>
    <w:rsid w:val="00FC28B9"/>
    <w:rsid w:val="00FC49AE"/>
    <w:rsid w:val="00FC766B"/>
    <w:rsid w:val="00FD3751"/>
    <w:rsid w:val="00FE27F3"/>
    <w:rsid w:val="00FE6279"/>
    <w:rsid w:val="00FF2D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351E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 w:type="character" w:customStyle="1" w:styleId="fm-citation-ids-label">
    <w:name w:val="fm-citation-ids-label"/>
    <w:basedOn w:val="DefaultParagraphFont"/>
    <w:rsid w:val="0036482C"/>
  </w:style>
  <w:style w:type="character" w:customStyle="1" w:styleId="apple-converted-space">
    <w:name w:val="apple-converted-space"/>
    <w:basedOn w:val="DefaultParagraphFont"/>
    <w:rsid w:val="0036482C"/>
  </w:style>
  <w:style w:type="paragraph" w:styleId="Revision">
    <w:name w:val="Revision"/>
    <w:hidden/>
    <w:uiPriority w:val="99"/>
    <w:semiHidden/>
    <w:rsid w:val="00B0500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 w:type="character" w:customStyle="1" w:styleId="fm-citation-ids-label">
    <w:name w:val="fm-citation-ids-label"/>
    <w:basedOn w:val="DefaultParagraphFont"/>
    <w:rsid w:val="0036482C"/>
  </w:style>
  <w:style w:type="character" w:customStyle="1" w:styleId="apple-converted-space">
    <w:name w:val="apple-converted-space"/>
    <w:basedOn w:val="DefaultParagraphFont"/>
    <w:rsid w:val="0036482C"/>
  </w:style>
  <w:style w:type="paragraph" w:styleId="Revision">
    <w:name w:val="Revision"/>
    <w:hidden/>
    <w:uiPriority w:val="99"/>
    <w:semiHidden/>
    <w:rsid w:val="00B05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410799">
      <w:bodyDiv w:val="1"/>
      <w:marLeft w:val="0"/>
      <w:marRight w:val="0"/>
      <w:marTop w:val="0"/>
      <w:marBottom w:val="0"/>
      <w:divBdr>
        <w:top w:val="none" w:sz="0" w:space="0" w:color="auto"/>
        <w:left w:val="none" w:sz="0" w:space="0" w:color="auto"/>
        <w:bottom w:val="none" w:sz="0" w:space="0" w:color="auto"/>
        <w:right w:val="none" w:sz="0" w:space="0" w:color="auto"/>
      </w:divBdr>
    </w:div>
    <w:div w:id="348147065">
      <w:bodyDiv w:val="1"/>
      <w:marLeft w:val="0"/>
      <w:marRight w:val="0"/>
      <w:marTop w:val="0"/>
      <w:marBottom w:val="0"/>
      <w:divBdr>
        <w:top w:val="none" w:sz="0" w:space="0" w:color="auto"/>
        <w:left w:val="none" w:sz="0" w:space="0" w:color="auto"/>
        <w:bottom w:val="none" w:sz="0" w:space="0" w:color="auto"/>
        <w:right w:val="none" w:sz="0" w:space="0" w:color="auto"/>
      </w:divBdr>
      <w:divsChild>
        <w:div w:id="2109426727">
          <w:marLeft w:val="0"/>
          <w:marRight w:val="0"/>
          <w:marTop w:val="0"/>
          <w:marBottom w:val="0"/>
          <w:divBdr>
            <w:top w:val="none" w:sz="0" w:space="0" w:color="auto"/>
            <w:left w:val="none" w:sz="0" w:space="0" w:color="auto"/>
            <w:bottom w:val="none" w:sz="0" w:space="0" w:color="auto"/>
            <w:right w:val="none" w:sz="0" w:space="0" w:color="auto"/>
          </w:divBdr>
          <w:divsChild>
            <w:div w:id="616647762">
              <w:marLeft w:val="0"/>
              <w:marRight w:val="0"/>
              <w:marTop w:val="0"/>
              <w:marBottom w:val="0"/>
              <w:divBdr>
                <w:top w:val="none" w:sz="0" w:space="0" w:color="auto"/>
                <w:left w:val="none" w:sz="0" w:space="0" w:color="auto"/>
                <w:bottom w:val="none" w:sz="0" w:space="0" w:color="auto"/>
                <w:right w:val="none" w:sz="0" w:space="0" w:color="auto"/>
              </w:divBdr>
              <w:divsChild>
                <w:div w:id="1424567665">
                  <w:marLeft w:val="0"/>
                  <w:marRight w:val="0"/>
                  <w:marTop w:val="0"/>
                  <w:marBottom w:val="0"/>
                  <w:divBdr>
                    <w:top w:val="none" w:sz="0" w:space="0" w:color="auto"/>
                    <w:left w:val="none" w:sz="0" w:space="0" w:color="auto"/>
                    <w:bottom w:val="none" w:sz="0" w:space="0" w:color="auto"/>
                    <w:right w:val="none" w:sz="0" w:space="0" w:color="auto"/>
                  </w:divBdr>
                  <w:divsChild>
                    <w:div w:id="1373923471">
                      <w:marLeft w:val="0"/>
                      <w:marRight w:val="0"/>
                      <w:marTop w:val="0"/>
                      <w:marBottom w:val="0"/>
                      <w:divBdr>
                        <w:top w:val="none" w:sz="0" w:space="0" w:color="auto"/>
                        <w:left w:val="none" w:sz="0" w:space="0" w:color="auto"/>
                        <w:bottom w:val="none" w:sz="0" w:space="0" w:color="auto"/>
                        <w:right w:val="none" w:sz="0" w:space="0" w:color="auto"/>
                      </w:divBdr>
                      <w:divsChild>
                        <w:div w:id="861554562">
                          <w:marLeft w:val="0"/>
                          <w:marRight w:val="0"/>
                          <w:marTop w:val="0"/>
                          <w:marBottom w:val="0"/>
                          <w:divBdr>
                            <w:top w:val="none" w:sz="0" w:space="0" w:color="auto"/>
                            <w:left w:val="none" w:sz="0" w:space="0" w:color="auto"/>
                            <w:bottom w:val="none" w:sz="0" w:space="0" w:color="auto"/>
                            <w:right w:val="none" w:sz="0" w:space="0" w:color="auto"/>
                          </w:divBdr>
                          <w:divsChild>
                            <w:div w:id="775096758">
                              <w:marLeft w:val="0"/>
                              <w:marRight w:val="0"/>
                              <w:marTop w:val="0"/>
                              <w:marBottom w:val="0"/>
                              <w:divBdr>
                                <w:top w:val="none" w:sz="0" w:space="0" w:color="auto"/>
                                <w:left w:val="none" w:sz="0" w:space="0" w:color="auto"/>
                                <w:bottom w:val="none" w:sz="0" w:space="0" w:color="auto"/>
                                <w:right w:val="none" w:sz="0" w:space="0" w:color="auto"/>
                              </w:divBdr>
                              <w:divsChild>
                                <w:div w:id="116683708">
                                  <w:marLeft w:val="0"/>
                                  <w:marRight w:val="0"/>
                                  <w:marTop w:val="0"/>
                                  <w:marBottom w:val="0"/>
                                  <w:divBdr>
                                    <w:top w:val="none" w:sz="0" w:space="0" w:color="auto"/>
                                    <w:left w:val="none" w:sz="0" w:space="0" w:color="auto"/>
                                    <w:bottom w:val="none" w:sz="0" w:space="0" w:color="auto"/>
                                    <w:right w:val="none" w:sz="0" w:space="0" w:color="auto"/>
                                  </w:divBdr>
                                  <w:divsChild>
                                    <w:div w:id="980307401">
                                      <w:marLeft w:val="0"/>
                                      <w:marRight w:val="0"/>
                                      <w:marTop w:val="0"/>
                                      <w:marBottom w:val="0"/>
                                      <w:divBdr>
                                        <w:top w:val="none" w:sz="0" w:space="0" w:color="auto"/>
                                        <w:left w:val="none" w:sz="0" w:space="0" w:color="auto"/>
                                        <w:bottom w:val="none" w:sz="0" w:space="0" w:color="auto"/>
                                        <w:right w:val="none" w:sz="0" w:space="0" w:color="auto"/>
                                      </w:divBdr>
                                      <w:divsChild>
                                        <w:div w:id="1564297204">
                                          <w:marLeft w:val="0"/>
                                          <w:marRight w:val="0"/>
                                          <w:marTop w:val="0"/>
                                          <w:marBottom w:val="0"/>
                                          <w:divBdr>
                                            <w:top w:val="none" w:sz="0" w:space="0" w:color="auto"/>
                                            <w:left w:val="none" w:sz="0" w:space="0" w:color="auto"/>
                                            <w:bottom w:val="none" w:sz="0" w:space="0" w:color="auto"/>
                                            <w:right w:val="none" w:sz="0" w:space="0" w:color="auto"/>
                                          </w:divBdr>
                                          <w:divsChild>
                                            <w:div w:id="1781097782">
                                              <w:marLeft w:val="0"/>
                                              <w:marRight w:val="0"/>
                                              <w:marTop w:val="0"/>
                                              <w:marBottom w:val="0"/>
                                              <w:divBdr>
                                                <w:top w:val="none" w:sz="0" w:space="0" w:color="auto"/>
                                                <w:left w:val="none" w:sz="0" w:space="0" w:color="auto"/>
                                                <w:bottom w:val="none" w:sz="0" w:space="0" w:color="auto"/>
                                                <w:right w:val="none" w:sz="0" w:space="0" w:color="auto"/>
                                              </w:divBdr>
                                              <w:divsChild>
                                                <w:div w:id="566646526">
                                                  <w:marLeft w:val="0"/>
                                                  <w:marRight w:val="0"/>
                                                  <w:marTop w:val="0"/>
                                                  <w:marBottom w:val="0"/>
                                                  <w:divBdr>
                                                    <w:top w:val="none" w:sz="0" w:space="0" w:color="auto"/>
                                                    <w:left w:val="none" w:sz="0" w:space="0" w:color="auto"/>
                                                    <w:bottom w:val="none" w:sz="0" w:space="0" w:color="auto"/>
                                                    <w:right w:val="none" w:sz="0" w:space="0" w:color="auto"/>
                                                  </w:divBdr>
                                                  <w:divsChild>
                                                    <w:div w:id="1034304544">
                                                      <w:marLeft w:val="0"/>
                                                      <w:marRight w:val="0"/>
                                                      <w:marTop w:val="0"/>
                                                      <w:marBottom w:val="0"/>
                                                      <w:divBdr>
                                                        <w:top w:val="none" w:sz="0" w:space="0" w:color="auto"/>
                                                        <w:left w:val="none" w:sz="0" w:space="0" w:color="auto"/>
                                                        <w:bottom w:val="none" w:sz="0" w:space="0" w:color="auto"/>
                                                        <w:right w:val="none" w:sz="0" w:space="0" w:color="auto"/>
                                                      </w:divBdr>
                                                      <w:divsChild>
                                                        <w:div w:id="2090038910">
                                                          <w:marLeft w:val="0"/>
                                                          <w:marRight w:val="0"/>
                                                          <w:marTop w:val="0"/>
                                                          <w:marBottom w:val="0"/>
                                                          <w:divBdr>
                                                            <w:top w:val="none" w:sz="0" w:space="0" w:color="auto"/>
                                                            <w:left w:val="none" w:sz="0" w:space="0" w:color="auto"/>
                                                            <w:bottom w:val="none" w:sz="0" w:space="0" w:color="auto"/>
                                                            <w:right w:val="none" w:sz="0" w:space="0" w:color="auto"/>
                                                          </w:divBdr>
                                                          <w:divsChild>
                                                            <w:div w:id="816148491">
                                                              <w:marLeft w:val="0"/>
                                                              <w:marRight w:val="0"/>
                                                              <w:marTop w:val="0"/>
                                                              <w:marBottom w:val="0"/>
                                                              <w:divBdr>
                                                                <w:top w:val="none" w:sz="0" w:space="0" w:color="auto"/>
                                                                <w:left w:val="none" w:sz="0" w:space="0" w:color="auto"/>
                                                                <w:bottom w:val="none" w:sz="0" w:space="0" w:color="auto"/>
                                                                <w:right w:val="none" w:sz="0" w:space="0" w:color="auto"/>
                                                              </w:divBdr>
                                                              <w:divsChild>
                                                                <w:div w:id="1013531530">
                                                                  <w:marLeft w:val="0"/>
                                                                  <w:marRight w:val="0"/>
                                                                  <w:marTop w:val="0"/>
                                                                  <w:marBottom w:val="0"/>
                                                                  <w:divBdr>
                                                                    <w:top w:val="none" w:sz="0" w:space="0" w:color="auto"/>
                                                                    <w:left w:val="none" w:sz="0" w:space="0" w:color="auto"/>
                                                                    <w:bottom w:val="none" w:sz="0" w:space="0" w:color="auto"/>
                                                                    <w:right w:val="none" w:sz="0" w:space="0" w:color="auto"/>
                                                                  </w:divBdr>
                                                                  <w:divsChild>
                                                                    <w:div w:id="2069261267">
                                                                      <w:marLeft w:val="0"/>
                                                                      <w:marRight w:val="0"/>
                                                                      <w:marTop w:val="0"/>
                                                                      <w:marBottom w:val="0"/>
                                                                      <w:divBdr>
                                                                        <w:top w:val="none" w:sz="0" w:space="0" w:color="auto"/>
                                                                        <w:left w:val="none" w:sz="0" w:space="0" w:color="auto"/>
                                                                        <w:bottom w:val="none" w:sz="0" w:space="0" w:color="auto"/>
                                                                        <w:right w:val="none" w:sz="0" w:space="0" w:color="auto"/>
                                                                      </w:divBdr>
                                                                      <w:divsChild>
                                                                        <w:div w:id="181865279">
                                                                          <w:marLeft w:val="0"/>
                                                                          <w:marRight w:val="0"/>
                                                                          <w:marTop w:val="0"/>
                                                                          <w:marBottom w:val="0"/>
                                                                          <w:divBdr>
                                                                            <w:top w:val="none" w:sz="0" w:space="0" w:color="auto"/>
                                                                            <w:left w:val="none" w:sz="0" w:space="0" w:color="auto"/>
                                                                            <w:bottom w:val="none" w:sz="0" w:space="0" w:color="auto"/>
                                                                            <w:right w:val="none" w:sz="0" w:space="0" w:color="auto"/>
                                                                          </w:divBdr>
                                                                          <w:divsChild>
                                                                            <w:div w:id="512956139">
                                                                              <w:marLeft w:val="0"/>
                                                                              <w:marRight w:val="0"/>
                                                                              <w:marTop w:val="0"/>
                                                                              <w:marBottom w:val="0"/>
                                                                              <w:divBdr>
                                                                                <w:top w:val="none" w:sz="0" w:space="0" w:color="auto"/>
                                                                                <w:left w:val="none" w:sz="0" w:space="0" w:color="auto"/>
                                                                                <w:bottom w:val="none" w:sz="0" w:space="0" w:color="auto"/>
                                                                                <w:right w:val="none" w:sz="0" w:space="0" w:color="auto"/>
                                                                              </w:divBdr>
                                                                              <w:divsChild>
                                                                                <w:div w:id="1378820807">
                                                                                  <w:marLeft w:val="0"/>
                                                                                  <w:marRight w:val="0"/>
                                                                                  <w:marTop w:val="0"/>
                                                                                  <w:marBottom w:val="0"/>
                                                                                  <w:divBdr>
                                                                                    <w:top w:val="none" w:sz="0" w:space="0" w:color="auto"/>
                                                                                    <w:left w:val="none" w:sz="0" w:space="0" w:color="auto"/>
                                                                                    <w:bottom w:val="none" w:sz="0" w:space="0" w:color="auto"/>
                                                                                    <w:right w:val="none" w:sz="0" w:space="0" w:color="auto"/>
                                                                                  </w:divBdr>
                                                                                  <w:divsChild>
                                                                                    <w:div w:id="1447114528">
                                                                                      <w:marLeft w:val="0"/>
                                                                                      <w:marRight w:val="0"/>
                                                                                      <w:marTop w:val="0"/>
                                                                                      <w:marBottom w:val="0"/>
                                                                                      <w:divBdr>
                                                                                        <w:top w:val="none" w:sz="0" w:space="0" w:color="auto"/>
                                                                                        <w:left w:val="none" w:sz="0" w:space="0" w:color="auto"/>
                                                                                        <w:bottom w:val="none" w:sz="0" w:space="0" w:color="auto"/>
                                                                                        <w:right w:val="none" w:sz="0" w:space="0" w:color="auto"/>
                                                                                      </w:divBdr>
                                                                                      <w:divsChild>
                                                                                        <w:div w:id="456485145">
                                                                                          <w:marLeft w:val="0"/>
                                                                                          <w:marRight w:val="0"/>
                                                                                          <w:marTop w:val="0"/>
                                                                                          <w:marBottom w:val="0"/>
                                                                                          <w:divBdr>
                                                                                            <w:top w:val="none" w:sz="0" w:space="0" w:color="auto"/>
                                                                                            <w:left w:val="none" w:sz="0" w:space="0" w:color="auto"/>
                                                                                            <w:bottom w:val="none" w:sz="0" w:space="0" w:color="auto"/>
                                                                                            <w:right w:val="none" w:sz="0" w:space="0" w:color="auto"/>
                                                                                          </w:divBdr>
                                                                                          <w:divsChild>
                                                                                            <w:div w:id="1805152778">
                                                                                              <w:marLeft w:val="0"/>
                                                                                              <w:marRight w:val="0"/>
                                                                                              <w:marTop w:val="0"/>
                                                                                              <w:marBottom w:val="0"/>
                                                                                              <w:divBdr>
                                                                                                <w:top w:val="none" w:sz="0" w:space="0" w:color="auto"/>
                                                                                                <w:left w:val="none" w:sz="0" w:space="0" w:color="auto"/>
                                                                                                <w:bottom w:val="none" w:sz="0" w:space="0" w:color="auto"/>
                                                                                                <w:right w:val="none" w:sz="0" w:space="0" w:color="auto"/>
                                                                                              </w:divBdr>
                                                                                              <w:divsChild>
                                                                                                <w:div w:id="571503095">
                                                                                                  <w:marLeft w:val="0"/>
                                                                                                  <w:marRight w:val="0"/>
                                                                                                  <w:marTop w:val="0"/>
                                                                                                  <w:marBottom w:val="0"/>
                                                                                                  <w:divBdr>
                                                                                                    <w:top w:val="none" w:sz="0" w:space="0" w:color="auto"/>
                                                                                                    <w:left w:val="none" w:sz="0" w:space="0" w:color="auto"/>
                                                                                                    <w:bottom w:val="none" w:sz="0" w:space="0" w:color="auto"/>
                                                                                                    <w:right w:val="none" w:sz="0" w:space="0" w:color="auto"/>
                                                                                                  </w:divBdr>
                                                                                                  <w:divsChild>
                                                                                                    <w:div w:id="572201351">
                                                                                                      <w:marLeft w:val="0"/>
                                                                                                      <w:marRight w:val="0"/>
                                                                                                      <w:marTop w:val="0"/>
                                                                                                      <w:marBottom w:val="0"/>
                                                                                                      <w:divBdr>
                                                                                                        <w:top w:val="none" w:sz="0" w:space="0" w:color="auto"/>
                                                                                                        <w:left w:val="none" w:sz="0" w:space="0" w:color="auto"/>
                                                                                                        <w:bottom w:val="none" w:sz="0" w:space="0" w:color="auto"/>
                                                                                                        <w:right w:val="none" w:sz="0" w:space="0" w:color="auto"/>
                                                                                                      </w:divBdr>
                                                                                                      <w:divsChild>
                                                                                                        <w:div w:id="1197891962">
                                                                                                          <w:marLeft w:val="0"/>
                                                                                                          <w:marRight w:val="0"/>
                                                                                                          <w:marTop w:val="0"/>
                                                                                                          <w:marBottom w:val="0"/>
                                                                                                          <w:divBdr>
                                                                                                            <w:top w:val="none" w:sz="0" w:space="0" w:color="auto"/>
                                                                                                            <w:left w:val="none" w:sz="0" w:space="0" w:color="auto"/>
                                                                                                            <w:bottom w:val="none" w:sz="0" w:space="0" w:color="auto"/>
                                                                                                            <w:right w:val="none" w:sz="0" w:space="0" w:color="auto"/>
                                                                                                          </w:divBdr>
                                                                                                          <w:divsChild>
                                                                                                            <w:div w:id="1156729270">
                                                                                                              <w:marLeft w:val="0"/>
                                                                                                              <w:marRight w:val="0"/>
                                                                                                              <w:marTop w:val="0"/>
                                                                                                              <w:marBottom w:val="0"/>
                                                                                                              <w:divBdr>
                                                                                                                <w:top w:val="none" w:sz="0" w:space="0" w:color="auto"/>
                                                                                                                <w:left w:val="none" w:sz="0" w:space="0" w:color="auto"/>
                                                                                                                <w:bottom w:val="none" w:sz="0" w:space="0" w:color="auto"/>
                                                                                                                <w:right w:val="none" w:sz="0" w:space="0" w:color="auto"/>
                                                                                                              </w:divBdr>
                                                                                                              <w:divsChild>
                                                                                                                <w:div w:id="1393038106">
                                                                                                                  <w:marLeft w:val="0"/>
                                                                                                                  <w:marRight w:val="0"/>
                                                                                                                  <w:marTop w:val="0"/>
                                                                                                                  <w:marBottom w:val="0"/>
                                                                                                                  <w:divBdr>
                                                                                                                    <w:top w:val="none" w:sz="0" w:space="0" w:color="auto"/>
                                                                                                                    <w:left w:val="none" w:sz="0" w:space="0" w:color="auto"/>
                                                                                                                    <w:bottom w:val="none" w:sz="0" w:space="0" w:color="auto"/>
                                                                                                                    <w:right w:val="none" w:sz="0" w:space="0" w:color="auto"/>
                                                                                                                  </w:divBdr>
                                                                                                                  <w:divsChild>
                                                                                                                    <w:div w:id="1020744763">
                                                                                                                      <w:marLeft w:val="0"/>
                                                                                                                      <w:marRight w:val="0"/>
                                                                                                                      <w:marTop w:val="0"/>
                                                                                                                      <w:marBottom w:val="0"/>
                                                                                                                      <w:divBdr>
                                                                                                                        <w:top w:val="none" w:sz="0" w:space="0" w:color="auto"/>
                                                                                                                        <w:left w:val="none" w:sz="0" w:space="0" w:color="auto"/>
                                                                                                                        <w:bottom w:val="none" w:sz="0" w:space="0" w:color="auto"/>
                                                                                                                        <w:right w:val="none" w:sz="0" w:space="0" w:color="auto"/>
                                                                                                                      </w:divBdr>
                                                                                                                      <w:divsChild>
                                                                                                                        <w:div w:id="9007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590257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dbridge9@uthsc.edu" TargetMode="External"/><Relationship Id="rId7" Type="http://schemas.openxmlformats.org/officeDocument/2006/relationships/hyperlink" Target="mailto:scormier@uthsc.edu" TargetMode="Externa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2387</TotalTime>
  <Pages>14</Pages>
  <Words>33024</Words>
  <Characters>188239</Characters>
  <Application>Microsoft Macintosh Word</Application>
  <DocSecurity>0</DocSecurity>
  <Lines>1568</Lines>
  <Paragraphs>441</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220822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381</cp:revision>
  <dcterms:created xsi:type="dcterms:W3CDTF">2014-11-13T22:58:00Z</dcterms:created>
  <dcterms:modified xsi:type="dcterms:W3CDTF">2015-10-25T15:56:00Z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http://www.zotero.org/styles/obesity</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http://www.zotero.org/styles/bba-molecular-and-cell-biology-of-lipids</vt:lpwstr>
  </property>
  <property fmtid="{D5CDD505-2E9C-101B-9397-08002B2CF9AE}" pid="10" name="Mendeley Recent Style Name 2_1">
    <vt:lpwstr>BBA - Molecular and Cell Biology of Lipids</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http://www.zotero.org/styles/obesity</vt:lpwstr>
  </property>
  <property fmtid="{D5CDD505-2E9C-101B-9397-08002B2CF9AE}" pid="16" name="Mendeley Recent Style Name 5_1">
    <vt:lpwstr>Obesity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