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2FFE9653"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2C40A6F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39910C15"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796578">
        <w:rPr>
          <w:sz w:val="22"/>
          <w:szCs w:val="22"/>
        </w:rPr>
        <w:t>, to induce obesity</w:t>
      </w:r>
      <w:r w:rsidR="00171013" w:rsidRPr="008B1F90">
        <w:rPr>
          <w:sz w:val="22"/>
          <w:szCs w:val="22"/>
        </w:rPr>
        <w:t xml:space="preserve">. Mice were </w:t>
      </w:r>
      <w:r w:rsidR="001C1CAE" w:rsidRPr="008B1F90">
        <w:rPr>
          <w:sz w:val="22"/>
          <w:szCs w:val="22"/>
        </w:rPr>
        <w:t xml:space="preserve">maintained on </w:t>
      </w:r>
      <w:r w:rsidR="00CC6AB7">
        <w:rPr>
          <w:sz w:val="22"/>
          <w:szCs w:val="22"/>
        </w:rPr>
        <w:t xml:space="preserve">the </w:t>
      </w:r>
      <w:r w:rsidR="001C1CAE" w:rsidRPr="008B1F90">
        <w:rPr>
          <w:sz w:val="22"/>
          <w:szCs w:val="22"/>
        </w:rPr>
        <w:t>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5B59D17" w:rsidR="008A7513" w:rsidRPr="008B1F90" w:rsidRDefault="0068650C" w:rsidP="00896FD8">
      <w:pPr>
        <w:spacing w:line="480" w:lineRule="auto"/>
        <w:rPr>
          <w:sz w:val="22"/>
          <w:szCs w:val="22"/>
        </w:rPr>
      </w:pPr>
      <w:r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03A1829C"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xml:space="preserve">, </w:t>
      </w:r>
      <w:r w:rsidR="0099467B">
        <w:rPr>
          <w:sz w:val="22"/>
          <w:szCs w:val="22"/>
        </w:rPr>
        <w:t>food intake was calculated as</w:t>
      </w:r>
      <w:r w:rsidR="00FC49AE" w:rsidRPr="008B1F90">
        <w:rPr>
          <w:sz w:val="22"/>
          <w:szCs w:val="22"/>
        </w:rPr>
        <w:t xml:space="preserve"> the sum of food eaten </w:t>
      </w:r>
      <w:r w:rsidR="0099467B">
        <w:rPr>
          <w:sz w:val="22"/>
          <w:szCs w:val="22"/>
        </w:rPr>
        <w:t xml:space="preserve">per mouse </w:t>
      </w:r>
      <w:r w:rsidR="00FC49AE" w:rsidRPr="008B1F90">
        <w:rPr>
          <w:sz w:val="22"/>
          <w:szCs w:val="22"/>
        </w:rPr>
        <w:t>during the time in the metabolic cages, as determined by scaled feeder</w:t>
      </w:r>
      <w:r w:rsidR="003E5936" w:rsidRPr="008B1F90">
        <w:rPr>
          <w:sz w:val="22"/>
          <w:szCs w:val="22"/>
        </w:rPr>
        <w:t>s</w:t>
      </w:r>
      <w:r w:rsidR="00FC49AE" w:rsidRPr="008B1F90">
        <w:rPr>
          <w:sz w:val="22"/>
          <w:szCs w:val="22"/>
        </w:rPr>
        <w:t>.</w:t>
      </w:r>
      <w:r w:rsidR="0099467B">
        <w:rPr>
          <w:sz w:val="22"/>
          <w:szCs w:val="22"/>
        </w:rPr>
        <w:t xml:space="preserve"> </w:t>
      </w:r>
    </w:p>
    <w:p w14:paraId="24ECD44F" w14:textId="77777777" w:rsidR="00FC49AE" w:rsidRPr="008B1F90" w:rsidRDefault="00FC49AE" w:rsidP="00D3063E">
      <w:pPr>
        <w:spacing w:line="480" w:lineRule="auto"/>
        <w:rPr>
          <w:sz w:val="22"/>
          <w:szCs w:val="22"/>
        </w:rPr>
      </w:pPr>
    </w:p>
    <w:p w14:paraId="2C99918C" w14:textId="2E79F6A4" w:rsidR="0012599A" w:rsidRDefault="00FC49AE" w:rsidP="00AA41A9">
      <w:pPr>
        <w:spacing w:line="480" w:lineRule="auto"/>
        <w:rPr>
          <w:sz w:val="22"/>
          <w:szCs w:val="22"/>
        </w:rPr>
      </w:pPr>
      <w:r w:rsidRPr="008B1F90">
        <w:rPr>
          <w:sz w:val="22"/>
          <w:szCs w:val="22"/>
        </w:rPr>
        <w:lastRenderedPageBreak/>
        <w:t xml:space="preserve">Energy expenditure, ambulatory </w:t>
      </w:r>
      <w:proofErr w:type="spellStart"/>
      <w:r w:rsidRPr="008B1F90">
        <w:rPr>
          <w:sz w:val="22"/>
          <w:szCs w:val="22"/>
        </w:rPr>
        <w:t>locomotor</w:t>
      </w:r>
      <w:proofErr w:type="spellEnd"/>
      <w:r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Pr="008B1F90">
        <w:rPr>
          <w:sz w:val="22"/>
          <w:szCs w:val="22"/>
        </w:rPr>
        <w:t xml:space="preserve">h were discarded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Heat production was calculated from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7777777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025F28" w:rsidRPr="008B1F90">
        <w:rPr>
          <w:sz w:val="22"/>
          <w:szCs w:val="22"/>
        </w:rPr>
        <w:t>)</w:t>
      </w:r>
      <w:r w:rsidR="0089602A" w:rsidRPr="008B1F90">
        <w:rPr>
          <w:sz w:val="22"/>
          <w:szCs w:val="22"/>
        </w:rPr>
        <w:t xml:space="preserve"> 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w:t>
      </w:r>
      <w:r w:rsidR="00DA1B2B" w:rsidRPr="008B1F90">
        <w:rPr>
          <w:sz w:val="22"/>
          <w:szCs w:val="22"/>
        </w:rPr>
        <w:lastRenderedPageBreak/>
        <w:t xml:space="preserve">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2BD93DD"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105C3999"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4104A0">
        <w:rPr>
          <w:sz w:val="22"/>
          <w:szCs w:val="22"/>
        </w:rPr>
        <w:t xml:space="preserve">to induce obesity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xml:space="preserve">% </w:t>
      </w:r>
      <w:r w:rsidR="007F0C91" w:rsidRPr="008B1F90">
        <w:rPr>
          <w:sz w:val="22"/>
          <w:szCs w:val="22"/>
        </w:rPr>
        <w:lastRenderedPageBreak/>
        <w:t>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8D877F1"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xml:space="preserve">, all mice tended to eat less food each week, though this did not reach statistical significance.  </w:t>
      </w:r>
      <w:r w:rsidR="00EF3621" w:rsidRPr="00B650D4">
        <w:rPr>
          <w:sz w:val="22"/>
          <w:szCs w:val="22"/>
        </w:rPr>
        <w:t xml:space="preserve">During the metabolic cage experiments the MCP230-exposed mice ate </w:t>
      </w:r>
      <w:r w:rsidR="00EF3621" w:rsidRPr="00B650D4">
        <w:rPr>
          <w:sz w:val="22"/>
          <w:szCs w:val="22"/>
        </w:rPr>
        <w:t xml:space="preserve">slightly less </w:t>
      </w:r>
      <w:r w:rsidR="00EF3621" w:rsidRPr="00B650D4">
        <w:rPr>
          <w:sz w:val="22"/>
          <w:szCs w:val="22"/>
        </w:rPr>
        <w:t>food per feeding bout</w:t>
      </w:r>
      <w:r w:rsidR="00EF3621" w:rsidRPr="00B650D4">
        <w:rPr>
          <w:sz w:val="22"/>
          <w:szCs w:val="22"/>
        </w:rPr>
        <w:t xml:space="preserve"> (although this was not statistically different</w:t>
      </w:r>
      <w:r w:rsidR="00B650D4" w:rsidRPr="00B650D4">
        <w:rPr>
          <w:sz w:val="22"/>
          <w:szCs w:val="22"/>
        </w:rPr>
        <w:t>)</w:t>
      </w:r>
      <w:r w:rsidR="00EF3621" w:rsidRPr="00B650D4">
        <w:rPr>
          <w:sz w:val="22"/>
          <w:szCs w:val="22"/>
        </w:rPr>
        <w:t>;</w:t>
      </w:r>
      <w:r w:rsidR="00EF3621" w:rsidRPr="00B650D4">
        <w:rPr>
          <w:sz w:val="22"/>
          <w:szCs w:val="22"/>
        </w:rPr>
        <w:t xml:space="preserve"> </w:t>
      </w:r>
      <w:r w:rsidR="00FA159E">
        <w:rPr>
          <w:sz w:val="22"/>
          <w:szCs w:val="22"/>
        </w:rPr>
        <w:t xml:space="preserve">whereas </w:t>
      </w:r>
      <w:r w:rsidR="00EF3621" w:rsidRPr="00B650D4">
        <w:rPr>
          <w:sz w:val="22"/>
          <w:szCs w:val="22"/>
        </w:rPr>
        <w:t xml:space="preserve">each bout </w:t>
      </w:r>
      <w:r w:rsidR="00B650D4" w:rsidRPr="00B650D4">
        <w:rPr>
          <w:sz w:val="22"/>
          <w:szCs w:val="22"/>
        </w:rPr>
        <w:t xml:space="preserve">also </w:t>
      </w:r>
      <w:r w:rsidR="00EF3621" w:rsidRPr="00B650D4">
        <w:rPr>
          <w:sz w:val="22"/>
          <w:szCs w:val="22"/>
        </w:rPr>
        <w:t>tended to be shorter in duration (data not shown).</w:t>
      </w:r>
      <w:r w:rsidR="00B650D4" w:rsidRPr="00B650D4">
        <w:rPr>
          <w:sz w:val="22"/>
          <w:szCs w:val="22"/>
        </w:rPr>
        <w:t xml:space="preserve"> </w:t>
      </w:r>
      <w:r w:rsidRPr="008B1F90">
        <w:rPr>
          <w:sz w:val="22"/>
          <w:szCs w:val="22"/>
        </w:rPr>
        <w:t>Cumulatively, the MCP230</w:t>
      </w:r>
      <w:r w:rsidR="00EC3194" w:rsidRPr="008B1F90">
        <w:rPr>
          <w:sz w:val="22"/>
          <w:szCs w:val="22"/>
        </w:rPr>
        <w:t>-exposed mice</w:t>
      </w:r>
      <w:r w:rsidRPr="008B1F90">
        <w:rPr>
          <w:sz w:val="22"/>
          <w:szCs w:val="22"/>
        </w:rPr>
        <w:t xml:space="preserve"> ate less food throughout the</w:t>
      </w:r>
      <w:r w:rsidR="00B650D4">
        <w:rPr>
          <w:sz w:val="22"/>
          <w:szCs w:val="22"/>
        </w:rPr>
        <w:t xml:space="preserve"> high fat </w:t>
      </w:r>
      <w:r w:rsidRPr="008B1F90">
        <w:rPr>
          <w:sz w:val="22"/>
          <w:szCs w:val="22"/>
        </w:rPr>
        <w:t xml:space="preserve">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30BBB9A4"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4F5139" w:rsidRPr="008B1F90">
        <w:rPr>
          <w:sz w:val="22"/>
          <w:szCs w:val="22"/>
        </w:rPr>
        <w:t>d</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1813FF">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by 2-way ANOVA, with p</w:t>
      </w:r>
      <w:bookmarkStart w:id="0" w:name="_GoBack"/>
      <w:bookmarkEnd w:id="0"/>
      <w:r w:rsidR="00A4373B" w:rsidRPr="008B1F90">
        <w:rPr>
          <w:sz w:val="22"/>
          <w:szCs w:val="22"/>
        </w:rPr>
        <w:t xml:space="preserve">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B43270">
        <w:rPr>
          <w:sz w:val="22"/>
          <w:szCs w:val="22"/>
        </w:rPr>
        <w:t>the observed alterations in feeding behavior</w:t>
      </w:r>
      <w:r w:rsidR="00126EC7" w:rsidRPr="008B1F90">
        <w:rPr>
          <w:sz w:val="22"/>
          <w:szCs w:val="22"/>
        </w:rPr>
        <w:t xml:space="preserve"> (</w:t>
      </w:r>
      <w:r w:rsidR="005A6B51" w:rsidRPr="008B1F90">
        <w:rPr>
          <w:sz w:val="22"/>
          <w:szCs w:val="22"/>
        </w:rPr>
        <w:t xml:space="preserve">Figure 2A and B) </w:t>
      </w:r>
      <w:r w:rsidR="00B43270">
        <w:rPr>
          <w:sz w:val="22"/>
          <w:szCs w:val="22"/>
        </w:rPr>
        <w:t xml:space="preserve">and </w:t>
      </w:r>
      <w:r w:rsidR="00F541F0" w:rsidRPr="008B1F90">
        <w:rPr>
          <w:sz w:val="22"/>
          <w:szCs w:val="22"/>
        </w:rPr>
        <w:t xml:space="preserve">reduced energy expenditure (Figure </w:t>
      </w:r>
      <w:r w:rsidR="0082606D" w:rsidRPr="008B1F90">
        <w:rPr>
          <w:sz w:val="22"/>
          <w:szCs w:val="22"/>
        </w:rPr>
        <w:t>4</w:t>
      </w:r>
      <w:r w:rsidR="00F541F0" w:rsidRPr="008B1F90">
        <w:rPr>
          <w:sz w:val="22"/>
          <w:szCs w:val="22"/>
        </w:rPr>
        <w:t>A, B and C)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w:t>
      </w:r>
      <w:r w:rsidR="0082606D" w:rsidRPr="008B1F90">
        <w:rPr>
          <w:sz w:val="22"/>
          <w:szCs w:val="22"/>
        </w:rPr>
        <w:lastRenderedPageBreak/>
        <w:t>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77777777"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changes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896803" w:rsidRPr="008B1F90">
        <w:rPr>
          <w:sz w:val="22"/>
          <w:szCs w:val="22"/>
        </w:rPr>
        <w:t xml:space="preserve"> effect,</w:t>
      </w:r>
      <w:r w:rsidR="00891215" w:rsidRPr="008B1F90">
        <w:rPr>
          <w:sz w:val="22"/>
          <w:szCs w:val="22"/>
        </w:rPr>
        <w:t xml:space="preserve"> </w:t>
      </w:r>
      <w:r w:rsidR="00BE555B" w:rsidRPr="008B1F90">
        <w:rPr>
          <w:sz w:val="22"/>
          <w:szCs w:val="22"/>
        </w:rPr>
        <w:t xml:space="preserve">suggesting </w:t>
      </w:r>
      <w:r w:rsidR="0098057C" w:rsidRPr="008B1F90">
        <w:rPr>
          <w:sz w:val="22"/>
          <w:szCs w:val="22"/>
        </w:rPr>
        <w:t xml:space="preserve">that </w:t>
      </w:r>
      <w:r w:rsidR="00BE555B" w:rsidRPr="008B1F90">
        <w:rPr>
          <w:sz w:val="22"/>
          <w:szCs w:val="22"/>
        </w:rPr>
        <w:t xml:space="preserve">insulin </w:t>
      </w:r>
      <w:r w:rsidR="00896803" w:rsidRPr="008B1F90">
        <w:rPr>
          <w:sz w:val="22"/>
          <w:szCs w:val="22"/>
        </w:rPr>
        <w:t xml:space="preserve">sensitivity of both </w:t>
      </w:r>
      <w:r w:rsidR="00BE555B" w:rsidRPr="008B1F90">
        <w:rPr>
          <w:sz w:val="22"/>
          <w:szCs w:val="22"/>
        </w:rPr>
        <w:t xml:space="preserve">the saline and MCP230 </w:t>
      </w:r>
      <w:r w:rsidR="00896803" w:rsidRPr="008B1F90">
        <w:rPr>
          <w:sz w:val="22"/>
          <w:szCs w:val="22"/>
        </w:rPr>
        <w:t xml:space="preserve">exposed </w:t>
      </w:r>
      <w:r w:rsidR="00BE555B" w:rsidRPr="008B1F90">
        <w:rPr>
          <w:sz w:val="22"/>
          <w:szCs w:val="22"/>
        </w:rPr>
        <w:t xml:space="preserve">mice </w:t>
      </w:r>
      <w:r w:rsidR="00896803" w:rsidRPr="008B1F90">
        <w:rPr>
          <w:sz w:val="22"/>
          <w:szCs w:val="22"/>
        </w:rPr>
        <w:t>was similar in response to the</w:t>
      </w:r>
      <w:r w:rsidR="00BE555B" w:rsidRPr="008B1F90">
        <w:rPr>
          <w:sz w:val="22"/>
          <w:szCs w:val="22"/>
        </w:rPr>
        <w:t xml:space="preserve"> high fat diet.</w:t>
      </w:r>
      <w:r w:rsidR="00140BB6" w:rsidRPr="008B1F90">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68832D46"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as determined by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26ED1" w:rsidRPr="008B1F90">
        <w:rPr>
          <w:sz w:val="22"/>
          <w:szCs w:val="22"/>
        </w:rPr>
        <w:t>Based on these calculations, w</w:t>
      </w:r>
      <w:r w:rsidR="009332E7" w:rsidRPr="008B1F90">
        <w:rPr>
          <w:sz w:val="22"/>
          <w:szCs w:val="22"/>
        </w:rPr>
        <w:t xml:space="preserve">e observed decreased </w:t>
      </w:r>
      <w:r w:rsidR="00B41014">
        <w:rPr>
          <w:sz w:val="22"/>
          <w:szCs w:val="22"/>
        </w:rPr>
        <w:t>oxygen consumption</w:t>
      </w:r>
      <w:r w:rsidR="009332E7" w:rsidRPr="008B1F90">
        <w:rPr>
          <w:sz w:val="22"/>
          <w:szCs w:val="22"/>
        </w:rPr>
        <w:t xml:space="preserve"> of the MCP230 </w:t>
      </w:r>
      <w:r w:rsidR="00CA7BAA" w:rsidRPr="008B1F90">
        <w:rPr>
          <w:sz w:val="22"/>
          <w:szCs w:val="22"/>
        </w:rPr>
        <w:t>exposed</w:t>
      </w:r>
      <w:r w:rsidR="009332E7" w:rsidRPr="008B1F90">
        <w:rPr>
          <w:sz w:val="22"/>
          <w:szCs w:val="22"/>
        </w:rPr>
        <w:t xml:space="preserve"> mice in both the dark (-19.1%, p=0.020) </w:t>
      </w:r>
      <w:r w:rsidR="009332E7" w:rsidRPr="008B1F90">
        <w:rPr>
          <w:sz w:val="22"/>
          <w:szCs w:val="22"/>
        </w:rPr>
        <w:lastRenderedPageBreak/>
        <w:t>and light (-16.8%, p=0.031)</w:t>
      </w:r>
      <w:r w:rsidR="00126ED1" w:rsidRPr="008B1F90">
        <w:rPr>
          <w:sz w:val="22"/>
          <w:szCs w:val="22"/>
        </w:rPr>
        <w:t xml:space="preserve"> phases</w:t>
      </w:r>
      <w:r w:rsidR="009332E7" w:rsidRPr="008B1F90">
        <w:rPr>
          <w:sz w:val="22"/>
          <w:szCs w:val="22"/>
        </w:rPr>
        <w:t>.</w:t>
      </w:r>
      <w:r w:rsidR="00B41014">
        <w:rPr>
          <w:sz w:val="22"/>
          <w:szCs w:val="22"/>
        </w:rPr>
        <w:t xml:space="preserve">  </w:t>
      </w:r>
      <w:r w:rsidR="00452ADE">
        <w:rPr>
          <w:sz w:val="22"/>
          <w:szCs w:val="22"/>
        </w:rPr>
        <w:t>Calculated</w:t>
      </w:r>
      <w:r w:rsidR="00B41014">
        <w:rPr>
          <w:sz w:val="22"/>
          <w:szCs w:val="22"/>
        </w:rPr>
        <w:t xml:space="preserve"> in terms of heat production</w:t>
      </w:r>
      <w:proofErr w:type="gramStart"/>
      <w:r w:rsidR="00B41014">
        <w:rPr>
          <w:sz w:val="22"/>
          <w:szCs w:val="22"/>
        </w:rPr>
        <w:t>,  similar</w:t>
      </w:r>
      <w:proofErr w:type="gramEnd"/>
      <w:r w:rsidR="00B41014">
        <w:rPr>
          <w:sz w:val="22"/>
          <w:szCs w:val="22"/>
        </w:rPr>
        <w:t xml:space="preserve"> reductions were determined (light phase: 18.f% reduction p=0.032;  dark phase 16.4% reduction p=0.020).</w:t>
      </w:r>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4124A74B"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1394472F"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lastRenderedPageBreak/>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w:t>
      </w:r>
      <w:proofErr w:type="spellStart"/>
      <w:r w:rsidR="007802ED" w:rsidRPr="008B1F90">
        <w:rPr>
          <w:sz w:val="22"/>
          <w:szCs w:val="22"/>
        </w:rPr>
        <w:t>mtDNA</w:t>
      </w:r>
      <w:proofErr w:type="spellEnd"/>
      <w:r w:rsidR="007802ED" w:rsidRPr="008B1F90">
        <w:rPr>
          <w:sz w:val="22"/>
          <w:szCs w:val="22"/>
        </w:rPr>
        <w:t xml:space="preserve"> copy number was reduced with </w:t>
      </w:r>
      <w:r w:rsidR="007802ED" w:rsidRPr="008B1F90">
        <w:rPr>
          <w:i/>
          <w:sz w:val="22"/>
          <w:szCs w:val="22"/>
        </w:rPr>
        <w:t xml:space="preserve">in utero </w:t>
      </w:r>
      <w:r w:rsidR="007802ED" w:rsidRPr="008B1F90">
        <w:rPr>
          <w:sz w:val="22"/>
          <w:szCs w:val="22"/>
        </w:rPr>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 xml:space="preserve">reduced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2126E734" w14:textId="77777777" w:rsidR="005D172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observed </w:t>
      </w:r>
      <w:r w:rsidR="0043113B" w:rsidRPr="008B1F90">
        <w:rPr>
          <w:sz w:val="22"/>
          <w:szCs w:val="22"/>
        </w:rPr>
        <w:t>an inc</w:t>
      </w:r>
      <w:r w:rsidR="005D172E" w:rsidRPr="008B1F90">
        <w:rPr>
          <w:sz w:val="22"/>
          <w:szCs w:val="22"/>
        </w:rPr>
        <w:t xml:space="preserve">rease </w:t>
      </w:r>
      <w:r w:rsidR="0043113B" w:rsidRPr="008B1F90">
        <w:rPr>
          <w:sz w:val="22"/>
          <w:szCs w:val="22"/>
        </w:rPr>
        <w:t>in the relative abundance</w:t>
      </w:r>
      <w:r w:rsidR="005D172E" w:rsidRPr="008B1F90">
        <w:rPr>
          <w:sz w:val="22"/>
          <w:szCs w:val="22"/>
        </w:rPr>
        <w:t xml:space="preserve"> of the </w:t>
      </w:r>
      <w:r w:rsidR="00CF173F" w:rsidRPr="008B1F90">
        <w:rPr>
          <w:sz w:val="22"/>
          <w:szCs w:val="22"/>
        </w:rPr>
        <w:t xml:space="preserve">two of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794142" w:rsidRPr="008B1F90">
        <w:rPr>
          <w:sz w:val="22"/>
          <w:szCs w:val="22"/>
        </w:rPr>
        <w:t>;</w:t>
      </w:r>
      <w:r w:rsidR="00CF173F" w:rsidRPr="008B1F90">
        <w:rPr>
          <w:sz w:val="22"/>
          <w:szCs w:val="22"/>
        </w:rPr>
        <w:t xml:space="preserve"> </w:t>
      </w:r>
      <w:r w:rsidR="005D172E" w:rsidRPr="008B1F90">
        <w:rPr>
          <w:sz w:val="22"/>
          <w:szCs w:val="22"/>
        </w:rPr>
        <w:t xml:space="preserve">NDUFB8 </w:t>
      </w:r>
      <w:r w:rsidR="00794142" w:rsidRPr="008B1F90">
        <w:rPr>
          <w:sz w:val="22"/>
          <w:szCs w:val="22"/>
        </w:rPr>
        <w:t>and ATP5A were elevated 66.2% (</w:t>
      </w:r>
      <w:r w:rsidR="005D172E" w:rsidRPr="008B1F90">
        <w:rPr>
          <w:sz w:val="22"/>
          <w:szCs w:val="22"/>
        </w:rPr>
        <w:t>p=0.042</w:t>
      </w:r>
      <w:r w:rsidR="00794142" w:rsidRPr="008B1F90">
        <w:rPr>
          <w:sz w:val="22"/>
          <w:szCs w:val="22"/>
        </w:rPr>
        <w:t>) and 64.2% (</w:t>
      </w:r>
      <w:r w:rsidR="005D172E" w:rsidRPr="008B1F90">
        <w:rPr>
          <w:sz w:val="22"/>
          <w:szCs w:val="22"/>
        </w:rPr>
        <w:t>p=0.022</w:t>
      </w:r>
      <w:r w:rsidR="00794142" w:rsidRPr="008B1F90">
        <w:rPr>
          <w:sz w:val="22"/>
          <w:szCs w:val="22"/>
        </w:rPr>
        <w:t>), respectively</w:t>
      </w:r>
      <w:r w:rsidR="00186195" w:rsidRPr="008B1F90">
        <w:rPr>
          <w:sz w:val="22"/>
          <w:szCs w:val="22"/>
        </w:rPr>
        <w:t xml:space="preserve">, whereas the other three electron transport proteins measured were </w:t>
      </w:r>
      <w:r w:rsidR="0054682B" w:rsidRPr="008B1F90">
        <w:rPr>
          <w:sz w:val="22"/>
          <w:szCs w:val="22"/>
        </w:rPr>
        <w:t xml:space="preserve">expressed </w:t>
      </w:r>
      <w:r w:rsidR="00186195" w:rsidRPr="008B1F90">
        <w:rPr>
          <w:sz w:val="22"/>
          <w:szCs w:val="22"/>
        </w:rPr>
        <w:t>similar</w:t>
      </w:r>
      <w:r w:rsidR="0054682B" w:rsidRPr="008B1F90">
        <w:rPr>
          <w:sz w:val="22"/>
          <w:szCs w:val="22"/>
        </w:rPr>
        <w:t>ly</w:t>
      </w:r>
      <w:r w:rsidR="00186195" w:rsidRPr="008B1F90">
        <w:rPr>
          <w:sz w:val="22"/>
          <w:szCs w:val="22"/>
        </w:rPr>
        <w:t xml:space="preserve"> between </w:t>
      </w:r>
      <w:r w:rsidR="0054682B" w:rsidRPr="008B1F90">
        <w:rPr>
          <w:sz w:val="22"/>
          <w:szCs w:val="22"/>
        </w:rPr>
        <w:t xml:space="preserve">the </w:t>
      </w:r>
      <w:r w:rsidR="00186195" w:rsidRPr="008B1F90">
        <w:rPr>
          <w:sz w:val="22"/>
          <w:szCs w:val="22"/>
        </w:rPr>
        <w:t>groups</w:t>
      </w:r>
      <w:r w:rsidR="00481D40" w:rsidRPr="008B1F90">
        <w:rPr>
          <w:sz w:val="22"/>
          <w:szCs w:val="22"/>
        </w:rPr>
        <w:t xml:space="preserve"> (Figure 5E)</w:t>
      </w:r>
      <w:r w:rsidR="005D172E" w:rsidRPr="008B1F90">
        <w:rPr>
          <w:sz w:val="22"/>
          <w:szCs w:val="22"/>
        </w:rPr>
        <w:t>.</w:t>
      </w:r>
      <w:r w:rsidR="000D59B5" w:rsidRPr="008B1F90">
        <w:rPr>
          <w:sz w:val="22"/>
          <w:szCs w:val="22"/>
        </w:rPr>
        <w:t xml:space="preserve"> </w:t>
      </w:r>
      <w:r w:rsidR="001C3B10" w:rsidRPr="008B1F90">
        <w:rPr>
          <w:sz w:val="22"/>
          <w:szCs w:val="22"/>
        </w:rPr>
        <w:t xml:space="preserve">This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DE76B67"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w:t>
      </w:r>
      <w:r w:rsidRPr="008B1F90">
        <w:rPr>
          <w:sz w:val="22"/>
          <w:szCs w:val="22"/>
        </w:rPr>
        <w:lastRenderedPageBreak/>
        <w:t xml:space="preserve">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We noted that these mice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0DE783E7"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which may contribute to changes in</w:t>
      </w:r>
      <w:r w:rsidR="008C306C" w:rsidRPr="008B1F90">
        <w:rPr>
          <w:sz w:val="22"/>
          <w:szCs w:val="22"/>
        </w:rPr>
        <w:t xml:space="preserve"> 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25B76267" w14:textId="4AD3315A" w:rsidR="000C2AA4" w:rsidRPr="008B1F9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Based on our current protocol, mice are treated with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FC766B" w:rsidRPr="008B1F90">
        <w:rPr>
          <w:sz w:val="22"/>
          <w:szCs w:val="22"/>
        </w:rPr>
        <w:t>In contrast to previous studies that</w:t>
      </w:r>
      <w:r w:rsidR="000C5C97" w:rsidRPr="008B1F90">
        <w:rPr>
          <w:sz w:val="22"/>
          <w:szCs w:val="22"/>
        </w:rPr>
        <w:t xml:space="preserve"> us</w:t>
      </w:r>
      <w:r w:rsidR="00FC766B"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in MCP230 exposed mice </w:t>
      </w:r>
      <w:r w:rsidR="000C5C97" w:rsidRPr="008B1F90">
        <w:rPr>
          <w:sz w:val="22"/>
          <w:szCs w:val="22"/>
        </w:rPr>
        <w:t>(</w:t>
      </w:r>
      <w:r w:rsidR="00353D6D" w:rsidRPr="008B1F90">
        <w:rPr>
          <w:sz w:val="22"/>
          <w:szCs w:val="22"/>
        </w:rPr>
        <w:t xml:space="preserve">there were no </w:t>
      </w:r>
      <w:r w:rsidR="00353D6D" w:rsidRPr="008B1F90">
        <w:rPr>
          <w:sz w:val="22"/>
          <w:szCs w:val="22"/>
        </w:rPr>
        <w:lastRenderedPageBreak/>
        <w:t xml:space="preserve">differences in fasting </w:t>
      </w:r>
      <w:r w:rsidR="000C5C97" w:rsidRPr="008B1F90">
        <w:rPr>
          <w:sz w:val="22"/>
          <w:szCs w:val="22"/>
        </w:rPr>
        <w:t>glucose</w:t>
      </w:r>
      <w:r w:rsidR="00353D6D" w:rsidRPr="008B1F90">
        <w:rPr>
          <w:sz w:val="22"/>
          <w:szCs w:val="22"/>
        </w:rPr>
        <w:t xml:space="preserve"> or fasting/fed </w:t>
      </w:r>
      <w:r w:rsidR="000C5C97" w:rsidRPr="008B1F90">
        <w:rPr>
          <w:sz w:val="22"/>
          <w:szCs w:val="22"/>
        </w:rPr>
        <w:t xml:space="preserve">insulin </w:t>
      </w:r>
      <w:r w:rsidR="00353D6D" w:rsidRPr="008B1F90">
        <w:rPr>
          <w:sz w:val="22"/>
          <w:szCs w:val="22"/>
        </w:rPr>
        <w:t xml:space="preserve">concentrations relative to the saline or </w:t>
      </w:r>
      <w:proofErr w:type="spellStart"/>
      <w:r w:rsidR="00353D6D" w:rsidRPr="008B1F90">
        <w:rPr>
          <w:sz w:val="22"/>
          <w:szCs w:val="22"/>
        </w:rPr>
        <w:t>cabosil</w:t>
      </w:r>
      <w:proofErr w:type="spellEnd"/>
      <w:r w:rsidR="00353D6D" w:rsidRPr="008B1F90">
        <w:rPr>
          <w:sz w:val="22"/>
          <w:szCs w:val="22"/>
        </w:rPr>
        <w:t xml:space="preserve"> exposed mice</w:t>
      </w:r>
      <w:r w:rsidR="002404F1" w:rsidRPr="008B1F90">
        <w:rPr>
          <w:sz w:val="22"/>
          <w:szCs w:val="22"/>
        </w:rPr>
        <w:t>, Figure 3</w:t>
      </w:r>
      <w:r w:rsidR="000C5C97" w:rsidRPr="008B1F90">
        <w:rPr>
          <w:sz w:val="22"/>
          <w:szCs w:val="22"/>
        </w:rPr>
        <w:t xml:space="preserve">), indicating that the effects of </w:t>
      </w:r>
      <w:r w:rsidR="005F4CF8" w:rsidRPr="008B1F90">
        <w:rPr>
          <w:sz w:val="22"/>
          <w:szCs w:val="22"/>
        </w:rPr>
        <w:t xml:space="preserve">acute </w:t>
      </w:r>
      <w:r w:rsidR="000C5C97" w:rsidRPr="008B1F90">
        <w:rPr>
          <w:sz w:val="22"/>
          <w:szCs w:val="22"/>
        </w:rPr>
        <w:t xml:space="preserve">gestational particulate exposure </w:t>
      </w:r>
      <w:r w:rsidR="003108A4" w:rsidRPr="008B1F90">
        <w:rPr>
          <w:sz w:val="22"/>
          <w:szCs w:val="22"/>
        </w:rPr>
        <w:t>are not likely to</w:t>
      </w:r>
      <w:r w:rsidR="000C5C97" w:rsidRPr="008B1F90">
        <w:rPr>
          <w:sz w:val="22"/>
          <w:szCs w:val="22"/>
        </w:rPr>
        <w:t xml:space="preserve"> mimic the effects of chronic exposure, and the risk profiles </w:t>
      </w:r>
      <w:r w:rsidR="00EE799C" w:rsidRPr="008B1F90">
        <w:rPr>
          <w:sz w:val="22"/>
          <w:szCs w:val="22"/>
        </w:rPr>
        <w:t>and mechanisms associated with these exposures may differ</w:t>
      </w:r>
      <w:r w:rsidR="000C5C97" w:rsidRPr="008B1F90">
        <w:rPr>
          <w:sz w:val="22"/>
          <w:szCs w:val="22"/>
        </w:rPr>
        <w:t>.</w:t>
      </w:r>
    </w:p>
    <w:p w14:paraId="0746C151" w14:textId="77777777" w:rsidR="00B14B91" w:rsidRPr="008B1F90"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xml:space="preserve">- and MCP230- exposed groups. Data shown is either the individual (B) or group mean (A, C and D) ± SE (C and D).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 xml:space="preserve">-test (C), or Wilcoxon-Rank Sum Test (D).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349119D5" w:rsidR="002F26E7" w:rsidRPr="008B1F90"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electron transport chain protein expression was either unchanged, or greater in the MCP230-exposed mice (D</w:t>
      </w:r>
      <w:r w:rsidR="00CD7D21" w:rsidRPr="008B1F90">
        <w:rPr>
          <w:sz w:val="22"/>
          <w:szCs w:val="22"/>
        </w:rPr>
        <w:t>, representative blot</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n=7-12/group. The saline-exposed mice are depicted in black and the MCP230-exposed mice are depicted in grey.</w:t>
      </w: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lastRenderedPageBreak/>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w:t>
      </w:r>
      <w:proofErr w:type="spellStart"/>
      <w:r w:rsidRPr="008B1F90">
        <w:rPr>
          <w:rFonts w:ascii="Arial" w:hAnsi="Arial" w:cs="Arial"/>
          <w:sz w:val="22"/>
          <w:szCs w:val="22"/>
        </w:rPr>
        <w:t>mtDNA</w:t>
      </w:r>
      <w:proofErr w:type="spellEnd"/>
      <w:r w:rsidRPr="008B1F90">
        <w:rPr>
          <w:rFonts w:ascii="Arial" w:hAnsi="Arial" w:cs="Arial"/>
          <w:sz w:val="22"/>
          <w:szCs w:val="22"/>
        </w:rPr>
        <w:t xml:space="preserve">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0DD7"/>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13FF"/>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1F7975"/>
    <w:rsid w:val="00206B25"/>
    <w:rsid w:val="00207EA1"/>
    <w:rsid w:val="00212185"/>
    <w:rsid w:val="00213096"/>
    <w:rsid w:val="002138F5"/>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4A0"/>
    <w:rsid w:val="00410F14"/>
    <w:rsid w:val="00413414"/>
    <w:rsid w:val="00415F55"/>
    <w:rsid w:val="0043113B"/>
    <w:rsid w:val="00432581"/>
    <w:rsid w:val="004337D0"/>
    <w:rsid w:val="00435C2A"/>
    <w:rsid w:val="00441A6B"/>
    <w:rsid w:val="00442795"/>
    <w:rsid w:val="00442D2D"/>
    <w:rsid w:val="00445104"/>
    <w:rsid w:val="00445B6C"/>
    <w:rsid w:val="004478AA"/>
    <w:rsid w:val="00452ADE"/>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689"/>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1F8"/>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A6B51"/>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3CB9"/>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96578"/>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5CDF"/>
    <w:rsid w:val="008A7513"/>
    <w:rsid w:val="008B1F90"/>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467B"/>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151"/>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D6992"/>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1014"/>
    <w:rsid w:val="00B4251D"/>
    <w:rsid w:val="00B425D2"/>
    <w:rsid w:val="00B43270"/>
    <w:rsid w:val="00B47C5A"/>
    <w:rsid w:val="00B511A4"/>
    <w:rsid w:val="00B5198F"/>
    <w:rsid w:val="00B52DBA"/>
    <w:rsid w:val="00B63B62"/>
    <w:rsid w:val="00B650D4"/>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C6AB7"/>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1DF0"/>
    <w:rsid w:val="00E92EEB"/>
    <w:rsid w:val="00E954FB"/>
    <w:rsid w:val="00E97253"/>
    <w:rsid w:val="00EA248D"/>
    <w:rsid w:val="00EA43F5"/>
    <w:rsid w:val="00EB7A27"/>
    <w:rsid w:val="00EC3194"/>
    <w:rsid w:val="00EC6826"/>
    <w:rsid w:val="00EC7447"/>
    <w:rsid w:val="00EE13E8"/>
    <w:rsid w:val="00EE6DA1"/>
    <w:rsid w:val="00EE799C"/>
    <w:rsid w:val="00EF01EC"/>
    <w:rsid w:val="00EF0ECE"/>
    <w:rsid w:val="00EF26B8"/>
    <w:rsid w:val="00EF3621"/>
    <w:rsid w:val="00F078CF"/>
    <w:rsid w:val="00F10627"/>
    <w:rsid w:val="00F12E69"/>
    <w:rsid w:val="00F146C4"/>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9E"/>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AF111853-CA5E-4E6D-904A-A388741F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9742-E218-4300-A346-2E55A0FC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20</Pages>
  <Words>39771</Words>
  <Characters>226699</Characters>
  <Application>Microsoft Office Word</Application>
  <DocSecurity>0</DocSecurity>
  <Lines>1889</Lines>
  <Paragraphs>531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265939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Stephenson, Erin</cp:lastModifiedBy>
  <cp:revision>45</cp:revision>
  <cp:lastPrinted>2015-12-03T18:58:00Z</cp:lastPrinted>
  <dcterms:created xsi:type="dcterms:W3CDTF">2015-12-17T17:41:00Z</dcterms:created>
  <dcterms:modified xsi:type="dcterms:W3CDTF">2016-02-08T22:00:00Z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