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1EE4B522"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del w:id="0" w:author="Dave Bridges" w:date="2016-03-08T08:13:00Z">
        <w:r w:rsidR="00F80CAA" w:rsidRPr="003F0D57" w:rsidDel="00E91C2C">
          <w:rPr>
            <w:rFonts w:ascii="Times New Roman" w:hAnsi="Times New Roman" w:cs="Times New Roman"/>
            <w:sz w:val="20"/>
            <w:szCs w:val="20"/>
          </w:rPr>
          <w:delText xml:space="preserve">In </w:delText>
        </w:r>
        <w:commentRangeStart w:id="1"/>
        <w:r w:rsidR="00F80CAA" w:rsidRPr="003F0D57" w:rsidDel="00E91C2C">
          <w:rPr>
            <w:rFonts w:ascii="Times New Roman" w:hAnsi="Times New Roman" w:cs="Times New Roman"/>
            <w:sz w:val="20"/>
            <w:szCs w:val="20"/>
          </w:rPr>
          <w:delText xml:space="preserve">many </w:delText>
        </w:r>
        <w:commentRangeEnd w:id="1"/>
        <w:r w:rsidR="00CF6519" w:rsidRPr="00CF6519" w:rsidDel="00E91C2C">
          <w:rPr>
            <w:rStyle w:val="CommentReference"/>
          </w:rPr>
          <w:commentReference w:id="1"/>
        </w:r>
        <w:r w:rsidR="00F80CAA" w:rsidRPr="003F0D57" w:rsidDel="00E91C2C">
          <w:rPr>
            <w:rFonts w:ascii="Times New Roman" w:hAnsi="Times New Roman" w:cs="Times New Roman"/>
            <w:sz w:val="20"/>
            <w:szCs w:val="20"/>
          </w:rPr>
          <w:delText>instances w</w:delText>
        </w:r>
      </w:del>
      <w:ins w:id="2" w:author="Dave Bridges" w:date="2016-03-08T08:13:00Z">
        <w:r w:rsidR="00E91C2C">
          <w:rPr>
            <w:rFonts w:ascii="Times New Roman" w:hAnsi="Times New Roman" w:cs="Times New Roman"/>
            <w:sz w:val="20"/>
            <w:szCs w:val="20"/>
          </w:rPr>
          <w:t>W</w:t>
        </w:r>
      </w:ins>
      <w:r w:rsidR="00F80CAA" w:rsidRPr="003F0D57">
        <w:rPr>
          <w:rFonts w:ascii="Times New Roman" w:hAnsi="Times New Roman" w:cs="Times New Roman"/>
          <w:sz w:val="20"/>
          <w:szCs w:val="20"/>
        </w:rPr>
        <w:t>e have completed additional experiments to fulfil requests</w:t>
      </w:r>
      <w:r w:rsidR="002B6051" w:rsidRPr="003F0D57">
        <w:rPr>
          <w:rFonts w:ascii="Times New Roman" w:hAnsi="Times New Roman" w:cs="Times New Roman"/>
          <w:sz w:val="20"/>
          <w:szCs w:val="20"/>
        </w:rPr>
        <w:t xml:space="preserve"> and improve the quality of our paper</w:t>
      </w:r>
      <w:ins w:id="3" w:author="Dave Bridges" w:date="2016-03-08T08:13:00Z">
        <w:r w:rsidR="00E91C2C">
          <w:rPr>
            <w:rFonts w:ascii="Times New Roman" w:hAnsi="Times New Roman" w:cs="Times New Roman"/>
            <w:sz w:val="20"/>
            <w:szCs w:val="20"/>
          </w:rPr>
          <w:t xml:space="preserve">, including </w:t>
        </w:r>
      </w:ins>
      <w:del w:id="4" w:author="Dave Bridges" w:date="2016-03-08T08:14:00Z">
        <w:r w:rsidR="002B6051" w:rsidRPr="003F0D57" w:rsidDel="00E91C2C">
          <w:rPr>
            <w:rFonts w:ascii="Times New Roman" w:hAnsi="Times New Roman" w:cs="Times New Roman"/>
            <w:sz w:val="20"/>
            <w:szCs w:val="20"/>
          </w:rPr>
          <w:delText xml:space="preserve">. </w:delText>
        </w:r>
        <w:r w:rsidR="009C6880" w:rsidDel="00E91C2C">
          <w:rPr>
            <w:rFonts w:ascii="Times New Roman" w:hAnsi="Times New Roman" w:cs="Times New Roman"/>
            <w:sz w:val="20"/>
            <w:szCs w:val="20"/>
          </w:rPr>
          <w:delText xml:space="preserve">For example, we have measured </w:delText>
        </w:r>
      </w:del>
      <w:r w:rsidR="009C6880">
        <w:rPr>
          <w:rFonts w:ascii="Times New Roman" w:hAnsi="Times New Roman" w:cs="Times New Roman"/>
          <w:sz w:val="20"/>
          <w:szCs w:val="20"/>
        </w:rPr>
        <w:t>the expression levels of the upstream regulators of mitochondrial biogenesis</w:t>
      </w:r>
      <w:ins w:id="5" w:author="Dave Bridges" w:date="2016-03-08T09:22:00Z">
        <w:r w:rsidR="00941AE0">
          <w:rPr>
            <w:rFonts w:ascii="Times New Roman" w:hAnsi="Times New Roman" w:cs="Times New Roman"/>
            <w:sz w:val="20"/>
            <w:szCs w:val="20"/>
          </w:rPr>
          <w:t>, uncoupling</w:t>
        </w:r>
      </w:ins>
      <w:r w:rsidR="009C6880">
        <w:rPr>
          <w:rFonts w:ascii="Times New Roman" w:hAnsi="Times New Roman" w:cs="Times New Roman"/>
          <w:sz w:val="20"/>
          <w:szCs w:val="20"/>
        </w:rPr>
        <w:t xml:space="preserve">, </w:t>
      </w:r>
      <w:ins w:id="6" w:author="Dave Bridges" w:date="2016-03-08T09:22:00Z">
        <w:r w:rsidR="00941AE0">
          <w:rPr>
            <w:rFonts w:ascii="Times New Roman" w:hAnsi="Times New Roman" w:cs="Times New Roman"/>
            <w:sz w:val="20"/>
            <w:szCs w:val="20"/>
          </w:rPr>
          <w:t xml:space="preserve">and </w:t>
        </w:r>
      </w:ins>
      <w:del w:id="7" w:author="Dave Bridges" w:date="2016-03-08T08:14:00Z">
        <w:r w:rsidR="009C6880" w:rsidDel="00E91C2C">
          <w:rPr>
            <w:rFonts w:ascii="Times New Roman" w:hAnsi="Times New Roman" w:cs="Times New Roman"/>
            <w:sz w:val="20"/>
            <w:szCs w:val="20"/>
          </w:rPr>
          <w:delText xml:space="preserve">as well as a number of important </w:delText>
        </w:r>
      </w:del>
      <w:r w:rsidR="009C6880">
        <w:rPr>
          <w:rFonts w:ascii="Times New Roman" w:hAnsi="Times New Roman" w:cs="Times New Roman"/>
          <w:sz w:val="20"/>
          <w:szCs w:val="20"/>
        </w:rPr>
        <w:t>oxidative stress response genes</w:t>
      </w:r>
      <w:del w:id="8" w:author="Dave Bridges" w:date="2016-03-08T08:14:00Z">
        <w:r w:rsidR="009C6880" w:rsidDel="00E91C2C">
          <w:rPr>
            <w:rFonts w:ascii="Times New Roman" w:hAnsi="Times New Roman" w:cs="Times New Roman"/>
            <w:sz w:val="20"/>
            <w:szCs w:val="20"/>
          </w:rPr>
          <w:delText xml:space="preserve">, to support our hypothesis that oxidative stress is elevated in the mice that were exposed to MCP230 </w:delText>
        </w:r>
        <w:r w:rsidR="009C6880" w:rsidRPr="00DE5717" w:rsidDel="00E91C2C">
          <w:rPr>
            <w:rFonts w:ascii="Times New Roman" w:hAnsi="Times New Roman" w:cs="Times New Roman"/>
            <w:i/>
            <w:sz w:val="20"/>
            <w:szCs w:val="20"/>
          </w:rPr>
          <w:delText>in utero</w:delText>
        </w:r>
        <w:r w:rsidR="009C6880" w:rsidDel="00E91C2C">
          <w:rPr>
            <w:rFonts w:ascii="Times New Roman" w:hAnsi="Times New Roman" w:cs="Times New Roman"/>
            <w:sz w:val="20"/>
            <w:szCs w:val="20"/>
          </w:rPr>
          <w:delText xml:space="preserve"> and </w:delText>
        </w:r>
        <w:r w:rsidR="00556568" w:rsidDel="00E91C2C">
          <w:rPr>
            <w:rFonts w:ascii="Times New Roman" w:hAnsi="Times New Roman" w:cs="Times New Roman"/>
            <w:sz w:val="20"/>
            <w:szCs w:val="20"/>
          </w:rPr>
          <w:delText xml:space="preserve">that </w:delText>
        </w:r>
        <w:r w:rsidR="009C6880" w:rsidDel="00E91C2C">
          <w:rPr>
            <w:rFonts w:ascii="Times New Roman" w:hAnsi="Times New Roman" w:cs="Times New Roman"/>
            <w:sz w:val="20"/>
            <w:szCs w:val="20"/>
          </w:rPr>
          <w:delText xml:space="preserve">alterations to the mitochondria are </w:delText>
        </w:r>
        <w:r w:rsidR="00540077" w:rsidDel="00E91C2C">
          <w:rPr>
            <w:rFonts w:ascii="Times New Roman" w:hAnsi="Times New Roman" w:cs="Times New Roman"/>
            <w:sz w:val="20"/>
            <w:szCs w:val="20"/>
          </w:rPr>
          <w:delText xml:space="preserve">likely </w:delText>
        </w:r>
        <w:r w:rsidR="009C6880" w:rsidDel="00E91C2C">
          <w:rPr>
            <w:rFonts w:ascii="Times New Roman" w:hAnsi="Times New Roman" w:cs="Times New Roman"/>
            <w:sz w:val="20"/>
            <w:szCs w:val="20"/>
          </w:rPr>
          <w:delText>a response to this</w:delText>
        </w:r>
        <w:r w:rsidR="00556568" w:rsidDel="00E91C2C">
          <w:rPr>
            <w:rFonts w:ascii="Times New Roman" w:hAnsi="Times New Roman" w:cs="Times New Roman"/>
            <w:sz w:val="20"/>
            <w:szCs w:val="20"/>
          </w:rPr>
          <w:delText xml:space="preserve"> oxidative stress</w:delText>
        </w:r>
        <w:r w:rsidR="009C6880" w:rsidDel="00E91C2C">
          <w:rPr>
            <w:rFonts w:ascii="Times New Roman" w:hAnsi="Times New Roman" w:cs="Times New Roman"/>
            <w:sz w:val="20"/>
            <w:szCs w:val="20"/>
          </w:rPr>
          <w:delText>, rather than a down-regulation of mitochondrial biogenesis</w:delText>
        </w:r>
        <w:r w:rsidR="00540077" w:rsidDel="00E91C2C">
          <w:rPr>
            <w:rFonts w:ascii="Times New Roman" w:hAnsi="Times New Roman" w:cs="Times New Roman"/>
            <w:sz w:val="20"/>
            <w:szCs w:val="20"/>
          </w:rPr>
          <w:delText xml:space="preserve"> </w:delText>
        </w:r>
        <w:r w:rsidR="00556568" w:rsidRPr="00556568" w:rsidDel="00E91C2C">
          <w:rPr>
            <w:rFonts w:ascii="Times New Roman" w:hAnsi="Times New Roman" w:cs="Times New Roman"/>
            <w:i/>
            <w:sz w:val="20"/>
            <w:szCs w:val="20"/>
          </w:rPr>
          <w:delText>per se</w:delText>
        </w:r>
      </w:del>
      <w:r w:rsidR="00EA13BC">
        <w:rPr>
          <w:rFonts w:ascii="Times New Roman" w:hAnsi="Times New Roman" w:cs="Times New Roman"/>
          <w:sz w:val="20"/>
          <w:szCs w:val="20"/>
        </w:rPr>
        <w:t xml:space="preserve">. </w:t>
      </w:r>
      <w:del w:id="9" w:author="Dave Bridges" w:date="2016-03-08T08:14:00Z">
        <w:r w:rsidR="00425DE1" w:rsidRPr="003F0D57" w:rsidDel="00E91C2C">
          <w:rPr>
            <w:rFonts w:ascii="Times New Roman" w:hAnsi="Times New Roman" w:cs="Times New Roman"/>
            <w:sz w:val="20"/>
            <w:szCs w:val="20"/>
          </w:rPr>
          <w:delText>Please find our direct</w:delText>
        </w:r>
      </w:del>
      <w:ins w:id="10" w:author="Dave Bridges" w:date="2016-03-08T08:14:00Z">
        <w:r w:rsidR="00E91C2C">
          <w:rPr>
            <w:rFonts w:ascii="Times New Roman" w:hAnsi="Times New Roman" w:cs="Times New Roman"/>
            <w:sz w:val="20"/>
            <w:szCs w:val="20"/>
          </w:rPr>
          <w:t>Below is a point-by-point</w:t>
        </w:r>
      </w:ins>
      <w:r w:rsidR="00425DE1" w:rsidRPr="003F0D57">
        <w:rPr>
          <w:rFonts w:ascii="Times New Roman" w:hAnsi="Times New Roman" w:cs="Times New Roman"/>
          <w:sz w:val="20"/>
          <w:szCs w:val="20"/>
        </w:rPr>
        <w:t xml:space="preserve"> response to each </w:t>
      </w:r>
      <w:r w:rsidR="0096792B" w:rsidRPr="003F0D57">
        <w:rPr>
          <w:rFonts w:ascii="Times New Roman" w:hAnsi="Times New Roman" w:cs="Times New Roman"/>
          <w:sz w:val="20"/>
          <w:szCs w:val="20"/>
        </w:rPr>
        <w:t>of the comments</w:t>
      </w:r>
      <w:del w:id="11" w:author="Dave Bridges" w:date="2016-03-08T08:15:00Z">
        <w:r w:rsidR="00425DE1" w:rsidRPr="003F0D57" w:rsidDel="00E91C2C">
          <w:rPr>
            <w:rFonts w:ascii="Times New Roman" w:hAnsi="Times New Roman" w:cs="Times New Roman"/>
            <w:sz w:val="20"/>
            <w:szCs w:val="20"/>
          </w:rPr>
          <w:delText xml:space="preserve"> below</w:delText>
        </w:r>
      </w:del>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 xml:space="preserve">We hope you will now find our manuscript suitable for publication. If not, we welcome any further feedback you or </w:t>
      </w:r>
      <w:del w:id="12" w:author="Dave Bridges" w:date="2016-03-08T08:15:00Z">
        <w:r w:rsidR="00501324" w:rsidRPr="003F0D57" w:rsidDel="00E91C2C">
          <w:rPr>
            <w:rFonts w:ascii="Times New Roman" w:hAnsi="Times New Roman" w:cs="Times New Roman"/>
            <w:sz w:val="20"/>
            <w:szCs w:val="20"/>
          </w:rPr>
          <w:delText>your chosen</w:delText>
        </w:r>
      </w:del>
      <w:ins w:id="13" w:author="Dave Bridges" w:date="2016-03-08T08:15:00Z">
        <w:r w:rsidR="00E91C2C">
          <w:rPr>
            <w:rFonts w:ascii="Times New Roman" w:hAnsi="Times New Roman" w:cs="Times New Roman"/>
            <w:sz w:val="20"/>
            <w:szCs w:val="20"/>
          </w:rPr>
          <w:t>the</w:t>
        </w:r>
      </w:ins>
      <w:r w:rsidR="00501324" w:rsidRPr="003F0D57">
        <w:rPr>
          <w:rFonts w:ascii="Times New Roman" w:hAnsi="Times New Roman" w:cs="Times New Roman"/>
          <w:sz w:val="20"/>
          <w:szCs w:val="20"/>
        </w:rPr>
        <w:t xml:space="preserve">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1B559433"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DE1B82" w:rsidRPr="009623C5" w:rsidRDefault="00DE1B82">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DE1B82" w:rsidRPr="009623C5" w:rsidRDefault="00DE1B82">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No’s.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DE1B82" w:rsidRDefault="00DE1B82">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DE1B82" w:rsidRDefault="00DE1B82">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commentRangeStart w:id="14"/>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w:t>
      </w:r>
      <w:commentRangeEnd w:id="14"/>
      <w:r w:rsidR="00AA7040">
        <w:rPr>
          <w:rStyle w:val="CommentReference"/>
        </w:rPr>
        <w:commentReference w:id="14"/>
      </w:r>
      <w:r w:rsidR="005C4F70">
        <w:rPr>
          <w:rFonts w:ascii="Times New Roman" w:hAnsi="Times New Roman" w:cs="Times New Roman"/>
          <w:sz w:val="20"/>
          <w:szCs w:val="20"/>
        </w:rPr>
        <w:t xml:space="preserve">Representative western blots and their quantification are provided </w:t>
      </w:r>
      <w:r w:rsidR="00D77B5F">
        <w:rPr>
          <w:rFonts w:ascii="Times New Roman" w:hAnsi="Times New Roman" w:cs="Times New Roman"/>
          <w:sz w:val="20"/>
          <w:szCs w:val="20"/>
        </w:rPr>
        <w:t>in Figure 1</w:t>
      </w:r>
      <w:ins w:id="15" w:author="Dave Bridges" w:date="2016-03-08T08:33:00Z">
        <w:r w:rsidR="00BA6520">
          <w:rPr>
            <w:rFonts w:ascii="Times New Roman" w:hAnsi="Times New Roman" w:cs="Times New Roman"/>
            <w:sz w:val="20"/>
            <w:szCs w:val="20"/>
          </w:rPr>
          <w:t xml:space="preserve"> of this document</w:t>
        </w:r>
      </w:ins>
      <w:del w:id="16" w:author="Dave Bridges" w:date="2016-03-08T08:33:00Z">
        <w:r w:rsidR="00D77B5F" w:rsidDel="00BA6520">
          <w:rPr>
            <w:rFonts w:ascii="Times New Roman" w:hAnsi="Times New Roman" w:cs="Times New Roman"/>
            <w:sz w:val="20"/>
            <w:szCs w:val="20"/>
          </w:rPr>
          <w:delText xml:space="preserve">, </w:delText>
        </w:r>
        <w:r w:rsidR="005C4F70" w:rsidDel="00BA6520">
          <w:rPr>
            <w:rFonts w:ascii="Times New Roman" w:hAnsi="Times New Roman" w:cs="Times New Roman"/>
            <w:sz w:val="20"/>
            <w:szCs w:val="20"/>
          </w:rPr>
          <w:delText>below</w:delText>
        </w:r>
      </w:del>
      <w:r w:rsidR="005C4F70">
        <w:rPr>
          <w:rFonts w:ascii="Times New Roman" w:hAnsi="Times New Roman" w:cs="Times New Roman"/>
          <w:sz w:val="20"/>
          <w:szCs w:val="20"/>
        </w:rPr>
        <w:t>.</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819A82D"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lastRenderedPageBreak/>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w:t>
      </w:r>
      <w:del w:id="17" w:author="Dave Bridges" w:date="2016-03-08T08:17:00Z">
        <w:r w:rsidR="008058DD" w:rsidRPr="00220061" w:rsidDel="00AA7040">
          <w:rPr>
            <w:rFonts w:ascii="Times New Roman" w:hAnsi="Times New Roman" w:cs="Times New Roman"/>
            <w:sz w:val="20"/>
            <w:szCs w:val="20"/>
          </w:rPr>
          <w:delText xml:space="preserve">statistically </w:delText>
        </w:r>
      </w:del>
      <w:ins w:id="18" w:author="Dave Bridges" w:date="2016-03-08T08:17:00Z">
        <w:r w:rsidR="00AA7040">
          <w:rPr>
            <w:rFonts w:ascii="Times New Roman" w:hAnsi="Times New Roman" w:cs="Times New Roman"/>
            <w:sz w:val="20"/>
            <w:szCs w:val="20"/>
          </w:rPr>
          <w:t>significantly</w:t>
        </w:r>
        <w:r w:rsidR="00AA7040" w:rsidRPr="00220061">
          <w:rPr>
            <w:rFonts w:ascii="Times New Roman" w:hAnsi="Times New Roman" w:cs="Times New Roman"/>
            <w:sz w:val="20"/>
            <w:szCs w:val="20"/>
          </w:rPr>
          <w:t xml:space="preserve"> </w:t>
        </w:r>
      </w:ins>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This data is shown here in Figure 2</w:t>
      </w:r>
      <w:ins w:id="19" w:author="Dave Bridges" w:date="2016-03-08T08:32:00Z">
        <w:r w:rsidR="00BA6520">
          <w:rPr>
            <w:rFonts w:ascii="Times New Roman" w:hAnsi="Times New Roman" w:cs="Times New Roman"/>
            <w:sz w:val="20"/>
            <w:szCs w:val="20"/>
          </w:rPr>
          <w:t xml:space="preserve"> of this document</w:t>
        </w:r>
      </w:ins>
      <w:del w:id="20" w:author="Dave Bridges" w:date="2016-03-08T08:32:00Z">
        <w:r w:rsidR="00A66E35" w:rsidDel="00BA6520">
          <w:rPr>
            <w:rFonts w:ascii="Times New Roman" w:hAnsi="Times New Roman" w:cs="Times New Roman"/>
            <w:sz w:val="20"/>
            <w:szCs w:val="20"/>
          </w:rPr>
          <w:delText>, below</w:delText>
        </w:r>
      </w:del>
      <w:r w:rsidR="00A66E35">
        <w:rPr>
          <w:rFonts w:ascii="Times New Roman" w:hAnsi="Times New Roman" w:cs="Times New Roman"/>
          <w:sz w:val="20"/>
          <w:szCs w:val="20"/>
        </w:rPr>
        <w:t xml:space="preserve">.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169A2CF7"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DE1B82" w:rsidRDefault="00DE1B82">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DE1B82" w:rsidRDefault="00DE1B82">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DE1B82" w:rsidRDefault="00DE1B82">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DE1B82" w:rsidRDefault="00DE1B82">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w:t>
      </w:r>
      <w:del w:id="21" w:author="Dave Bridges" w:date="2016-03-08T08:17:00Z">
        <w:r w:rsidR="00D6526F" w:rsidRPr="00303396" w:rsidDel="00AA7040">
          <w:rPr>
            <w:rFonts w:ascii="Times New Roman" w:hAnsi="Times New Roman" w:cs="Times New Roman"/>
            <w:b/>
            <w:sz w:val="20"/>
            <w:szCs w:val="20"/>
          </w:rPr>
          <w:delText xml:space="preserve">statistically </w:delText>
        </w:r>
      </w:del>
      <w:ins w:id="22" w:author="Dave Bridges" w:date="2016-03-08T08:17:00Z">
        <w:r w:rsidR="00AA7040">
          <w:rPr>
            <w:rFonts w:ascii="Times New Roman" w:hAnsi="Times New Roman" w:cs="Times New Roman"/>
            <w:b/>
            <w:sz w:val="20"/>
            <w:szCs w:val="20"/>
          </w:rPr>
          <w:t>significantly</w:t>
        </w:r>
        <w:r w:rsidR="00AA7040" w:rsidRPr="00303396">
          <w:rPr>
            <w:rFonts w:ascii="Times New Roman" w:hAnsi="Times New Roman" w:cs="Times New Roman"/>
            <w:b/>
            <w:sz w:val="20"/>
            <w:szCs w:val="20"/>
          </w:rPr>
          <w:t xml:space="preserve"> </w:t>
        </w:r>
      </w:ins>
      <w:r w:rsidR="00D6526F" w:rsidRPr="00303396">
        <w:rPr>
          <w:rFonts w:ascii="Times New Roman" w:hAnsi="Times New Roman" w:cs="Times New Roman"/>
          <w:b/>
          <w:sz w:val="20"/>
          <w:szCs w:val="20"/>
        </w:rPr>
        <w:t xml:space="preserve">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ins w:id="23" w:author="Dave Bridges" w:date="2016-03-08T08:18:00Z">
        <w:r w:rsidR="008D468B">
          <w:rPr>
            <w:rFonts w:ascii="Times New Roman" w:hAnsi="Times New Roman" w:cs="Times New Roman"/>
            <w:b/>
            <w:sz w:val="20"/>
            <w:szCs w:val="20"/>
          </w:rPr>
          <w:t xml:space="preserve"> bouts</w:t>
        </w:r>
      </w:ins>
      <w:r w:rsidR="00D6526F" w:rsidRPr="00303396">
        <w:rPr>
          <w:rFonts w:ascii="Times New Roman" w:hAnsi="Times New Roman" w:cs="Times New Roman"/>
          <w:b/>
          <w:sz w:val="20"/>
          <w:szCs w:val="20"/>
        </w:rPr>
        <w:t>.</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w:t>
      </w:r>
      <w:commentRangeStart w:id="24"/>
      <w:r w:rsidRPr="004F3129">
        <w:rPr>
          <w:rFonts w:ascii="Times New Roman" w:hAnsi="Times New Roman" w:cs="Times New Roman"/>
          <w:color w:val="FF0000"/>
          <w:sz w:val="20"/>
          <w:szCs w:val="20"/>
        </w:rPr>
        <w:t>ghrelin and GLP1 levels</w:t>
      </w:r>
      <w:commentRangeEnd w:id="24"/>
      <w:r w:rsidR="001F70EA">
        <w:rPr>
          <w:rStyle w:val="CommentReference"/>
        </w:rPr>
        <w:commentReference w:id="24"/>
      </w:r>
      <w:r w:rsidRPr="004F3129">
        <w:rPr>
          <w:rFonts w:ascii="Times New Roman" w:hAnsi="Times New Roman" w:cs="Times New Roman"/>
          <w:color w:val="FF0000"/>
          <w:sz w:val="20"/>
          <w:szCs w:val="20"/>
        </w:rPr>
        <w:t xml:space="preserve">, MCP230 mice did not display any alteration in glucose and insulin levels, and the fat mass appear to be mildly affected. The authors should provide an explanation for this in the discussion. </w:t>
      </w:r>
    </w:p>
    <w:p w14:paraId="724B6AF9" w14:textId="0A9E989C"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w:t>
      </w:r>
      <w:ins w:id="25" w:author="Dave Bridges" w:date="2016-03-08T08:19:00Z">
        <w:r w:rsidR="00E24F59">
          <w:rPr>
            <w:rFonts w:ascii="Times New Roman" w:hAnsi="Times New Roman" w:cs="Times New Roman"/>
            <w:sz w:val="20"/>
            <w:szCs w:val="20"/>
          </w:rPr>
          <w:t>-fed</w:t>
        </w:r>
      </w:ins>
      <w:r w:rsidR="000E045B" w:rsidRPr="004F3129">
        <w:rPr>
          <w:rFonts w:ascii="Times New Roman" w:hAnsi="Times New Roman" w:cs="Times New Roman"/>
          <w:sz w:val="20"/>
          <w:szCs w:val="20"/>
        </w:rPr>
        <w:t xml:space="preserve">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ins w:id="26" w:author="Dave Bridges" w:date="2016-03-08T08:21:00Z">
        <w:r w:rsidR="001F70EA">
          <w:rPr>
            <w:rFonts w:ascii="Times New Roman" w:hAnsi="Times New Roman" w:cs="Times New Roman"/>
            <w:sz w:val="20"/>
            <w:szCs w:val="20"/>
          </w:rPr>
          <w:t xml:space="preserve"> (see revised Figures 3A-C)</w:t>
        </w:r>
      </w:ins>
      <w:ins w:id="27" w:author="Dave Bridges" w:date="2016-03-08T08:22:00Z">
        <w:r w:rsidR="00656812">
          <w:rPr>
            <w:rFonts w:ascii="Times New Roman" w:hAnsi="Times New Roman" w:cs="Times New Roman"/>
            <w:sz w:val="20"/>
            <w:szCs w:val="20"/>
          </w:rPr>
          <w:t xml:space="preserve"> in spite of a </w:t>
        </w:r>
      </w:ins>
      <w:ins w:id="28" w:author="Dave Bridges" w:date="2016-03-08T08:23:00Z">
        <w:r w:rsidR="00D13A3E">
          <w:rPr>
            <w:rFonts w:ascii="Times New Roman" w:hAnsi="Times New Roman" w:cs="Times New Roman"/>
            <w:sz w:val="20"/>
            <w:szCs w:val="20"/>
          </w:rPr>
          <w:t>10% increase in fat mass</w:t>
        </w:r>
      </w:ins>
      <w:r w:rsidR="00D04676" w:rsidRPr="004F3129">
        <w:rPr>
          <w:rFonts w:ascii="Times New Roman" w:hAnsi="Times New Roman" w:cs="Times New Roman"/>
          <w:sz w:val="20"/>
          <w:szCs w:val="20"/>
        </w:rPr>
        <w:t>.</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lastRenderedPageBreak/>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225A7115" w:rsidR="00C25D04" w:rsidRDefault="009D7D6E" w:rsidP="002C21F8">
      <w:pPr>
        <w:rPr>
          <w:ins w:id="29" w:author="Dave Bridges" w:date="2016-03-08T08:38:00Z"/>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ins w:id="30" w:author="Dave Bridges" w:date="2016-03-08T08:24:00Z">
        <w:r w:rsidR="00B12835">
          <w:rPr>
            <w:rFonts w:ascii="Times New Roman" w:hAnsi="Times New Roman" w:cs="Times New Roman"/>
            <w:sz w:val="20"/>
            <w:szCs w:val="20"/>
          </w:rPr>
          <w:t xml:space="preserve"> and report these data in the new Figure 6</w:t>
        </w:r>
      </w:ins>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del w:id="31" w:author="Dave Bridges" w:date="2016-03-08T08:24:00Z">
        <w:r w:rsidR="00F85C6A" w:rsidRPr="004F3129" w:rsidDel="00B12835">
          <w:rPr>
            <w:rFonts w:ascii="Times New Roman" w:hAnsi="Times New Roman" w:cs="Times New Roman"/>
            <w:sz w:val="20"/>
            <w:szCs w:val="20"/>
          </w:rPr>
          <w:delText xml:space="preserve">did </w:delText>
        </w:r>
      </w:del>
      <w:r w:rsidR="00F85C6A" w:rsidRPr="004F3129">
        <w:rPr>
          <w:rFonts w:ascii="Times New Roman" w:hAnsi="Times New Roman" w:cs="Times New Roman"/>
          <w:sz w:val="20"/>
          <w:szCs w:val="20"/>
        </w:rPr>
        <w:t>observe</w:t>
      </w:r>
      <w:ins w:id="32" w:author="Dave Bridges" w:date="2016-03-08T08:24:00Z">
        <w:r w:rsidR="00B12835">
          <w:rPr>
            <w:rFonts w:ascii="Times New Roman" w:hAnsi="Times New Roman" w:cs="Times New Roman"/>
            <w:sz w:val="20"/>
            <w:szCs w:val="20"/>
          </w:rPr>
          <w:t>d</w:t>
        </w:r>
      </w:ins>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w:t>
      </w:r>
      <w:ins w:id="33" w:author="Dave Bridges" w:date="2016-03-08T08:25:00Z">
        <w:r w:rsidR="00B12835">
          <w:rPr>
            <w:rFonts w:ascii="Times New Roman" w:hAnsi="Times New Roman" w:cs="Times New Roman"/>
            <w:sz w:val="20"/>
            <w:szCs w:val="20"/>
          </w:rPr>
          <w:t xml:space="preserve">gestational </w:t>
        </w:r>
      </w:ins>
      <w:r w:rsidR="002D171F" w:rsidRPr="004F3129">
        <w:rPr>
          <w:rFonts w:ascii="Times New Roman" w:hAnsi="Times New Roman" w:cs="Times New Roman"/>
          <w:sz w:val="20"/>
          <w:szCs w:val="20"/>
        </w:rPr>
        <w:t>treatment.</w:t>
      </w:r>
      <w:r w:rsidR="00A831A1" w:rsidRPr="004F3129">
        <w:rPr>
          <w:rFonts w:ascii="Times New Roman" w:hAnsi="Times New Roman" w:cs="Times New Roman"/>
          <w:sz w:val="20"/>
          <w:szCs w:val="20"/>
        </w:rPr>
        <w:t xml:space="preserve"> </w:t>
      </w:r>
      <w:commentRangeStart w:id="34"/>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w:t>
      </w:r>
      <w:commentRangeStart w:id="35"/>
      <w:r w:rsidR="0047529A">
        <w:rPr>
          <w:rFonts w:ascii="Times New Roman" w:hAnsi="Times New Roman" w:cs="Times New Roman"/>
          <w:sz w:val="20"/>
          <w:szCs w:val="20"/>
        </w:rPr>
        <w:t>activation has been shown to reduce markers of whole-body oxidative stress</w:t>
      </w:r>
      <w:ins w:id="36" w:author="Dave Bridges" w:date="2016-03-08T08:29: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"ITEM-1",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"(2)", "plainTextFormattedCitation" : "(2)", "previouslyFormattedCitation" : "(2)"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(2)</w:t>
      </w:r>
      <w:ins w:id="37" w:author="Dave Bridges" w:date="2016-03-08T08:29:00Z">
        <w:r w:rsidR="00BA6520">
          <w:rPr>
            <w:rFonts w:ascii="Times New Roman" w:hAnsi="Times New Roman" w:cs="Times New Roman"/>
            <w:sz w:val="20"/>
            <w:szCs w:val="20"/>
          </w:rPr>
          <w:fldChar w:fldCharType="end"/>
        </w:r>
      </w:ins>
      <w:r w:rsidR="0047529A">
        <w:rPr>
          <w:rFonts w:ascii="Times New Roman" w:hAnsi="Times New Roman" w:cs="Times New Roman"/>
          <w:sz w:val="20"/>
          <w:szCs w:val="20"/>
        </w:rPr>
        <w:t xml:space="preserve"> </w:t>
      </w:r>
      <w:commentRangeEnd w:id="35"/>
      <w:r w:rsidR="00B12835">
        <w:rPr>
          <w:rStyle w:val="CommentReference"/>
        </w:rPr>
        <w:commentReference w:id="35"/>
      </w:r>
      <w:del w:id="38" w:author="Dave Bridges" w:date="2016-03-08T08:29:00Z">
        <w:r w:rsidR="0047529A" w:rsidDel="00BA6520">
          <w:rPr>
            <w:rFonts w:ascii="Times New Roman" w:hAnsi="Times New Roman" w:cs="Times New Roman"/>
            <w:sz w:val="20"/>
            <w:szCs w:val="20"/>
          </w:rPr>
          <w:delText>(Riserus et al. (2008) Diabetes 57:332-339)</w:delText>
        </w:r>
      </w:del>
      <w:r w:rsidR="0047529A">
        <w:rPr>
          <w:rFonts w:ascii="Times New Roman" w:hAnsi="Times New Roman" w:cs="Times New Roman"/>
          <w:sz w:val="20"/>
          <w:szCs w:val="20"/>
        </w:rPr>
        <w:t>,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w:t>
      </w:r>
      <w:del w:id="39" w:author="Dave Bridges" w:date="2016-03-08T08:32:00Z">
        <w:r w:rsidR="00900406" w:rsidDel="00BA6520">
          <w:rPr>
            <w:rFonts w:ascii="Times New Roman" w:hAnsi="Times New Roman" w:cs="Times New Roman"/>
            <w:sz w:val="20"/>
            <w:szCs w:val="20"/>
          </w:rPr>
          <w:delText xml:space="preserve"> </w:delText>
        </w:r>
      </w:del>
      <w:ins w:id="40" w:author="Dave Bridges" w:date="2016-03-08T08:32:00Z">
        <w:r w:rsidR="00BA6520">
          <w:rPr>
            <w:rFonts w:ascii="Times New Roman" w:hAnsi="Times New Roman" w:cs="Times New Roman"/>
            <w:sz w:val="20"/>
            <w:szCs w:val="20"/>
          </w:rPr>
          <w:t xml:space="preserve"> </w:t>
        </w:r>
        <w:r w:rsidR="00BA6520">
          <w:rPr>
            <w:rFonts w:ascii="Times New Roman" w:hAnsi="Times New Roman" w:cs="Times New Roman"/>
            <w:sz w:val="20"/>
            <w:szCs w:val="20"/>
          </w:rPr>
          <w:fldChar w:fldCharType="begin" w:fldLock="1"/>
        </w:r>
      </w:ins>
      <w:r w:rsidR="00D44F34">
        <w:rPr>
          <w:rFonts w:ascii="Times New Roman" w:hAnsi="Times New Roman" w:cs="Times New Roman"/>
          <w:sz w:val="20"/>
          <w:szCs w:val="20"/>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 "plainTextFormattedCitation" : "(1)", "previouslyFormattedCitation" : "(1)" }, "properties" : { "noteIndex" : 0 }, "schema" : "https://github.com/citation-style-language/schema/raw/master/csl-citation.json" }</w:instrText>
      </w:r>
      <w:r w:rsidR="00BA6520">
        <w:rPr>
          <w:rFonts w:ascii="Times New Roman" w:hAnsi="Times New Roman" w:cs="Times New Roman"/>
          <w:sz w:val="20"/>
          <w:szCs w:val="20"/>
        </w:rPr>
        <w:fldChar w:fldCharType="separate"/>
      </w:r>
      <w:r w:rsidR="00BA6520" w:rsidRPr="00BA6520">
        <w:rPr>
          <w:rFonts w:ascii="Times New Roman" w:hAnsi="Times New Roman" w:cs="Times New Roman"/>
          <w:noProof/>
          <w:sz w:val="20"/>
          <w:szCs w:val="20"/>
        </w:rPr>
        <w:t>(1)</w:t>
      </w:r>
      <w:ins w:id="41" w:author="Dave Bridges" w:date="2016-03-08T08:32:00Z">
        <w:r w:rsidR="00BA6520">
          <w:rPr>
            <w:rFonts w:ascii="Times New Roman" w:hAnsi="Times New Roman" w:cs="Times New Roman"/>
            <w:sz w:val="20"/>
            <w:szCs w:val="20"/>
          </w:rPr>
          <w:fldChar w:fldCharType="end"/>
        </w:r>
      </w:ins>
      <w:del w:id="42" w:author="Dave Bridges" w:date="2016-03-08T08:32:00Z">
        <w:r w:rsidR="00900406" w:rsidDel="00BA6520">
          <w:rPr>
            <w:rFonts w:ascii="Times New Roman" w:hAnsi="Times New Roman" w:cs="Times New Roman"/>
            <w:sz w:val="20"/>
            <w:szCs w:val="20"/>
          </w:rPr>
          <w:delText>(Ramamoorthy et al. (2015) Nat Comm 6:10210)</w:delText>
        </w:r>
      </w:del>
      <w:r w:rsidR="003B2B63" w:rsidRPr="004F3129">
        <w:rPr>
          <w:rFonts w:ascii="Times New Roman" w:hAnsi="Times New Roman" w:cs="Times New Roman"/>
          <w:sz w:val="20"/>
          <w:szCs w:val="20"/>
        </w:rPr>
        <w:t xml:space="preserve">. We have described these data </w:t>
      </w:r>
      <w:del w:id="43" w:author="Dave Bridges" w:date="2016-03-08T08:41:00Z">
        <w:r w:rsidR="003B2B63" w:rsidRPr="004F3129" w:rsidDel="00A8649A">
          <w:rPr>
            <w:rFonts w:ascii="Times New Roman" w:hAnsi="Times New Roman" w:cs="Times New Roman"/>
            <w:sz w:val="20"/>
            <w:szCs w:val="20"/>
          </w:rPr>
          <w:delText xml:space="preserve">and our interpretations </w:delText>
        </w:r>
      </w:del>
      <w:r w:rsidR="003B2B63" w:rsidRPr="004F3129">
        <w:rPr>
          <w:rFonts w:ascii="Times New Roman" w:hAnsi="Times New Roman" w:cs="Times New Roman"/>
          <w:sz w:val="20"/>
          <w:szCs w:val="20"/>
        </w:rPr>
        <w:t xml:space="preserve">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ins w:id="44" w:author="Dave Bridges" w:date="2016-03-08T08:38:00Z">
        <w:r w:rsidR="00C25D04">
          <w:rPr>
            <w:rFonts w:ascii="Times New Roman" w:hAnsi="Times New Roman" w:cs="Times New Roman"/>
            <w:sz w:val="20"/>
            <w:szCs w:val="20"/>
          </w:rPr>
          <w:t>:</w:t>
        </w:r>
      </w:ins>
      <w:commentRangeEnd w:id="34"/>
      <w:ins w:id="45" w:author="Dave Bridges" w:date="2016-03-08T08:42:00Z">
        <w:r w:rsidR="00A8649A">
          <w:rPr>
            <w:rStyle w:val="CommentReference"/>
          </w:rPr>
          <w:commentReference w:id="34"/>
        </w:r>
      </w:ins>
    </w:p>
    <w:p w14:paraId="7B9299F1" w14:textId="615A56AF" w:rsidR="00C25D04" w:rsidRPr="00C25D04" w:rsidRDefault="00C25D04">
      <w:pPr>
        <w:ind w:left="720"/>
        <w:rPr>
          <w:ins w:id="46" w:author="Dave Bridges" w:date="2016-03-08T08:38:00Z"/>
          <w:rFonts w:ascii="Times New Roman" w:hAnsi="Times New Roman" w:cs="Times New Roman"/>
          <w:b/>
          <w:sz w:val="20"/>
          <w:szCs w:val="20"/>
          <w:rPrChange w:id="47" w:author="Dave Bridges" w:date="2016-03-08T08:39:00Z">
            <w:rPr>
              <w:ins w:id="48" w:author="Dave Bridges" w:date="2016-03-08T08:38:00Z"/>
              <w:rFonts w:ascii="Times New Roman" w:hAnsi="Times New Roman" w:cs="Times New Roman"/>
              <w:sz w:val="20"/>
              <w:szCs w:val="20"/>
            </w:rPr>
          </w:rPrChange>
        </w:rPr>
        <w:pPrChange w:id="49" w:author="Dave Bridges" w:date="2016-03-08T08:39:00Z">
          <w:pPr/>
        </w:pPrChange>
      </w:pPr>
      <w:ins w:id="50" w:author="Dave Bridges" w:date="2016-03-08T08:38:00Z">
        <w:r w:rsidRPr="00C25D04">
          <w:rPr>
            <w:rFonts w:ascii="Times New Roman" w:hAnsi="Times New Roman" w:cs="Times New Roman"/>
            <w:b/>
            <w:sz w:val="20"/>
            <w:szCs w:val="20"/>
            <w:rPrChange w:id="51" w:author="Dave Bridges" w:date="2016-03-08T08:39:00Z">
              <w:rPr>
                <w:rFonts w:ascii="Times New Roman" w:hAnsi="Times New Roman" w:cs="Times New Roman"/>
                <w:sz w:val="20"/>
                <w:szCs w:val="20"/>
              </w:rPr>
            </w:rPrChange>
          </w:rPr>
          <w:t xml:space="preserve">“To test whether these reductions were due to lowered mitochondrial biogenesis, we evaluated the expression level of several known </w:t>
        </w:r>
        <w:proofErr w:type="spellStart"/>
        <w:r w:rsidRPr="00C25D04">
          <w:rPr>
            <w:rFonts w:ascii="Times New Roman" w:hAnsi="Times New Roman" w:cs="Times New Roman"/>
            <w:b/>
            <w:sz w:val="20"/>
            <w:szCs w:val="20"/>
            <w:rPrChange w:id="52" w:author="Dave Bridges" w:date="2016-03-08T08:39:00Z">
              <w:rPr>
                <w:rFonts w:ascii="Times New Roman" w:hAnsi="Times New Roman" w:cs="Times New Roman"/>
                <w:sz w:val="20"/>
                <w:szCs w:val="20"/>
              </w:rPr>
            </w:rPrChange>
          </w:rPr>
          <w:t>mitochondriogenesis</w:t>
        </w:r>
        <w:proofErr w:type="spellEnd"/>
        <w:r w:rsidRPr="00C25D04">
          <w:rPr>
            <w:rFonts w:ascii="Times New Roman" w:hAnsi="Times New Roman" w:cs="Times New Roman"/>
            <w:b/>
            <w:sz w:val="20"/>
            <w:szCs w:val="20"/>
            <w:rPrChange w:id="53" w:author="Dave Bridges" w:date="2016-03-08T08:39:00Z">
              <w:rPr>
                <w:rFonts w:ascii="Times New Roman" w:hAnsi="Times New Roman" w:cs="Times New Roman"/>
                <w:sz w:val="20"/>
                <w:szCs w:val="20"/>
              </w:rPr>
            </w:rPrChange>
          </w:rPr>
          <w:t xml:space="preserve"> genes.  We observed increases in the mRNA of </w:t>
        </w:r>
        <w:proofErr w:type="spellStart"/>
        <w:r w:rsidRPr="00C25D04">
          <w:rPr>
            <w:rFonts w:ascii="Times New Roman" w:hAnsi="Times New Roman" w:cs="Times New Roman"/>
            <w:b/>
            <w:i/>
            <w:sz w:val="20"/>
            <w:szCs w:val="20"/>
            <w:rPrChange w:id="54" w:author="Dave Bridges" w:date="2016-03-08T08:39:00Z">
              <w:rPr>
                <w:rFonts w:ascii="Times New Roman" w:hAnsi="Times New Roman" w:cs="Times New Roman"/>
                <w:i/>
                <w:sz w:val="20"/>
                <w:szCs w:val="20"/>
              </w:rPr>
            </w:rPrChange>
          </w:rPr>
          <w:t>Ppard</w:t>
        </w:r>
        <w:proofErr w:type="spellEnd"/>
        <w:r w:rsidRPr="00C25D04">
          <w:rPr>
            <w:rFonts w:ascii="Times New Roman" w:hAnsi="Times New Roman" w:cs="Times New Roman"/>
            <w:b/>
            <w:sz w:val="20"/>
            <w:szCs w:val="20"/>
            <w:rPrChange w:id="55" w:author="Dave Bridges" w:date="2016-03-08T08:39:00Z">
              <w:rPr>
                <w:rFonts w:ascii="Times New Roman" w:hAnsi="Times New Roman" w:cs="Times New Roman"/>
                <w:sz w:val="20"/>
                <w:szCs w:val="20"/>
              </w:rPr>
            </w:rPrChange>
          </w:rPr>
          <w:t xml:space="preserve"> and </w:t>
        </w:r>
        <w:r w:rsidRPr="00C25D04">
          <w:rPr>
            <w:rFonts w:ascii="Times New Roman" w:hAnsi="Times New Roman" w:cs="Times New Roman"/>
            <w:b/>
            <w:i/>
            <w:sz w:val="20"/>
            <w:szCs w:val="20"/>
            <w:rPrChange w:id="56" w:author="Dave Bridges" w:date="2016-03-08T08:39:00Z">
              <w:rPr>
                <w:rFonts w:ascii="Times New Roman" w:hAnsi="Times New Roman" w:cs="Times New Roman"/>
                <w:i/>
                <w:sz w:val="20"/>
                <w:szCs w:val="20"/>
              </w:rPr>
            </w:rPrChange>
          </w:rPr>
          <w:t>Ppargc1b</w:t>
        </w:r>
        <w:r w:rsidRPr="00C25D04">
          <w:rPr>
            <w:rFonts w:ascii="Times New Roman" w:hAnsi="Times New Roman" w:cs="Times New Roman"/>
            <w:b/>
            <w:sz w:val="20"/>
            <w:szCs w:val="20"/>
            <w:rPrChange w:id="57" w:author="Dave Bridges" w:date="2016-03-08T08:39:00Z">
              <w:rPr>
                <w:rFonts w:ascii="Times New Roman" w:hAnsi="Times New Roman" w:cs="Times New Roman"/>
                <w:sz w:val="20"/>
                <w:szCs w:val="20"/>
              </w:rPr>
            </w:rPrChange>
          </w:rPr>
          <w:t xml:space="preserve"> (Figure 6A and C), with there were no differences in the expression levels of </w:t>
        </w:r>
        <w:r w:rsidRPr="00C25D04">
          <w:rPr>
            <w:rFonts w:ascii="Times New Roman" w:hAnsi="Times New Roman" w:cs="Times New Roman"/>
            <w:b/>
            <w:i/>
            <w:sz w:val="20"/>
            <w:szCs w:val="20"/>
            <w:rPrChange w:id="58" w:author="Dave Bridges" w:date="2016-03-08T08:39:00Z">
              <w:rPr>
                <w:rFonts w:ascii="Times New Roman" w:hAnsi="Times New Roman" w:cs="Times New Roman"/>
                <w:i/>
                <w:sz w:val="20"/>
                <w:szCs w:val="20"/>
              </w:rPr>
            </w:rPrChange>
          </w:rPr>
          <w:t>Ppargc1a</w:t>
        </w:r>
        <w:r w:rsidRPr="00C25D04">
          <w:rPr>
            <w:rFonts w:ascii="Times New Roman" w:hAnsi="Times New Roman" w:cs="Times New Roman"/>
            <w:b/>
            <w:sz w:val="20"/>
            <w:szCs w:val="20"/>
            <w:rPrChange w:id="59"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0" w:author="Dave Bridges" w:date="2016-03-08T08:39:00Z">
              <w:rPr>
                <w:rFonts w:ascii="Times New Roman" w:hAnsi="Times New Roman" w:cs="Times New Roman"/>
                <w:i/>
                <w:sz w:val="20"/>
                <w:szCs w:val="20"/>
              </w:rPr>
            </w:rPrChange>
          </w:rPr>
          <w:t>Nrf1</w:t>
        </w:r>
        <w:r w:rsidRPr="00C25D04">
          <w:rPr>
            <w:rFonts w:ascii="Times New Roman" w:hAnsi="Times New Roman" w:cs="Times New Roman"/>
            <w:b/>
            <w:sz w:val="20"/>
            <w:szCs w:val="20"/>
            <w:rPrChange w:id="61" w:author="Dave Bridges" w:date="2016-03-08T08:39:00Z">
              <w:rPr>
                <w:rFonts w:ascii="Times New Roman" w:hAnsi="Times New Roman" w:cs="Times New Roman"/>
                <w:sz w:val="20"/>
                <w:szCs w:val="20"/>
              </w:rPr>
            </w:rPrChange>
          </w:rPr>
          <w:t xml:space="preserve">, </w:t>
        </w:r>
        <w:r w:rsidRPr="00C25D04">
          <w:rPr>
            <w:rFonts w:ascii="Times New Roman" w:hAnsi="Times New Roman" w:cs="Times New Roman"/>
            <w:b/>
            <w:i/>
            <w:sz w:val="20"/>
            <w:szCs w:val="20"/>
            <w:rPrChange w:id="62" w:author="Dave Bridges" w:date="2016-03-08T08:39:00Z">
              <w:rPr>
                <w:rFonts w:ascii="Times New Roman" w:hAnsi="Times New Roman" w:cs="Times New Roman"/>
                <w:i/>
                <w:sz w:val="20"/>
                <w:szCs w:val="20"/>
              </w:rPr>
            </w:rPrChange>
          </w:rPr>
          <w:t>Nfe2l2</w:t>
        </w:r>
        <w:r w:rsidRPr="00C25D04">
          <w:rPr>
            <w:rFonts w:ascii="Times New Roman" w:hAnsi="Times New Roman" w:cs="Times New Roman"/>
            <w:b/>
            <w:sz w:val="20"/>
            <w:szCs w:val="20"/>
            <w:rPrChange w:id="63" w:author="Dave Bridges" w:date="2016-03-08T08:39:00Z">
              <w:rPr>
                <w:rFonts w:ascii="Times New Roman" w:hAnsi="Times New Roman" w:cs="Times New Roman"/>
                <w:sz w:val="20"/>
                <w:szCs w:val="20"/>
              </w:rPr>
            </w:rPrChange>
          </w:rPr>
          <w:t xml:space="preserve"> or </w:t>
        </w:r>
        <w:proofErr w:type="spellStart"/>
        <w:r w:rsidRPr="00C25D04">
          <w:rPr>
            <w:rFonts w:ascii="Times New Roman" w:hAnsi="Times New Roman" w:cs="Times New Roman"/>
            <w:b/>
            <w:i/>
            <w:sz w:val="20"/>
            <w:szCs w:val="20"/>
            <w:rPrChange w:id="64" w:author="Dave Bridges" w:date="2016-03-08T08:39:00Z">
              <w:rPr>
                <w:rFonts w:ascii="Times New Roman" w:hAnsi="Times New Roman" w:cs="Times New Roman"/>
                <w:i/>
                <w:sz w:val="20"/>
                <w:szCs w:val="20"/>
              </w:rPr>
            </w:rPrChange>
          </w:rPr>
          <w:t>Tfam</w:t>
        </w:r>
        <w:proofErr w:type="spellEnd"/>
        <w:r w:rsidRPr="00C25D04">
          <w:rPr>
            <w:rFonts w:ascii="Times New Roman" w:hAnsi="Times New Roman" w:cs="Times New Roman"/>
            <w:b/>
            <w:sz w:val="20"/>
            <w:szCs w:val="20"/>
            <w:rPrChange w:id="65" w:author="Dave Bridges" w:date="2016-03-08T08:39:00Z">
              <w:rPr>
                <w:rFonts w:ascii="Times New Roman" w:hAnsi="Times New Roman" w:cs="Times New Roman"/>
                <w:sz w:val="20"/>
                <w:szCs w:val="20"/>
              </w:rPr>
            </w:rPrChange>
          </w:rPr>
          <w:t xml:space="preserve"> (Figure 6B, D-F).</w:t>
        </w:r>
      </w:ins>
      <w:ins w:id="66" w:author="Dave Bridges" w:date="2016-03-08T08:39:00Z">
        <w:r w:rsidRPr="00C25D04">
          <w:rPr>
            <w:rFonts w:ascii="Times New Roman" w:hAnsi="Times New Roman" w:cs="Times New Roman"/>
            <w:b/>
            <w:sz w:val="20"/>
            <w:szCs w:val="20"/>
            <w:rPrChange w:id="67" w:author="Dave Bridges" w:date="2016-03-08T08:39:00Z">
              <w:rPr>
                <w:rFonts w:ascii="Times New Roman" w:hAnsi="Times New Roman" w:cs="Times New Roman"/>
                <w:sz w:val="20"/>
                <w:szCs w:val="20"/>
              </w:rPr>
            </w:rPrChange>
          </w:rPr>
          <w:t>”</w:t>
        </w:r>
      </w:ins>
    </w:p>
    <w:p w14:paraId="6749B27F" w14:textId="21BD5D84" w:rsidR="002C21F8" w:rsidRPr="008721DB" w:rsidRDefault="003B6B63" w:rsidP="002C21F8">
      <w:pPr>
        <w:rPr>
          <w:rFonts w:ascii="Times New Roman" w:hAnsi="Times New Roman" w:cs="Times New Roman"/>
          <w:sz w:val="20"/>
          <w:szCs w:val="20"/>
        </w:rPr>
      </w:pPr>
      <w:del w:id="68" w:author="Dave Bridges" w:date="2016-03-08T08:38:00Z">
        <w:r w:rsidDel="00C25D04">
          <w:rPr>
            <w:rFonts w:ascii="Times New Roman" w:hAnsi="Times New Roman" w:cs="Times New Roman"/>
            <w:sz w:val="20"/>
            <w:szCs w:val="20"/>
          </w:rPr>
          <w:delText xml:space="preserve">. </w:delText>
        </w:r>
      </w:del>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del w:id="69" w:author="Dave Bridges" w:date="2016-03-08T08:38:00Z">
        <w:r w:rsidR="002D171F" w:rsidRPr="008721DB" w:rsidDel="00C25D04">
          <w:rPr>
            <w:rFonts w:ascii="Times New Roman" w:hAnsi="Times New Roman" w:cs="Times New Roman"/>
            <w:sz w:val="20"/>
            <w:szCs w:val="20"/>
          </w:rPr>
          <w:delText>)</w:delText>
        </w:r>
        <w:r w:rsidR="00C03552" w:rsidRPr="008721DB" w:rsidDel="00C25D04">
          <w:rPr>
            <w:rFonts w:ascii="Times New Roman" w:hAnsi="Times New Roman" w:cs="Times New Roman"/>
            <w:sz w:val="20"/>
            <w:szCs w:val="20"/>
          </w:rPr>
          <w:delText>.</w:delText>
        </w:r>
        <w:r w:rsidR="001F1AA0" w:rsidRPr="008721DB" w:rsidDel="00C25D04">
          <w:rPr>
            <w:rFonts w:ascii="Times New Roman" w:hAnsi="Times New Roman" w:cs="Times New Roman"/>
            <w:sz w:val="20"/>
            <w:szCs w:val="20"/>
          </w:rPr>
          <w:delText xml:space="preserve"> </w:delText>
        </w:r>
      </w:del>
      <w:ins w:id="70" w:author="Dave Bridges" w:date="2016-03-08T08:38:00Z">
        <w:r w:rsidR="00C25D04">
          <w:rPr>
            <w:rFonts w:ascii="Times New Roman" w:hAnsi="Times New Roman" w:cs="Times New Roman"/>
            <w:sz w:val="20"/>
            <w:szCs w:val="20"/>
          </w:rPr>
          <w:t>, included as</w:t>
        </w:r>
      </w:ins>
      <w:del w:id="71" w:author="Dave Bridges" w:date="2016-03-08T08:38:00Z">
        <w:r w:rsidR="00E436F4" w:rsidDel="00C25D04">
          <w:rPr>
            <w:rFonts w:ascii="Times New Roman" w:hAnsi="Times New Roman" w:cs="Times New Roman"/>
            <w:sz w:val="20"/>
            <w:szCs w:val="20"/>
          </w:rPr>
          <w:delText>The data appears here</w:delText>
        </w:r>
      </w:del>
      <w:r w:rsidR="00E436F4">
        <w:rPr>
          <w:rFonts w:ascii="Times New Roman" w:hAnsi="Times New Roman" w:cs="Times New Roman"/>
          <w:sz w:val="20"/>
          <w:szCs w:val="20"/>
        </w:rPr>
        <w:t xml:space="preserve"> as Figure 3</w:t>
      </w:r>
      <w:ins w:id="72" w:author="Dave Bridges" w:date="2016-03-08T08:32:00Z">
        <w:r w:rsidR="00BA6520">
          <w:rPr>
            <w:rFonts w:ascii="Times New Roman" w:hAnsi="Times New Roman" w:cs="Times New Roman"/>
            <w:sz w:val="20"/>
            <w:szCs w:val="20"/>
          </w:rPr>
          <w:t xml:space="preserve"> of this document</w:t>
        </w:r>
      </w:ins>
      <w:ins w:id="73" w:author="Dave Bridges" w:date="2016-03-08T08:38:00Z">
        <w:r w:rsidR="00C25D04">
          <w:rPr>
            <w:rFonts w:ascii="Times New Roman" w:hAnsi="Times New Roman" w:cs="Times New Roman"/>
            <w:sz w:val="20"/>
            <w:szCs w:val="20"/>
          </w:rPr>
          <w:t>)</w:t>
        </w:r>
      </w:ins>
      <w:r w:rsidR="00E436F4">
        <w:rPr>
          <w:rFonts w:ascii="Times New Roman" w:hAnsi="Times New Roman" w:cs="Times New Roman"/>
          <w:sz w:val="20"/>
          <w:szCs w:val="20"/>
        </w:rPr>
        <w:t>.</w:t>
      </w:r>
    </w:p>
    <w:p w14:paraId="0156DD48" w14:textId="78B95CB4" w:rsidR="002C21F8" w:rsidRPr="008721DB" w:rsidRDefault="005F0953" w:rsidP="002C21F8">
      <w:pPr>
        <w:rPr>
          <w:rFonts w:ascii="Times New Roman" w:hAnsi="Times New Roman" w:cs="Times New Roman"/>
          <w:color w:val="FF0000"/>
          <w:sz w:val="20"/>
          <w:szCs w:val="20"/>
        </w:rPr>
      </w:pPr>
      <w:r w:rsidRPr="00DC0BBA">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071BA067" wp14:editId="6F0B6ACA">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8.1pt;width:413.05pt;height:31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u5TGYuAAAAAKAQAADwAAAGRycy9kb3ducmV2Lnht&#10;bEyPy07DMBBF90j8gzVIbBB1GlK3DXEqhASiOygItm48TSL8CLabhr9nWMFurubozplqM1nDRgyx&#10;907CfJYBQ9d43btWwtvrw/UKWEzKaWW8QwnfGGFTn59VqtT+5F5w3KWWUYmLpZLQpTSUnMemQ6vi&#10;zA/oaHfwwapEMbRcB3Wicmt4nmWCW9U7utCpAe87bD53RythVTyNH3F78/zeiINZp6vl+PgVpLy8&#10;mO5ugSWc0h8Mv/qkDjU57f3R6cgM5WKxIJQGkQMjYL2cC2B7CaLIcuB1xf+/UP8AAAD//wMAUEsB&#10;Ai0AFAAGAAgAAAAhALaDOJL+AAAA4QEAABMAAAAAAAAAAAAAAAAAAAAAAFtDb250ZW50X1R5cGVz&#10;XS54bWxQSwECLQAUAAYACAAAACEAOP0h/9YAAACUAQAACwAAAAAAAAAAAAAAAAAvAQAAX3JlbHMv&#10;LnJlbHNQSwECLQAUAAYACAAAACEA/jMwzycCAABMBAAADgAAAAAAAAAAAAAAAAAuAgAAZHJzL2Uy&#10;b0RvYy54bWxQSwECLQAUAAYACAAAACEAu5TGYuAAAAAKAQAADwAAAAAAAAAAAAAAAACBBAAAZHJz&#10;L2Rvd25yZXYueG1sUEsFBgAAAAAEAAQA8wAAAI4FAAAAAA==&#10;">
                <v:textbox>
                  <w:txbxContent>
                    <w:p w14:paraId="2E6B21CB" w14:textId="5EFC4103" w:rsidR="00DE1B82" w:rsidRDefault="00DE1B82"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E1B82" w:rsidRDefault="00DE1B82"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72D86DCD"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del w:id="74" w:author="Dave Bridges" w:date="2016-03-08T08:42:00Z">
        <w:r w:rsidR="003A4D42" w:rsidDel="00CC7C7E">
          <w:rPr>
            <w:rFonts w:ascii="Times New Roman" w:hAnsi="Times New Roman" w:cs="Times New Roman"/>
            <w:sz w:val="20"/>
            <w:szCs w:val="20"/>
          </w:rPr>
          <w:delText>fairly</w:delText>
        </w:r>
        <w:r w:rsidR="003A4D42" w:rsidRPr="008721DB" w:rsidDel="00CC7C7E">
          <w:rPr>
            <w:rFonts w:ascii="Times New Roman" w:hAnsi="Times New Roman" w:cs="Times New Roman"/>
            <w:sz w:val="20"/>
            <w:szCs w:val="20"/>
          </w:rPr>
          <w:delText xml:space="preserve"> </w:delText>
        </w:r>
      </w:del>
      <w:ins w:id="75" w:author="Dave Bridges" w:date="2016-03-08T08:42:00Z">
        <w:r w:rsidR="00CC7C7E">
          <w:rPr>
            <w:rFonts w:ascii="Times New Roman" w:hAnsi="Times New Roman" w:cs="Times New Roman"/>
            <w:sz w:val="20"/>
            <w:szCs w:val="20"/>
          </w:rPr>
          <w:t>quite</w:t>
        </w:r>
        <w:r w:rsidR="00CC7C7E" w:rsidRPr="008721DB">
          <w:rPr>
            <w:rFonts w:ascii="Times New Roman" w:hAnsi="Times New Roman" w:cs="Times New Roman"/>
            <w:sz w:val="20"/>
            <w:szCs w:val="20"/>
          </w:rPr>
          <w:t xml:space="preserve"> </w:t>
        </w:r>
      </w:ins>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del w:id="76" w:author="Dave Bridges" w:date="2016-03-08T08:43:00Z">
        <w:r w:rsidR="006623C7" w:rsidRPr="008721DB" w:rsidDel="00CC7C7E">
          <w:rPr>
            <w:rFonts w:ascii="Times New Roman" w:hAnsi="Times New Roman" w:cs="Times New Roman"/>
            <w:sz w:val="20"/>
            <w:szCs w:val="20"/>
          </w:rPr>
          <w:delText>,</w:delText>
        </w:r>
        <w:r w:rsidR="00D155D4" w:rsidRPr="008721DB" w:rsidDel="00CC7C7E">
          <w:rPr>
            <w:rFonts w:ascii="Times New Roman" w:hAnsi="Times New Roman" w:cs="Times New Roman"/>
            <w:sz w:val="20"/>
            <w:szCs w:val="20"/>
          </w:rPr>
          <w:delText xml:space="preserve"> </w:delText>
        </w:r>
        <w:r w:rsidR="00150398" w:rsidRPr="008721DB" w:rsidDel="00CC7C7E">
          <w:rPr>
            <w:rFonts w:ascii="Times New Roman" w:hAnsi="Times New Roman" w:cs="Times New Roman"/>
            <w:sz w:val="20"/>
            <w:szCs w:val="20"/>
          </w:rPr>
          <w:delText>a</w:delText>
        </w:r>
        <w:r w:rsidR="006623C7" w:rsidRPr="008721DB" w:rsidDel="00CC7C7E">
          <w:rPr>
            <w:rFonts w:ascii="Times New Roman" w:hAnsi="Times New Roman" w:cs="Times New Roman"/>
            <w:sz w:val="20"/>
            <w:szCs w:val="20"/>
          </w:rPr>
          <w:delText>s well as</w:delText>
        </w:r>
        <w:r w:rsidR="00150398" w:rsidRPr="008721DB" w:rsidDel="00CC7C7E">
          <w:rPr>
            <w:rFonts w:ascii="Times New Roman" w:hAnsi="Times New Roman" w:cs="Times New Roman"/>
            <w:sz w:val="20"/>
            <w:szCs w:val="20"/>
          </w:rPr>
          <w:delText xml:space="preserve"> </w:delText>
        </w:r>
        <w:r w:rsidR="00906687" w:rsidRPr="008721DB" w:rsidDel="00CC7C7E">
          <w:rPr>
            <w:rFonts w:ascii="Times New Roman" w:hAnsi="Times New Roman" w:cs="Times New Roman"/>
            <w:sz w:val="20"/>
            <w:szCs w:val="20"/>
          </w:rPr>
          <w:delText>blot</w:delText>
        </w:r>
        <w:r w:rsidR="008A6A79" w:rsidRPr="008721DB" w:rsidDel="00CC7C7E">
          <w:rPr>
            <w:rFonts w:ascii="Times New Roman" w:hAnsi="Times New Roman" w:cs="Times New Roman"/>
            <w:sz w:val="20"/>
            <w:szCs w:val="20"/>
          </w:rPr>
          <w:delText>ting</w:delText>
        </w:r>
        <w:r w:rsidR="00906687" w:rsidRPr="008721DB" w:rsidDel="00CC7C7E">
          <w:rPr>
            <w:rFonts w:ascii="Times New Roman" w:hAnsi="Times New Roman" w:cs="Times New Roman"/>
            <w:sz w:val="20"/>
            <w:szCs w:val="20"/>
          </w:rPr>
          <w:delText xml:space="preserve"> for </w:delText>
        </w:r>
        <w:r w:rsidR="00150398" w:rsidRPr="008721DB" w:rsidDel="00CC7C7E">
          <w:rPr>
            <w:rFonts w:ascii="Times New Roman" w:hAnsi="Times New Roman" w:cs="Times New Roman"/>
            <w:sz w:val="20"/>
            <w:szCs w:val="20"/>
          </w:rPr>
          <w:delText>PGC-1α</w:delText>
        </w:r>
      </w:del>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del w:id="77" w:author="Dave Bridges" w:date="2016-03-08T08:43:00Z">
        <w:r w:rsidR="003D0ABA" w:rsidDel="00CC7C7E">
          <w:rPr>
            <w:rFonts w:ascii="Times New Roman" w:hAnsi="Times New Roman" w:cs="Times New Roman"/>
            <w:sz w:val="20"/>
            <w:szCs w:val="20"/>
          </w:rPr>
          <w:delText>W</w:delText>
        </w:r>
        <w:r w:rsidR="00F919EB" w:rsidRPr="008721DB" w:rsidDel="00CC7C7E">
          <w:rPr>
            <w:rFonts w:ascii="Times New Roman" w:hAnsi="Times New Roman" w:cs="Times New Roman"/>
            <w:sz w:val="20"/>
            <w:szCs w:val="20"/>
          </w:rPr>
          <w:delText>e</w:delText>
        </w:r>
        <w:r w:rsidR="00D155D4" w:rsidRPr="008721DB" w:rsidDel="00CC7C7E">
          <w:rPr>
            <w:rFonts w:ascii="Times New Roman" w:hAnsi="Times New Roman" w:cs="Times New Roman"/>
            <w:sz w:val="20"/>
            <w:szCs w:val="20"/>
          </w:rPr>
          <w:delText xml:space="preserve"> </w:delText>
        </w:r>
      </w:del>
      <w:ins w:id="78" w:author="Dave Bridges" w:date="2016-03-08T08:43:00Z">
        <w:r w:rsidR="00CC7C7E">
          <w:rPr>
            <w:rFonts w:ascii="Times New Roman" w:hAnsi="Times New Roman" w:cs="Times New Roman"/>
            <w:sz w:val="20"/>
            <w:szCs w:val="20"/>
          </w:rPr>
          <w:t xml:space="preserve">These new data show that </w:t>
        </w:r>
      </w:ins>
      <w:del w:id="79" w:author="Dave Bridges" w:date="2016-03-08T08:44:00Z">
        <w:r w:rsidR="00D155D4" w:rsidRPr="008721DB" w:rsidDel="00CC7C7E">
          <w:rPr>
            <w:rFonts w:ascii="Times New Roman" w:hAnsi="Times New Roman" w:cs="Times New Roman"/>
            <w:sz w:val="20"/>
            <w:szCs w:val="20"/>
          </w:rPr>
          <w:delText xml:space="preserve">found that </w:delText>
        </w:r>
      </w:del>
      <w:r w:rsidR="00D155D4" w:rsidRPr="008721DB">
        <w:rPr>
          <w:rFonts w:ascii="Times New Roman" w:hAnsi="Times New Roman" w:cs="Times New Roman"/>
          <w:sz w:val="20"/>
          <w:szCs w:val="20"/>
        </w:rPr>
        <w:t xml:space="preserve">there are no </w:t>
      </w:r>
      <w:del w:id="80" w:author="Dave Bridges" w:date="2016-03-08T08:44:00Z">
        <w:r w:rsidR="00D155D4" w:rsidRPr="008721DB" w:rsidDel="00CC7C7E">
          <w:rPr>
            <w:rFonts w:ascii="Times New Roman" w:hAnsi="Times New Roman" w:cs="Times New Roman"/>
            <w:sz w:val="20"/>
            <w:szCs w:val="20"/>
          </w:rPr>
          <w:delText xml:space="preserve">longer </w:delText>
        </w:r>
      </w:del>
      <w:r w:rsidR="00D155D4" w:rsidRPr="008721DB">
        <w:rPr>
          <w:rFonts w:ascii="Times New Roman" w:hAnsi="Times New Roman" w:cs="Times New Roman"/>
          <w:sz w:val="20"/>
          <w:szCs w:val="20"/>
        </w:rPr>
        <w:t xml:space="preserve">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w:t>
      </w:r>
      <w:commentRangeStart w:id="81"/>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 xml:space="preserve">We have amended the </w:t>
      </w:r>
      <w:r w:rsidR="00F919EB" w:rsidRPr="008721DB">
        <w:rPr>
          <w:rFonts w:ascii="Times New Roman" w:hAnsi="Times New Roman" w:cs="Times New Roman"/>
          <w:sz w:val="20"/>
          <w:szCs w:val="20"/>
        </w:rPr>
        <w:lastRenderedPageBreak/>
        <w:t>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commentRangeEnd w:id="81"/>
      <w:r w:rsidR="00F83E8A">
        <w:rPr>
          <w:rStyle w:val="CommentReference"/>
        </w:rPr>
        <w:commentReference w:id="81"/>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ins w:id="82" w:author="Dave Bridges" w:date="2016-03-08T08:44:00Z">
        <w:r w:rsidR="00CC7C7E">
          <w:rPr>
            <w:rFonts w:ascii="Times New Roman" w:hAnsi="Times New Roman" w:cs="Times New Roman"/>
            <w:sz w:val="20"/>
            <w:szCs w:val="20"/>
          </w:rPr>
          <w:t xml:space="preserve"> of this document</w:t>
        </w:r>
      </w:ins>
      <w:r w:rsidR="003A4D42">
        <w:rPr>
          <w:rFonts w:ascii="Times New Roman" w:hAnsi="Times New Roman" w:cs="Times New Roman"/>
          <w:sz w:val="20"/>
          <w:szCs w:val="20"/>
        </w:rPr>
        <w:t>.</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mc:AlternateContent>
          <mc:Choice Requires="wps">
            <w:drawing>
              <wp:anchor distT="45720" distB="45720" distL="114300" distR="114300" simplePos="0" relativeHeight="251654656" behindDoc="0" locked="0" layoutInCell="1" allowOverlap="1" wp14:anchorId="4E4A21CB" wp14:editId="61110D6E">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3" w:author="Dave Bridges" w:date="2016-03-08T08:45:00Z">
                              <w:r w:rsidRPr="005D128C" w:rsidDel="00F83E8A">
                                <w:rPr>
                                  <w:rFonts w:ascii="Times New Roman" w:hAnsi="Times New Roman" w:cs="Times New Roman"/>
                                  <w:sz w:val="20"/>
                                  <w:szCs w:val="20"/>
                                </w:rPr>
                                <w:delText>New r</w:delText>
                              </w:r>
                            </w:del>
                            <w:ins w:id="84"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5" w:author="Dave Bridges" w:date="2016-03-08T08:45:00Z">
                              <w:r>
                                <w:rPr>
                                  <w:rFonts w:ascii="Times New Roman" w:hAnsi="Times New Roman" w:cs="Times New Roman"/>
                                  <w:noProof/>
                                  <w:sz w:val="20"/>
                                  <w:szCs w:val="20"/>
                                </w:rPr>
                                <w:t>ed manuscript</w:t>
                              </w:r>
                            </w:ins>
                            <w:del w:id="86"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DE1B82" w:rsidRDefault="00DE1B8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5.2pt;width:468.75pt;height:192.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b1JQIAAEwEAAAOAAAAZHJzL2Uyb0RvYy54bWysVNuO0zAQfUfiHyy/07QhWbZR09XSpQhp&#10;uUi7fIDjOI2F7TG222T5esZOW6oF8YDIg+XxjI9nzpnJ6mbUihyE8xJMTRezOSXCcGil2dX06+P2&#10;1TUlPjDTMgVG1PRJeHqzfvliNdhK5NCDaoUjCGJ8Ndia9iHYKss874VmfgZWGHR24DQLaLpd1jo2&#10;ILpWWT6fX2UDuNY64MJ7PL2bnHSd8LtO8PC567wIRNUUcwtpdWlt4pqtV6zaOWZ7yY9psH/IQjNp&#10;8NEz1B0LjOyd/A1KS+7AQxdmHHQGXSe5SDVgNYv5s2oeemZFqgXJ8fZMk/9/sPzT4Ysjsq0pCmWY&#10;RokexRjIWxhJHtkZrK8w6MFiWBjxGFVOlXp7D/ybJwY2PTM7cescDL1gLWa3iDezi6sTjo8gzfAR&#10;WnyG7QMkoLFzOlKHZBBER5WezsrEVDgelsvy9SIvKeHoy4viurxK2mWsOl23zof3AjSJm5o6lD7B&#10;s8O9DzEdVp1C4mselGy3UqlkuF2zUY4cGLbJNn2pgmdhypChpssSE/k7xDx9f4LQMmC/K6mR8HMQ&#10;qyJv70ybujEwqaY9pqzMkcjI3cRiGJsxKVac9GmgfUJmHUztjeOImx7cD0oGbO2a+u975gQl6oNB&#10;dZaLooizkIyifJOj4S49zaWHGY5QNQ2UTNtNSPMTGTBwiyp2MvEb5Z4yOaaMLZtoP45XnIlLO0X9&#10;+gmsfwIAAP//AwBQSwMEFAAGAAgAAAAhAB8ooWTeAAAACgEAAA8AAABkcnMvZG93bnJldi54bWxM&#10;j8FOwzAMhu9IvENkJC6IJdBRttJ0QkggdoOB4Jo1XluROKXJuvL2eCc42p/1+/vL1eSdGHGIXSAN&#10;VzMFAqkOtqNGw/vb4+UCREyGrHGBUMMPRlhVpyelKWw40CuOm9QIDqFYGA1tSn0hZaxb9CbOQo/E&#10;bBcGbxKPQyPtYA4c7p28ViqX3nTEH1rT40OL9ddm7zUs5s/jZ1xnLx91vnPLdHE7Pn0PWp+fTfd3&#10;IBJO6e8YjvqsDhU7bcOebBROQ55zlcR7NQdx5EplNyC2GrIlI1mV8n+F6hcAAP//AwBQSwECLQAU&#10;AAYACAAAACEAtoM4kv4AAADhAQAAEwAAAAAAAAAAAAAAAAAAAAAAW0NvbnRlbnRfVHlwZXNdLnht&#10;bFBLAQItABQABgAIAAAAIQA4/SH/1gAAAJQBAAALAAAAAAAAAAAAAAAAAC8BAABfcmVscy8ucmVs&#10;c1BLAQItABQABgAIAAAAIQCruHb1JQIAAEwEAAAOAAAAAAAAAAAAAAAAAC4CAABkcnMvZTJvRG9j&#10;LnhtbFBLAQItABQABgAIAAAAIQAfKKFk3gAAAAoBAAAPAAAAAAAAAAAAAAAAAH8EAABkcnMvZG93&#10;bnJldi54bWxQSwUGAAAAAAQABADzAAAAigUAAAAA&#10;">
                <v:textbox>
                  <w:txbxContent>
                    <w:p w14:paraId="6A095BA9" w14:textId="040E5411" w:rsidR="00DE1B82" w:rsidRPr="00680E24" w:rsidRDefault="00DE1B8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24AE7A4" w:rsidR="00DE1B82" w:rsidRPr="005D128C" w:rsidRDefault="00DE1B8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del w:id="87" w:author="Dave Bridges" w:date="2016-03-08T08:45:00Z">
                        <w:r w:rsidRPr="005D128C" w:rsidDel="00F83E8A">
                          <w:rPr>
                            <w:rFonts w:ascii="Times New Roman" w:hAnsi="Times New Roman" w:cs="Times New Roman"/>
                            <w:sz w:val="20"/>
                            <w:szCs w:val="20"/>
                          </w:rPr>
                          <w:delText>New r</w:delText>
                        </w:r>
                      </w:del>
                      <w:ins w:id="88" w:author="Dave Bridges" w:date="2016-03-08T08:45:00Z">
                        <w:r>
                          <w:rPr>
                            <w:rFonts w:ascii="Times New Roman" w:hAnsi="Times New Roman" w:cs="Times New Roman"/>
                            <w:sz w:val="20"/>
                            <w:szCs w:val="20"/>
                          </w:rPr>
                          <w:t>R</w:t>
                        </w:r>
                      </w:ins>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w:t>
                      </w:r>
                      <w:ins w:id="89" w:author="Dave Bridges" w:date="2016-03-08T08:45:00Z">
                        <w:r>
                          <w:rPr>
                            <w:rFonts w:ascii="Times New Roman" w:hAnsi="Times New Roman" w:cs="Times New Roman"/>
                            <w:noProof/>
                            <w:sz w:val="20"/>
                            <w:szCs w:val="20"/>
                          </w:rPr>
                          <w:t>ed manuscript</w:t>
                        </w:r>
                      </w:ins>
                      <w:del w:id="90" w:author="Dave Bridges" w:date="2016-03-08T08:45:00Z">
                        <w:r w:rsidDel="00F83E8A">
                          <w:rPr>
                            <w:rFonts w:ascii="Times New Roman" w:hAnsi="Times New Roman" w:cs="Times New Roman"/>
                            <w:noProof/>
                            <w:sz w:val="20"/>
                            <w:szCs w:val="20"/>
                          </w:rPr>
                          <w:delText>ion</w:delText>
                        </w:r>
                      </w:del>
                      <w:r>
                        <w:rPr>
                          <w:rFonts w:ascii="Times New Roman" w:hAnsi="Times New Roman" w:cs="Times New Roman"/>
                          <w:noProof/>
                          <w:sz w:val="20"/>
                          <w:szCs w:val="20"/>
                        </w:rPr>
                        <w:t>.</w:t>
                      </w:r>
                    </w:p>
                    <w:p w14:paraId="1F7A3CF6" w14:textId="6A416695" w:rsidR="00DE1B82" w:rsidRDefault="00DE1B8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0BB1FB12"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 xml:space="preserve">This is an </w:t>
      </w:r>
      <w:del w:id="91" w:author="Dave Bridges" w:date="2016-03-08T08:50:00Z">
        <w:r w:rsidDel="007351F9">
          <w:rPr>
            <w:rFonts w:ascii="Times New Roman" w:hAnsi="Times New Roman" w:cs="Times New Roman"/>
            <w:sz w:val="20"/>
            <w:szCs w:val="20"/>
          </w:rPr>
          <w:delText xml:space="preserve">interesting </w:delText>
        </w:r>
      </w:del>
      <w:ins w:id="92" w:author="Dave Bridges" w:date="2016-03-08T08:50:00Z">
        <w:r w:rsidR="007351F9">
          <w:rPr>
            <w:rFonts w:ascii="Times New Roman" w:hAnsi="Times New Roman" w:cs="Times New Roman"/>
            <w:sz w:val="20"/>
            <w:szCs w:val="20"/>
          </w:rPr>
          <w:t xml:space="preserve">important </w:t>
        </w:r>
      </w:ins>
      <w:r>
        <w:rPr>
          <w:rFonts w:ascii="Times New Roman" w:hAnsi="Times New Roman" w:cs="Times New Roman"/>
          <w:sz w:val="20"/>
          <w:szCs w:val="20"/>
        </w:rPr>
        <w:t xml:space="preserve">point, however </w:t>
      </w:r>
      <w:ins w:id="93" w:author="Dave Bridges" w:date="2016-03-08T08:50:00Z">
        <w:r w:rsidR="007351F9">
          <w:rPr>
            <w:rFonts w:ascii="Times New Roman" w:hAnsi="Times New Roman" w:cs="Times New Roman"/>
            <w:sz w:val="20"/>
            <w:szCs w:val="20"/>
          </w:rPr>
          <w:t xml:space="preserve">based on our data </w:t>
        </w:r>
      </w:ins>
      <w:r>
        <w:rPr>
          <w:rFonts w:ascii="Times New Roman" w:hAnsi="Times New Roman" w:cs="Times New Roman"/>
          <w:sz w:val="20"/>
          <w:szCs w:val="20"/>
        </w:rPr>
        <w:t>we decided to focus our manuscript on changes in energy metabolism</w:t>
      </w:r>
      <w:r w:rsidR="00AC203F">
        <w:rPr>
          <w:rFonts w:ascii="Times New Roman" w:hAnsi="Times New Roman" w:cs="Times New Roman"/>
          <w:sz w:val="20"/>
          <w:szCs w:val="20"/>
        </w:rPr>
        <w:t>, rather than insulin sensitivity</w:t>
      </w:r>
      <w:del w:id="94" w:author="Dave Bridges" w:date="2016-03-08T08:50:00Z">
        <w:r w:rsidR="00AC203F" w:rsidDel="007351F9">
          <w:rPr>
            <w:rFonts w:ascii="Times New Roman" w:hAnsi="Times New Roman" w:cs="Times New Roman"/>
            <w:sz w:val="20"/>
            <w:szCs w:val="20"/>
          </w:rPr>
          <w:delText xml:space="preserve"> </w:delText>
        </w:r>
        <w:r w:rsidR="00AC203F" w:rsidRPr="00AC203F" w:rsidDel="007351F9">
          <w:rPr>
            <w:rFonts w:ascii="Times New Roman" w:hAnsi="Times New Roman" w:cs="Times New Roman"/>
            <w:i/>
            <w:sz w:val="20"/>
            <w:szCs w:val="20"/>
          </w:rPr>
          <w:delText>per se</w:delText>
        </w:r>
      </w:del>
      <w:r>
        <w:rPr>
          <w:rFonts w:ascii="Times New Roman" w:hAnsi="Times New Roman" w:cs="Times New Roman"/>
          <w:sz w:val="20"/>
          <w:szCs w:val="20"/>
        </w:rPr>
        <w:t xml:space="preserve">. The lack of evidence of impaired insulin sensitivity with increased weight gain is </w:t>
      </w:r>
      <w:ins w:id="95" w:author="Dave Bridges" w:date="2016-03-08T08:50:00Z">
        <w:r w:rsidR="007351F9">
          <w:rPr>
            <w:rFonts w:ascii="Times New Roman" w:hAnsi="Times New Roman" w:cs="Times New Roman"/>
            <w:sz w:val="20"/>
            <w:szCs w:val="20"/>
          </w:rPr>
          <w:t xml:space="preserve">indeed </w:t>
        </w:r>
      </w:ins>
      <w:r>
        <w:rPr>
          <w:rFonts w:ascii="Times New Roman" w:hAnsi="Times New Roman" w:cs="Times New Roman"/>
          <w:sz w:val="20"/>
          <w:szCs w:val="20"/>
        </w:rPr>
        <w:t>interesting</w:t>
      </w:r>
      <w:del w:id="96" w:author="Dave Bridges" w:date="2016-03-08T08:50:00Z">
        <w:r w:rsidDel="007351F9">
          <w:rPr>
            <w:rFonts w:ascii="Times New Roman" w:hAnsi="Times New Roman" w:cs="Times New Roman"/>
            <w:sz w:val="20"/>
            <w:szCs w:val="20"/>
          </w:rPr>
          <w:delText>, but potentially confounded by the differences in fat mass</w:delText>
        </w:r>
      </w:del>
      <w:r>
        <w:rPr>
          <w:rFonts w:ascii="Times New Roman" w:hAnsi="Times New Roman" w:cs="Times New Roman"/>
          <w:sz w:val="20"/>
          <w:szCs w:val="20"/>
        </w:rPr>
        <w:t xml:space="preserve">.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ins w:id="97" w:author="Dave Bridges" w:date="2016-03-08T08:50:00Z">
        <w:r w:rsidR="007351F9">
          <w:rPr>
            <w:rFonts w:ascii="Times New Roman" w:hAnsi="Times New Roman" w:cs="Times New Roman"/>
            <w:sz w:val="20"/>
            <w:szCs w:val="20"/>
          </w:rPr>
          <w:t xml:space="preserve"> of this document</w:t>
        </w:r>
      </w:ins>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 xml:space="preserve">in </w:t>
      </w:r>
      <w:ins w:id="98" w:author="Dave Bridges" w:date="2016-03-08T08:50:00Z">
        <w:r w:rsidR="007351F9">
          <w:rPr>
            <w:rFonts w:ascii="Times New Roman" w:hAnsi="Times New Roman" w:cs="Times New Roman"/>
            <w:sz w:val="20"/>
            <w:szCs w:val="20"/>
          </w:rPr>
          <w:t xml:space="preserve">a new </w:t>
        </w:r>
      </w:ins>
      <w:r w:rsidR="00467ED6">
        <w:rPr>
          <w:rFonts w:ascii="Times New Roman" w:hAnsi="Times New Roman" w:cs="Times New Roman"/>
          <w:sz w:val="20"/>
          <w:szCs w:val="20"/>
        </w:rPr>
        <w:t>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xml:space="preserve">. </w:t>
      </w:r>
      <w:del w:id="99" w:author="Dave Bridges" w:date="2016-03-08T09:12:00Z">
        <w:r w:rsidR="007F7F98" w:rsidRPr="00FD5A71" w:rsidDel="00421FFE">
          <w:rPr>
            <w:rFonts w:ascii="Times New Roman" w:hAnsi="Times New Roman" w:cs="Times New Roman"/>
            <w:sz w:val="20"/>
            <w:szCs w:val="20"/>
          </w:rPr>
          <w:delText>W</w:delText>
        </w:r>
        <w:r w:rsidR="00736B1A" w:rsidRPr="00FD5A71" w:rsidDel="00421FFE">
          <w:rPr>
            <w:rFonts w:ascii="Times New Roman" w:hAnsi="Times New Roman" w:cs="Times New Roman"/>
            <w:sz w:val="20"/>
            <w:szCs w:val="20"/>
          </w:rPr>
          <w:delText xml:space="preserve">e acknowledge that this </w:delText>
        </w:r>
      </w:del>
      <w:ins w:id="100" w:author="Dave Bridges" w:date="2016-03-08T09:12:00Z">
        <w:r w:rsidR="00421FFE">
          <w:rPr>
            <w:rFonts w:ascii="Times New Roman" w:hAnsi="Times New Roman" w:cs="Times New Roman"/>
            <w:sz w:val="20"/>
            <w:szCs w:val="20"/>
          </w:rPr>
          <w:t xml:space="preserve">This indirect measure </w:t>
        </w:r>
      </w:ins>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w:t>
      </w:r>
      <w:ins w:id="101" w:author="Dave Bridges" w:date="2016-03-08T09:12:00Z">
        <w:r w:rsidR="00421FFE">
          <w:rPr>
            <w:rFonts w:ascii="Times New Roman" w:hAnsi="Times New Roman" w:cs="Times New Roman"/>
            <w:sz w:val="20"/>
            <w:szCs w:val="20"/>
          </w:rPr>
          <w:t xml:space="preserve">we </w:t>
        </w:r>
      </w:ins>
      <w:r w:rsidR="00A839F8">
        <w:rPr>
          <w:rFonts w:ascii="Times New Roman" w:hAnsi="Times New Roman" w:cs="Times New Roman"/>
          <w:sz w:val="20"/>
          <w:szCs w:val="20"/>
        </w:rPr>
        <w:t>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6AF248C8"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w:t>
      </w:r>
      <w:del w:id="102" w:author="Dave Bridges" w:date="2016-03-08T08:52:00Z">
        <w:r w:rsidR="00B23A5D" w:rsidRPr="00B23A5D" w:rsidDel="0012090A">
          <w:rPr>
            <w:rFonts w:ascii="Times New Roman" w:hAnsi="Times New Roman" w:cs="Times New Roman"/>
            <w:b/>
            <w:sz w:val="20"/>
            <w:szCs w:val="20"/>
          </w:rPr>
          <w:delText>insulin sensitivity (</w:delText>
        </w:r>
      </w:del>
      <w:r w:rsidR="00B23A5D" w:rsidRPr="00B23A5D">
        <w:rPr>
          <w:rFonts w:ascii="Times New Roman" w:hAnsi="Times New Roman" w:cs="Times New Roman"/>
          <w:b/>
          <w:sz w:val="20"/>
          <w:szCs w:val="20"/>
        </w:rPr>
        <w:t xml:space="preserve">HOMA-IR values </w:t>
      </w:r>
      <w:del w:id="103" w:author="Dave Bridges" w:date="2016-03-08T08:52:00Z">
        <w:r w:rsidR="00B23A5D" w:rsidRPr="00B23A5D" w:rsidDel="0012090A">
          <w:rPr>
            <w:rFonts w:ascii="Times New Roman" w:hAnsi="Times New Roman" w:cs="Times New Roman"/>
            <w:b/>
            <w:sz w:val="20"/>
            <w:szCs w:val="20"/>
          </w:rPr>
          <w:delText xml:space="preserve">of </w:delText>
        </w:r>
      </w:del>
      <w:ins w:id="104" w:author="Dave Bridges" w:date="2016-03-08T08:52:00Z">
        <w:r w:rsidR="0012090A">
          <w:rPr>
            <w:rFonts w:ascii="Times New Roman" w:hAnsi="Times New Roman" w:cs="Times New Roman"/>
            <w:b/>
            <w:sz w:val="20"/>
            <w:szCs w:val="20"/>
          </w:rPr>
          <w:t>(</w:t>
        </w:r>
      </w:ins>
      <w:r w:rsidR="00B23A5D" w:rsidRPr="00B23A5D">
        <w:rPr>
          <w:rFonts w:ascii="Times New Roman" w:hAnsi="Times New Roman" w:cs="Times New Roman"/>
          <w:b/>
          <w:sz w:val="20"/>
          <w:szCs w:val="20"/>
        </w:rPr>
        <w:t xml:space="preserve">12.77 ± 1.29 </w:t>
      </w:r>
      <w:del w:id="105" w:author="Dave Bridges" w:date="2016-03-08T08:52:00Z">
        <w:r w:rsidR="00B23A5D" w:rsidRPr="00B23A5D" w:rsidDel="0012090A">
          <w:rPr>
            <w:rFonts w:ascii="Times New Roman" w:hAnsi="Times New Roman" w:cs="Times New Roman"/>
            <w:b/>
            <w:sz w:val="20"/>
            <w:szCs w:val="20"/>
          </w:rPr>
          <w:delText xml:space="preserve">and </w:delText>
        </w:r>
      </w:del>
      <w:ins w:id="106" w:author="Dave Bridges" w:date="2016-03-08T08:52:00Z">
        <w:r w:rsidR="0012090A">
          <w:rPr>
            <w:rFonts w:ascii="Times New Roman" w:hAnsi="Times New Roman" w:cs="Times New Roman"/>
            <w:b/>
            <w:sz w:val="20"/>
            <w:szCs w:val="20"/>
          </w:rPr>
          <w:t>vs</w:t>
        </w:r>
        <w:r w:rsidR="0012090A" w:rsidRPr="00B23A5D">
          <w:rPr>
            <w:rFonts w:ascii="Times New Roman" w:hAnsi="Times New Roman" w:cs="Times New Roman"/>
            <w:b/>
            <w:sz w:val="20"/>
            <w:szCs w:val="20"/>
          </w:rPr>
          <w:t xml:space="preserve"> </w:t>
        </w:r>
      </w:ins>
      <w:r w:rsidR="00B23A5D" w:rsidRPr="00B23A5D">
        <w:rPr>
          <w:rFonts w:ascii="Times New Roman" w:hAnsi="Times New Roman" w:cs="Times New Roman"/>
          <w:b/>
          <w:sz w:val="20"/>
          <w:szCs w:val="20"/>
        </w:rPr>
        <w:t>12.14 ± 0.96 for Saline and MCP230, respectively; p</w:t>
      </w:r>
      <w:ins w:id="107" w:author="Dave Bridges" w:date="2016-03-08T08:51:00Z">
        <w:r w:rsidR="0012090A">
          <w:rPr>
            <w:rFonts w:ascii="Times New Roman" w:hAnsi="Times New Roman" w:cs="Times New Roman"/>
            <w:b/>
            <w:sz w:val="20"/>
            <w:szCs w:val="20"/>
          </w:rPr>
          <w:t>=0.74</w:t>
        </w:r>
      </w:ins>
      <w:del w:id="108" w:author="Dave Bridges" w:date="2016-03-08T08:51:00Z">
        <w:r w:rsidR="00B23A5D" w:rsidRPr="00B23A5D" w:rsidDel="0012090A">
          <w:rPr>
            <w:rFonts w:ascii="Times New Roman" w:hAnsi="Times New Roman" w:cs="Times New Roman"/>
            <w:b/>
            <w:sz w:val="20"/>
            <w:szCs w:val="20"/>
          </w:rPr>
          <w:delText>&gt;0.05</w:delText>
        </w:r>
      </w:del>
      <w:r w:rsidR="00B23A5D" w:rsidRPr="00B23A5D">
        <w:rPr>
          <w:rFonts w:ascii="Times New Roman" w:hAnsi="Times New Roman" w:cs="Times New Roman"/>
          <w:b/>
          <w:sz w:val="20"/>
          <w:szCs w:val="20"/>
        </w:rPr>
        <w:t xml:space="preserve">,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31A9F96F"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In contrast to previous studies that use chronic pollution models (1, 5, 9, 33, 35), we did not observe any indications that glycemic control was impaired to a greater extent in MCP230-exposed mice compared to the control groups following the HFD</w:t>
      </w:r>
      <w:ins w:id="109" w:author="Dave Bridges" w:date="2016-03-08T09:12:00Z">
        <w:r w:rsidR="00421FFE">
          <w:rPr>
            <w:rFonts w:ascii="Times New Roman" w:hAnsi="Times New Roman" w:cs="Times New Roman"/>
            <w:b/>
            <w:sz w:val="20"/>
            <w:szCs w:val="20"/>
          </w:rPr>
          <w:t xml:space="preserve"> in spite of differences in fat mass</w:t>
        </w:r>
      </w:ins>
      <w:r w:rsidR="00DF3CB7" w:rsidRPr="00DF3CB7">
        <w:rPr>
          <w:rFonts w:ascii="Times New Roman" w:hAnsi="Times New Roman" w:cs="Times New Roman"/>
          <w:b/>
          <w:sz w:val="20"/>
          <w:szCs w:val="20"/>
        </w:rPr>
        <w:t xml:space="preserve"> </w:t>
      </w:r>
      <w:ins w:id="110" w:author="Dave Bridges" w:date="2016-03-08T09:14:00Z">
        <w:r w:rsidR="00421FFE">
          <w:rPr>
            <w:rFonts w:ascii="Times New Roman" w:hAnsi="Times New Roman" w:cs="Times New Roman"/>
            <w:b/>
            <w:sz w:val="20"/>
            <w:szCs w:val="20"/>
          </w:rPr>
          <w:t xml:space="preserve">as </w:t>
        </w:r>
      </w:ins>
      <w:del w:id="111" w:author="Dave Bridges" w:date="2016-03-08T09:14:00Z">
        <w:r w:rsidR="00DF3CB7" w:rsidRPr="00DF3CB7" w:rsidDel="00421FFE">
          <w:rPr>
            <w:rFonts w:ascii="Times New Roman" w:hAnsi="Times New Roman" w:cs="Times New Roman"/>
            <w:b/>
            <w:sz w:val="20"/>
            <w:szCs w:val="20"/>
          </w:rPr>
          <w:delText>(</w:delText>
        </w:r>
      </w:del>
      <w:r w:rsidR="00DF3CB7" w:rsidRPr="00DF3CB7">
        <w:rPr>
          <w:rFonts w:ascii="Times New Roman" w:hAnsi="Times New Roman" w:cs="Times New Roman"/>
          <w:b/>
          <w:sz w:val="20"/>
          <w:szCs w:val="20"/>
        </w:rPr>
        <w:t xml:space="preserve">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w:t>
      </w:r>
      <w:del w:id="112" w:author="Dave Bridges" w:date="2016-03-08T09:12:00Z">
        <w:r w:rsidR="00DF3CB7" w:rsidRPr="00DF3CB7" w:rsidDel="00421FFE">
          <w:rPr>
            <w:rFonts w:ascii="Times New Roman" w:hAnsi="Times New Roman" w:cs="Times New Roman"/>
            <w:b/>
            <w:sz w:val="20"/>
            <w:szCs w:val="20"/>
          </w:rPr>
          <w:delText xml:space="preserve">we acknowledge </w:delText>
        </w:r>
      </w:del>
      <w:r w:rsidR="00DF3CB7" w:rsidRPr="00DF3CB7">
        <w:rPr>
          <w:rFonts w:ascii="Times New Roman" w:hAnsi="Times New Roman" w:cs="Times New Roman"/>
          <w:b/>
          <w:sz w:val="20"/>
          <w:szCs w:val="20"/>
        </w:rPr>
        <w:t xml:space="preserve">limits our ability to make </w:t>
      </w:r>
      <w:del w:id="113" w:author="Dave Bridges" w:date="2016-03-08T09:12:00Z">
        <w:r w:rsidR="00DF3CB7" w:rsidRPr="00DF3CB7" w:rsidDel="00421FFE">
          <w:rPr>
            <w:rFonts w:ascii="Times New Roman" w:hAnsi="Times New Roman" w:cs="Times New Roman"/>
            <w:b/>
            <w:sz w:val="20"/>
            <w:szCs w:val="20"/>
          </w:rPr>
          <w:delText xml:space="preserve">any </w:delText>
        </w:r>
      </w:del>
      <w:r w:rsidR="00DF3CB7" w:rsidRPr="00DF3CB7">
        <w:rPr>
          <w:rFonts w:ascii="Times New Roman" w:hAnsi="Times New Roman" w:cs="Times New Roman"/>
          <w:b/>
          <w:sz w:val="20"/>
          <w:szCs w:val="20"/>
        </w:rPr>
        <w:t>strong conclusions about the effects of acute in utero PM exposure on insulin sensitivity</w:t>
      </w:r>
      <w:del w:id="114" w:author="Dave Bridges" w:date="2016-03-08T09:12:00Z">
        <w:r w:rsidR="00DF3CB7" w:rsidRPr="00DF3CB7" w:rsidDel="00421FFE">
          <w:rPr>
            <w:rFonts w:ascii="Times New Roman" w:hAnsi="Times New Roman" w:cs="Times New Roman"/>
            <w:b/>
            <w:sz w:val="20"/>
            <w:szCs w:val="20"/>
          </w:rPr>
          <w:delText xml:space="preserve"> specifically</w:delText>
        </w:r>
      </w:del>
      <w:r w:rsidR="00DF3CB7" w:rsidRPr="00DF3CB7">
        <w:rPr>
          <w:rFonts w:ascii="Times New Roman" w:hAnsi="Times New Roman" w:cs="Times New Roman"/>
          <w:b/>
          <w:sz w:val="20"/>
          <w:szCs w:val="20"/>
        </w:rPr>
        <w:t>.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AA362E8"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 xml:space="preserve">As described above, </w:t>
      </w:r>
      <w:ins w:id="115" w:author="Dave Bridges" w:date="2016-03-08T09:15:00Z">
        <w:r w:rsidR="00DE6EC0">
          <w:rPr>
            <w:rFonts w:ascii="Times New Roman" w:hAnsi="Times New Roman" w:cs="Times New Roman"/>
            <w:sz w:val="20"/>
            <w:szCs w:val="20"/>
          </w:rPr>
          <w:t xml:space="preserve">HOMA-IR score and </w:t>
        </w:r>
      </w:ins>
      <w:del w:id="116" w:author="Dave Bridges" w:date="2016-03-08T09:15:00Z">
        <w:r w:rsidDel="00DE6EC0">
          <w:rPr>
            <w:rFonts w:ascii="Times New Roman" w:hAnsi="Times New Roman" w:cs="Times New Roman"/>
            <w:sz w:val="20"/>
            <w:szCs w:val="20"/>
          </w:rPr>
          <w:delText>i</w:delText>
        </w:r>
        <w:r w:rsidR="008620BB" w:rsidRPr="005D128C" w:rsidDel="00DE6EC0">
          <w:rPr>
            <w:rFonts w:ascii="Times New Roman" w:hAnsi="Times New Roman" w:cs="Times New Roman"/>
            <w:sz w:val="20"/>
            <w:szCs w:val="20"/>
          </w:rPr>
          <w:delText xml:space="preserve">t </w:delText>
        </w:r>
        <w:r w:rsidDel="00DE6EC0">
          <w:rPr>
            <w:rFonts w:ascii="Times New Roman" w:hAnsi="Times New Roman" w:cs="Times New Roman"/>
            <w:sz w:val="20"/>
            <w:szCs w:val="20"/>
          </w:rPr>
          <w:delText>is</w:delText>
        </w:r>
        <w:r w:rsidR="008620BB" w:rsidRPr="005D128C" w:rsidDel="00DE6EC0">
          <w:rPr>
            <w:rFonts w:ascii="Times New Roman" w:hAnsi="Times New Roman" w:cs="Times New Roman"/>
            <w:sz w:val="20"/>
            <w:szCs w:val="20"/>
          </w:rPr>
          <w:delText xml:space="preserve"> worth noting </w:delText>
        </w:r>
        <w:r w:rsidR="008620BB" w:rsidRPr="005D128C" w:rsidDel="00DE6EC0">
          <w:rPr>
            <w:rFonts w:ascii="Times New Roman" w:hAnsi="Times New Roman" w:cs="Times New Roman"/>
            <w:sz w:val="20"/>
            <w:szCs w:val="20"/>
          </w:rPr>
          <w:lastRenderedPageBreak/>
          <w:delText xml:space="preserve">that </w:delText>
        </w:r>
      </w:del>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t>
      </w:r>
      <w:del w:id="117" w:author="Dave Bridges" w:date="2016-03-08T09:15:00Z">
        <w:r w:rsidR="008620BB" w:rsidRPr="005D128C" w:rsidDel="00DE6EC0">
          <w:rPr>
            <w:rFonts w:ascii="Times New Roman" w:hAnsi="Times New Roman" w:cs="Times New Roman"/>
            <w:sz w:val="20"/>
            <w:szCs w:val="20"/>
          </w:rPr>
          <w:delText xml:space="preserve">was </w:delText>
        </w:r>
      </w:del>
      <w:ins w:id="118" w:author="Dave Bridges" w:date="2016-03-08T09:15:00Z">
        <w:r w:rsidR="00DE6EC0">
          <w:rPr>
            <w:rFonts w:ascii="Times New Roman" w:hAnsi="Times New Roman" w:cs="Times New Roman"/>
            <w:sz w:val="20"/>
            <w:szCs w:val="20"/>
          </w:rPr>
          <w:t>were</w:t>
        </w:r>
        <w:r w:rsidR="00DE6EC0" w:rsidRPr="005D128C">
          <w:rPr>
            <w:rFonts w:ascii="Times New Roman" w:hAnsi="Times New Roman" w:cs="Times New Roman"/>
            <w:sz w:val="20"/>
            <w:szCs w:val="20"/>
          </w:rPr>
          <w:t xml:space="preserve"> </w:t>
        </w:r>
      </w:ins>
      <w:r w:rsidR="008620BB" w:rsidRPr="005D128C">
        <w:rPr>
          <w:rFonts w:ascii="Times New Roman" w:hAnsi="Times New Roman" w:cs="Times New Roman"/>
          <w:sz w:val="20"/>
          <w:szCs w:val="20"/>
        </w:rPr>
        <w:t>not different between the groups</w:t>
      </w:r>
      <w:r w:rsidR="00651B02">
        <w:rPr>
          <w:rFonts w:ascii="Times New Roman" w:hAnsi="Times New Roman" w:cs="Times New Roman"/>
          <w:sz w:val="20"/>
          <w:szCs w:val="20"/>
        </w:rPr>
        <w:t xml:space="preserve"> at the end of the study, suggesting that skeletal muscle insulin sensitivity was </w:t>
      </w:r>
      <w:del w:id="119" w:author="Dave Bridges" w:date="2016-03-08T09:15:00Z">
        <w:r w:rsidR="00651B02" w:rsidDel="00DE6EC0">
          <w:rPr>
            <w:rFonts w:ascii="Times New Roman" w:hAnsi="Times New Roman" w:cs="Times New Roman"/>
            <w:sz w:val="20"/>
            <w:szCs w:val="20"/>
          </w:rPr>
          <w:delText xml:space="preserve">probably </w:delText>
        </w:r>
      </w:del>
      <w:ins w:id="120" w:author="Dave Bridges" w:date="2016-03-08T09:15:00Z">
        <w:r w:rsidR="00DE6EC0">
          <w:rPr>
            <w:rFonts w:ascii="Times New Roman" w:hAnsi="Times New Roman" w:cs="Times New Roman"/>
            <w:sz w:val="20"/>
            <w:szCs w:val="20"/>
          </w:rPr>
          <w:t xml:space="preserve">likely </w:t>
        </w:r>
      </w:ins>
      <w:r w:rsidR="00651B02">
        <w:rPr>
          <w:rFonts w:ascii="Times New Roman" w:hAnsi="Times New Roman" w:cs="Times New Roman"/>
          <w:sz w:val="20"/>
          <w:szCs w:val="20"/>
        </w:rPr>
        <w:t>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533C3083"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 xml:space="preserve">on energy expenditure is an interesting question; </w:t>
      </w:r>
      <w:del w:id="121" w:author="Dave Bridges" w:date="2016-03-08T09:18:00Z">
        <w:r w:rsidR="003B4F0E" w:rsidDel="00CB1044">
          <w:rPr>
            <w:rFonts w:ascii="Times New Roman" w:hAnsi="Times New Roman" w:cs="Times New Roman"/>
            <w:sz w:val="20"/>
            <w:szCs w:val="20"/>
          </w:rPr>
          <w:delText xml:space="preserve">however, not one we are able to answer in the time period given for </w:delText>
        </w:r>
        <w:r w:rsidR="006F7343" w:rsidDel="00CB1044">
          <w:rPr>
            <w:rFonts w:ascii="Times New Roman" w:hAnsi="Times New Roman" w:cs="Times New Roman"/>
            <w:sz w:val="20"/>
            <w:szCs w:val="20"/>
          </w:rPr>
          <w:delText>our</w:delText>
        </w:r>
        <w:r w:rsidR="003B4F0E" w:rsidDel="00CB1044">
          <w:rPr>
            <w:rFonts w:ascii="Times New Roman" w:hAnsi="Times New Roman" w:cs="Times New Roman"/>
            <w:sz w:val="20"/>
            <w:szCs w:val="20"/>
          </w:rPr>
          <w:delText xml:space="preserve"> respon</w:delText>
        </w:r>
        <w:r w:rsidR="006F7343" w:rsidDel="00CB1044">
          <w:rPr>
            <w:rFonts w:ascii="Times New Roman" w:hAnsi="Times New Roman" w:cs="Times New Roman"/>
            <w:sz w:val="20"/>
            <w:szCs w:val="20"/>
          </w:rPr>
          <w:delText>se</w:delText>
        </w:r>
      </w:del>
      <w:ins w:id="122" w:author="Dave Bridges" w:date="2016-03-08T09:18:00Z">
        <w:r w:rsidR="00CB1044">
          <w:rPr>
            <w:rFonts w:ascii="Times New Roman" w:hAnsi="Times New Roman" w:cs="Times New Roman"/>
            <w:sz w:val="20"/>
            <w:szCs w:val="20"/>
          </w:rPr>
          <w:t xml:space="preserve">but not central to our conclusions.  Our aim was to investigate the conditions that pre-disposed these animals to </w:t>
        </w:r>
      </w:ins>
      <w:ins w:id="123" w:author="Dave Bridges" w:date="2016-03-08T09:19:00Z">
        <w:r w:rsidR="00CB1044">
          <w:rPr>
            <w:rFonts w:ascii="Times New Roman" w:hAnsi="Times New Roman" w:cs="Times New Roman"/>
            <w:sz w:val="20"/>
            <w:szCs w:val="20"/>
          </w:rPr>
          <w:t>increased</w:t>
        </w:r>
      </w:ins>
      <w:ins w:id="124" w:author="Dave Bridges" w:date="2016-03-08T09:18:00Z">
        <w:r w:rsidR="00CB1044">
          <w:rPr>
            <w:rFonts w:ascii="Times New Roman" w:hAnsi="Times New Roman" w:cs="Times New Roman"/>
            <w:sz w:val="20"/>
            <w:szCs w:val="20"/>
          </w:rPr>
          <w:t xml:space="preserve"> </w:t>
        </w:r>
      </w:ins>
      <w:ins w:id="125" w:author="Dave Bridges" w:date="2016-03-08T09:19:00Z">
        <w:r w:rsidR="00CB1044">
          <w:rPr>
            <w:rFonts w:ascii="Times New Roman" w:hAnsi="Times New Roman" w:cs="Times New Roman"/>
            <w:sz w:val="20"/>
            <w:szCs w:val="20"/>
          </w:rPr>
          <w:t>weight gain</w:t>
        </w:r>
      </w:ins>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w:t>
      </w:r>
      <w:del w:id="126" w:author="Dave Bridges" w:date="2016-03-08T09:20:00Z">
        <w:r w:rsidR="003B4F0E" w:rsidDel="00043989">
          <w:rPr>
            <w:rFonts w:ascii="Times New Roman" w:hAnsi="Times New Roman" w:cs="Times New Roman"/>
            <w:sz w:val="20"/>
            <w:szCs w:val="20"/>
          </w:rPr>
          <w:delText xml:space="preserve">directly </w:delText>
        </w:r>
      </w:del>
      <w:r w:rsidR="003B4F0E">
        <w:rPr>
          <w:rFonts w:ascii="Times New Roman" w:hAnsi="Times New Roman" w:cs="Times New Roman"/>
          <w:sz w:val="20"/>
          <w:szCs w:val="20"/>
        </w:rPr>
        <w:t>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w:t>
      </w:r>
      <w:ins w:id="127" w:author="Dave Bridges" w:date="2016-03-08T09:20:00Z">
        <w:r w:rsidR="00043989">
          <w:rPr>
            <w:rFonts w:ascii="Times New Roman" w:hAnsi="Times New Roman" w:cs="Times New Roman"/>
            <w:sz w:val="20"/>
            <w:szCs w:val="20"/>
          </w:rPr>
          <w:t>, and studies in which decreased baseline energy expenditure is “repaired” are needed to answer this question</w:t>
        </w:r>
      </w:ins>
      <w:ins w:id="128" w:author="Dave Bridges" w:date="2016-03-08T09:21:00Z">
        <w:r w:rsidR="00043989">
          <w:rPr>
            <w:rFonts w:ascii="Times New Roman" w:hAnsi="Times New Roman" w:cs="Times New Roman"/>
            <w:sz w:val="20"/>
            <w:szCs w:val="20"/>
          </w:rPr>
          <w:t>, but are outside the scope of this manuscript</w:t>
        </w:r>
      </w:ins>
      <w:r w:rsidR="003B4F0E">
        <w:rPr>
          <w:rFonts w:ascii="Times New Roman" w:hAnsi="Times New Roman" w:cs="Times New Roman"/>
          <w:sz w:val="20"/>
          <w:szCs w:val="20"/>
        </w:rPr>
        <w:t xml:space="preserve">.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58F132FB"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w:t>
      </w:r>
      <w:del w:id="129" w:author="Dave Bridges" w:date="2016-03-08T09:21:00Z">
        <w:r w:rsidR="0000575D" w:rsidDel="00043989">
          <w:rPr>
            <w:rFonts w:ascii="Times New Roman" w:hAnsi="Times New Roman" w:cs="Times New Roman"/>
            <w:b/>
            <w:sz w:val="20"/>
            <w:szCs w:val="20"/>
          </w:rPr>
          <w:delText>thing else entirely</w:delText>
        </w:r>
      </w:del>
      <w:ins w:id="130" w:author="Dave Bridges" w:date="2016-03-08T09:21:00Z">
        <w:r w:rsidR="00043989">
          <w:rPr>
            <w:rFonts w:ascii="Times New Roman" w:hAnsi="Times New Roman" w:cs="Times New Roman"/>
            <w:b/>
            <w:sz w:val="20"/>
            <w:szCs w:val="20"/>
          </w:rPr>
          <w:t xml:space="preserve"> other mechanism</w:t>
        </w:r>
      </w:ins>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xml:space="preserve">, citrate synthase activity and mRNA transcripts support the </w:t>
      </w:r>
      <w:del w:id="131" w:author="Dave Bridges" w:date="2016-03-08T09:21:00Z">
        <w:r w:rsidRPr="00CE13BE" w:rsidDel="00043989">
          <w:rPr>
            <w:rFonts w:ascii="Times New Roman" w:hAnsi="Times New Roman" w:cs="Times New Roman"/>
            <w:b/>
            <w:sz w:val="20"/>
            <w:szCs w:val="20"/>
          </w:rPr>
          <w:delText xml:space="preserve">possibility </w:delText>
        </w:r>
      </w:del>
      <w:ins w:id="132" w:author="Dave Bridges" w:date="2016-03-08T09:21:00Z">
        <w:r w:rsidR="00043989">
          <w:rPr>
            <w:rFonts w:ascii="Times New Roman" w:hAnsi="Times New Roman" w:cs="Times New Roman"/>
            <w:b/>
            <w:sz w:val="20"/>
            <w:szCs w:val="20"/>
          </w:rPr>
          <w:t>hypothesis</w:t>
        </w:r>
        <w:r w:rsidR="00043989" w:rsidRPr="00CE13BE">
          <w:rPr>
            <w:rFonts w:ascii="Times New Roman" w:hAnsi="Times New Roman" w:cs="Times New Roman"/>
            <w:b/>
            <w:sz w:val="20"/>
            <w:szCs w:val="20"/>
          </w:rPr>
          <w:t xml:space="preserve"> </w:t>
        </w:r>
      </w:ins>
      <w:r w:rsidRPr="00CE13BE">
        <w:rPr>
          <w:rFonts w:ascii="Times New Roman" w:hAnsi="Times New Roman" w:cs="Times New Roman"/>
          <w:b/>
          <w:sz w:val="20"/>
          <w:szCs w:val="20"/>
        </w:rPr>
        <w:t>that gestational exposure to EPFRs can affect skeletal muscle mitochondrial oxidative function</w:t>
      </w:r>
      <w:del w:id="133" w:author="Dave Bridges" w:date="2016-03-08T09:22:00Z">
        <w:r w:rsidRPr="00CE13BE" w:rsidDel="00043989">
          <w:rPr>
            <w:rFonts w:ascii="Times New Roman" w:hAnsi="Times New Roman" w:cs="Times New Roman"/>
            <w:b/>
            <w:sz w:val="20"/>
            <w:szCs w:val="20"/>
          </w:rPr>
          <w:delText>, likely through post-translational mechanisms</w:delText>
        </w:r>
      </w:del>
      <w:r w:rsidRPr="00CE13BE">
        <w:rPr>
          <w:rFonts w:ascii="Times New Roman" w:hAnsi="Times New Roman" w:cs="Times New Roman"/>
          <w:b/>
          <w:sz w:val="20"/>
          <w:szCs w:val="20"/>
        </w:rPr>
        <w:t>,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59776"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DE1B82" w:rsidRDefault="00DE1B8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DE1B82" w:rsidRPr="003F0D2E" w:rsidRDefault="00DE1B8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DE1B82" w:rsidRPr="009623C5" w:rsidRDefault="00DE1B82"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30AA7" id="_x0000_s1031" type="#_x0000_t202" style="position:absolute;margin-left:3.75pt;margin-top:24.95pt;width:525pt;height:23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DE1B82" w:rsidRDefault="00DE1B8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DE1B82" w:rsidRPr="003F0D2E" w:rsidRDefault="00DE1B8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DE1B82" w:rsidRPr="009623C5" w:rsidRDefault="00DE1B8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lastRenderedPageBreak/>
        <w:t xml:space="preserve">Also - considering energy expenditure is lower, analysis of uncoupling proteins in skeletal muscle and adipose depots may help inform on the mechanism. </w:t>
      </w:r>
    </w:p>
    <w:p w14:paraId="180D67A9" w14:textId="4C96F93D" w:rsidR="00FB081B" w:rsidRPr="009623C5" w:rsidRDefault="00FB081B" w:rsidP="002C21F8">
      <w:pPr>
        <w:rPr>
          <w:rFonts w:ascii="Times New Roman" w:hAnsi="Times New Roman" w:cs="Times New Roman"/>
          <w:sz w:val="20"/>
          <w:szCs w:val="20"/>
        </w:rPr>
      </w:pPr>
      <w:del w:id="134" w:author="Dave Bridges" w:date="2016-03-08T09:24:00Z">
        <w:r w:rsidRPr="009623C5" w:rsidDel="00D33C9C">
          <w:rPr>
            <w:rFonts w:ascii="Times New Roman" w:hAnsi="Times New Roman" w:cs="Times New Roman"/>
            <w:sz w:val="20"/>
            <w:szCs w:val="20"/>
          </w:rPr>
          <w:delText>We have</w:delText>
        </w:r>
      </w:del>
      <w:ins w:id="135" w:author="Dave Bridges" w:date="2016-03-08T09:24:00Z">
        <w:r w:rsidR="00D33C9C">
          <w:rPr>
            <w:rFonts w:ascii="Times New Roman" w:hAnsi="Times New Roman" w:cs="Times New Roman"/>
            <w:noProof/>
            <w:color w:val="FF0000"/>
            <w:sz w:val="20"/>
            <w:szCs w:val="20"/>
          </w:rPr>
          <w:t>In the revised manuscript, we</w:t>
        </w:r>
      </w:ins>
      <w:r w:rsidRPr="009623C5">
        <w:rPr>
          <w:rFonts w:ascii="Times New Roman" w:hAnsi="Times New Roman" w:cs="Times New Roman"/>
          <w:sz w:val="20"/>
          <w:szCs w:val="20"/>
        </w:rPr>
        <w:t xml:space="preserve"> </w:t>
      </w:r>
      <w:del w:id="136" w:author="Dave Bridges" w:date="2016-03-08T09:24:00Z">
        <w:r w:rsidRPr="009623C5" w:rsidDel="00D33C9C">
          <w:rPr>
            <w:rFonts w:ascii="Times New Roman" w:hAnsi="Times New Roman" w:cs="Times New Roman"/>
            <w:sz w:val="20"/>
            <w:szCs w:val="20"/>
          </w:rPr>
          <w:delText>looked at</w:delText>
        </w:r>
      </w:del>
      <w:ins w:id="137" w:author="Dave Bridges" w:date="2016-03-08T09:24:00Z">
        <w:r w:rsidR="00D33C9C">
          <w:rPr>
            <w:rFonts w:ascii="Times New Roman" w:hAnsi="Times New Roman" w:cs="Times New Roman"/>
            <w:sz w:val="20"/>
            <w:szCs w:val="20"/>
          </w:rPr>
          <w:t>evaluated</w:t>
        </w:r>
      </w:ins>
      <w:r w:rsidRPr="009623C5">
        <w:rPr>
          <w:rFonts w:ascii="Times New Roman" w:hAnsi="Times New Roman" w:cs="Times New Roman"/>
          <w:sz w:val="20"/>
          <w:szCs w:val="20"/>
        </w:rPr>
        <w:t xml:space="preserve"> uncoupling proteins in the muscle and </w:t>
      </w:r>
      <w:proofErr w:type="spellStart"/>
      <w:r w:rsidRPr="009623C5">
        <w:rPr>
          <w:rFonts w:ascii="Times New Roman" w:hAnsi="Times New Roman" w:cs="Times New Roman"/>
          <w:sz w:val="20"/>
          <w:szCs w:val="20"/>
        </w:rPr>
        <w:t>epididymal</w:t>
      </w:r>
      <w:proofErr w:type="spellEnd"/>
      <w:r w:rsidRPr="009623C5">
        <w:rPr>
          <w:rFonts w:ascii="Times New Roman" w:hAnsi="Times New Roman" w:cs="Times New Roman"/>
          <w:sz w:val="20"/>
          <w:szCs w:val="20"/>
        </w:rPr>
        <w:t xml:space="preserve"> adipose tissue. We observed an increase in muscle </w:t>
      </w:r>
      <w:r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w:t>
      </w:r>
      <w:commentRangeStart w:id="138"/>
      <w:r w:rsidR="00EC3546" w:rsidRPr="009623C5">
        <w:rPr>
          <w:rFonts w:ascii="Times New Roman" w:hAnsi="Times New Roman" w:cs="Times New Roman"/>
          <w:sz w:val="20"/>
          <w:szCs w:val="20"/>
        </w:rPr>
        <w:t xml:space="preserve">small </w:t>
      </w:r>
      <w:commentRangeEnd w:id="138"/>
      <w:r w:rsidR="00D33C9C">
        <w:rPr>
          <w:rStyle w:val="CommentReference"/>
        </w:rPr>
        <w:commentReference w:id="138"/>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commentRangeStart w:id="139"/>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w:t>
      </w:r>
      <w:del w:id="140" w:author="Dave Bridges" w:date="2016-03-08T09:25:00Z">
        <w:r w:rsidR="00EC3546" w:rsidRPr="009623C5" w:rsidDel="00D33C9C">
          <w:rPr>
            <w:rFonts w:ascii="Times New Roman" w:hAnsi="Times New Roman" w:cs="Times New Roman"/>
            <w:sz w:val="20"/>
            <w:szCs w:val="20"/>
          </w:rPr>
          <w:delText xml:space="preserve">the </w:delText>
        </w:r>
      </w:del>
      <w:proofErr w:type="spellStart"/>
      <w:r w:rsidR="00EC3546" w:rsidRPr="009623C5">
        <w:rPr>
          <w:rFonts w:ascii="Times New Roman" w:hAnsi="Times New Roman" w:cs="Times New Roman"/>
          <w:sz w:val="20"/>
          <w:szCs w:val="20"/>
        </w:rPr>
        <w:t>eWAT</w:t>
      </w:r>
      <w:commentRangeEnd w:id="139"/>
      <w:proofErr w:type="spellEnd"/>
      <w:r w:rsidR="00D33C9C">
        <w:rPr>
          <w:rStyle w:val="CommentReference"/>
        </w:rPr>
        <w:commentReference w:id="139"/>
      </w:r>
      <w:r w:rsidRPr="009623C5">
        <w:rPr>
          <w:rFonts w:ascii="Times New Roman" w:hAnsi="Times New Roman" w:cs="Times New Roman"/>
          <w:sz w:val="20"/>
          <w:szCs w:val="20"/>
        </w:rPr>
        <w:t>.</w:t>
      </w:r>
      <w:del w:id="141" w:author="Dave Bridges" w:date="2016-03-08T09:26:00Z">
        <w:r w:rsidR="00EC3546" w:rsidRPr="009623C5" w:rsidDel="00D33C9C">
          <w:rPr>
            <w:rFonts w:ascii="Times New Roman" w:hAnsi="Times New Roman" w:cs="Times New Roman"/>
            <w:sz w:val="20"/>
            <w:szCs w:val="20"/>
          </w:rPr>
          <w:delText xml:space="preserve"> There were no other changes in UCPs</w:delText>
        </w:r>
        <w:r w:rsidR="00F104E7" w:rsidRPr="009623C5" w:rsidDel="00D33C9C">
          <w:rPr>
            <w:rFonts w:ascii="Times New Roman" w:hAnsi="Times New Roman" w:cs="Times New Roman"/>
            <w:sz w:val="20"/>
            <w:szCs w:val="20"/>
          </w:rPr>
          <w:delText xml:space="preserve"> (</w:delText>
        </w:r>
        <w:r w:rsidR="00F104E7" w:rsidRPr="009623C5" w:rsidDel="00D33C9C">
          <w:rPr>
            <w:rFonts w:ascii="Times New Roman" w:hAnsi="Times New Roman" w:cs="Times New Roman"/>
            <w:i/>
            <w:sz w:val="20"/>
            <w:szCs w:val="20"/>
          </w:rPr>
          <w:delText xml:space="preserve">Ucp3 </w:delText>
        </w:r>
        <w:r w:rsidR="00F104E7" w:rsidRPr="009623C5" w:rsidDel="00D33C9C">
          <w:rPr>
            <w:rFonts w:ascii="Times New Roman" w:hAnsi="Times New Roman" w:cs="Times New Roman"/>
            <w:sz w:val="20"/>
            <w:szCs w:val="20"/>
          </w:rPr>
          <w:delText xml:space="preserve">mRNA </w:delText>
        </w:r>
        <w:r w:rsidR="00F13769" w:rsidDel="00D33C9C">
          <w:rPr>
            <w:rFonts w:ascii="Times New Roman" w:hAnsi="Times New Roman" w:cs="Times New Roman"/>
            <w:sz w:val="20"/>
            <w:szCs w:val="20"/>
          </w:rPr>
          <w:delText>was not significantly altered</w:delText>
        </w:r>
        <w:r w:rsidR="00CF2D55" w:rsidDel="00D33C9C">
          <w:rPr>
            <w:rFonts w:ascii="Times New Roman" w:hAnsi="Times New Roman" w:cs="Times New Roman"/>
            <w:sz w:val="20"/>
            <w:szCs w:val="20"/>
          </w:rPr>
          <w:delText xml:space="preserve"> in musc</w:delText>
        </w:r>
        <w:r w:rsidR="00F13769" w:rsidDel="00D33C9C">
          <w:rPr>
            <w:rFonts w:ascii="Times New Roman" w:hAnsi="Times New Roman" w:cs="Times New Roman"/>
            <w:sz w:val="20"/>
            <w:szCs w:val="20"/>
          </w:rPr>
          <w:delText>le lysates</w:delText>
        </w:r>
        <w:r w:rsidR="00F104E7" w:rsidRPr="009623C5" w:rsidDel="00D33C9C">
          <w:rPr>
            <w:rFonts w:ascii="Times New Roman" w:hAnsi="Times New Roman" w:cs="Times New Roman"/>
            <w:sz w:val="20"/>
            <w:szCs w:val="20"/>
          </w:rPr>
          <w:delText>)</w:delText>
        </w:r>
      </w:del>
      <w:r w:rsidR="00EC3546" w:rsidRPr="009623C5">
        <w:rPr>
          <w:rFonts w:ascii="Times New Roman" w:hAnsi="Times New Roman" w:cs="Times New Roman"/>
          <w:sz w:val="20"/>
          <w:szCs w:val="20"/>
        </w:rPr>
        <w:t>.</w:t>
      </w:r>
      <w:r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D33C9C"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7728" behindDoc="0" locked="0" layoutInCell="1" allowOverlap="1" wp14:anchorId="2E7C3801" wp14:editId="5F0231D0">
                <wp:simplePos x="0" y="0"/>
                <wp:positionH relativeFrom="column">
                  <wp:posOffset>38100</wp:posOffset>
                </wp:positionH>
                <wp:positionV relativeFrom="paragraph">
                  <wp:posOffset>733425</wp:posOffset>
                </wp:positionV>
                <wp:extent cx="6791325" cy="2466975"/>
                <wp:effectExtent l="0" t="0" r="1587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C3801" id="_x0000_s1032" type="#_x0000_t202" style="position:absolute;margin-left:3pt;margin-top:57.75pt;width:534.75pt;height:194.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PJQIAAEwEAAAOAAAAZHJzL2Uyb0RvYy54bWysVNtu2zAMfR+wfxD0vjjxkrQx4hRdugwD&#10;ugvQ7gNoWY6FSaInKbGzry+lpGmwDXsY5gdBFKmjw0PSy5vBaLaXziu0JZ+MxpxJK7BWdlvyb4+b&#10;N9ec+QC2Bo1WlvwgPb9ZvX617LtC5tiirqVjBGJ90Xclb0PoiizzopUG/Ag7acnZoDMQyHTbrHbQ&#10;E7rRWT4ez7MeXd05FNJ7Or07Ovkq4TeNFOFL03gZmC45cQtpdWmt4pqtllBsHXStEica8A8sDChL&#10;j56h7iAA2zn1G5RRwqHHJowEmgybRgmZcqBsJuNfsnlooZMpFxLHd2eZ/P+DFZ/3Xx1TNdWOMwuG&#10;SvQoh8De4cDyqE7f+YKCHjoKCwMdx8iYqe/uUXz3zOK6BbuVt85h30qoid0k3swurh5xfASp+k9Y&#10;0zOwC5iAhsaZCEhiMEKnKh3OlYlUBB3OrxaTt/mMM0G+fDqfL65m6Q0onq93zocPEg2Lm5I7Kn2C&#10;h/29D5EOFM8hiT5qVW+U1slw22qtHdsDtckmfSd0fxmmLetLvpgRkb9DjNP3JwijAvW7Vqbk1+cg&#10;KKJu722dujGA0sc9Udb2JGTU7qhiGKohVWweH4giV1gfSFmHx/amcaRNi+4nZz21dsn9jx04yZn+&#10;aKk6i8l0GmchGdPZVU6Gu/RUlx6wgqBKHjg7btchzU9UwOItVbFRSd8XJifK1LJJ9tN4xZm4tFPU&#10;y09g9QQAAP//AwBQSwMEFAAGAAgAAAAhANVu93bfAAAACgEAAA8AAABkcnMvZG93bnJldi54bWxM&#10;j8FOwzAQRO9I/IO1SFwQtQtNWkKcCiGB4AZtBVc33iYR9jrYbhr+HucEt92d0eybcj1awwb0oXMk&#10;YT4TwJBqpztqJOy2T9crYCEq0so4Qgk/GGBdnZ+VqtDuRO84bGLDUgiFQkloY+wLzkPdolVh5nqk&#10;pB2ctyqm1Tdce3VK4dbwGyFyblVH6UOrenxssf7aHK2E1eJl+Ayvt28fdX4wd/FqOTx/eykvL8aH&#10;e2ARx/hnhgk/oUOVmPbuSDowIyFPTWI6z7MM2KSL5TTtJWRiIYBXJf9fofoFAAD//wMAUEsBAi0A&#10;FAAGAAgAAAAhALaDOJL+AAAA4QEAABMAAAAAAAAAAAAAAAAAAAAAAFtDb250ZW50X1R5cGVzXS54&#10;bWxQSwECLQAUAAYACAAAACEAOP0h/9YAAACUAQAACwAAAAAAAAAAAAAAAAAvAQAAX3JlbHMvLnJl&#10;bHNQSwECLQAUAAYACAAAACEAEPyEDyUCAABMBAAADgAAAAAAAAAAAAAAAAAuAgAAZHJzL2Uyb0Rv&#10;Yy54bWxQSwECLQAUAAYACAAAACEA1W73dt8AAAAKAQAADwAAAAAAAAAAAAAAAAB/BAAAZHJzL2Rv&#10;d25yZXYueG1sUEsFBgAAAAAEAAQA8wAAAIsFAAAAAA==&#10;">
                <v:textbox>
                  <w:txbxContent>
                    <w:p w14:paraId="573D53B8" w14:textId="66C1AA75" w:rsidR="00DE1B82" w:rsidRPr="00D3754F" w:rsidRDefault="00DE1B82"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DE1B82" w:rsidRPr="00D3754F" w:rsidRDefault="00DE1B82"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w:t>
                      </w:r>
                    </w:p>
                    <w:p w14:paraId="49CDF462" w14:textId="31F54B6C" w:rsidR="00DE1B82" w:rsidRPr="00D3754F" w:rsidRDefault="00DE1B82">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w:t>
      </w:r>
      <w:del w:id="142" w:author="Dave Bridges" w:date="2016-03-08T09:26:00Z">
        <w:r w:rsidR="00FF2565" w:rsidRPr="009623C5" w:rsidDel="00D33C9C">
          <w:rPr>
            <w:rFonts w:ascii="Times New Roman" w:hAnsi="Times New Roman" w:cs="Times New Roman"/>
            <w:sz w:val="20"/>
            <w:szCs w:val="20"/>
          </w:rPr>
          <w:delText xml:space="preserve">our </w:delText>
        </w:r>
      </w:del>
      <w:r w:rsidR="00FF2565" w:rsidRPr="009623C5">
        <w:rPr>
          <w:rFonts w:ascii="Times New Roman" w:hAnsi="Times New Roman" w:cs="Times New Roman"/>
          <w:sz w:val="20"/>
          <w:szCs w:val="20"/>
        </w:rPr>
        <w:t xml:space="preserve">oxidative stress </w:t>
      </w:r>
      <w:del w:id="143" w:author="Dave Bridges" w:date="2016-03-08T09:26:00Z">
        <w:r w:rsidR="00064C2C" w:rsidDel="00D33C9C">
          <w:rPr>
            <w:rFonts w:ascii="Times New Roman" w:hAnsi="Times New Roman" w:cs="Times New Roman"/>
            <w:sz w:val="20"/>
            <w:szCs w:val="20"/>
          </w:rPr>
          <w:delText>data</w:delText>
        </w:r>
        <w:r w:rsidR="00FF2565" w:rsidRPr="009623C5" w:rsidDel="00D33C9C">
          <w:rPr>
            <w:rFonts w:ascii="Times New Roman" w:hAnsi="Times New Roman" w:cs="Times New Roman"/>
            <w:sz w:val="20"/>
            <w:szCs w:val="20"/>
          </w:rPr>
          <w:delText xml:space="preserve"> </w:delText>
        </w:r>
      </w:del>
      <w:ins w:id="144" w:author="Dave Bridges" w:date="2016-03-08T09:26:00Z">
        <w:r w:rsidR="00D33C9C">
          <w:rPr>
            <w:rFonts w:ascii="Times New Roman" w:hAnsi="Times New Roman" w:cs="Times New Roman"/>
            <w:sz w:val="20"/>
            <w:szCs w:val="20"/>
          </w:rPr>
          <w:t>responses</w:t>
        </w:r>
        <w:r w:rsidR="00D33C9C" w:rsidRPr="009623C5">
          <w:rPr>
            <w:rFonts w:ascii="Times New Roman" w:hAnsi="Times New Roman" w:cs="Times New Roman"/>
            <w:sz w:val="20"/>
            <w:szCs w:val="20"/>
          </w:rPr>
          <w:t xml:space="preserve"> </w:t>
        </w:r>
      </w:ins>
      <w:r w:rsidR="00FF2565" w:rsidRPr="009623C5">
        <w:rPr>
          <w:rFonts w:ascii="Times New Roman" w:hAnsi="Times New Roman" w:cs="Times New Roman"/>
          <w:sz w:val="20"/>
          <w:szCs w:val="20"/>
        </w:rPr>
        <w:t xml:space="preserve">(which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4DCD7825"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and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3D5E69E4"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we combined the groups in order to increase</w:t>
      </w:r>
      <w:ins w:id="145" w:author="Dave Bridges" w:date="2016-03-08T09:27:00Z">
        <w:r w:rsidR="000E22EB">
          <w:rPr>
            <w:rFonts w:ascii="Times New Roman" w:hAnsi="Times New Roman" w:cs="Times New Roman"/>
            <w:sz w:val="20"/>
            <w:szCs w:val="20"/>
          </w:rPr>
          <w:t xml:space="preserve"> our</w:t>
        </w:r>
      </w:ins>
      <w:r w:rsidRPr="00D618AB">
        <w:rPr>
          <w:rFonts w:ascii="Times New Roman" w:hAnsi="Times New Roman" w:cs="Times New Roman"/>
          <w:sz w:val="20"/>
          <w:szCs w:val="20"/>
        </w:rPr>
        <w:t xml:space="preserv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ins w:id="146" w:author="Dave Bridges" w:date="2016-03-08T09:27:00Z">
        <w:r w:rsidR="000E22EB">
          <w:rPr>
            <w:rFonts w:ascii="Times New Roman" w:hAnsi="Times New Roman" w:cs="Times New Roman"/>
            <w:sz w:val="20"/>
            <w:szCs w:val="20"/>
          </w:rPr>
          <w:t xml:space="preserve"> now</w:t>
        </w:r>
      </w:ins>
      <w:r w:rsidR="004E4A4C" w:rsidRPr="00D618AB">
        <w:rPr>
          <w:rFonts w:ascii="Times New Roman" w:hAnsi="Times New Roman" w:cs="Times New Roman"/>
          <w:sz w:val="20"/>
          <w:szCs w:val="20"/>
        </w:rPr>
        <w:t xml:space="preserve"> </w:t>
      </w:r>
      <w:del w:id="147" w:author="Dave Bridges" w:date="2016-03-08T09:27:00Z">
        <w:r w:rsidR="00B43776" w:rsidRPr="00D618AB" w:rsidDel="000E22EB">
          <w:rPr>
            <w:rFonts w:ascii="Times New Roman" w:hAnsi="Times New Roman" w:cs="Times New Roman"/>
            <w:sz w:val="20"/>
            <w:szCs w:val="20"/>
          </w:rPr>
          <w:delText xml:space="preserve">explicitly </w:delText>
        </w:r>
      </w:del>
      <w:r w:rsidR="00B43776" w:rsidRPr="00D618AB">
        <w:rPr>
          <w:rFonts w:ascii="Times New Roman" w:hAnsi="Times New Roman" w:cs="Times New Roman"/>
          <w:sz w:val="20"/>
          <w:szCs w:val="20"/>
        </w:rPr>
        <w:t>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del w:id="148" w:author="Dave Bridges" w:date="2016-03-08T09:27:00Z">
        <w:r w:rsidR="009B1C0F" w:rsidDel="000E22EB">
          <w:rPr>
            <w:rFonts w:ascii="Times New Roman" w:hAnsi="Times New Roman" w:cs="Times New Roman"/>
            <w:sz w:val="20"/>
            <w:szCs w:val="20"/>
          </w:rPr>
          <w:delText xml:space="preserve">The text is repeated below, for your convenience. </w:delText>
        </w:r>
      </w:del>
      <w:r w:rsidR="00B43776" w:rsidRPr="00D618AB">
        <w:rPr>
          <w:rFonts w:ascii="Times New Roman" w:hAnsi="Times New Roman" w:cs="Times New Roman"/>
          <w:sz w:val="20"/>
          <w:szCs w:val="20"/>
        </w:rPr>
        <w:t xml:space="preserve">As you can see from </w:t>
      </w:r>
      <w:commentRangeStart w:id="149"/>
      <w:del w:id="150" w:author="Dave Bridges" w:date="2016-03-08T09:27:00Z">
        <w:r w:rsidR="00B43776" w:rsidRPr="00D618AB" w:rsidDel="000E22EB">
          <w:rPr>
            <w:rFonts w:ascii="Times New Roman" w:hAnsi="Times New Roman" w:cs="Times New Roman"/>
            <w:sz w:val="20"/>
            <w:szCs w:val="20"/>
          </w:rPr>
          <w:delText xml:space="preserve">the </w:delText>
        </w:r>
      </w:del>
      <w:ins w:id="151" w:author="Dave Bridges" w:date="2016-03-08T09:27:00Z">
        <w:r w:rsidR="000E22EB">
          <w:rPr>
            <w:rFonts w:ascii="Times New Roman" w:hAnsi="Times New Roman" w:cs="Times New Roman"/>
            <w:sz w:val="20"/>
            <w:szCs w:val="20"/>
          </w:rPr>
          <w:t>F</w:t>
        </w:r>
      </w:ins>
      <w:del w:id="152" w:author="Dave Bridges" w:date="2016-03-08T09:27:00Z">
        <w:r w:rsidR="00B43776" w:rsidRPr="00D618AB" w:rsidDel="000E22EB">
          <w:rPr>
            <w:rFonts w:ascii="Times New Roman" w:hAnsi="Times New Roman" w:cs="Times New Roman"/>
            <w:sz w:val="20"/>
            <w:szCs w:val="20"/>
          </w:rPr>
          <w:delText>f</w:delText>
        </w:r>
      </w:del>
      <w:r w:rsidR="00B43776" w:rsidRPr="00D618AB">
        <w:rPr>
          <w:rFonts w:ascii="Times New Roman" w:hAnsi="Times New Roman" w:cs="Times New Roman"/>
          <w:sz w:val="20"/>
          <w:szCs w:val="20"/>
        </w:rPr>
        <w:t xml:space="preserve">igure </w:t>
      </w:r>
      <w:del w:id="153" w:author="Dave Bridges" w:date="2016-03-08T09:27:00Z">
        <w:r w:rsidR="00B43776" w:rsidRPr="00D618AB" w:rsidDel="000E22EB">
          <w:rPr>
            <w:rFonts w:ascii="Times New Roman" w:hAnsi="Times New Roman" w:cs="Times New Roman"/>
            <w:sz w:val="20"/>
            <w:szCs w:val="20"/>
          </w:rPr>
          <w:delText>below</w:delText>
        </w:r>
      </w:del>
      <w:ins w:id="154" w:author="Dave Bridges" w:date="2016-03-08T09:27:00Z">
        <w:r w:rsidR="000E22EB">
          <w:rPr>
            <w:rFonts w:ascii="Times New Roman" w:hAnsi="Times New Roman" w:cs="Times New Roman"/>
            <w:sz w:val="20"/>
            <w:szCs w:val="20"/>
          </w:rPr>
          <w:t>7</w:t>
        </w:r>
      </w:ins>
      <w:commentRangeEnd w:id="149"/>
      <w:ins w:id="155" w:author="Dave Bridges" w:date="2016-03-08T09:28:00Z">
        <w:r w:rsidR="000E22EB">
          <w:rPr>
            <w:rStyle w:val="CommentReference"/>
          </w:rPr>
          <w:commentReference w:id="149"/>
        </w:r>
      </w:ins>
      <w:ins w:id="156" w:author="Dave Bridges" w:date="2016-03-08T09:27:00Z">
        <w:r w:rsidR="000E22EB">
          <w:rPr>
            <w:rFonts w:ascii="Times New Roman" w:hAnsi="Times New Roman" w:cs="Times New Roman"/>
            <w:sz w:val="20"/>
            <w:szCs w:val="20"/>
          </w:rPr>
          <w:t xml:space="preserve"> of this document</w:t>
        </w:r>
      </w:ins>
      <w:r w:rsidR="00B43776" w:rsidRPr="00D618AB">
        <w:rPr>
          <w:rFonts w:ascii="Times New Roman" w:hAnsi="Times New Roman" w:cs="Times New Roman"/>
          <w:sz w:val="20"/>
          <w:szCs w:val="20"/>
        </w:rPr>
        <w:t xml:space="preserve">,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ins w:id="157" w:author="Dave Bridges" w:date="2016-03-08T09:28:00Z">
        <w:r w:rsidR="000E22EB">
          <w:rPr>
            <w:rFonts w:ascii="Times New Roman" w:hAnsi="Times New Roman" w:cs="Times New Roman"/>
            <w:sz w:val="20"/>
            <w:szCs w:val="20"/>
          </w:rPr>
          <w:t xml:space="preserve"> (p=</w:t>
        </w:r>
        <w:commentRangeStart w:id="158"/>
        <w:r w:rsidR="000E22EB">
          <w:rPr>
            <w:rFonts w:ascii="Times New Roman" w:hAnsi="Times New Roman" w:cs="Times New Roman"/>
            <w:sz w:val="20"/>
            <w:szCs w:val="20"/>
          </w:rPr>
          <w:t>???</w:t>
        </w:r>
        <w:commentRangeEnd w:id="158"/>
        <w:r w:rsidR="000E22EB">
          <w:rPr>
            <w:rStyle w:val="CommentReference"/>
          </w:rPr>
          <w:commentReference w:id="158"/>
        </w:r>
        <w:r w:rsidR="000E22EB">
          <w:rPr>
            <w:rFonts w:ascii="Times New Roman" w:hAnsi="Times New Roman" w:cs="Times New Roman"/>
            <w:sz w:val="20"/>
            <w:szCs w:val="20"/>
          </w:rPr>
          <w:t>)</w:t>
        </w:r>
      </w:ins>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DE1B82" w:rsidRDefault="00DE1B82"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F09F3" id="Text Box 23" o:spid="_x0000_s1033" type="#_x0000_t202" style="position:absolute;left:0;text-align:left;margin-left:393.75pt;margin-top:71.1pt;width:138.75pt;height:10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DE1B82" w:rsidRDefault="00DE1B82"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DE1B82" w:rsidRDefault="00DE1B82"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DE1B82" w:rsidRPr="002118A3" w:rsidRDefault="00DE1B82"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5249" id="_x0000_s1034" type="#_x0000_t202" style="position:absolute;left:0;text-align:left;margin-left:3.75pt;margin-top:37.35pt;width:529.5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DE1B82" w:rsidRDefault="00DE1B82"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DE1B82" w:rsidRPr="002118A3" w:rsidRDefault="00DE1B82"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46739989"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lastRenderedPageBreak/>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w:t>
      </w:r>
      <w:ins w:id="159" w:author="Dave Bridges" w:date="2016-03-08T09:29:00Z">
        <w:r w:rsidR="004A06E7">
          <w:rPr>
            <w:rFonts w:ascii="Times New Roman" w:hAnsi="Times New Roman" w:cs="Times New Roman"/>
            <w:sz w:val="20"/>
            <w:szCs w:val="20"/>
          </w:rPr>
          <w:t xml:space="preserve"> including oxidative stress</w:t>
        </w:r>
      </w:ins>
      <w:r w:rsidRPr="00132A85">
        <w:rPr>
          <w:rFonts w:ascii="Times New Roman" w:hAnsi="Times New Roman" w:cs="Times New Roman"/>
          <w:sz w:val="20"/>
          <w:szCs w:val="20"/>
        </w:rPr>
        <w:t xml:space="preserve">.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w:t>
      </w:r>
      <w:del w:id="160" w:author="Dave Bridges" w:date="2016-03-08T09:29:00Z">
        <w:r w:rsidR="00D732B4" w:rsidDel="00D44F34">
          <w:rPr>
            <w:rFonts w:ascii="Times New Roman" w:hAnsi="Times New Roman" w:cs="Times New Roman"/>
            <w:sz w:val="20"/>
            <w:szCs w:val="20"/>
          </w:rPr>
          <w:delText xml:space="preserve">better </w:delText>
        </w:r>
      </w:del>
      <w:ins w:id="161" w:author="Dave Bridges" w:date="2016-03-08T09:29:00Z">
        <w:r w:rsidR="00D44F34">
          <w:rPr>
            <w:rFonts w:ascii="Times New Roman" w:hAnsi="Times New Roman" w:cs="Times New Roman"/>
            <w:sz w:val="20"/>
            <w:szCs w:val="20"/>
          </w:rPr>
          <w:t xml:space="preserve">more robust </w:t>
        </w:r>
      </w:ins>
      <w:r w:rsidR="00D732B4">
        <w:rPr>
          <w:rFonts w:ascii="Times New Roman" w:hAnsi="Times New Roman" w:cs="Times New Roman"/>
          <w:sz w:val="20"/>
          <w:szCs w:val="20"/>
        </w:rPr>
        <w:t xml:space="preserve">data showing that OXPHOS protein levels are unchanged in these lysates. In our revised discussion we </w:t>
      </w:r>
      <w:del w:id="162" w:author="Dave Bridges" w:date="2016-03-08T09:29:00Z">
        <w:r w:rsidR="00D732B4" w:rsidDel="00D44F34">
          <w:rPr>
            <w:rFonts w:ascii="Times New Roman" w:hAnsi="Times New Roman" w:cs="Times New Roman"/>
            <w:sz w:val="20"/>
            <w:szCs w:val="20"/>
          </w:rPr>
          <w:delText xml:space="preserve">speculate </w:delText>
        </w:r>
      </w:del>
      <w:ins w:id="163" w:author="Dave Bridges" w:date="2016-03-08T09:29:00Z">
        <w:r w:rsidR="00D44F34">
          <w:rPr>
            <w:rFonts w:ascii="Times New Roman" w:hAnsi="Times New Roman" w:cs="Times New Roman"/>
            <w:sz w:val="20"/>
            <w:szCs w:val="20"/>
          </w:rPr>
          <w:t xml:space="preserve">hypothesize </w:t>
        </w:r>
      </w:ins>
      <w:r w:rsidR="00D732B4">
        <w:rPr>
          <w:rFonts w:ascii="Times New Roman" w:hAnsi="Times New Roman" w:cs="Times New Roman"/>
          <w:sz w:val="20"/>
          <w:szCs w:val="20"/>
        </w:rPr>
        <w:t xml:space="preserve">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2AADE7AE"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ins w:id="164" w:author="Dave Bridges" w:date="2016-03-08T09:31:00Z">
        <w:r w:rsidR="00D44F34">
          <w:rPr>
            <w:rFonts w:ascii="Times New Roman" w:hAnsi="Times New Roman" w:cs="Times New Roman"/>
            <w:sz w:val="20"/>
            <w:szCs w:val="20"/>
          </w:rPr>
          <w:fldChar w:fldCharType="begin" w:fldLock="1"/>
        </w:r>
      </w:ins>
      <w:r w:rsidR="007E1F1C">
        <w:rPr>
          <w:rFonts w:ascii="Times New Roman" w:hAnsi="Times New Roman" w:cs="Times New Roman"/>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sz w:val="20"/>
          <w:szCs w:val="20"/>
        </w:rPr>
        <w:fldChar w:fldCharType="separate"/>
      </w:r>
      <w:r w:rsidR="00D44F34" w:rsidRPr="00D44F34">
        <w:rPr>
          <w:rFonts w:ascii="Times New Roman" w:hAnsi="Times New Roman" w:cs="Times New Roman"/>
          <w:noProof/>
          <w:sz w:val="20"/>
          <w:szCs w:val="20"/>
        </w:rPr>
        <w:t>(3)</w:t>
      </w:r>
      <w:ins w:id="165" w:author="Dave Bridges" w:date="2016-03-08T09:31:00Z">
        <w:r w:rsidR="00D44F34">
          <w:rPr>
            <w:rFonts w:ascii="Times New Roman" w:hAnsi="Times New Roman" w:cs="Times New Roman"/>
            <w:sz w:val="20"/>
            <w:szCs w:val="20"/>
          </w:rPr>
          <w:fldChar w:fldCharType="end"/>
        </w:r>
      </w:ins>
      <w:del w:id="166" w:author="Dave Bridges" w:date="2016-03-08T09:31:00Z">
        <w:r w:rsidR="000B6FAB" w:rsidRPr="00276C9A" w:rsidDel="00D44F34">
          <w:rPr>
            <w:rFonts w:ascii="Times New Roman" w:hAnsi="Times New Roman" w:cs="Times New Roman"/>
            <w:sz w:val="20"/>
            <w:szCs w:val="20"/>
          </w:rPr>
          <w:delText xml:space="preserve">Saravia </w:delText>
        </w:r>
        <w:r w:rsidR="000B6FAB" w:rsidRPr="00276C9A" w:rsidDel="00D44F34">
          <w:rPr>
            <w:rFonts w:ascii="Times New Roman" w:hAnsi="Times New Roman" w:cs="Times New Roman"/>
            <w:i/>
            <w:sz w:val="20"/>
            <w:szCs w:val="20"/>
          </w:rPr>
          <w:delText>et al</w:delText>
        </w:r>
        <w:r w:rsidR="000B6FAB" w:rsidRPr="00276C9A" w:rsidDel="00D44F34">
          <w:rPr>
            <w:rFonts w:ascii="Times New Roman" w:hAnsi="Times New Roman" w:cs="Times New Roman"/>
            <w:sz w:val="20"/>
            <w:szCs w:val="20"/>
          </w:rPr>
          <w:delText>., Mucosal Immunology (2014) 7, 694–704; doi:10.1038/mi.2013.88</w:delText>
        </w:r>
      </w:del>
      <w:r w:rsidR="000B6FAB" w:rsidRPr="00276C9A">
        <w:rPr>
          <w:rFonts w:ascii="Times New Roman" w:hAnsi="Times New Roman" w:cs="Times New Roman"/>
          <w:sz w:val="20"/>
          <w:szCs w:val="20"/>
        </w:rPr>
        <w:t xml:space="preserve">.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5638CDDB"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 xml:space="preserve">“Each exposure of MCP230 that the mothers received was the equivalent to a human breathing </w:t>
      </w:r>
      <w:commentRangeStart w:id="167"/>
      <w:r w:rsidRPr="00E1026B">
        <w:rPr>
          <w:rFonts w:ascii="Times New Roman" w:hAnsi="Times New Roman" w:cs="Times New Roman"/>
          <w:b/>
          <w:sz w:val="20"/>
          <w:szCs w:val="20"/>
        </w:rPr>
        <w:t>200µg/m</w:t>
      </w:r>
      <w:r w:rsidRPr="001A25AC">
        <w:rPr>
          <w:rFonts w:ascii="Times New Roman" w:hAnsi="Times New Roman" w:cs="Times New Roman"/>
          <w:b/>
          <w:sz w:val="20"/>
          <w:szCs w:val="20"/>
          <w:vertAlign w:val="superscript"/>
        </w:rPr>
        <w:t>3</w:t>
      </w:r>
      <w:commentRangeEnd w:id="167"/>
      <w:r w:rsidR="009B1E34">
        <w:rPr>
          <w:rStyle w:val="CommentReference"/>
        </w:rPr>
        <w:commentReference w:id="167"/>
      </w:r>
      <w:r w:rsidRPr="00E1026B">
        <w:rPr>
          <w:rFonts w:ascii="Times New Roman" w:hAnsi="Times New Roman" w:cs="Times New Roman"/>
          <w:b/>
          <w:sz w:val="20"/>
          <w:szCs w:val="20"/>
        </w:rPr>
        <w:t>, which is similar to what would be inhaled on a typical day in one of the major US cities</w:t>
      </w:r>
      <w:ins w:id="168" w:author="Dave Bridges" w:date="2016-03-08T09:31:00Z">
        <w:r w:rsidR="00D44F34">
          <w:rPr>
            <w:rFonts w:ascii="Times New Roman" w:hAnsi="Times New Roman" w:cs="Times New Roman"/>
            <w:b/>
            <w:sz w:val="20"/>
            <w:szCs w:val="20"/>
          </w:rPr>
          <w:t xml:space="preserve"> </w:t>
        </w:r>
      </w:ins>
      <w:ins w:id="169" w:author="Dave Bridges" w:date="2016-03-08T09:32:00Z">
        <w:r w:rsidR="00D44F34">
          <w:rPr>
            <w:rFonts w:ascii="Times New Roman" w:hAnsi="Times New Roman" w:cs="Times New Roman"/>
            <w:b/>
            <w:sz w:val="20"/>
            <w:szCs w:val="20"/>
          </w:rPr>
          <w:fldChar w:fldCharType="begin" w:fldLock="1"/>
        </w:r>
      </w:ins>
      <w:r w:rsidR="007E1F1C">
        <w:rPr>
          <w:rFonts w:ascii="Times New Roman" w:hAnsi="Times New Roman" w:cs="Times New Roman"/>
          <w:b/>
          <w:sz w:val="20"/>
          <w:szCs w:val="20"/>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 "plainTextFormattedCitation" : "(3)", "previouslyFormattedCitation" : "(3)" }, "properties" : { "noteIndex" : 0 }, "schema" : "https://github.com/citation-style-language/schema/raw/master/csl-citation.json" }</w:instrText>
      </w:r>
      <w:r w:rsidR="00D44F34">
        <w:rPr>
          <w:rFonts w:ascii="Times New Roman" w:hAnsi="Times New Roman" w:cs="Times New Roman"/>
          <w:b/>
          <w:sz w:val="20"/>
          <w:szCs w:val="20"/>
        </w:rPr>
        <w:fldChar w:fldCharType="separate"/>
      </w:r>
      <w:r w:rsidR="00D44F34" w:rsidRPr="00D44F34">
        <w:rPr>
          <w:rFonts w:ascii="Times New Roman" w:hAnsi="Times New Roman" w:cs="Times New Roman"/>
          <w:noProof/>
          <w:sz w:val="20"/>
          <w:szCs w:val="20"/>
        </w:rPr>
        <w:t>(3)</w:t>
      </w:r>
      <w:ins w:id="170" w:author="Dave Bridges" w:date="2016-03-08T09:32:00Z">
        <w:r w:rsidR="00D44F34">
          <w:rPr>
            <w:rFonts w:ascii="Times New Roman" w:hAnsi="Times New Roman" w:cs="Times New Roman"/>
            <w:b/>
            <w:sz w:val="20"/>
            <w:szCs w:val="20"/>
          </w:rPr>
          <w:fldChar w:fldCharType="end"/>
        </w:r>
      </w:ins>
      <w:r w:rsidRPr="00E1026B">
        <w:rPr>
          <w:rFonts w:ascii="Times New Roman" w:hAnsi="Times New Roman" w:cs="Times New Roman"/>
          <w:b/>
          <w:sz w:val="20"/>
          <w:szCs w:val="20"/>
        </w:rPr>
        <w:t>.”</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0ADDC300"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del w:id="171" w:author="Dave Bridges" w:date="2016-03-08T09:35:00Z">
        <w:r w:rsidR="002C5D8D" w:rsidRPr="00304DA0" w:rsidDel="00F75F73">
          <w:rPr>
            <w:rFonts w:ascii="Times New Roman" w:hAnsi="Times New Roman" w:cs="Times New Roman"/>
            <w:sz w:val="20"/>
            <w:szCs w:val="20"/>
          </w:rPr>
          <w:delText xml:space="preserve">That said, it is still a question we have considered. </w:delText>
        </w:r>
      </w:del>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del w:id="172" w:author="Dave Bridges" w:date="2016-03-08T09:35:00Z">
        <w:r w:rsidRPr="00304DA0" w:rsidDel="00F75F73">
          <w:rPr>
            <w:rFonts w:ascii="Times New Roman" w:hAnsi="Times New Roman" w:cs="Times New Roman"/>
            <w:sz w:val="20"/>
            <w:szCs w:val="20"/>
          </w:rPr>
          <w:delText>possible</w:delText>
        </w:r>
        <w:r w:rsidR="00BF538F" w:rsidRPr="00304DA0" w:rsidDel="00F75F73">
          <w:rPr>
            <w:rFonts w:ascii="Times New Roman" w:hAnsi="Times New Roman" w:cs="Times New Roman"/>
            <w:sz w:val="20"/>
            <w:szCs w:val="20"/>
          </w:rPr>
          <w:delText xml:space="preserve"> </w:delText>
        </w:r>
      </w:del>
      <w:ins w:id="173" w:author="Dave Bridges" w:date="2016-03-08T09:35:00Z">
        <w:r w:rsidR="00F75F73">
          <w:rPr>
            <w:rFonts w:ascii="Times New Roman" w:hAnsi="Times New Roman" w:cs="Times New Roman"/>
            <w:sz w:val="20"/>
            <w:szCs w:val="20"/>
          </w:rPr>
          <w:t>probable</w:t>
        </w:r>
        <w:r w:rsidR="00F75F73" w:rsidRPr="00304DA0">
          <w:rPr>
            <w:rFonts w:ascii="Times New Roman" w:hAnsi="Times New Roman" w:cs="Times New Roman"/>
            <w:sz w:val="20"/>
            <w:szCs w:val="20"/>
          </w:rPr>
          <w:t xml:space="preserve"> </w:t>
        </w:r>
      </w:ins>
      <w:r w:rsidR="00BF538F" w:rsidRPr="00304DA0">
        <w:rPr>
          <w:rFonts w:ascii="Times New Roman" w:hAnsi="Times New Roman" w:cs="Times New Roman"/>
          <w:sz w:val="20"/>
          <w:szCs w:val="20"/>
        </w:rPr>
        <w:t xml:space="preserve">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w:t>
      </w:r>
      <w:del w:id="174" w:author="Dave Bridges" w:date="2016-03-08T09:35:00Z">
        <w:r w:rsidR="005F278D" w:rsidRPr="00304DA0" w:rsidDel="00F75F73">
          <w:rPr>
            <w:rFonts w:ascii="Times New Roman" w:hAnsi="Times New Roman" w:cs="Times New Roman"/>
            <w:sz w:val="20"/>
            <w:szCs w:val="20"/>
          </w:rPr>
          <w:delText xml:space="preserve">the </w:delText>
        </w:r>
      </w:del>
      <w:ins w:id="175" w:author="Dave Bridges" w:date="2016-03-08T09:35:00Z">
        <w:r w:rsidR="00F75F73">
          <w:rPr>
            <w:rFonts w:ascii="Times New Roman" w:hAnsi="Times New Roman" w:cs="Times New Roman"/>
            <w:sz w:val="20"/>
            <w:szCs w:val="20"/>
          </w:rPr>
          <w:t>we have no evidence at present that</w:t>
        </w:r>
        <w:r w:rsidR="00F75F73" w:rsidRPr="00304DA0">
          <w:rPr>
            <w:rFonts w:ascii="Times New Roman" w:hAnsi="Times New Roman" w:cs="Times New Roman"/>
            <w:sz w:val="20"/>
            <w:szCs w:val="20"/>
          </w:rPr>
          <w:t xml:space="preserve"> </w:t>
        </w:r>
      </w:ins>
      <w:r w:rsidR="005F278D" w:rsidRPr="00304DA0">
        <w:rPr>
          <w:rFonts w:ascii="Times New Roman" w:hAnsi="Times New Roman" w:cs="Times New Roman"/>
          <w:sz w:val="20"/>
          <w:szCs w:val="20"/>
        </w:rPr>
        <w:t>particulate</w:t>
      </w:r>
      <w:ins w:id="176" w:author="Dave Bridges" w:date="2016-03-08T09:36:00Z">
        <w:r w:rsidR="00F75F73">
          <w:rPr>
            <w:rFonts w:ascii="Times New Roman" w:hAnsi="Times New Roman" w:cs="Times New Roman"/>
            <w:sz w:val="20"/>
            <w:szCs w:val="20"/>
          </w:rPr>
          <w:t>s</w:t>
        </w:r>
      </w:ins>
      <w:r w:rsidR="005F278D" w:rsidRPr="00304DA0">
        <w:rPr>
          <w:rFonts w:ascii="Times New Roman" w:hAnsi="Times New Roman" w:cs="Times New Roman"/>
          <w:sz w:val="20"/>
          <w:szCs w:val="20"/>
        </w:rPr>
        <w:t xml:space="preserve"> </w:t>
      </w:r>
      <w:del w:id="177" w:author="Dave Bridges" w:date="2016-03-08T09:36:00Z">
        <w:r w:rsidR="005F278D" w:rsidRPr="00304DA0" w:rsidDel="00F75F73">
          <w:rPr>
            <w:rFonts w:ascii="Times New Roman" w:hAnsi="Times New Roman" w:cs="Times New Roman"/>
            <w:sz w:val="20"/>
            <w:szCs w:val="20"/>
          </w:rPr>
          <w:delText xml:space="preserve">may not </w:delText>
        </w:r>
      </w:del>
      <w:r w:rsidR="005F278D" w:rsidRPr="00304DA0">
        <w:rPr>
          <w:rFonts w:ascii="Times New Roman" w:hAnsi="Times New Roman" w:cs="Times New Roman"/>
          <w:sz w:val="20"/>
          <w:szCs w:val="20"/>
        </w:rPr>
        <w:t>come into dir</w:t>
      </w:r>
      <w:r w:rsidRPr="00304DA0">
        <w:rPr>
          <w:rFonts w:ascii="Times New Roman" w:hAnsi="Times New Roman" w:cs="Times New Roman"/>
          <w:sz w:val="20"/>
          <w:szCs w:val="20"/>
        </w:rPr>
        <w:t>ect contact with the offspring</w:t>
      </w:r>
      <w:del w:id="178" w:author="Dave Bridges" w:date="2016-03-08T09:36:00Z">
        <w:r w:rsidRPr="00304DA0" w:rsidDel="00F75F73">
          <w:rPr>
            <w:rFonts w:ascii="Times New Roman" w:hAnsi="Times New Roman" w:cs="Times New Roman"/>
            <w:sz w:val="20"/>
            <w:szCs w:val="20"/>
          </w:rPr>
          <w:delText xml:space="preserve"> at all</w:delText>
        </w:r>
      </w:del>
      <w:r w:rsidRPr="00304DA0">
        <w:rPr>
          <w:rFonts w:ascii="Times New Roman" w:hAnsi="Times New Roman" w:cs="Times New Roman"/>
          <w:sz w:val="20"/>
          <w:szCs w:val="20"/>
        </w:rPr>
        <w:t xml:space="preserve">. Whether or not the particulate </w:t>
      </w:r>
      <w:ins w:id="179" w:author="Dave Bridges" w:date="2016-03-08T09:36:00Z">
        <w:r w:rsidR="00F75F73">
          <w:rPr>
            <w:rFonts w:ascii="Times New Roman" w:hAnsi="Times New Roman" w:cs="Times New Roman"/>
            <w:sz w:val="20"/>
            <w:szCs w:val="20"/>
          </w:rPr>
          <w:t xml:space="preserve">itself </w:t>
        </w:r>
      </w:ins>
      <w:r w:rsidRPr="00304DA0">
        <w:rPr>
          <w:rFonts w:ascii="Times New Roman" w:hAnsi="Times New Roman" w:cs="Times New Roman"/>
          <w:sz w:val="20"/>
          <w:szCs w:val="20"/>
        </w:rPr>
        <w:t xml:space="preserve">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w:t>
      </w:r>
      <w:del w:id="180" w:author="Dave Bridges" w:date="2016-03-08T09:36:00Z">
        <w:r w:rsidRPr="00304DA0" w:rsidDel="00F75F73">
          <w:rPr>
            <w:rFonts w:ascii="Times New Roman" w:hAnsi="Times New Roman" w:cs="Times New Roman"/>
            <w:sz w:val="20"/>
            <w:szCs w:val="20"/>
          </w:rPr>
          <w:delText xml:space="preserve">incredibly </w:delText>
        </w:r>
      </w:del>
      <w:r w:rsidRPr="00304DA0">
        <w:rPr>
          <w:rFonts w:ascii="Times New Roman" w:hAnsi="Times New Roman" w:cs="Times New Roman"/>
          <w:sz w:val="20"/>
          <w:szCs w:val="20"/>
        </w:rPr>
        <w:t>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100434C1"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w:t>
      </w:r>
      <w:ins w:id="181" w:author="Dave Bridges" w:date="2016-03-08T09:36:00Z">
        <w:r w:rsidR="00F75F73">
          <w:rPr>
            <w:rFonts w:ascii="Times New Roman" w:hAnsi="Times New Roman" w:cs="Times New Roman"/>
            <w:b/>
            <w:sz w:val="20"/>
            <w:szCs w:val="20"/>
          </w:rPr>
          <w:t xml:space="preserve"> at present</w:t>
        </w:r>
      </w:ins>
      <w:r w:rsidRPr="008E42FD">
        <w:rPr>
          <w:rFonts w:ascii="Times New Roman" w:hAnsi="Times New Roman" w:cs="Times New Roman"/>
          <w:b/>
          <w:sz w:val="20"/>
          <w:szCs w:val="20"/>
        </w:rPr>
        <w:t xml:space="preserve"> that the </w:t>
      </w:r>
      <w:ins w:id="182" w:author="Dave Bridges" w:date="2016-03-08T09:36:00Z">
        <w:r w:rsidR="00F75F73">
          <w:rPr>
            <w:rFonts w:ascii="Times New Roman" w:hAnsi="Times New Roman" w:cs="Times New Roman"/>
            <w:b/>
            <w:sz w:val="20"/>
            <w:szCs w:val="20"/>
          </w:rPr>
          <w:t xml:space="preserve">particulate conjugated </w:t>
        </w:r>
      </w:ins>
      <w:r w:rsidRPr="008E42FD">
        <w:rPr>
          <w:rFonts w:ascii="Times New Roman" w:hAnsi="Times New Roman" w:cs="Times New Roman"/>
          <w:b/>
          <w:sz w:val="20"/>
          <w:szCs w:val="20"/>
        </w:rPr>
        <w:t>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74C9630C"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w:t>
      </w:r>
      <w:del w:id="183" w:author="Dave Bridges" w:date="2016-03-08T09:38:00Z">
        <w:r w:rsidR="00440F99" w:rsidDel="00DF755A">
          <w:rPr>
            <w:rFonts w:ascii="Times New Roman" w:hAnsi="Times New Roman" w:cs="Times New Roman"/>
            <w:sz w:val="20"/>
            <w:szCs w:val="20"/>
          </w:rPr>
          <w:delText>new</w:delText>
        </w:r>
        <w:r w:rsidRPr="00692ACE" w:rsidDel="00DF755A">
          <w:rPr>
            <w:rFonts w:ascii="Times New Roman" w:hAnsi="Times New Roman" w:cs="Times New Roman"/>
            <w:sz w:val="20"/>
            <w:szCs w:val="20"/>
          </w:rPr>
          <w:delText xml:space="preserve"> </w:delText>
        </w:r>
      </w:del>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as well as the skeletal muscle mRNA and protein measurements</w:t>
      </w:r>
      <w:ins w:id="184" w:author="Dave Bridges" w:date="2016-03-08T09:39:00Z">
        <w:r w:rsidR="00DF755A">
          <w:rPr>
            <w:rFonts w:ascii="Times New Roman" w:hAnsi="Times New Roman" w:cs="Times New Roman"/>
            <w:sz w:val="20"/>
            <w:szCs w:val="20"/>
          </w:rPr>
          <w:t xml:space="preserve"> and enzyme activity determination</w:t>
        </w:r>
      </w:ins>
      <w:ins w:id="185" w:author="Dave Bridges" w:date="2016-03-08T09:38:00Z">
        <w:r w:rsidR="00F75F73">
          <w:rPr>
            <w:rFonts w:ascii="Times New Roman" w:hAnsi="Times New Roman" w:cs="Times New Roman"/>
            <w:sz w:val="20"/>
            <w:szCs w:val="20"/>
          </w:rPr>
          <w:t xml:space="preserve"> as described above</w:t>
        </w:r>
      </w:ins>
      <w:r w:rsidR="0088435F" w:rsidRPr="00692ACE">
        <w:rPr>
          <w:rFonts w:ascii="Times New Roman" w:hAnsi="Times New Roman" w:cs="Times New Roman"/>
          <w:sz w:val="20"/>
          <w:szCs w:val="20"/>
        </w:rPr>
        <w:t xml:space="preserve">.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3A57DAA4"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xml:space="preserve">, which is congruent </w:t>
      </w:r>
      <w:del w:id="186" w:author="Dave Bridges" w:date="2016-03-08T09:39:00Z">
        <w:r w:rsidR="005957A6" w:rsidDel="000F5145">
          <w:rPr>
            <w:rFonts w:ascii="Times New Roman" w:hAnsi="Times New Roman" w:cs="Times New Roman"/>
            <w:sz w:val="20"/>
            <w:szCs w:val="20"/>
          </w:rPr>
          <w:delText xml:space="preserve">with </w:delText>
        </w:r>
      </w:del>
      <w:ins w:id="187" w:author="Dave Bridges" w:date="2016-03-08T09:39:00Z">
        <w:r w:rsidR="000F5145">
          <w:rPr>
            <w:rFonts w:ascii="Times New Roman" w:hAnsi="Times New Roman" w:cs="Times New Roman"/>
            <w:sz w:val="20"/>
            <w:szCs w:val="20"/>
          </w:rPr>
          <w:t xml:space="preserve">with our findings of </w:t>
        </w:r>
      </w:ins>
      <w:r w:rsidR="005957A6">
        <w:rPr>
          <w:rFonts w:ascii="Times New Roman" w:hAnsi="Times New Roman" w:cs="Times New Roman"/>
          <w:sz w:val="20"/>
          <w:szCs w:val="20"/>
        </w:rPr>
        <w:t>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a</w:t>
      </w:r>
      <w:del w:id="188" w:author="Dave Bridges" w:date="2016-03-08T09:39:00Z">
        <w:r w:rsidR="004A4A11" w:rsidRPr="009E1A46" w:rsidDel="00DD51E4">
          <w:rPr>
            <w:rFonts w:ascii="Times New Roman" w:hAnsi="Times New Roman" w:cs="Times New Roman"/>
            <w:sz w:val="20"/>
            <w:szCs w:val="20"/>
          </w:rPr>
          <w:delText>s</w:delText>
        </w:r>
      </w:del>
      <w:r w:rsidR="004A4A11" w:rsidRPr="009E1A46">
        <w:rPr>
          <w:rFonts w:ascii="Times New Roman" w:hAnsi="Times New Roman" w:cs="Times New Roman"/>
          <w:sz w:val="20"/>
          <w:szCs w:val="20"/>
        </w:rPr>
        <w:t xml:space="preserve"> thorough of an assessment of mitochondrial function</w:t>
      </w:r>
      <w:del w:id="189" w:author="Dave Bridges" w:date="2016-03-08T09:39:00Z">
        <w:r w:rsidR="004A4A11" w:rsidRPr="009E1A46" w:rsidDel="000F5145">
          <w:rPr>
            <w:rFonts w:ascii="Times New Roman" w:hAnsi="Times New Roman" w:cs="Times New Roman"/>
            <w:sz w:val="20"/>
            <w:szCs w:val="20"/>
          </w:rPr>
          <w:delText xml:space="preserve"> as </w:delText>
        </w:r>
        <w:r w:rsidR="00440F99" w:rsidDel="000F5145">
          <w:rPr>
            <w:rFonts w:ascii="Times New Roman" w:hAnsi="Times New Roman" w:cs="Times New Roman"/>
            <w:sz w:val="20"/>
            <w:szCs w:val="20"/>
          </w:rPr>
          <w:delText xml:space="preserve">some </w:delText>
        </w:r>
        <w:r w:rsidR="004A4A11" w:rsidRPr="009E1A46" w:rsidDel="000F5145">
          <w:rPr>
            <w:rFonts w:ascii="Times New Roman" w:hAnsi="Times New Roman" w:cs="Times New Roman"/>
            <w:sz w:val="20"/>
            <w:szCs w:val="20"/>
          </w:rPr>
          <w:delText>other studies in the published literature</w:delText>
        </w:r>
      </w:del>
      <w:r w:rsidR="004A4A11" w:rsidRPr="009E1A46">
        <w:rPr>
          <w:rFonts w:ascii="Times New Roman" w:hAnsi="Times New Roman" w:cs="Times New Roman"/>
          <w:sz w:val="20"/>
          <w:szCs w:val="20"/>
        </w:rPr>
        <w:t xml:space="preserv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w:t>
      </w:r>
      <w:del w:id="190" w:author="Dave Bridges" w:date="2016-03-08T10:04:00Z">
        <w:r w:rsidR="00440F99" w:rsidDel="00A709FB">
          <w:rPr>
            <w:rFonts w:ascii="Times New Roman" w:hAnsi="Times New Roman" w:cs="Times New Roman"/>
            <w:sz w:val="20"/>
            <w:szCs w:val="20"/>
          </w:rPr>
          <w:delText xml:space="preserve">are </w:delText>
        </w:r>
      </w:del>
      <w:ins w:id="191" w:author="Dave Bridges" w:date="2016-03-08T10:04:00Z">
        <w:r w:rsidR="00A709FB">
          <w:rPr>
            <w:rFonts w:ascii="Times New Roman" w:hAnsi="Times New Roman" w:cs="Times New Roman"/>
            <w:sz w:val="20"/>
            <w:szCs w:val="20"/>
          </w:rPr>
          <w:t xml:space="preserve">were </w:t>
        </w:r>
      </w:ins>
      <w:r w:rsidR="005957A6">
        <w:rPr>
          <w:rFonts w:ascii="Times New Roman" w:hAnsi="Times New Roman" w:cs="Times New Roman"/>
          <w:sz w:val="20"/>
          <w:szCs w:val="20"/>
        </w:rPr>
        <w:t xml:space="preserve">not possible in the resubmission time frame. In the revised manuscript, we have provided more molecular data regarding mitochondrial biogenesis pathways, oxidative stress and mitochondrial protein levels, as described above. We have added </w:t>
      </w:r>
      <w:del w:id="192" w:author="Dave Bridges" w:date="2016-03-08T10:06:00Z">
        <w:r w:rsidR="005957A6" w:rsidDel="00BD399C">
          <w:rPr>
            <w:rFonts w:ascii="Times New Roman" w:hAnsi="Times New Roman" w:cs="Times New Roman"/>
            <w:sz w:val="20"/>
            <w:szCs w:val="20"/>
          </w:rPr>
          <w:delText xml:space="preserve">the </w:delText>
        </w:r>
      </w:del>
      <w:ins w:id="193" w:author="Dave Bridges" w:date="2016-03-08T10:06:00Z">
        <w:r w:rsidR="00BD399C">
          <w:rPr>
            <w:rFonts w:ascii="Times New Roman" w:hAnsi="Times New Roman" w:cs="Times New Roman"/>
            <w:sz w:val="20"/>
            <w:szCs w:val="20"/>
          </w:rPr>
          <w:t xml:space="preserve">this </w:t>
        </w:r>
      </w:ins>
      <w:r w:rsidR="005957A6">
        <w:rPr>
          <w:rFonts w:ascii="Times New Roman" w:hAnsi="Times New Roman" w:cs="Times New Roman"/>
          <w:sz w:val="20"/>
          <w:szCs w:val="20"/>
        </w:rPr>
        <w:t xml:space="preserve">caveat </w:t>
      </w:r>
      <w:del w:id="194" w:author="Dave Bridges" w:date="2016-03-08T10:06:00Z">
        <w:r w:rsidR="005957A6" w:rsidDel="00BD399C">
          <w:rPr>
            <w:rFonts w:ascii="Times New Roman" w:hAnsi="Times New Roman" w:cs="Times New Roman"/>
            <w:sz w:val="20"/>
            <w:szCs w:val="20"/>
          </w:rPr>
          <w:delText xml:space="preserve">of no direct measurements of isolated muscle function </w:delText>
        </w:r>
      </w:del>
      <w:r w:rsidR="005957A6">
        <w:rPr>
          <w:rFonts w:ascii="Times New Roman" w:hAnsi="Times New Roman" w:cs="Times New Roman"/>
          <w:sz w:val="20"/>
          <w:szCs w:val="20"/>
        </w:rPr>
        <w:t>to the revised discussion:</w:t>
      </w:r>
    </w:p>
    <w:p w14:paraId="1F1020CC" w14:textId="51942A20"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w:t>
      </w:r>
      <w:del w:id="195" w:author="Dave Bridges" w:date="2016-03-08T10:04:00Z">
        <w:r w:rsidRPr="00412419" w:rsidDel="002178EF">
          <w:rPr>
            <w:rFonts w:ascii="Times New Roman" w:hAnsi="Times New Roman" w:cs="Times New Roman"/>
            <w:b/>
            <w:sz w:val="20"/>
            <w:szCs w:val="20"/>
          </w:rPr>
          <w:delText xml:space="preserve"> to support our hypothesis</w:delText>
        </w:r>
      </w:del>
      <w:r w:rsidRPr="00412419">
        <w:rPr>
          <w:rFonts w:ascii="Times New Roman" w:hAnsi="Times New Roman" w:cs="Times New Roman"/>
          <w:b/>
          <w:sz w:val="20"/>
          <w:szCs w:val="20"/>
        </w:rPr>
        <w:t xml:space="preserve">, similarly to </w:t>
      </w:r>
      <w:ins w:id="196" w:author="Dave Bridges" w:date="2016-03-08T10:05:00Z">
        <w:r w:rsidR="00464961">
          <w:rPr>
            <w:rFonts w:ascii="Times New Roman" w:hAnsi="Times New Roman" w:cs="Times New Roman"/>
            <w:b/>
            <w:sz w:val="20"/>
            <w:szCs w:val="20"/>
          </w:rPr>
          <w:t xml:space="preserve">previous </w:t>
        </w:r>
      </w:ins>
      <w:ins w:id="197" w:author="Dave Bridges" w:date="2016-03-08T10:08:00Z">
        <w:r w:rsidR="00FE07FB">
          <w:rPr>
            <w:rFonts w:ascii="Times New Roman" w:hAnsi="Times New Roman" w:cs="Times New Roman"/>
            <w:b/>
            <w:sz w:val="20"/>
            <w:szCs w:val="20"/>
          </w:rPr>
          <w:t>reports</w:t>
        </w:r>
      </w:ins>
      <w:ins w:id="198" w:author="Dave Bridges" w:date="2016-03-08T10:05:00Z">
        <w:r w:rsidR="00FE07FB">
          <w:rPr>
            <w:rFonts w:ascii="Times New Roman" w:hAnsi="Times New Roman" w:cs="Times New Roman"/>
            <w:b/>
            <w:sz w:val="20"/>
            <w:szCs w:val="20"/>
          </w:rPr>
          <w:t xml:space="preserve"> on oxidative stress-</w:t>
        </w:r>
        <w:r w:rsidR="00464961">
          <w:rPr>
            <w:rFonts w:ascii="Times New Roman" w:hAnsi="Times New Roman" w:cs="Times New Roman"/>
            <w:b/>
            <w:sz w:val="20"/>
            <w:szCs w:val="20"/>
          </w:rPr>
          <w:t xml:space="preserve">induced mitochondrial dysfunction </w:t>
        </w:r>
        <w:r w:rsidR="00464961">
          <w:rPr>
            <w:rFonts w:ascii="Times New Roman" w:hAnsi="Times New Roman" w:cs="Times New Roman"/>
            <w:b/>
            <w:sz w:val="20"/>
            <w:szCs w:val="20"/>
          </w:rPr>
          <w:fldChar w:fldCharType="begin" w:fldLock="1"/>
        </w:r>
      </w:ins>
      <w:r w:rsidR="00D74452">
        <w:rPr>
          <w:rFonts w:ascii="Times New Roman" w:hAnsi="Times New Roman" w:cs="Times New Roman"/>
          <w:b/>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"previouslyFormattedCitation" : "(4)" }, "properties" : { "noteIndex" : 0 }, "schema" : "https://github.com/citation-style-language/schema/raw/master/csl-citation.json" }</w:instrText>
      </w:r>
      <w:r w:rsidR="00464961">
        <w:rPr>
          <w:rFonts w:ascii="Times New Roman" w:hAnsi="Times New Roman" w:cs="Times New Roman"/>
          <w:b/>
          <w:sz w:val="20"/>
          <w:szCs w:val="20"/>
        </w:rPr>
        <w:fldChar w:fldCharType="separate"/>
      </w:r>
      <w:r w:rsidR="00464961" w:rsidRPr="00464961">
        <w:rPr>
          <w:rFonts w:ascii="Times New Roman" w:hAnsi="Times New Roman" w:cs="Times New Roman"/>
          <w:noProof/>
          <w:sz w:val="20"/>
          <w:szCs w:val="20"/>
        </w:rPr>
        <w:t>(4)</w:t>
      </w:r>
      <w:ins w:id="199" w:author="Dave Bridges" w:date="2016-03-08T10:05:00Z">
        <w:r w:rsidR="00464961">
          <w:rPr>
            <w:rFonts w:ascii="Times New Roman" w:hAnsi="Times New Roman" w:cs="Times New Roman"/>
            <w:b/>
            <w:sz w:val="20"/>
            <w:szCs w:val="20"/>
          </w:rPr>
          <w:fldChar w:fldCharType="end"/>
        </w:r>
      </w:ins>
      <w:del w:id="200" w:author="Dave Bridges" w:date="2016-03-08T10:05:00Z">
        <w:r w:rsidRPr="00412419" w:rsidDel="00464961">
          <w:rPr>
            <w:rFonts w:ascii="Times New Roman" w:hAnsi="Times New Roman" w:cs="Times New Roman"/>
            <w:b/>
            <w:sz w:val="20"/>
            <w:szCs w:val="20"/>
          </w:rPr>
          <w:delText xml:space="preserve">Siegel </w:delText>
        </w:r>
        <w:r w:rsidRPr="000D4C6E" w:rsidDel="00464961">
          <w:rPr>
            <w:rFonts w:ascii="Times New Roman" w:hAnsi="Times New Roman" w:cs="Times New Roman"/>
            <w:b/>
            <w:i/>
            <w:sz w:val="20"/>
            <w:szCs w:val="20"/>
          </w:rPr>
          <w:delText>et al</w:delText>
        </w:r>
        <w:r w:rsidRPr="00412419" w:rsidDel="00464961">
          <w:rPr>
            <w:rFonts w:ascii="Times New Roman" w:hAnsi="Times New Roman" w:cs="Times New Roman"/>
            <w:b/>
            <w:sz w:val="20"/>
            <w:szCs w:val="20"/>
          </w:rPr>
          <w:delText>.</w:delText>
        </w:r>
      </w:del>
      <w:r w:rsidRPr="00412419">
        <w:rPr>
          <w:rFonts w:ascii="Times New Roman" w:hAnsi="Times New Roman" w:cs="Times New Roman"/>
          <w:b/>
          <w:sz w:val="20"/>
          <w:szCs w:val="20"/>
        </w:rPr>
        <w:t xml:space="preserve">, we did not see </w:t>
      </w:r>
      <w:del w:id="201" w:author="Dave Bridges" w:date="2016-03-08T10:05:00Z">
        <w:r w:rsidRPr="00412419" w:rsidDel="00464961">
          <w:rPr>
            <w:rFonts w:ascii="Times New Roman" w:hAnsi="Times New Roman" w:cs="Times New Roman"/>
            <w:b/>
            <w:sz w:val="20"/>
            <w:szCs w:val="20"/>
          </w:rPr>
          <w:delText xml:space="preserve">changes </w:delText>
        </w:r>
      </w:del>
      <w:ins w:id="202" w:author="Dave Bridges" w:date="2016-03-08T10:09:00Z">
        <w:r w:rsidR="00FE07FB">
          <w:rPr>
            <w:rFonts w:ascii="Times New Roman" w:hAnsi="Times New Roman" w:cs="Times New Roman"/>
            <w:b/>
            <w:sz w:val="20"/>
            <w:szCs w:val="20"/>
          </w:rPr>
          <w:t xml:space="preserve">observe </w:t>
        </w:r>
        <w:r w:rsidR="00FE07FB">
          <w:rPr>
            <w:rFonts w:ascii="Times New Roman" w:hAnsi="Times New Roman" w:cs="Times New Roman"/>
            <w:b/>
            <w:sz w:val="20"/>
            <w:szCs w:val="20"/>
          </w:rPr>
          <w:lastRenderedPageBreak/>
          <w:t>reductions</w:t>
        </w:r>
      </w:ins>
      <w:ins w:id="203" w:author="Dave Bridges" w:date="2016-03-08T10:05:00Z">
        <w:r w:rsidR="00464961" w:rsidRPr="00412419">
          <w:rPr>
            <w:rFonts w:ascii="Times New Roman" w:hAnsi="Times New Roman" w:cs="Times New Roman"/>
            <w:b/>
            <w:sz w:val="20"/>
            <w:szCs w:val="20"/>
          </w:rPr>
          <w:t xml:space="preserve"> </w:t>
        </w:r>
      </w:ins>
      <w:r w:rsidRPr="00412419">
        <w:rPr>
          <w:rFonts w:ascii="Times New Roman" w:hAnsi="Times New Roman" w:cs="Times New Roman"/>
          <w:b/>
          <w:sz w:val="20"/>
          <w:szCs w:val="20"/>
        </w:rPr>
        <w:t xml:space="preserve">in </w:t>
      </w:r>
      <w:del w:id="204" w:author="Dave Bridges" w:date="2016-03-08T10:07:00Z">
        <w:r w:rsidRPr="00412419" w:rsidDel="008C24AA">
          <w:rPr>
            <w:rFonts w:ascii="Times New Roman" w:hAnsi="Times New Roman" w:cs="Times New Roman"/>
            <w:b/>
            <w:sz w:val="20"/>
            <w:szCs w:val="20"/>
          </w:rPr>
          <w:delText xml:space="preserve">any </w:delText>
        </w:r>
      </w:del>
      <w:r w:rsidRPr="00412419">
        <w:rPr>
          <w:rFonts w:ascii="Times New Roman" w:hAnsi="Times New Roman" w:cs="Times New Roman"/>
          <w:b/>
          <w:sz w:val="20"/>
          <w:szCs w:val="20"/>
        </w:rPr>
        <w:t xml:space="preserve">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29558057"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 xml:space="preserve">Future studies with </w:t>
      </w:r>
      <w:del w:id="205" w:author="Dave Bridges" w:date="2016-03-08T10:06:00Z">
        <w:r w:rsidR="008A2870" w:rsidRPr="008A2870" w:rsidDel="00BD399C">
          <w:rPr>
            <w:rFonts w:ascii="Times New Roman" w:hAnsi="Times New Roman" w:cs="Times New Roman"/>
            <w:b/>
            <w:sz w:val="20"/>
            <w:szCs w:val="20"/>
          </w:rPr>
          <w:delText xml:space="preserve">more robust </w:delText>
        </w:r>
      </w:del>
      <w:ins w:id="206" w:author="Dave Bridges" w:date="2016-03-08T10:06:00Z">
        <w:r w:rsidR="00BD399C">
          <w:rPr>
            <w:rFonts w:ascii="Times New Roman" w:hAnsi="Times New Roman" w:cs="Times New Roman"/>
            <w:b/>
            <w:sz w:val="20"/>
            <w:szCs w:val="20"/>
          </w:rPr>
          <w:t>direct</w:t>
        </w:r>
        <w:r w:rsidR="00BD399C" w:rsidRPr="008A2870">
          <w:rPr>
            <w:rFonts w:ascii="Times New Roman" w:hAnsi="Times New Roman" w:cs="Times New Roman"/>
            <w:b/>
            <w:sz w:val="20"/>
            <w:szCs w:val="20"/>
          </w:rPr>
          <w:t xml:space="preserve"> </w:t>
        </w:r>
      </w:ins>
      <w:r w:rsidR="008A2870" w:rsidRPr="008A2870">
        <w:rPr>
          <w:rFonts w:ascii="Times New Roman" w:hAnsi="Times New Roman" w:cs="Times New Roman"/>
          <w:b/>
          <w:sz w:val="20"/>
          <w:szCs w:val="20"/>
        </w:rPr>
        <w:t>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3CA9BF35"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w:t>
      </w:r>
      <w:ins w:id="207" w:author="Dave Bridges" w:date="2016-03-08T10:06:00Z">
        <w:r w:rsidR="00D74452">
          <w:rPr>
            <w:rFonts w:ascii="Times New Roman" w:hAnsi="Times New Roman" w:cs="Times New Roman"/>
            <w:sz w:val="20"/>
            <w:szCs w:val="20"/>
          </w:rPr>
          <w:t xml:space="preserve"> </w:t>
        </w:r>
      </w:ins>
      <w:ins w:id="208" w:author="Dave Bridges" w:date="2016-03-08T10:07:00Z">
        <w:r w:rsidR="00D74452">
          <w:rPr>
            <w:rFonts w:ascii="Times New Roman" w:hAnsi="Times New Roman" w:cs="Times New Roman"/>
            <w:sz w:val="20"/>
            <w:szCs w:val="20"/>
          </w:rPr>
          <w:fldChar w:fldCharType="begin" w:fldLock="1"/>
        </w:r>
      </w:ins>
      <w:r w:rsidR="00D74452">
        <w:rPr>
          <w:rFonts w:ascii="Times New Roman" w:hAnsi="Times New Roman" w:cs="Times New Roman"/>
          <w:sz w:val="20"/>
          <w:szCs w:val="20"/>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"(4)", "plainTextFormattedCitation" : "(4)" }, "properties" : { "noteIndex" : 0 }, "schema" : "https://github.com/citation-style-language/schema/raw/master/csl-citation.json" }</w:instrText>
      </w:r>
      <w:r w:rsidR="00D74452">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0"/>
        </w:rPr>
        <w:t>(4)</w:t>
      </w:r>
      <w:ins w:id="209" w:author="Dave Bridges" w:date="2016-03-08T10:07:00Z">
        <w:r w:rsidR="00D74452">
          <w:rPr>
            <w:rFonts w:ascii="Times New Roman" w:hAnsi="Times New Roman" w:cs="Times New Roman"/>
            <w:sz w:val="20"/>
            <w:szCs w:val="20"/>
          </w:rPr>
          <w:fldChar w:fldCharType="end"/>
        </w:r>
      </w:ins>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w:t>
      </w:r>
      <w:del w:id="210" w:author="Dave Bridges" w:date="2016-03-08T10:10:00Z">
        <w:r w:rsidDel="00E3305E">
          <w:rPr>
            <w:rFonts w:ascii="Times New Roman" w:hAnsi="Times New Roman" w:cs="Times New Roman"/>
            <w:sz w:val="20"/>
            <w:szCs w:val="20"/>
          </w:rPr>
          <w:delText xml:space="preserve">same </w:delText>
        </w:r>
      </w:del>
      <w:r>
        <w:rPr>
          <w:rFonts w:ascii="Times New Roman" w:hAnsi="Times New Roman" w:cs="Times New Roman"/>
          <w:sz w:val="20"/>
          <w:szCs w:val="20"/>
        </w:rPr>
        <w:t xml:space="preserve">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w:t>
      </w:r>
      <w:del w:id="211" w:author="Dave Bridges" w:date="2016-03-08T10:10:00Z">
        <w:r w:rsidRPr="00E3305E" w:rsidDel="00E3305E">
          <w:rPr>
            <w:rFonts w:ascii="Times New Roman" w:hAnsi="Times New Roman" w:cs="Times New Roman"/>
            <w:i/>
            <w:sz w:val="20"/>
            <w:szCs w:val="20"/>
            <w:rPrChange w:id="212" w:author="Dave Bridges" w:date="2016-03-08T10:10:00Z">
              <w:rPr>
                <w:rFonts w:ascii="Times New Roman" w:hAnsi="Times New Roman" w:cs="Times New Roman"/>
                <w:sz w:val="20"/>
                <w:szCs w:val="20"/>
              </w:rPr>
            </w:rPrChange>
          </w:rPr>
          <w:delText>humeral</w:delText>
        </w:r>
        <w:r w:rsidDel="00E3305E">
          <w:rPr>
            <w:rFonts w:ascii="Times New Roman" w:hAnsi="Times New Roman" w:cs="Times New Roman"/>
            <w:sz w:val="20"/>
            <w:szCs w:val="20"/>
          </w:rPr>
          <w:delText xml:space="preserve"> </w:delText>
        </w:r>
      </w:del>
      <w:ins w:id="213" w:author="Dave Bridges" w:date="2016-03-08T10:10:00Z">
        <w:r w:rsidR="00E3305E">
          <w:rPr>
            <w:rFonts w:ascii="Times New Roman" w:hAnsi="Times New Roman" w:cs="Times New Roman"/>
            <w:i/>
            <w:sz w:val="20"/>
            <w:szCs w:val="20"/>
          </w:rPr>
          <w:t>in vivo</w:t>
        </w:r>
        <w:r w:rsidR="00E3305E">
          <w:rPr>
            <w:rFonts w:ascii="Times New Roman" w:hAnsi="Times New Roman" w:cs="Times New Roman"/>
            <w:sz w:val="20"/>
            <w:szCs w:val="20"/>
          </w:rPr>
          <w:t xml:space="preserve"> </w:t>
        </w:r>
      </w:ins>
      <w:r>
        <w:rPr>
          <w:rFonts w:ascii="Times New Roman" w:hAnsi="Times New Roman" w:cs="Times New Roman"/>
          <w:sz w:val="20"/>
          <w:szCs w:val="20"/>
        </w:rPr>
        <w:t xml:space="preserve">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w:t>
      </w:r>
      <w:proofErr w:type="spellStart"/>
      <w:r w:rsidR="00CF5468">
        <w:rPr>
          <w:rFonts w:ascii="Times New Roman" w:hAnsi="Times New Roman" w:cs="Times New Roman"/>
          <w:sz w:val="20"/>
          <w:szCs w:val="20"/>
        </w:rPr>
        <w:t>respirometry</w:t>
      </w:r>
      <w:proofErr w:type="spellEnd"/>
      <w:r w:rsidR="00CF5468">
        <w:rPr>
          <w:rFonts w:ascii="Times New Roman" w:hAnsi="Times New Roman" w:cs="Times New Roman"/>
          <w:sz w:val="20"/>
          <w:szCs w:val="20"/>
        </w:rPr>
        <w:t xml:space="preserve">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ins w:id="214" w:author="Dave Bridges" w:date="2016-03-08T10:10:00Z">
        <w:r w:rsidR="00E3305E">
          <w:rPr>
            <w:rFonts w:ascii="Times New Roman" w:hAnsi="Times New Roman" w:cs="Times New Roman"/>
            <w:sz w:val="20"/>
            <w:szCs w:val="20"/>
          </w:rPr>
          <w:t xml:space="preserve">  We expect to answer these important questions in future studies.</w:t>
        </w:r>
      </w:ins>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t xml:space="preserve">In the same line of thinking, the discussion provides extended discussions on oxidative stress, yet the submission does not provide a single measure of oxidative stress. </w:t>
      </w:r>
    </w:p>
    <w:p w14:paraId="1937A03E" w14:textId="7E2B0A19"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proofErr w:type="spellStart"/>
      <w:r w:rsidR="008D3AE1" w:rsidRPr="00CB5DCA">
        <w:rPr>
          <w:rFonts w:ascii="Times New Roman" w:hAnsi="Times New Roman" w:cs="Times New Roman"/>
          <w:i/>
          <w:sz w:val="20"/>
          <w:szCs w:val="20"/>
        </w:rPr>
        <w:t>Gclm</w:t>
      </w:r>
      <w:proofErr w:type="spellEnd"/>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w:t>
      </w:r>
      <w:commentRangeStart w:id="215"/>
      <w:r w:rsidR="008D3AE1">
        <w:rPr>
          <w:rFonts w:ascii="Times New Roman" w:hAnsi="Times New Roman" w:cs="Times New Roman"/>
          <w:sz w:val="20"/>
          <w:szCs w:val="20"/>
        </w:rPr>
        <w:t>elevated</w:t>
      </w:r>
      <w:commentRangeEnd w:id="215"/>
      <w:r w:rsidR="00E65CCF">
        <w:rPr>
          <w:rStyle w:val="CommentReference"/>
        </w:rPr>
        <w:commentReference w:id="215"/>
      </w:r>
      <w:r w:rsidR="008D3AE1">
        <w:rPr>
          <w:rFonts w:ascii="Times New Roman" w:hAnsi="Times New Roman" w:cs="Times New Roman"/>
          <w:sz w:val="20"/>
          <w:szCs w:val="20"/>
        </w:rPr>
        <w:t xml:space="preserve">. </w:t>
      </w:r>
      <w:r w:rsidR="00D13C03">
        <w:rPr>
          <w:rFonts w:ascii="Times New Roman" w:hAnsi="Times New Roman" w:cs="Times New Roman"/>
          <w:sz w:val="20"/>
          <w:szCs w:val="20"/>
        </w:rPr>
        <w:t>Th</w:t>
      </w:r>
      <w:ins w:id="216" w:author="Dave Bridges" w:date="2016-03-08T10:11:00Z">
        <w:r w:rsidR="00E65CCF">
          <w:rPr>
            <w:rFonts w:ascii="Times New Roman" w:hAnsi="Times New Roman" w:cs="Times New Roman"/>
            <w:sz w:val="20"/>
            <w:szCs w:val="20"/>
          </w:rPr>
          <w:t>e</w:t>
        </w:r>
      </w:ins>
      <w:del w:id="217" w:author="Dave Bridges" w:date="2016-03-08T10:11:00Z">
        <w:r w:rsidR="00D13C03" w:rsidDel="00E65CCF">
          <w:rPr>
            <w:rFonts w:ascii="Times New Roman" w:hAnsi="Times New Roman" w:cs="Times New Roman"/>
            <w:sz w:val="20"/>
            <w:szCs w:val="20"/>
          </w:rPr>
          <w:delText>i</w:delText>
        </w:r>
      </w:del>
      <w:r w:rsidR="00D13C03">
        <w:rPr>
          <w:rFonts w:ascii="Times New Roman" w:hAnsi="Times New Roman" w:cs="Times New Roman"/>
          <w:sz w:val="20"/>
          <w:szCs w:val="20"/>
        </w:rPr>
        <w:t>s</w:t>
      </w:r>
      <w:ins w:id="218" w:author="Dave Bridges" w:date="2016-03-08T10:11:00Z">
        <w:r w:rsidR="00E65CCF">
          <w:rPr>
            <w:rFonts w:ascii="Times New Roman" w:hAnsi="Times New Roman" w:cs="Times New Roman"/>
            <w:sz w:val="20"/>
            <w:szCs w:val="20"/>
          </w:rPr>
          <w:t>e</w:t>
        </w:r>
      </w:ins>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w:t>
      </w:r>
      <w:del w:id="219" w:author="Dave Bridges" w:date="2016-03-08T10:11:00Z">
        <w:r w:rsidR="00D13C03" w:rsidDel="00E65CCF">
          <w:rPr>
            <w:rFonts w:ascii="Times New Roman" w:hAnsi="Times New Roman" w:cs="Times New Roman"/>
            <w:sz w:val="20"/>
            <w:szCs w:val="20"/>
          </w:rPr>
          <w:delText xml:space="preserve">is </w:delText>
        </w:r>
      </w:del>
      <w:ins w:id="220" w:author="Dave Bridges" w:date="2016-03-08T10:11:00Z">
        <w:r w:rsidR="00E65CCF">
          <w:rPr>
            <w:rFonts w:ascii="Times New Roman" w:hAnsi="Times New Roman" w:cs="Times New Roman"/>
            <w:sz w:val="20"/>
            <w:szCs w:val="20"/>
          </w:rPr>
          <w:t xml:space="preserve">are </w:t>
        </w:r>
      </w:ins>
      <w:r w:rsidR="00D13C03">
        <w:rPr>
          <w:rFonts w:ascii="Times New Roman" w:hAnsi="Times New Roman" w:cs="Times New Roman"/>
          <w:sz w:val="20"/>
          <w:szCs w:val="20"/>
        </w:rPr>
        <w:t xml:space="preserve">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w:t>
      </w:r>
      <w:ins w:id="221" w:author="Dave Bridges" w:date="2016-03-08T10:12:00Z">
        <w:r w:rsidR="00E65CCF">
          <w:rPr>
            <w:rFonts w:ascii="Times New Roman" w:hAnsi="Times New Roman" w:cs="Times New Roman"/>
            <w:sz w:val="20"/>
            <w:szCs w:val="20"/>
          </w:rPr>
          <w:t>F</w:t>
        </w:r>
      </w:ins>
      <w:del w:id="222" w:author="Dave Bridges" w:date="2016-03-08T10:12:00Z">
        <w:r w:rsidR="00D13C03" w:rsidDel="00E65CCF">
          <w:rPr>
            <w:rFonts w:ascii="Times New Roman" w:hAnsi="Times New Roman" w:cs="Times New Roman"/>
            <w:sz w:val="20"/>
            <w:szCs w:val="20"/>
          </w:rPr>
          <w:delText>f</w:delText>
        </w:r>
      </w:del>
      <w:r w:rsidR="00D13C03">
        <w:rPr>
          <w:rFonts w:ascii="Times New Roman" w:hAnsi="Times New Roman" w:cs="Times New Roman"/>
          <w:sz w:val="20"/>
          <w:szCs w:val="20"/>
        </w:rPr>
        <w:t>igure 6</w:t>
      </w:r>
      <w:ins w:id="223" w:author="Dave Bridges" w:date="2016-03-08T10:11:00Z">
        <w:r w:rsidR="00E65CCF">
          <w:rPr>
            <w:rFonts w:ascii="Times New Roman" w:hAnsi="Times New Roman" w:cs="Times New Roman"/>
            <w:sz w:val="20"/>
            <w:szCs w:val="20"/>
          </w:rPr>
          <w:t xml:space="preserve"> of this document, Figure </w:t>
        </w:r>
      </w:ins>
      <w:del w:id="224" w:author="Dave Bridges" w:date="2016-03-08T10:12:00Z">
        <w:r w:rsidR="00D13C03" w:rsidDel="00E65CCF">
          <w:rPr>
            <w:rFonts w:ascii="Times New Roman" w:hAnsi="Times New Roman" w:cs="Times New Roman"/>
            <w:sz w:val="20"/>
            <w:szCs w:val="20"/>
          </w:rPr>
          <w:delText xml:space="preserve">). </w:delText>
        </w:r>
      </w:del>
      <w:ins w:id="225" w:author="Dave Bridges" w:date="2016-03-08T10:12:00Z">
        <w:r w:rsidR="00E65CCF">
          <w:rPr>
            <w:rFonts w:ascii="Times New Roman" w:hAnsi="Times New Roman" w:cs="Times New Roman"/>
            <w:sz w:val="20"/>
            <w:szCs w:val="20"/>
          </w:rPr>
          <w:t xml:space="preserve">7 of the revised manuscript). </w:t>
        </w:r>
      </w:ins>
      <w:del w:id="226" w:author="Dave Bridges" w:date="2016-03-08T10:12:00Z">
        <w:r w:rsidR="00CB5DCA" w:rsidDel="00E65CCF">
          <w:rPr>
            <w:rFonts w:ascii="Times New Roman" w:hAnsi="Times New Roman" w:cs="Times New Roman"/>
            <w:sz w:val="20"/>
            <w:szCs w:val="20"/>
          </w:rPr>
          <w:delText>Although we have not been able to measure oxidative stress directly, w</w:delText>
        </w:r>
      </w:del>
      <w:ins w:id="227" w:author="Dave Bridges" w:date="2016-03-08T10:12:00Z">
        <w:r w:rsidR="00E65CCF">
          <w:rPr>
            <w:rFonts w:ascii="Times New Roman" w:hAnsi="Times New Roman" w:cs="Times New Roman"/>
            <w:sz w:val="20"/>
            <w:szCs w:val="20"/>
          </w:rPr>
          <w:t>W</w:t>
        </w:r>
      </w:ins>
      <w:r w:rsidR="00CB5DCA">
        <w:rPr>
          <w:rFonts w:ascii="Times New Roman" w:hAnsi="Times New Roman" w:cs="Times New Roman"/>
          <w:sz w:val="20"/>
          <w:szCs w:val="20"/>
        </w:rPr>
        <w:t xml:space="preserve">e think </w:t>
      </w:r>
      <w:del w:id="228" w:author="Dave Bridges" w:date="2016-03-08T10:12:00Z">
        <w:r w:rsidR="00CB5DCA" w:rsidDel="00062503">
          <w:rPr>
            <w:rFonts w:ascii="Times New Roman" w:hAnsi="Times New Roman" w:cs="Times New Roman"/>
            <w:sz w:val="20"/>
            <w:szCs w:val="20"/>
          </w:rPr>
          <w:delText>that this mRNA</w:delText>
        </w:r>
      </w:del>
      <w:ins w:id="229" w:author="Dave Bridges" w:date="2016-03-08T10:12:00Z">
        <w:r w:rsidR="00062503">
          <w:rPr>
            <w:rFonts w:ascii="Times New Roman" w:hAnsi="Times New Roman" w:cs="Times New Roman"/>
            <w:sz w:val="20"/>
            <w:szCs w:val="20"/>
          </w:rPr>
          <w:t>these data, along with previous reports</w:t>
        </w:r>
      </w:ins>
      <w:del w:id="230" w:author="Dave Bridges" w:date="2016-03-08T10:12:00Z">
        <w:r w:rsidR="00CB5DCA" w:rsidDel="00062503">
          <w:rPr>
            <w:rFonts w:ascii="Times New Roman" w:hAnsi="Times New Roman" w:cs="Times New Roman"/>
            <w:sz w:val="20"/>
            <w:szCs w:val="20"/>
          </w:rPr>
          <w:delText xml:space="preserve"> evidence is</w:delText>
        </w:r>
      </w:del>
      <w:ins w:id="231" w:author="Dave Bridges" w:date="2016-03-08T10:12:00Z">
        <w:r w:rsidR="00062503">
          <w:rPr>
            <w:rFonts w:ascii="Times New Roman" w:hAnsi="Times New Roman" w:cs="Times New Roman"/>
            <w:sz w:val="20"/>
            <w:szCs w:val="20"/>
          </w:rPr>
          <w:t xml:space="preserve"> are</w:t>
        </w:r>
      </w:ins>
      <w:r w:rsidR="00CB5DCA">
        <w:rPr>
          <w:rFonts w:ascii="Times New Roman" w:hAnsi="Times New Roman" w:cs="Times New Roman"/>
          <w:sz w:val="20"/>
          <w:szCs w:val="20"/>
        </w:rPr>
        <w:t xml:space="preserve"> compelling enough to support our </w:t>
      </w:r>
      <w:del w:id="232" w:author="Dave Bridges" w:date="2016-03-08T10:12:00Z">
        <w:r w:rsidR="009D1041" w:rsidDel="00E65CCF">
          <w:rPr>
            <w:rFonts w:ascii="Times New Roman" w:hAnsi="Times New Roman" w:cs="Times New Roman"/>
            <w:sz w:val="20"/>
            <w:szCs w:val="20"/>
          </w:rPr>
          <w:delText xml:space="preserve">discussions </w:delText>
        </w:r>
      </w:del>
      <w:ins w:id="233" w:author="Dave Bridges" w:date="2016-03-08T10:12:00Z">
        <w:r w:rsidR="00E65CCF">
          <w:rPr>
            <w:rFonts w:ascii="Times New Roman" w:hAnsi="Times New Roman" w:cs="Times New Roman"/>
            <w:sz w:val="20"/>
            <w:szCs w:val="20"/>
          </w:rPr>
          <w:t>hypotheses regarding</w:t>
        </w:r>
      </w:ins>
      <w:del w:id="234" w:author="Dave Bridges" w:date="2016-03-08T10:12:00Z">
        <w:r w:rsidR="009D1041" w:rsidDel="00E65CCF">
          <w:rPr>
            <w:rFonts w:ascii="Times New Roman" w:hAnsi="Times New Roman" w:cs="Times New Roman"/>
            <w:sz w:val="20"/>
            <w:szCs w:val="20"/>
          </w:rPr>
          <w:delText>on</w:delText>
        </w:r>
      </w:del>
      <w:r w:rsidR="009D1041">
        <w:rPr>
          <w:rFonts w:ascii="Times New Roman" w:hAnsi="Times New Roman" w:cs="Times New Roman"/>
          <w:sz w:val="20"/>
          <w:szCs w:val="20"/>
        </w:rPr>
        <w:t xml:space="preserve">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7EA6C014" w:rsidR="002C21F8" w:rsidRPr="0035343D" w:rsidRDefault="00A8624D" w:rsidP="002C21F8">
      <w:pPr>
        <w:rPr>
          <w:rFonts w:ascii="Times New Roman" w:hAnsi="Times New Roman" w:cs="Times New Roman"/>
          <w:sz w:val="20"/>
          <w:szCs w:val="20"/>
        </w:rPr>
      </w:pPr>
      <w:ins w:id="235" w:author="Dave Bridges" w:date="2016-03-08T10:16:00Z">
        <w:r>
          <w:rPr>
            <w:rFonts w:ascii="Times New Roman" w:hAnsi="Times New Roman" w:cs="Times New Roman"/>
            <w:sz w:val="20"/>
            <w:szCs w:val="20"/>
          </w:rPr>
          <w:t xml:space="preserve">The ambiguity regarding the very slight increases in mitochondrial protein levels and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has been partially resolved in the revised manuscript.  We now show more robust data that OXPHOS protein levels are unchanged, in spite of reductions in </w:t>
        </w:r>
        <w:proofErr w:type="spellStart"/>
        <w:r>
          <w:rPr>
            <w:rFonts w:ascii="Times New Roman" w:hAnsi="Times New Roman" w:cs="Times New Roman"/>
            <w:sz w:val="20"/>
            <w:szCs w:val="20"/>
          </w:rPr>
          <w:t>mtDNA</w:t>
        </w:r>
        <w:proofErr w:type="spellEnd"/>
        <w:r>
          <w:rPr>
            <w:rFonts w:ascii="Times New Roman" w:hAnsi="Times New Roman" w:cs="Times New Roman"/>
            <w:sz w:val="20"/>
            <w:szCs w:val="20"/>
          </w:rPr>
          <w:t xml:space="preserve"> and citrate synthase activity.  </w:t>
        </w:r>
      </w:ins>
      <w:del w:id="236" w:author="Dave Bridges" w:date="2016-03-08T10:17:00Z">
        <w:r w:rsidR="00BF538F" w:rsidRPr="0035343D" w:rsidDel="00A8624D">
          <w:rPr>
            <w:rFonts w:ascii="Times New Roman" w:hAnsi="Times New Roman" w:cs="Times New Roman"/>
            <w:sz w:val="20"/>
            <w:szCs w:val="20"/>
          </w:rPr>
          <w:delText>We have added to our di</w:delText>
        </w:r>
        <w:r w:rsidR="000C73C1" w:rsidRPr="0035343D" w:rsidDel="00A8624D">
          <w:rPr>
            <w:rFonts w:ascii="Times New Roman" w:hAnsi="Times New Roman" w:cs="Times New Roman"/>
            <w:sz w:val="20"/>
            <w:szCs w:val="20"/>
          </w:rPr>
          <w:delText>scussion about this disconnect and followed up with new analyses of the upstream regulators of mitochondrial biogenesis (see figure</w:delText>
        </w:r>
        <w:r w:rsidR="00406D95" w:rsidDel="00A8624D">
          <w:rPr>
            <w:rFonts w:ascii="Times New Roman" w:hAnsi="Times New Roman" w:cs="Times New Roman"/>
            <w:sz w:val="20"/>
            <w:szCs w:val="20"/>
          </w:rPr>
          <w:delText xml:space="preserve"> 3, </w:delText>
        </w:r>
        <w:r w:rsidR="00884233" w:rsidDel="00A8624D">
          <w:rPr>
            <w:rFonts w:ascii="Times New Roman" w:hAnsi="Times New Roman" w:cs="Times New Roman"/>
            <w:sz w:val="20"/>
            <w:szCs w:val="20"/>
          </w:rPr>
          <w:delText xml:space="preserve">reviewer 1, </w:delText>
        </w:r>
        <w:r w:rsidR="000B5106" w:rsidDel="00A8624D">
          <w:rPr>
            <w:rFonts w:ascii="Times New Roman" w:hAnsi="Times New Roman" w:cs="Times New Roman"/>
            <w:sz w:val="20"/>
            <w:szCs w:val="20"/>
          </w:rPr>
          <w:delText xml:space="preserve">response </w:delText>
        </w:r>
        <w:r w:rsidR="00884233" w:rsidDel="00A8624D">
          <w:rPr>
            <w:rFonts w:ascii="Times New Roman" w:hAnsi="Times New Roman" w:cs="Times New Roman"/>
            <w:sz w:val="20"/>
            <w:szCs w:val="20"/>
          </w:rPr>
          <w:delText>4</w:delText>
        </w:r>
        <w:r w:rsidR="000C73C1" w:rsidRPr="0035343D" w:rsidDel="00A8624D">
          <w:rPr>
            <w:rFonts w:ascii="Times New Roman" w:hAnsi="Times New Roman" w:cs="Times New Roman"/>
            <w:sz w:val="20"/>
            <w:szCs w:val="20"/>
          </w:rPr>
          <w:delText>).</w:delText>
        </w:r>
      </w:del>
      <w:ins w:id="237" w:author="Dave Bridges" w:date="2016-03-08T10:17:00Z">
        <w:r>
          <w:rPr>
            <w:rFonts w:ascii="Times New Roman" w:hAnsi="Times New Roman" w:cs="Times New Roman"/>
            <w:sz w:val="20"/>
            <w:szCs w:val="20"/>
          </w:rPr>
          <w:t xml:space="preserve">As described above, </w:t>
        </w:r>
      </w:ins>
      <w:proofErr w:type="spellStart"/>
      <w:ins w:id="238" w:author="Dave Bridges" w:date="2016-03-08T10:18:00Z">
        <w:r>
          <w:rPr>
            <w:rFonts w:ascii="Times New Roman" w:hAnsi="Times New Roman" w:cs="Times New Roman"/>
            <w:sz w:val="20"/>
            <w:szCs w:val="20"/>
          </w:rPr>
          <w:t>respirometry</w:t>
        </w:r>
      </w:ins>
      <w:proofErr w:type="spellEnd"/>
      <w:ins w:id="239" w:author="Dave Bridges" w:date="2016-03-08T10:17:00Z">
        <w:r>
          <w:rPr>
            <w:rFonts w:ascii="Times New Roman" w:hAnsi="Times New Roman" w:cs="Times New Roman"/>
            <w:sz w:val="20"/>
            <w:szCs w:val="20"/>
          </w:rPr>
          <w:t xml:space="preserve"> data or EM imaging are not possible with our current samples, and </w:t>
        </w:r>
      </w:ins>
      <w:ins w:id="240" w:author="Dave Bridges" w:date="2016-03-08T10:18:00Z">
        <w:r>
          <w:rPr>
            <w:rFonts w:ascii="Times New Roman" w:hAnsi="Times New Roman" w:cs="Times New Roman"/>
            <w:sz w:val="20"/>
            <w:szCs w:val="20"/>
          </w:rPr>
          <w:t>are</w:t>
        </w:r>
      </w:ins>
      <w:ins w:id="241" w:author="Dave Bridges" w:date="2016-03-08T10:17:00Z">
        <w:r>
          <w:rPr>
            <w:rFonts w:ascii="Times New Roman" w:hAnsi="Times New Roman" w:cs="Times New Roman"/>
            <w:sz w:val="20"/>
            <w:szCs w:val="20"/>
          </w:rPr>
          <w:t xml:space="preserve"> not be possible within the </w:t>
        </w:r>
      </w:ins>
      <w:ins w:id="242" w:author="Dave Bridges" w:date="2016-03-08T10:18:00Z">
        <w:r>
          <w:rPr>
            <w:rFonts w:ascii="Times New Roman" w:hAnsi="Times New Roman" w:cs="Times New Roman"/>
            <w:sz w:val="20"/>
            <w:szCs w:val="20"/>
          </w:rPr>
          <w:t>revision</w:t>
        </w:r>
      </w:ins>
      <w:ins w:id="243" w:author="Dave Bridges" w:date="2016-03-08T10:17:00Z">
        <w:r>
          <w:rPr>
            <w:rFonts w:ascii="Times New Roman" w:hAnsi="Times New Roman" w:cs="Times New Roman"/>
            <w:sz w:val="20"/>
            <w:szCs w:val="20"/>
          </w:rPr>
          <w:t xml:space="preserve"> </w:t>
        </w:r>
      </w:ins>
      <w:ins w:id="244" w:author="Dave Bridges" w:date="2016-03-08T10:18:00Z">
        <w:r>
          <w:rPr>
            <w:rFonts w:ascii="Times New Roman" w:hAnsi="Times New Roman" w:cs="Times New Roman"/>
            <w:sz w:val="20"/>
            <w:szCs w:val="20"/>
          </w:rPr>
          <w:t>time-frame.</w:t>
        </w:r>
      </w:ins>
      <w:r w:rsidR="000C73C1" w:rsidRPr="0035343D">
        <w:rPr>
          <w:rFonts w:ascii="Times New Roman" w:hAnsi="Times New Roman" w:cs="Times New Roman"/>
          <w:sz w:val="20"/>
          <w:szCs w:val="20"/>
        </w:rPr>
        <w:t xml:space="preserve"> </w:t>
      </w:r>
      <w:del w:id="245" w:author="Dave Bridges" w:date="2016-03-08T10:15:00Z">
        <w:r w:rsidR="000C73C1" w:rsidRPr="0035343D" w:rsidDel="00A8624D">
          <w:rPr>
            <w:rFonts w:ascii="Times New Roman" w:hAnsi="Times New Roman" w:cs="Times New Roman"/>
            <w:sz w:val="20"/>
            <w:szCs w:val="20"/>
          </w:rPr>
          <w:delText xml:space="preserve">As we explain above, we do not think additional functional experiments </w:delText>
        </w:r>
        <w:r w:rsidR="006E0863" w:rsidDel="00A8624D">
          <w:rPr>
            <w:rFonts w:ascii="Times New Roman" w:hAnsi="Times New Roman" w:cs="Times New Roman"/>
            <w:sz w:val="20"/>
            <w:szCs w:val="20"/>
          </w:rPr>
          <w:delText xml:space="preserve">or EM </w:delText>
        </w:r>
        <w:r w:rsidR="000D209F" w:rsidDel="00A8624D">
          <w:rPr>
            <w:rFonts w:ascii="Times New Roman" w:hAnsi="Times New Roman" w:cs="Times New Roman"/>
            <w:sz w:val="20"/>
            <w:szCs w:val="20"/>
          </w:rPr>
          <w:delText xml:space="preserve">data </w:delText>
        </w:r>
        <w:r w:rsidR="000C73C1" w:rsidRPr="0035343D" w:rsidDel="00A8624D">
          <w:rPr>
            <w:rFonts w:ascii="Times New Roman" w:hAnsi="Times New Roman" w:cs="Times New Roman"/>
            <w:sz w:val="20"/>
            <w:szCs w:val="20"/>
          </w:rPr>
          <w:delText xml:space="preserve">would provide us with </w:delText>
        </w:r>
        <w:r w:rsidR="006E0863" w:rsidDel="00A8624D">
          <w:rPr>
            <w:rFonts w:ascii="Times New Roman" w:hAnsi="Times New Roman" w:cs="Times New Roman"/>
            <w:sz w:val="20"/>
            <w:szCs w:val="20"/>
          </w:rPr>
          <w:delText xml:space="preserve">any direct answers </w:delText>
        </w:r>
        <w:r w:rsidR="000D209F" w:rsidDel="00A8624D">
          <w:rPr>
            <w:rFonts w:ascii="Times New Roman" w:hAnsi="Times New Roman" w:cs="Times New Roman"/>
            <w:sz w:val="20"/>
            <w:szCs w:val="20"/>
          </w:rPr>
          <w:delText>about this disconnect</w:delText>
        </w:r>
        <w:r w:rsidR="006E0863" w:rsidDel="00A8624D">
          <w:rPr>
            <w:rFonts w:ascii="Times New Roman" w:hAnsi="Times New Roman" w:cs="Times New Roman"/>
            <w:sz w:val="20"/>
            <w:szCs w:val="20"/>
          </w:rPr>
          <w:delText xml:space="preserve"> </w:delText>
        </w:r>
        <w:r w:rsidR="000C73C1" w:rsidRPr="0035343D" w:rsidDel="00A8624D">
          <w:rPr>
            <w:rFonts w:ascii="Times New Roman" w:hAnsi="Times New Roman" w:cs="Times New Roman"/>
            <w:sz w:val="20"/>
            <w:szCs w:val="20"/>
          </w:rPr>
          <w:delText xml:space="preserve">and cite the work of Siegel et al (2011) </w:delText>
        </w:r>
      </w:del>
      <w:del w:id="246" w:author="Dave Bridges" w:date="2016-03-08T10:13:00Z">
        <w:r w:rsidR="000C73C1" w:rsidRPr="0035343D" w:rsidDel="00F36B21">
          <w:rPr>
            <w:rFonts w:ascii="Times New Roman" w:hAnsi="Times New Roman" w:cs="Times New Roman"/>
            <w:sz w:val="20"/>
            <w:szCs w:val="20"/>
          </w:rPr>
          <w:delText>as to what we think is happening.</w:delText>
        </w:r>
      </w:del>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62A25C2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ins w:id="247" w:author="Dave Bridges" w:date="2016-03-08T10:14:00Z">
        <w:r w:rsidR="00B9068E">
          <w:rPr>
            <w:rFonts w:ascii="Times New Roman" w:hAnsi="Times New Roman" w:cs="Times New Roman"/>
            <w:sz w:val="20"/>
            <w:szCs w:val="20"/>
          </w:rPr>
          <w:t xml:space="preserve"> via the use of hSOD2 transgenic animal exposures</w:t>
        </w:r>
      </w:ins>
      <w:r w:rsidRPr="006D239F">
        <w:rPr>
          <w:rFonts w:ascii="Times New Roman" w:hAnsi="Times New Roman" w:cs="Times New Roman"/>
          <w:sz w:val="20"/>
          <w:szCs w:val="20"/>
        </w:rPr>
        <w:t xml:space="preserve">. This </w:t>
      </w:r>
      <w:del w:id="248" w:author="Dave Bridges" w:date="2016-03-08T10:14:00Z">
        <w:r w:rsidR="00E16731" w:rsidRPr="006D239F" w:rsidDel="00B9068E">
          <w:rPr>
            <w:rFonts w:ascii="Times New Roman" w:hAnsi="Times New Roman" w:cs="Times New Roman"/>
            <w:sz w:val="20"/>
            <w:szCs w:val="20"/>
          </w:rPr>
          <w:delText xml:space="preserve">newer </w:delText>
        </w:r>
      </w:del>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 xml:space="preserve">related, is </w:t>
      </w:r>
      <w:del w:id="249" w:author="Dave Bridges" w:date="2016-03-08T10:14:00Z">
        <w:r w:rsidRPr="006D239F" w:rsidDel="00B9068E">
          <w:rPr>
            <w:rFonts w:ascii="Times New Roman" w:hAnsi="Times New Roman" w:cs="Times New Roman"/>
            <w:sz w:val="20"/>
            <w:szCs w:val="20"/>
          </w:rPr>
          <w:delText xml:space="preserve">well </w:delText>
        </w:r>
      </w:del>
      <w:r w:rsidRPr="006D239F">
        <w:rPr>
          <w:rFonts w:ascii="Times New Roman" w:hAnsi="Times New Roman" w:cs="Times New Roman"/>
          <w:sz w:val="20"/>
          <w:szCs w:val="20"/>
        </w:rPr>
        <w:t>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 xml:space="preserve">is better served as an entirely separate </w:t>
      </w:r>
      <w:del w:id="250" w:author="Dave Bridges" w:date="2016-03-08T10:19:00Z">
        <w:r w:rsidR="00E16731" w:rsidRPr="006D239F" w:rsidDel="00886D3A">
          <w:rPr>
            <w:rFonts w:ascii="Times New Roman" w:hAnsi="Times New Roman" w:cs="Times New Roman"/>
            <w:sz w:val="20"/>
            <w:szCs w:val="20"/>
          </w:rPr>
          <w:delText>report</w:delText>
        </w:r>
      </w:del>
      <w:ins w:id="251" w:author="Dave Bridges" w:date="2016-03-08T10:19:00Z">
        <w:r w:rsidR="00886D3A">
          <w:rPr>
            <w:rFonts w:ascii="Times New Roman" w:hAnsi="Times New Roman" w:cs="Times New Roman"/>
            <w:sz w:val="20"/>
            <w:szCs w:val="20"/>
          </w:rPr>
          <w:t>study</w:t>
        </w:r>
      </w:ins>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471ECBB2" w:rsidR="00686829" w:rsidRDefault="004C4A2C" w:rsidP="002C21F8">
      <w:pPr>
        <w:rPr>
          <w:ins w:id="252" w:author="Stephenson, Erin" w:date="2016-03-09T15:48:00Z"/>
          <w:rFonts w:ascii="Times New Roman" w:hAnsi="Times New Roman" w:cs="Times New Roman"/>
          <w:sz w:val="20"/>
          <w:szCs w:val="20"/>
        </w:rPr>
      </w:pPr>
      <w:r w:rsidRPr="006D239F">
        <w:rPr>
          <w:rFonts w:ascii="Times New Roman" w:hAnsi="Times New Roman" w:cs="Times New Roman"/>
          <w:sz w:val="20"/>
          <w:szCs w:val="20"/>
        </w:rPr>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del w:id="253" w:author="Dave Bridges" w:date="2016-03-08T10:20:00Z">
        <w:r w:rsidR="00813A81" w:rsidRPr="006D239F" w:rsidDel="00DE1B82">
          <w:rPr>
            <w:rFonts w:ascii="Times New Roman" w:hAnsi="Times New Roman" w:cs="Times New Roman"/>
            <w:sz w:val="20"/>
            <w:szCs w:val="20"/>
          </w:rPr>
          <w:delText xml:space="preserve">select </w:delText>
        </w:r>
      </w:del>
      <w:r w:rsidR="00813A81" w:rsidRPr="006D239F">
        <w:rPr>
          <w:rFonts w:ascii="Times New Roman" w:hAnsi="Times New Roman" w:cs="Times New Roman"/>
          <w:sz w:val="20"/>
          <w:szCs w:val="20"/>
        </w:rPr>
        <w:t xml:space="preserve">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w:t>
      </w:r>
      <w:ins w:id="254" w:author="Dave Bridges" w:date="2016-03-08T10:21:00Z">
        <w:r w:rsidR="00DE1B82">
          <w:rPr>
            <w:rFonts w:ascii="Times New Roman" w:hAnsi="Times New Roman" w:cs="Times New Roman"/>
            <w:sz w:val="20"/>
            <w:szCs w:val="20"/>
          </w:rPr>
          <w:t xml:space="preserve"> as described in the new Figure 3 of the revised manuscript</w:t>
        </w:r>
      </w:ins>
      <w:r w:rsidR="008B73F4" w:rsidRPr="00031F8C">
        <w:rPr>
          <w:rFonts w:ascii="Times New Roman" w:hAnsi="Times New Roman" w:cs="Times New Roman"/>
          <w:sz w:val="20"/>
          <w:szCs w:val="20"/>
        </w:rPr>
        <w:t xml:space="preserve">. These levels, while not different between the groups, were </w:t>
      </w:r>
      <w:del w:id="255" w:author="Dave Bridges" w:date="2016-03-08T10:21:00Z">
        <w:r w:rsidR="008B73F4" w:rsidRPr="00031F8C" w:rsidDel="00DE1B82">
          <w:rPr>
            <w:rFonts w:ascii="Times New Roman" w:hAnsi="Times New Roman" w:cs="Times New Roman"/>
            <w:sz w:val="20"/>
            <w:szCs w:val="20"/>
          </w:rPr>
          <w:delText xml:space="preserve">(at least in our hands) </w:delText>
        </w:r>
      </w:del>
      <w:r w:rsidR="008B73F4" w:rsidRPr="00031F8C">
        <w:rPr>
          <w:rFonts w:ascii="Times New Roman" w:hAnsi="Times New Roman" w:cs="Times New Roman"/>
          <w:sz w:val="20"/>
          <w:szCs w:val="20"/>
        </w:rPr>
        <w:t xml:space="preserve">elevated compared to non-obese mice of a similar age on a </w:t>
      </w:r>
      <w:commentRangeStart w:id="256"/>
      <w:commentRangeStart w:id="257"/>
      <w:r w:rsidR="008B73F4" w:rsidRPr="00031F8C">
        <w:rPr>
          <w:rFonts w:ascii="Times New Roman" w:hAnsi="Times New Roman" w:cs="Times New Roman"/>
          <w:sz w:val="20"/>
          <w:szCs w:val="20"/>
        </w:rPr>
        <w:t>standard rodent chow diet</w:t>
      </w:r>
      <w:commentRangeEnd w:id="256"/>
      <w:r w:rsidR="00617955">
        <w:rPr>
          <w:rStyle w:val="CommentReference"/>
        </w:rPr>
        <w:commentReference w:id="256"/>
      </w:r>
      <w:commentRangeEnd w:id="257"/>
      <w:r w:rsidR="00B03F97">
        <w:rPr>
          <w:rStyle w:val="CommentReference"/>
        </w:rPr>
        <w:commentReference w:id="257"/>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629D8048" w14:textId="06EAA9D5" w:rsidR="00D02743" w:rsidRDefault="00BF3472" w:rsidP="00BF3472">
      <w:pPr>
        <w:jc w:val="center"/>
        <w:rPr>
          <w:ins w:id="258" w:author="Stephenson, Erin" w:date="2016-03-09T14:22:00Z"/>
          <w:rFonts w:ascii="Times New Roman" w:hAnsi="Times New Roman" w:cs="Times New Roman"/>
          <w:sz w:val="20"/>
          <w:szCs w:val="20"/>
        </w:rPr>
        <w:pPrChange w:id="259" w:author="Stephenson, Erin" w:date="2016-03-09T15:49:00Z">
          <w:pPr/>
        </w:pPrChange>
      </w:pPr>
      <w:ins w:id="260" w:author="Stephenson, Erin" w:date="2016-03-09T15:53:00Z">
        <w:r w:rsidRPr="00BF3472">
          <w:rPr>
            <w:rFonts w:ascii="Times New Roman" w:hAnsi="Times New Roman" w:cs="Times New Roman"/>
            <w:noProof/>
            <w:sz w:val="20"/>
            <w:szCs w:val="20"/>
          </w:rPr>
          <w:lastRenderedPageBreak/>
          <mc:AlternateContent>
            <mc:Choice Requires="wps">
              <w:drawing>
                <wp:anchor distT="45720" distB="45720" distL="114300" distR="114300" simplePos="0" relativeHeight="251663872" behindDoc="0" locked="0" layoutInCell="1" allowOverlap="1" wp14:anchorId="46F65FDF" wp14:editId="241D0098">
                  <wp:simplePos x="0" y="0"/>
                  <wp:positionH relativeFrom="column">
                    <wp:posOffset>180975</wp:posOffset>
                  </wp:positionH>
                  <wp:positionV relativeFrom="paragraph">
                    <wp:posOffset>0</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77777777" w:rsidR="00BF3472" w:rsidRDefault="00BF3472" w:rsidP="00D01E5C">
                              <w:pPr>
                                <w:jc w:val="center"/>
                                <w:rPr>
                                  <w:ins w:id="261" w:author="Stephenson, Erin" w:date="2016-03-09T15:54:00Z"/>
                                  <w:rFonts w:ascii="Times New Roman" w:hAnsi="Times New Roman" w:cs="Times New Roman"/>
                                  <w:b/>
                                </w:rPr>
                                <w:pPrChange w:id="262" w:author="Stephenson, Erin" w:date="2016-03-09T16:14:00Z">
                                  <w:pPr/>
                                </w:pPrChange>
                              </w:pPr>
                              <w:ins w:id="263"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1ACD604D" w14:textId="72EBD520" w:rsidR="00BF3472" w:rsidRPr="00BA1532" w:rsidRDefault="00BF3472">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w:t>
                              </w:r>
                              <w:r w:rsidR="00814C6D">
                                <w:rPr>
                                  <w:rFonts w:ascii="Times New Roman" w:hAnsi="Times New Roman" w:cs="Times New Roman"/>
                                </w:rPr>
                                <w:t>s</w:t>
                              </w:r>
                              <w:r>
                                <w:rPr>
                                  <w:rFonts w:ascii="Times New Roman" w:hAnsi="Times New Roman" w:cs="Times New Roman"/>
                                </w:rPr>
                                <w:t xml:space="preserve"> to different rodent diets and the body weight data from our current study.</w:t>
                              </w:r>
                              <w:r w:rsidR="00814C6D">
                                <w:rPr>
                                  <w:rFonts w:ascii="Times New Roman" w:hAnsi="Times New Roman" w:cs="Times New Roman"/>
                                </w:rPr>
                                <w:t xml:space="preserve"> All mice were </w:t>
                              </w:r>
                              <w:r w:rsidR="00A135F5">
                                <w:rPr>
                                  <w:rFonts w:ascii="Times New Roman" w:hAnsi="Times New Roman" w:cs="Times New Roman"/>
                                </w:rPr>
                                <w:t xml:space="preserve">C58BL/6J males and </w:t>
                              </w:r>
                              <w:r w:rsidR="00814C6D">
                                <w:rPr>
                                  <w:rFonts w:ascii="Times New Roman" w:hAnsi="Times New Roman" w:cs="Times New Roman"/>
                                </w:rPr>
                                <w:t>151-155 d of age at time of measurement. Where control diet or HFD was used, mice were switched from standard rodent chow to the appropriate diet at 70 d of age</w:t>
                              </w:r>
                              <w:r w:rsidR="006256E2">
                                <w:rPr>
                                  <w:rFonts w:ascii="Times New Roman" w:hAnsi="Times New Roman" w:cs="Times New Roman"/>
                                </w:rPr>
                                <w:t xml:space="preserve"> and maintained on that diet for 12 wk</w:t>
                              </w:r>
                              <w:r w:rsidR="00814C6D">
                                <w:rPr>
                                  <w:rFonts w:ascii="Times New Roman" w:hAnsi="Times New Roman" w:cs="Times New Roman"/>
                                </w:rPr>
                                <w:t>.</w:t>
                              </w:r>
                              <w:r w:rsidR="00B21639">
                                <w:rPr>
                                  <w:rFonts w:ascii="Times New Roman" w:hAnsi="Times New Roman" w:cs="Times New Roman"/>
                                </w:rPr>
                                <w:t xml:space="preserve"> </w:t>
                              </w:r>
                              <w:r w:rsidR="000C6BA4">
                                <w:rPr>
                                  <w:rFonts w:ascii="Times New Roman" w:hAnsi="Times New Roman" w:cs="Times New Roman"/>
                                </w:rPr>
                                <w:t>The s</w:t>
                              </w:r>
                              <w:r w:rsidR="00B21639">
                                <w:rPr>
                                  <w:rFonts w:ascii="Times New Roman" w:hAnsi="Times New Roman" w:cs="Times New Roman"/>
                                </w:rPr>
                                <w:t>ta</w:t>
                              </w:r>
                              <w:r w:rsidR="000C6BA4">
                                <w:rPr>
                                  <w:rFonts w:ascii="Times New Roman" w:hAnsi="Times New Roman" w:cs="Times New Roman"/>
                                </w:rPr>
                                <w:t>ndard rodent chow contained 3.0</w:t>
                              </w:r>
                              <w:r w:rsidR="00B21639">
                                <w:rPr>
                                  <w:rFonts w:ascii="Times New Roman" w:hAnsi="Times New Roman" w:cs="Times New Roman"/>
                                </w:rPr>
                                <w:t xml:space="preserve"> </w:t>
                              </w:r>
                              <w:proofErr w:type="spellStart"/>
                              <w:r w:rsidR="00B21639">
                                <w:rPr>
                                  <w:rFonts w:ascii="Times New Roman" w:hAnsi="Times New Roman" w:cs="Times New Roman"/>
                                </w:rPr>
                                <w:t>kCal</w:t>
                              </w:r>
                              <w:proofErr w:type="spellEnd"/>
                              <w:r w:rsidR="00B21639">
                                <w:rPr>
                                  <w:rFonts w:ascii="Times New Roman" w:hAnsi="Times New Roman" w:cs="Times New Roman"/>
                                </w:rPr>
                                <w:t>/g</w:t>
                              </w:r>
                              <w:r w:rsidR="000C6BA4">
                                <w:rPr>
                                  <w:rFonts w:ascii="Times New Roman" w:hAnsi="Times New Roman" w:cs="Times New Roman"/>
                                </w:rPr>
                                <w:t xml:space="preserve"> and 17% </w:t>
                              </w:r>
                              <w:proofErr w:type="spellStart"/>
                              <w:r w:rsidR="000C6BA4">
                                <w:rPr>
                                  <w:rFonts w:ascii="Times New Roman" w:hAnsi="Times New Roman" w:cs="Times New Roman"/>
                                </w:rPr>
                                <w:t>kCal</w:t>
                              </w:r>
                              <w:proofErr w:type="spellEnd"/>
                              <w:r w:rsidR="000C6BA4">
                                <w:rPr>
                                  <w:rFonts w:ascii="Times New Roman" w:hAnsi="Times New Roman" w:cs="Times New Roman"/>
                                </w:rPr>
                                <w:t xml:space="preserve"> from fat (Harlan </w:t>
                              </w:r>
                              <w:proofErr w:type="spellStart"/>
                              <w:r w:rsidR="000C6BA4">
                                <w:rPr>
                                  <w:rFonts w:ascii="Times New Roman" w:hAnsi="Times New Roman" w:cs="Times New Roman"/>
                                </w:rPr>
                                <w:t>Teklad</w:t>
                              </w:r>
                              <w:proofErr w:type="spellEnd"/>
                              <w:r w:rsidR="000C6BA4">
                                <w:rPr>
                                  <w:rFonts w:ascii="Times New Roman" w:hAnsi="Times New Roman" w:cs="Times New Roman"/>
                                </w:rPr>
                                <w:t xml:space="preserve"> #8640)</w:t>
                              </w:r>
                              <w:r w:rsidR="00B21639">
                                <w:rPr>
                                  <w:rFonts w:ascii="Times New Roman" w:hAnsi="Times New Roman" w:cs="Times New Roman"/>
                                </w:rPr>
                                <w:t xml:space="preserve">, whereas the control diet was a semi pure diet providing 3.85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10%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#D12450H) and the high fat diet was a semi pure diet providing 4.73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45%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#D12451).</w:t>
                              </w:r>
                              <w:bookmarkStart w:id="264" w:name="_GoBack"/>
                              <w:bookmarkEnd w:id="26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65FDF" id="_x0000_s1035" type="#_x0000_t202" style="position:absolute;left:0;text-align:left;margin-left:14.25pt;margin-top:0;width:525.75pt;height:339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QdJgIAAE0EAAAOAAAAZHJzL2Uyb0RvYy54bWysVNuO2yAQfa/Uf0C8N3ayuWysOKtttqkq&#10;bS/Sbj8AYxyjAkOBxE6/vgNO0mhb9aGqHxDDDIeZc2a8uuu1IgfhvART0vEop0QYDrU0u5J+fd6+&#10;uaXEB2ZqpsCIkh6Fp3fr169WnS3EBFpQtXAEQYwvOlvSNgRbZJnnrdDMj8AKg84GnGYBTbfLasc6&#10;RNcqm+T5POvA1dYBF97j6cPgpOuE3zSCh89N40UgqqSYW0irS2sV12y9YsXOMdtKfkqD/UMWmkmD&#10;j16gHlhgZO/kb1BacgcemjDioDNoGslFqgGrGecvqnlqmRWpFiTH2wtN/v/B8k+HL47IGrWbU2KY&#10;Ro2eRR/IW+jJJNLTWV9g1JPFuNDjMYamUr19BP7NEwOblpmduHcOulawGtMbx5vZ1dUBx0eQqvsI&#10;NT7D9gESUN84HblDNgiio0zHizQxFY6H8/likU9mlHD0TW/y2U2exMtYcb5unQ/vBWgSNyV1qH2C&#10;Z4dHH2I6rDiHxNc8KFlvpVLJcLtqoxw5MOyTbfpSBS/ClCFdSZczTOTvEHn6/gShZcCGV1KX9PYS&#10;xIrI2ztTp3YMTKphjykrcyIycjewGPqqT5Itz/pUUB+RWQdDf+M84qYF94OSDnu7pP77njlBifpg&#10;UJ3leDqNw5CM6WwxQcNde6prDzMcoUoaKBm2m5AGKDJg4B5VbGTiN8o9ZHJKGXs20X6arzgU13aK&#10;+vUXWP8EAAD//wMAUEsDBBQABgAIAAAAIQD5NyJU3gAAAAgBAAAPAAAAZHJzL2Rvd25yZXYueG1s&#10;TI/BTsMwEETvSPyDtUhcELUpkJqQTYWQQHCDtoKrG7tJhL0OtpuGv8c9wW1HM5p9Uy0nZ9loQuw9&#10;IVzNBDBDjdc9tQib9dOlBBaTIq2sJ4PwYyIs69OTSpXaH+jdjKvUslxCsVQIXUpDyXlsOuNUnPnB&#10;UPZ2PjiVsgwt10EdcrmzfC5EwZ3qKX/o1GAeO9N8rfYOQd68jJ/x9frtoyl29i5dLMbn74B4fjY9&#10;3ANLZkp/YTjiZ3SoM9PW70lHZhHm8jYnEfKgoyukyNcWoVhIAbyu+P8B9S8AAAD//wMAUEsBAi0A&#10;FAAGAAgAAAAhALaDOJL+AAAA4QEAABMAAAAAAAAAAAAAAAAAAAAAAFtDb250ZW50X1R5cGVzXS54&#10;bWxQSwECLQAUAAYACAAAACEAOP0h/9YAAACUAQAACwAAAAAAAAAAAAAAAAAvAQAAX3JlbHMvLnJl&#10;bHNQSwECLQAUAAYACAAAACEAKCNEHSYCAABNBAAADgAAAAAAAAAAAAAAAAAuAgAAZHJzL2Uyb0Rv&#10;Yy54bWxQSwECLQAUAAYACAAAACEA+TciVN4AAAAIAQAADwAAAAAAAAAAAAAAAACABAAAZHJzL2Rv&#10;d25yZXYueG1sUEsFBgAAAAAEAAQA8wAAAIsFAAAAAA==&#10;">
                  <v:textbox>
                    <w:txbxContent>
                      <w:p w14:paraId="2D881DD8" w14:textId="77777777" w:rsidR="00BF3472" w:rsidRDefault="00BF3472" w:rsidP="00D01E5C">
                        <w:pPr>
                          <w:jc w:val="center"/>
                          <w:rPr>
                            <w:ins w:id="265" w:author="Stephenson, Erin" w:date="2016-03-09T15:54:00Z"/>
                            <w:rFonts w:ascii="Times New Roman" w:hAnsi="Times New Roman" w:cs="Times New Roman"/>
                            <w:b/>
                          </w:rPr>
                          <w:pPrChange w:id="266" w:author="Stephenson, Erin" w:date="2016-03-09T16:14:00Z">
                            <w:pPr/>
                          </w:pPrChange>
                        </w:pPr>
                        <w:ins w:id="267" w:author="Stephenson, Erin" w:date="2016-03-09T15:54:00Z">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1ACD604D" w14:textId="72EBD520" w:rsidR="00BF3472" w:rsidRPr="00BA1532" w:rsidRDefault="00BF3472">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w:t>
                        </w:r>
                        <w:r w:rsidR="00814C6D">
                          <w:rPr>
                            <w:rFonts w:ascii="Times New Roman" w:hAnsi="Times New Roman" w:cs="Times New Roman"/>
                          </w:rPr>
                          <w:t>s</w:t>
                        </w:r>
                        <w:r>
                          <w:rPr>
                            <w:rFonts w:ascii="Times New Roman" w:hAnsi="Times New Roman" w:cs="Times New Roman"/>
                          </w:rPr>
                          <w:t xml:space="preserve"> to different rodent diets and the body weight data from our current study.</w:t>
                        </w:r>
                        <w:r w:rsidR="00814C6D">
                          <w:rPr>
                            <w:rFonts w:ascii="Times New Roman" w:hAnsi="Times New Roman" w:cs="Times New Roman"/>
                          </w:rPr>
                          <w:t xml:space="preserve"> All mice were </w:t>
                        </w:r>
                        <w:r w:rsidR="00A135F5">
                          <w:rPr>
                            <w:rFonts w:ascii="Times New Roman" w:hAnsi="Times New Roman" w:cs="Times New Roman"/>
                          </w:rPr>
                          <w:t xml:space="preserve">C58BL/6J males and </w:t>
                        </w:r>
                        <w:r w:rsidR="00814C6D">
                          <w:rPr>
                            <w:rFonts w:ascii="Times New Roman" w:hAnsi="Times New Roman" w:cs="Times New Roman"/>
                          </w:rPr>
                          <w:t>151-155 d of age at time of measurement. Where control diet or HFD was used, mice were switched from standard rodent chow to the appropriate diet at 70 d of age</w:t>
                        </w:r>
                        <w:r w:rsidR="006256E2">
                          <w:rPr>
                            <w:rFonts w:ascii="Times New Roman" w:hAnsi="Times New Roman" w:cs="Times New Roman"/>
                          </w:rPr>
                          <w:t xml:space="preserve"> and maintained on that diet for 12 wk</w:t>
                        </w:r>
                        <w:r w:rsidR="00814C6D">
                          <w:rPr>
                            <w:rFonts w:ascii="Times New Roman" w:hAnsi="Times New Roman" w:cs="Times New Roman"/>
                          </w:rPr>
                          <w:t>.</w:t>
                        </w:r>
                        <w:r w:rsidR="00B21639">
                          <w:rPr>
                            <w:rFonts w:ascii="Times New Roman" w:hAnsi="Times New Roman" w:cs="Times New Roman"/>
                          </w:rPr>
                          <w:t xml:space="preserve"> </w:t>
                        </w:r>
                        <w:r w:rsidR="000C6BA4">
                          <w:rPr>
                            <w:rFonts w:ascii="Times New Roman" w:hAnsi="Times New Roman" w:cs="Times New Roman"/>
                          </w:rPr>
                          <w:t>The s</w:t>
                        </w:r>
                        <w:r w:rsidR="00B21639">
                          <w:rPr>
                            <w:rFonts w:ascii="Times New Roman" w:hAnsi="Times New Roman" w:cs="Times New Roman"/>
                          </w:rPr>
                          <w:t>ta</w:t>
                        </w:r>
                        <w:r w:rsidR="000C6BA4">
                          <w:rPr>
                            <w:rFonts w:ascii="Times New Roman" w:hAnsi="Times New Roman" w:cs="Times New Roman"/>
                          </w:rPr>
                          <w:t>ndard rodent chow contained 3.0</w:t>
                        </w:r>
                        <w:r w:rsidR="00B21639">
                          <w:rPr>
                            <w:rFonts w:ascii="Times New Roman" w:hAnsi="Times New Roman" w:cs="Times New Roman"/>
                          </w:rPr>
                          <w:t xml:space="preserve"> </w:t>
                        </w:r>
                        <w:proofErr w:type="spellStart"/>
                        <w:r w:rsidR="00B21639">
                          <w:rPr>
                            <w:rFonts w:ascii="Times New Roman" w:hAnsi="Times New Roman" w:cs="Times New Roman"/>
                          </w:rPr>
                          <w:t>kCal</w:t>
                        </w:r>
                        <w:proofErr w:type="spellEnd"/>
                        <w:r w:rsidR="00B21639">
                          <w:rPr>
                            <w:rFonts w:ascii="Times New Roman" w:hAnsi="Times New Roman" w:cs="Times New Roman"/>
                          </w:rPr>
                          <w:t>/g</w:t>
                        </w:r>
                        <w:r w:rsidR="000C6BA4">
                          <w:rPr>
                            <w:rFonts w:ascii="Times New Roman" w:hAnsi="Times New Roman" w:cs="Times New Roman"/>
                          </w:rPr>
                          <w:t xml:space="preserve"> and 17% </w:t>
                        </w:r>
                        <w:proofErr w:type="spellStart"/>
                        <w:r w:rsidR="000C6BA4">
                          <w:rPr>
                            <w:rFonts w:ascii="Times New Roman" w:hAnsi="Times New Roman" w:cs="Times New Roman"/>
                          </w:rPr>
                          <w:t>kCal</w:t>
                        </w:r>
                        <w:proofErr w:type="spellEnd"/>
                        <w:r w:rsidR="000C6BA4">
                          <w:rPr>
                            <w:rFonts w:ascii="Times New Roman" w:hAnsi="Times New Roman" w:cs="Times New Roman"/>
                          </w:rPr>
                          <w:t xml:space="preserve"> from fat (Harlan </w:t>
                        </w:r>
                        <w:proofErr w:type="spellStart"/>
                        <w:r w:rsidR="000C6BA4">
                          <w:rPr>
                            <w:rFonts w:ascii="Times New Roman" w:hAnsi="Times New Roman" w:cs="Times New Roman"/>
                          </w:rPr>
                          <w:t>Teklad</w:t>
                        </w:r>
                        <w:proofErr w:type="spellEnd"/>
                        <w:r w:rsidR="000C6BA4">
                          <w:rPr>
                            <w:rFonts w:ascii="Times New Roman" w:hAnsi="Times New Roman" w:cs="Times New Roman"/>
                          </w:rPr>
                          <w:t xml:space="preserve"> #8640)</w:t>
                        </w:r>
                        <w:r w:rsidR="00B21639">
                          <w:rPr>
                            <w:rFonts w:ascii="Times New Roman" w:hAnsi="Times New Roman" w:cs="Times New Roman"/>
                          </w:rPr>
                          <w:t xml:space="preserve">, whereas the control diet was a semi pure diet providing 3.85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10%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#D12450H) and the high fat diet was a semi pure diet providing 4.73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/g and 45% </w:t>
                        </w:r>
                        <w:proofErr w:type="spellStart"/>
                        <w:r w:rsidR="00B21639">
                          <w:rPr>
                            <w:rFonts w:ascii="Times New Roman" w:hAnsi="Times New Roman" w:cs="Times New Roman"/>
                          </w:rPr>
                          <w:t>kCal</w:t>
                        </w:r>
                        <w:proofErr w:type="spellEnd"/>
                        <w:r w:rsidR="00B21639">
                          <w:rPr>
                            <w:rFonts w:ascii="Times New Roman" w:hAnsi="Times New Roman" w:cs="Times New Roman"/>
                          </w:rPr>
                          <w:t xml:space="preserve"> as fat (Research Diets #D12451).</w:t>
                        </w:r>
                        <w:bookmarkStart w:id="268" w:name="_GoBack"/>
                        <w:bookmarkEnd w:id="268"/>
                      </w:p>
                    </w:txbxContent>
                  </v:textbox>
                  <w10:wrap type="square"/>
                </v:shape>
              </w:pict>
            </mc:Fallback>
          </mc:AlternateContent>
        </w:r>
      </w:ins>
    </w:p>
    <w:p w14:paraId="6D78B924" w14:textId="0A0DB755" w:rsidR="00217B4C" w:rsidRDefault="00217B4C" w:rsidP="002C21F8">
      <w:pPr>
        <w:rPr>
          <w:ins w:id="269" w:author="Dave Bridges" w:date="2016-03-08T08:29:00Z"/>
          <w:rFonts w:ascii="Times New Roman" w:hAnsi="Times New Roman" w:cs="Times New Roman"/>
          <w:sz w:val="20"/>
          <w:szCs w:val="20"/>
        </w:rPr>
      </w:pPr>
    </w:p>
    <w:p w14:paraId="434B967E" w14:textId="77777777" w:rsidR="00BA6520" w:rsidRDefault="00BA6520" w:rsidP="002C21F8">
      <w:pPr>
        <w:rPr>
          <w:ins w:id="270" w:author="Dave Bridges" w:date="2016-03-08T08:29:00Z"/>
          <w:rFonts w:ascii="Times New Roman" w:hAnsi="Times New Roman" w:cs="Times New Roman"/>
          <w:sz w:val="20"/>
          <w:szCs w:val="20"/>
        </w:rPr>
      </w:pPr>
    </w:p>
    <w:p w14:paraId="45D932A5" w14:textId="0A7A3A51" w:rsidR="00BA6520" w:rsidRPr="00BA6520" w:rsidRDefault="00BA6520" w:rsidP="002C21F8">
      <w:pPr>
        <w:rPr>
          <w:ins w:id="271" w:author="Dave Bridges" w:date="2016-03-08T08:29:00Z"/>
          <w:rFonts w:ascii="Times New Roman" w:hAnsi="Times New Roman" w:cs="Times New Roman"/>
          <w:b/>
          <w:sz w:val="20"/>
          <w:szCs w:val="20"/>
          <w:rPrChange w:id="272" w:author="Dave Bridges" w:date="2016-03-08T08:29:00Z">
            <w:rPr>
              <w:ins w:id="273" w:author="Dave Bridges" w:date="2016-03-08T08:29:00Z"/>
              <w:rFonts w:ascii="Times New Roman" w:hAnsi="Times New Roman" w:cs="Times New Roman"/>
              <w:sz w:val="20"/>
              <w:szCs w:val="20"/>
            </w:rPr>
          </w:rPrChange>
        </w:rPr>
      </w:pPr>
      <w:ins w:id="274" w:author="Dave Bridges" w:date="2016-03-08T08:29:00Z">
        <w:r w:rsidRPr="00BA6520">
          <w:rPr>
            <w:rFonts w:ascii="Times New Roman" w:hAnsi="Times New Roman" w:cs="Times New Roman"/>
            <w:b/>
            <w:sz w:val="20"/>
            <w:szCs w:val="20"/>
            <w:rPrChange w:id="275" w:author="Dave Bridges" w:date="2016-03-08T08:29:00Z">
              <w:rPr>
                <w:rFonts w:ascii="Times New Roman" w:hAnsi="Times New Roman" w:cs="Times New Roman"/>
                <w:sz w:val="20"/>
                <w:szCs w:val="20"/>
              </w:rPr>
            </w:rPrChange>
          </w:rPr>
          <w:t>References for this Response</w:t>
        </w:r>
      </w:ins>
    </w:p>
    <w:p w14:paraId="397451B5" w14:textId="15BBF202" w:rsidR="00D74452" w:rsidRPr="00D74452" w:rsidRDefault="00BA6520" w:rsidP="00D74452">
      <w:pPr>
        <w:widowControl w:val="0"/>
        <w:autoSpaceDE w:val="0"/>
        <w:autoSpaceDN w:val="0"/>
        <w:adjustRightInd w:val="0"/>
        <w:spacing w:line="240" w:lineRule="auto"/>
        <w:ind w:left="640" w:hanging="640"/>
        <w:rPr>
          <w:rFonts w:ascii="Times New Roman" w:hAnsi="Times New Roman" w:cs="Times New Roman"/>
          <w:noProof/>
          <w:sz w:val="20"/>
          <w:szCs w:val="24"/>
        </w:rPr>
      </w:pPr>
      <w:ins w:id="276" w:author="Dave Bridges" w:date="2016-03-08T08:29:00Z">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ins>
      <w:r>
        <w:rPr>
          <w:rFonts w:ascii="Times New Roman" w:hAnsi="Times New Roman" w:cs="Times New Roman"/>
          <w:sz w:val="20"/>
          <w:szCs w:val="20"/>
        </w:rPr>
        <w:fldChar w:fldCharType="separate"/>
      </w:r>
      <w:r w:rsidR="00D74452" w:rsidRPr="00D74452">
        <w:rPr>
          <w:rFonts w:ascii="Times New Roman" w:hAnsi="Times New Roman" w:cs="Times New Roman"/>
          <w:noProof/>
          <w:sz w:val="20"/>
          <w:szCs w:val="24"/>
        </w:rPr>
        <w:t xml:space="preserve">1. </w:t>
      </w:r>
      <w:r w:rsidR="00D74452" w:rsidRPr="00D74452">
        <w:rPr>
          <w:rFonts w:ascii="Times New Roman" w:hAnsi="Times New Roman" w:cs="Times New Roman"/>
          <w:noProof/>
          <w:sz w:val="20"/>
          <w:szCs w:val="24"/>
        </w:rPr>
        <w:tab/>
      </w:r>
      <w:r w:rsidR="00D74452" w:rsidRPr="00D74452">
        <w:rPr>
          <w:rFonts w:ascii="Times New Roman" w:hAnsi="Times New Roman" w:cs="Times New Roman"/>
          <w:b/>
          <w:bCs/>
          <w:noProof/>
          <w:sz w:val="20"/>
          <w:szCs w:val="24"/>
        </w:rPr>
        <w:t>Gali Ramamoorthy T</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Laverny G</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Schlagowski A-I</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Zoll J</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Messaddeq N</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Bornert J-M</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Panza S</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Ferry A</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Geny B</w:t>
      </w:r>
      <w:r w:rsidR="00D74452" w:rsidRPr="00D74452">
        <w:rPr>
          <w:rFonts w:ascii="Times New Roman" w:hAnsi="Times New Roman" w:cs="Times New Roman"/>
          <w:noProof/>
          <w:sz w:val="20"/>
          <w:szCs w:val="24"/>
        </w:rPr>
        <w:t xml:space="preserve">, </w:t>
      </w:r>
      <w:r w:rsidR="00D74452" w:rsidRPr="00D74452">
        <w:rPr>
          <w:rFonts w:ascii="Times New Roman" w:hAnsi="Times New Roman" w:cs="Times New Roman"/>
          <w:b/>
          <w:bCs/>
          <w:noProof/>
          <w:sz w:val="20"/>
          <w:szCs w:val="24"/>
        </w:rPr>
        <w:t>Metzger D</w:t>
      </w:r>
      <w:r w:rsidR="00D74452" w:rsidRPr="00D74452">
        <w:rPr>
          <w:rFonts w:ascii="Times New Roman" w:hAnsi="Times New Roman" w:cs="Times New Roman"/>
          <w:noProof/>
          <w:sz w:val="20"/>
          <w:szCs w:val="24"/>
        </w:rPr>
        <w:t xml:space="preserve">. The transcriptional coregulator PGC-1β controls mitochondrial function and anti-oxidant defence in skeletal muscles. </w:t>
      </w:r>
      <w:r w:rsidR="00D74452" w:rsidRPr="00D74452">
        <w:rPr>
          <w:rFonts w:ascii="Times New Roman" w:hAnsi="Times New Roman" w:cs="Times New Roman"/>
          <w:i/>
          <w:iCs/>
          <w:noProof/>
          <w:sz w:val="20"/>
          <w:szCs w:val="24"/>
        </w:rPr>
        <w:t>Nat Commun</w:t>
      </w:r>
      <w:r w:rsidR="00D74452" w:rsidRPr="00D74452">
        <w:rPr>
          <w:rFonts w:ascii="Times New Roman" w:hAnsi="Times New Roman" w:cs="Times New Roman"/>
          <w:noProof/>
          <w:sz w:val="20"/>
          <w:szCs w:val="24"/>
        </w:rPr>
        <w:t xml:space="preserve"> 6: 10210, 2015.</w:t>
      </w:r>
    </w:p>
    <w:p w14:paraId="3E6F5CC7"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2.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Riserus U</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Sprecher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Johnson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Olson 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Hirschberg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Liu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Fang Z</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Hegde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Richards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Sarov-Blat L</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Strum JC</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Basu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Cheeseman J</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Fielding B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Humphreys SM</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Danoff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Moore NR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Murgatroyd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O’Rahilly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Sutton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Willson T</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David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Frayn K</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Karpe F</w:t>
      </w:r>
      <w:r w:rsidRPr="00D74452">
        <w:rPr>
          <w:rFonts w:ascii="Times New Roman" w:hAnsi="Times New Roman" w:cs="Times New Roman"/>
          <w:noProof/>
          <w:sz w:val="20"/>
          <w:szCs w:val="24"/>
        </w:rPr>
        <w:t xml:space="preserve">. Activation of Peroxisome Proliferator–Activated Receptor (PPAR)d Promotes Reversal of Multiple Metabolic Abnormalities, Reduces Oxidative Stress, and Increases Fatty Acid Oxidation in Moderately Obese Men. </w:t>
      </w:r>
      <w:r w:rsidRPr="00D74452">
        <w:rPr>
          <w:rFonts w:ascii="Times New Roman" w:hAnsi="Times New Roman" w:cs="Times New Roman"/>
          <w:i/>
          <w:iCs/>
          <w:noProof/>
          <w:sz w:val="20"/>
          <w:szCs w:val="24"/>
        </w:rPr>
        <w:t>Diabetes</w:t>
      </w:r>
      <w:r w:rsidRPr="00D74452">
        <w:rPr>
          <w:rFonts w:ascii="Times New Roman" w:hAnsi="Times New Roman" w:cs="Times New Roman"/>
          <w:noProof/>
          <w:sz w:val="20"/>
          <w:szCs w:val="24"/>
        </w:rPr>
        <w:t xml:space="preserve"> 57: 332–339, 2008.</w:t>
      </w:r>
    </w:p>
    <w:p w14:paraId="514717D5"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szCs w:val="24"/>
        </w:rPr>
      </w:pPr>
      <w:r w:rsidRPr="00D74452">
        <w:rPr>
          <w:rFonts w:ascii="Times New Roman" w:hAnsi="Times New Roman" w:cs="Times New Roman"/>
          <w:noProof/>
          <w:sz w:val="20"/>
          <w:szCs w:val="24"/>
        </w:rPr>
        <w:t xml:space="preserve">3.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Saravia JS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You D</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Thevenot 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Lee GI</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Shrestha B</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Lomnicki S</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Cormier SA</w:t>
      </w:r>
      <w:r w:rsidRPr="00D74452">
        <w:rPr>
          <w:rFonts w:ascii="Times New Roman" w:hAnsi="Times New Roman" w:cs="Times New Roman"/>
          <w:noProof/>
          <w:sz w:val="20"/>
          <w:szCs w:val="24"/>
        </w:rPr>
        <w:t xml:space="preserve">. Early-life exposure to combustion-derived particulate matter causes pulmonary immunosuppression. </w:t>
      </w:r>
      <w:r w:rsidRPr="00D74452">
        <w:rPr>
          <w:rFonts w:ascii="Times New Roman" w:hAnsi="Times New Roman" w:cs="Times New Roman"/>
          <w:i/>
          <w:iCs/>
          <w:noProof/>
          <w:sz w:val="20"/>
          <w:szCs w:val="24"/>
        </w:rPr>
        <w:t>Mucosal Immunol</w:t>
      </w:r>
      <w:r w:rsidRPr="00D74452">
        <w:rPr>
          <w:rFonts w:ascii="Times New Roman" w:hAnsi="Times New Roman" w:cs="Times New Roman"/>
          <w:noProof/>
          <w:sz w:val="20"/>
          <w:szCs w:val="24"/>
        </w:rPr>
        <w:t xml:space="preserve"> 7: 694–704, 2014.</w:t>
      </w:r>
    </w:p>
    <w:p w14:paraId="2F6A228B" w14:textId="77777777" w:rsidR="00D74452" w:rsidRPr="00D74452" w:rsidRDefault="00D74452" w:rsidP="00D74452">
      <w:pPr>
        <w:widowControl w:val="0"/>
        <w:autoSpaceDE w:val="0"/>
        <w:autoSpaceDN w:val="0"/>
        <w:adjustRightInd w:val="0"/>
        <w:spacing w:line="240" w:lineRule="auto"/>
        <w:ind w:left="640" w:hanging="640"/>
        <w:rPr>
          <w:rFonts w:ascii="Times New Roman" w:hAnsi="Times New Roman" w:cs="Times New Roman"/>
          <w:noProof/>
          <w:sz w:val="20"/>
        </w:rPr>
      </w:pPr>
      <w:r w:rsidRPr="00D74452">
        <w:rPr>
          <w:rFonts w:ascii="Times New Roman" w:hAnsi="Times New Roman" w:cs="Times New Roman"/>
          <w:noProof/>
          <w:sz w:val="20"/>
          <w:szCs w:val="24"/>
        </w:rPr>
        <w:t xml:space="preserve">4. </w:t>
      </w:r>
      <w:r w:rsidRPr="00D74452">
        <w:rPr>
          <w:rFonts w:ascii="Times New Roman" w:hAnsi="Times New Roman" w:cs="Times New Roman"/>
          <w:noProof/>
          <w:sz w:val="20"/>
          <w:szCs w:val="24"/>
        </w:rPr>
        <w:tab/>
      </w:r>
      <w:r w:rsidRPr="00D74452">
        <w:rPr>
          <w:rFonts w:ascii="Times New Roman" w:hAnsi="Times New Roman" w:cs="Times New Roman"/>
          <w:b/>
          <w:bCs/>
          <w:noProof/>
          <w:sz w:val="20"/>
          <w:szCs w:val="24"/>
        </w:rPr>
        <w:t>Siegel MP</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Kruse SE</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Knowels G</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Salmon A</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Beyer 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Xie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van Remmen H</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Smith SR</w:t>
      </w:r>
      <w:r w:rsidRPr="00D74452">
        <w:rPr>
          <w:rFonts w:ascii="Times New Roman" w:hAnsi="Times New Roman" w:cs="Times New Roman"/>
          <w:noProof/>
          <w:sz w:val="20"/>
          <w:szCs w:val="24"/>
        </w:rPr>
        <w:t xml:space="preserve">, </w:t>
      </w:r>
      <w:r w:rsidRPr="00D74452">
        <w:rPr>
          <w:rFonts w:ascii="Times New Roman" w:hAnsi="Times New Roman" w:cs="Times New Roman"/>
          <w:b/>
          <w:bCs/>
          <w:noProof/>
          <w:sz w:val="20"/>
          <w:szCs w:val="24"/>
        </w:rPr>
        <w:t>Marcinek DJ</w:t>
      </w:r>
      <w:r w:rsidRPr="00D74452">
        <w:rPr>
          <w:rFonts w:ascii="Times New Roman" w:hAnsi="Times New Roman" w:cs="Times New Roman"/>
          <w:noProof/>
          <w:sz w:val="20"/>
          <w:szCs w:val="24"/>
        </w:rPr>
        <w:t xml:space="preserve">. Reduced coupling of oxidative phosphorylation In Vivo precedes electron transport chain defects due to mild oxidative stress in mice. </w:t>
      </w:r>
      <w:r w:rsidRPr="00D74452">
        <w:rPr>
          <w:rFonts w:ascii="Times New Roman" w:hAnsi="Times New Roman" w:cs="Times New Roman"/>
          <w:i/>
          <w:iCs/>
          <w:noProof/>
          <w:sz w:val="20"/>
          <w:szCs w:val="24"/>
        </w:rPr>
        <w:t>PLoS One</w:t>
      </w:r>
      <w:r w:rsidRPr="00D74452">
        <w:rPr>
          <w:rFonts w:ascii="Times New Roman" w:hAnsi="Times New Roman" w:cs="Times New Roman"/>
          <w:noProof/>
          <w:sz w:val="20"/>
          <w:szCs w:val="24"/>
        </w:rPr>
        <w:t xml:space="preserve"> 6, 2011.</w:t>
      </w:r>
    </w:p>
    <w:p w14:paraId="3878B9BC" w14:textId="03954C76" w:rsidR="00BA6520" w:rsidRPr="00031F8C" w:rsidRDefault="00BA6520" w:rsidP="00D74452">
      <w:pPr>
        <w:widowControl w:val="0"/>
        <w:autoSpaceDE w:val="0"/>
        <w:autoSpaceDN w:val="0"/>
        <w:adjustRightInd w:val="0"/>
        <w:spacing w:line="240" w:lineRule="auto"/>
        <w:ind w:left="640" w:hanging="640"/>
        <w:rPr>
          <w:rFonts w:ascii="Times New Roman" w:hAnsi="Times New Roman" w:cs="Times New Roman"/>
          <w:sz w:val="20"/>
          <w:szCs w:val="20"/>
        </w:rPr>
      </w:pPr>
      <w:ins w:id="277" w:author="Dave Bridges" w:date="2016-03-08T08:29:00Z">
        <w:r>
          <w:rPr>
            <w:rFonts w:ascii="Times New Roman" w:hAnsi="Times New Roman" w:cs="Times New Roman"/>
            <w:sz w:val="20"/>
            <w:szCs w:val="20"/>
          </w:rPr>
          <w:fldChar w:fldCharType="end"/>
        </w:r>
      </w:ins>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6-03-08T08:13:00Z" w:initials="DB">
    <w:p w14:paraId="3C270B71" w14:textId="5D3B510C" w:rsidR="00DE1B82" w:rsidRDefault="00DE1B82">
      <w:pPr>
        <w:pStyle w:val="CommentText"/>
      </w:pPr>
      <w:r>
        <w:rPr>
          <w:rStyle w:val="CommentReference"/>
        </w:rPr>
        <w:annotationRef/>
      </w:r>
      <w:r>
        <w:t>Erin highlight the key new data, such as the oxidative stress stuff</w:t>
      </w:r>
    </w:p>
  </w:comment>
  <w:comment w:id="14" w:author="Dave Bridges" w:date="2016-03-08T08:15:00Z" w:initials="DB">
    <w:p w14:paraId="1D970A17" w14:textId="0DA2D876" w:rsidR="00DE1B82" w:rsidRDefault="00DE1B82">
      <w:pPr>
        <w:pStyle w:val="CommentText"/>
      </w:pPr>
      <w:r>
        <w:rPr>
          <w:rStyle w:val="CommentReference"/>
        </w:rPr>
        <w:annotationRef/>
      </w:r>
      <w:r>
        <w:t>Add this</w:t>
      </w:r>
    </w:p>
  </w:comment>
  <w:comment w:id="24" w:author="Dave Bridges" w:date="2016-03-08T08:22:00Z" w:initials="DB">
    <w:p w14:paraId="7DF46F91" w14:textId="49A82986" w:rsidR="00DE1B82" w:rsidRDefault="00DE1B82">
      <w:pPr>
        <w:pStyle w:val="CommentText"/>
      </w:pPr>
      <w:r>
        <w:rPr>
          <w:rStyle w:val="CommentReference"/>
        </w:rPr>
        <w:annotationRef/>
      </w:r>
      <w:r>
        <w:t xml:space="preserve">I think that we need to mention GLP1 and Ghrelin in this response. </w:t>
      </w:r>
    </w:p>
  </w:comment>
  <w:comment w:id="35" w:author="Dave Bridges" w:date="2016-03-08T08:25:00Z" w:initials="DB">
    <w:p w14:paraId="2A1B2C67" w14:textId="3A088AA6" w:rsidR="00DE1B82" w:rsidRDefault="00DE1B82">
      <w:pPr>
        <w:pStyle w:val="CommentText"/>
      </w:pPr>
      <w:r>
        <w:rPr>
          <w:rStyle w:val="CommentReference"/>
        </w:rPr>
        <w:annotationRef/>
      </w:r>
      <w:r>
        <w:t xml:space="preserve">Is there any evidence that oxidative stress increases </w:t>
      </w:r>
      <w:proofErr w:type="spellStart"/>
      <w:r>
        <w:t>Pppard</w:t>
      </w:r>
      <w:proofErr w:type="spellEnd"/>
      <w:r>
        <w:t xml:space="preserve"> transcript levels, that would be better data to support this statement.</w:t>
      </w:r>
    </w:p>
  </w:comment>
  <w:comment w:id="34" w:author="Dave Bridges" w:date="2016-03-08T08:42:00Z" w:initials="DB">
    <w:p w14:paraId="1C0F802A" w14:textId="3C7C1235" w:rsidR="00DE1B82" w:rsidRDefault="00DE1B82" w:rsidP="00A8649A">
      <w:pPr>
        <w:pStyle w:val="CommentText"/>
        <w:spacing w:line="480" w:lineRule="auto"/>
      </w:pPr>
      <w:r>
        <w:rPr>
          <w:rStyle w:val="CommentReference"/>
        </w:rPr>
        <w:annotationRef/>
      </w:r>
      <w:r>
        <w:t>We don’t have any interpretations in the discussion on this point.  If we can say confidently that PGC1b/</w:t>
      </w:r>
      <w:proofErr w:type="spellStart"/>
      <w:r>
        <w:t>PPARd</w:t>
      </w:r>
      <w:proofErr w:type="spellEnd"/>
      <w:r>
        <w:t>/UCP2 are all in response to OS, then we should add that line to the manuscript and here.</w:t>
      </w:r>
    </w:p>
  </w:comment>
  <w:comment w:id="81" w:author="Dave Bridges" w:date="2016-03-08T08:44:00Z" w:initials="DB">
    <w:p w14:paraId="0604D4A0" w14:textId="6C491B29" w:rsidR="00DE1B82" w:rsidRDefault="00DE1B82">
      <w:pPr>
        <w:pStyle w:val="CommentText"/>
      </w:pPr>
      <w:r>
        <w:rPr>
          <w:rStyle w:val="CommentReference"/>
        </w:rPr>
        <w:annotationRef/>
      </w:r>
      <w:r>
        <w:t>Is there an interpretation of this in the discussion?</w:t>
      </w:r>
    </w:p>
  </w:comment>
  <w:comment w:id="138" w:author="Dave Bridges" w:date="2016-03-08T09:25:00Z" w:initials="DB">
    <w:p w14:paraId="0D562200" w14:textId="6EF6D23A" w:rsidR="00DE1B82" w:rsidRDefault="00DE1B82">
      <w:pPr>
        <w:pStyle w:val="CommentText"/>
      </w:pPr>
      <w:r>
        <w:rPr>
          <w:rStyle w:val="CommentReference"/>
        </w:rPr>
        <w:annotationRef/>
      </w:r>
      <w:r>
        <w:t>Significant?</w:t>
      </w:r>
    </w:p>
  </w:comment>
  <w:comment w:id="139" w:author="Dave Bridges" w:date="2016-03-08T09:25:00Z" w:initials="DB">
    <w:p w14:paraId="218D074B" w14:textId="320F3AF9" w:rsidR="00DE1B82" w:rsidRDefault="00DE1B82">
      <w:pPr>
        <w:pStyle w:val="CommentText"/>
      </w:pPr>
      <w:r>
        <w:rPr>
          <w:rStyle w:val="CommentReference"/>
        </w:rPr>
        <w:annotationRef/>
      </w:r>
      <w:r>
        <w:t>Put that data here</w:t>
      </w:r>
    </w:p>
  </w:comment>
  <w:comment w:id="149" w:author="Dave Bridges" w:date="2016-03-08T09:28:00Z" w:initials="DB">
    <w:p w14:paraId="772B4BDC" w14:textId="468D7F6E" w:rsidR="00DE1B82" w:rsidRDefault="00DE1B82">
      <w:pPr>
        <w:pStyle w:val="CommentText"/>
      </w:pPr>
      <w:r>
        <w:rPr>
          <w:rStyle w:val="CommentReference"/>
        </w:rPr>
        <w:annotationRef/>
      </w:r>
      <w:r>
        <w:t>Show this normalized to Fat free mass, not weight</w:t>
      </w:r>
    </w:p>
  </w:comment>
  <w:comment w:id="158" w:author="Dave Bridges" w:date="2016-03-08T09:28:00Z" w:initials="DB">
    <w:p w14:paraId="6A111BE1" w14:textId="740A6740" w:rsidR="00DE1B82" w:rsidRDefault="00DE1B82">
      <w:pPr>
        <w:pStyle w:val="CommentText"/>
      </w:pPr>
      <w:r>
        <w:rPr>
          <w:rStyle w:val="CommentReference"/>
        </w:rPr>
        <w:annotationRef/>
      </w:r>
      <w:r>
        <w:t xml:space="preserve">Add p-value for Saline vs </w:t>
      </w:r>
      <w:proofErr w:type="spellStart"/>
      <w:r>
        <w:t>Cabosil</w:t>
      </w:r>
      <w:proofErr w:type="spellEnd"/>
    </w:p>
  </w:comment>
  <w:comment w:id="167" w:author="Dave Bridges" w:date="2016-03-08T09:33:00Z" w:initials="DB">
    <w:p w14:paraId="73D24477" w14:textId="04096E11" w:rsidR="00DE1B82" w:rsidRDefault="00DE1B82">
      <w:pPr>
        <w:pStyle w:val="CommentText"/>
      </w:pPr>
      <w:r>
        <w:rPr>
          <w:rStyle w:val="CommentReference"/>
        </w:rPr>
        <w:annotationRef/>
      </w:r>
      <w:r>
        <w:t>Of what? PM2.5?  EPFRs?</w:t>
      </w:r>
    </w:p>
  </w:comment>
  <w:comment w:id="215" w:author="Dave Bridges" w:date="2016-03-08T10:11:00Z" w:initials="DB">
    <w:p w14:paraId="3BF67121" w14:textId="67A5E639" w:rsidR="00DE1B82" w:rsidRDefault="00DE1B82">
      <w:pPr>
        <w:pStyle w:val="CommentText"/>
      </w:pPr>
      <w:r>
        <w:rPr>
          <w:rStyle w:val="CommentReference"/>
        </w:rPr>
        <w:annotationRef/>
      </w:r>
      <w:r>
        <w:t>Maybe also PGC1a/</w:t>
      </w:r>
      <w:proofErr w:type="spellStart"/>
      <w:r>
        <w:t>PPARd</w:t>
      </w:r>
      <w:proofErr w:type="spellEnd"/>
    </w:p>
  </w:comment>
  <w:comment w:id="256" w:author="Dave Bridges" w:date="2016-03-08T10:23:00Z" w:initials="DB">
    <w:p w14:paraId="3AC2DC5F" w14:textId="4634D92D" w:rsidR="00DE1B82" w:rsidRDefault="00DE1B82">
      <w:pPr>
        <w:pStyle w:val="CommentText"/>
      </w:pPr>
      <w:r>
        <w:rPr>
          <w:rStyle w:val="CommentReference"/>
        </w:rPr>
        <w:annotationRef/>
      </w:r>
      <w:r>
        <w:t>Pull out Matt’s insulin/glucose/</w:t>
      </w:r>
      <w:proofErr w:type="spellStart"/>
      <w:r>
        <w:t>homa</w:t>
      </w:r>
      <w:proofErr w:type="spellEnd"/>
      <w:r>
        <w:t xml:space="preserve"> and body weight data from his CD fed animals (should be on bower or here </w:t>
      </w:r>
      <w:hyperlink r:id="rId1" w:history="1">
        <w:r w:rsidRPr="004C533A">
          <w:rPr>
            <w:rStyle w:val="Hyperlink"/>
          </w:rPr>
          <w:t>https://github.com/BridgesLab/PredictorsDietInducedObesity</w:t>
        </w:r>
      </w:hyperlink>
      <w:r>
        <w:t>).  Graph our results beside CD/NCD values to show that the diet had some effect on all of these.</w:t>
      </w:r>
    </w:p>
  </w:comment>
  <w:comment w:id="257" w:author="Stephenson, Erin" w:date="2016-03-03T14:27:00Z" w:initials="SE">
    <w:p w14:paraId="49427B76" w14:textId="0D30B9F3" w:rsidR="00DE1B82" w:rsidRDefault="00DE1B82">
      <w:pPr>
        <w:pStyle w:val="CommentText"/>
      </w:pPr>
      <w:r>
        <w:rPr>
          <w:rStyle w:val="CommentReference"/>
        </w:rPr>
        <w:annotationRef/>
      </w:r>
      <w:r>
        <w:t xml:space="preserve">I’m not sure what you mean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1D970A17" w15:done="0"/>
  <w15:commentEx w15:paraId="7DF46F91" w15:done="0"/>
  <w15:commentEx w15:paraId="2A1B2C67" w15:done="0"/>
  <w15:commentEx w15:paraId="1C0F802A" w15:done="0"/>
  <w15:commentEx w15:paraId="0604D4A0" w15:done="0"/>
  <w15:commentEx w15:paraId="0D562200" w15:done="0"/>
  <w15:commentEx w15:paraId="218D074B" w15:done="0"/>
  <w15:commentEx w15:paraId="772B4BDC" w15:done="0"/>
  <w15:commentEx w15:paraId="6A111BE1" w15:done="0"/>
  <w15:commentEx w15:paraId="73D24477" w15:done="0"/>
  <w15:commentEx w15:paraId="3BF67121" w15:done="0"/>
  <w15:commentEx w15:paraId="3AC2DC5F" w15:done="0"/>
  <w15:commentEx w15:paraId="49427B76" w15:paraIdParent="3AC2D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6B41"/>
    <w:rsid w:val="000F1ACF"/>
    <w:rsid w:val="000F5145"/>
    <w:rsid w:val="00102752"/>
    <w:rsid w:val="00106E87"/>
    <w:rsid w:val="001077DD"/>
    <w:rsid w:val="00110E12"/>
    <w:rsid w:val="0011571F"/>
    <w:rsid w:val="0012090A"/>
    <w:rsid w:val="00122DCF"/>
    <w:rsid w:val="0012620B"/>
    <w:rsid w:val="00131709"/>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1F70EA"/>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BFC"/>
    <w:rsid w:val="005D7CDD"/>
    <w:rsid w:val="005E3ECA"/>
    <w:rsid w:val="005E5DC2"/>
    <w:rsid w:val="005F095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B3039"/>
    <w:rsid w:val="007C0B45"/>
    <w:rsid w:val="007C6E62"/>
    <w:rsid w:val="007D06EE"/>
    <w:rsid w:val="007D60D0"/>
    <w:rsid w:val="007E01F5"/>
    <w:rsid w:val="007E1F1C"/>
    <w:rsid w:val="007F5619"/>
    <w:rsid w:val="007F7F98"/>
    <w:rsid w:val="0080266A"/>
    <w:rsid w:val="00803BAC"/>
    <w:rsid w:val="008058DD"/>
    <w:rsid w:val="0080748A"/>
    <w:rsid w:val="00807E55"/>
    <w:rsid w:val="00813A81"/>
    <w:rsid w:val="00814C6D"/>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25CF"/>
    <w:rsid w:val="00996801"/>
    <w:rsid w:val="009A2C46"/>
    <w:rsid w:val="009B1C0F"/>
    <w:rsid w:val="009B1E34"/>
    <w:rsid w:val="009B69F6"/>
    <w:rsid w:val="009C1BC4"/>
    <w:rsid w:val="009C21CB"/>
    <w:rsid w:val="009C6880"/>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61A2A"/>
    <w:rsid w:val="00A66E35"/>
    <w:rsid w:val="00A709FB"/>
    <w:rsid w:val="00A72131"/>
    <w:rsid w:val="00A728CC"/>
    <w:rsid w:val="00A831A1"/>
    <w:rsid w:val="00A839F8"/>
    <w:rsid w:val="00A85205"/>
    <w:rsid w:val="00A8624D"/>
    <w:rsid w:val="00A8649A"/>
    <w:rsid w:val="00A86D06"/>
    <w:rsid w:val="00A931E1"/>
    <w:rsid w:val="00AA28FB"/>
    <w:rsid w:val="00AA7040"/>
    <w:rsid w:val="00AB2FFB"/>
    <w:rsid w:val="00AC0E3E"/>
    <w:rsid w:val="00AC1A0A"/>
    <w:rsid w:val="00AC203F"/>
    <w:rsid w:val="00AE4249"/>
    <w:rsid w:val="00AF1AA4"/>
    <w:rsid w:val="00B03F97"/>
    <w:rsid w:val="00B12835"/>
    <w:rsid w:val="00B17FB4"/>
    <w:rsid w:val="00B21639"/>
    <w:rsid w:val="00B23A5D"/>
    <w:rsid w:val="00B3708F"/>
    <w:rsid w:val="00B418BF"/>
    <w:rsid w:val="00B42B45"/>
    <w:rsid w:val="00B43776"/>
    <w:rsid w:val="00B456BF"/>
    <w:rsid w:val="00B52974"/>
    <w:rsid w:val="00B5446F"/>
    <w:rsid w:val="00B60614"/>
    <w:rsid w:val="00B661C8"/>
    <w:rsid w:val="00B666D4"/>
    <w:rsid w:val="00B74327"/>
    <w:rsid w:val="00B7543F"/>
    <w:rsid w:val="00B75D8A"/>
    <w:rsid w:val="00B810EA"/>
    <w:rsid w:val="00B83EB8"/>
    <w:rsid w:val="00B85F72"/>
    <w:rsid w:val="00B86387"/>
    <w:rsid w:val="00B9068E"/>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6D44"/>
    <w:rsid w:val="00BD0960"/>
    <w:rsid w:val="00BD2A88"/>
    <w:rsid w:val="00BD399C"/>
    <w:rsid w:val="00BE292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5468"/>
    <w:rsid w:val="00CF6519"/>
    <w:rsid w:val="00D01E5C"/>
    <w:rsid w:val="00D02743"/>
    <w:rsid w:val="00D04676"/>
    <w:rsid w:val="00D05356"/>
    <w:rsid w:val="00D078B9"/>
    <w:rsid w:val="00D13A3E"/>
    <w:rsid w:val="00D13C03"/>
    <w:rsid w:val="00D155D4"/>
    <w:rsid w:val="00D165E9"/>
    <w:rsid w:val="00D17122"/>
    <w:rsid w:val="00D2433B"/>
    <w:rsid w:val="00D32C5B"/>
    <w:rsid w:val="00D33C9C"/>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6B21"/>
    <w:rsid w:val="00F37C23"/>
    <w:rsid w:val="00F4030F"/>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C294C3C3-D067-4142-BC96-4CADF65A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BridgesLab/PredictorsDietInducedObesity"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eph16\Documents\GitHub\ObesityParticulateTreatment\data\HOMA%20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0.48684720603101145</c:v>
                  </c:pt>
                </c:numCache>
              </c:numRef>
            </c:plus>
            <c:minus>
              <c:numRef>
                <c:f>'Predictors of DIO vs Particulat'!$AB$7</c:f>
                <c:numCache>
                  <c:formatCode>General</c:formatCode>
                  <c:ptCount val="1"/>
                  <c:pt idx="0">
                    <c:v>0.48684720603101145</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27.033333333333331</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0.63323934139633453</c:v>
                  </c:pt>
                </c:numCache>
              </c:numRef>
            </c:plus>
            <c:minus>
              <c:numRef>
                <c:f>'Predictors of DIO vs Particulat'!$L$7</c:f>
                <c:numCache>
                  <c:formatCode>General</c:formatCode>
                  <c:ptCount val="1"/>
                  <c:pt idx="0">
                    <c:v>0.63323934139633453</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36.050000000000004</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0.45708488576826073</c:v>
                  </c:pt>
                </c:numCache>
              </c:numRef>
            </c:plus>
            <c:minus>
              <c:numRef>
                <c:f>'Predictors of DIO vs Particulat'!$P$7</c:f>
                <c:numCache>
                  <c:formatCode>General</c:formatCode>
                  <c:ptCount val="1"/>
                  <c:pt idx="0">
                    <c:v>0.45708488576826073</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42.939473684210519</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0.57743535989768258</c:v>
                  </c:pt>
                </c:numCache>
              </c:numRef>
            </c:plus>
            <c:minus>
              <c:numRef>
                <c:f>'Predictors of DIO vs Particulat'!$T$7</c:f>
                <c:numCache>
                  <c:formatCode>General</c:formatCode>
                  <c:ptCount val="1"/>
                  <c:pt idx="0">
                    <c:v>0.57743535989768258</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43.885714285714286</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0.64608130496987692</c:v>
                  </c:pt>
                </c:numCache>
              </c:numRef>
            </c:plus>
            <c:minus>
              <c:numRef>
                <c:f>'Predictors of DIO vs Particulat'!$X$7</c:f>
                <c:numCache>
                  <c:formatCode>General</c:formatCode>
                  <c:ptCount val="1"/>
                  <c:pt idx="0">
                    <c:v>0.64608130496987692</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48.400000000000006</c:v>
                </c:pt>
              </c:numCache>
            </c:numRef>
          </c:val>
        </c:ser>
        <c:dLbls>
          <c:showLegendKey val="0"/>
          <c:showVal val="0"/>
          <c:showCatName val="0"/>
          <c:showSerName val="0"/>
          <c:showPercent val="0"/>
          <c:showBubbleSize val="0"/>
        </c:dLbls>
        <c:gapWidth val="0"/>
        <c:overlap val="-27"/>
        <c:axId val="172946096"/>
        <c:axId val="172947664"/>
      </c:barChart>
      <c:catAx>
        <c:axId val="172946096"/>
        <c:scaling>
          <c:orientation val="minMax"/>
        </c:scaling>
        <c:delete val="1"/>
        <c:axPos val="b"/>
        <c:majorTickMark val="none"/>
        <c:minorTickMark val="none"/>
        <c:tickLblPos val="nextTo"/>
        <c:crossAx val="172947664"/>
        <c:crosses val="autoZero"/>
        <c:auto val="1"/>
        <c:lblAlgn val="ctr"/>
        <c:lblOffset val="100"/>
        <c:noMultiLvlLbl val="0"/>
      </c:catAx>
      <c:valAx>
        <c:axId val="172947664"/>
        <c:scaling>
          <c:orientation val="minMax"/>
          <c:max val="5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294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1465-8820-4DEC-B39B-9BDFE848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9</Pages>
  <Words>7770</Words>
  <Characters>44290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262</cp:revision>
  <cp:lastPrinted>2016-03-01T21:45:00Z</cp:lastPrinted>
  <dcterms:created xsi:type="dcterms:W3CDTF">2016-02-08T20:08:00Z</dcterms:created>
  <dcterms:modified xsi:type="dcterms:W3CDTF">2016-03-09T23:03:00Z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