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ED107" w14:textId="3A0575C5" w:rsidR="00824978" w:rsidRDefault="002B35C8" w:rsidP="00824978">
      <w:pPr>
        <w:pStyle w:val="Heading1"/>
      </w:pPr>
      <w:r>
        <w:t>Methods</w:t>
      </w:r>
    </w:p>
    <w:p w14:paraId="1CA6F4E2" w14:textId="19192797" w:rsidR="002B35C8" w:rsidRDefault="00421B63" w:rsidP="00FF1D3C">
      <w:pPr>
        <w:pStyle w:val="Heading2"/>
      </w:pPr>
      <w:r>
        <w:t>SNP</w:t>
      </w:r>
      <w:r w:rsidR="002B35C8">
        <w:t xml:space="preserve"> Instrument Selection</w:t>
      </w:r>
    </w:p>
    <w:p w14:paraId="6C11CA6A" w14:textId="4313525A" w:rsidR="002B35C8" w:rsidRDefault="002B35C8" w:rsidP="002820CC">
      <w:pPr>
        <w:rPr>
          <w:rFonts w:cs="Cambria Math"/>
        </w:rPr>
      </w:pPr>
      <w:r w:rsidRPr="002820CC">
        <w:t>For each of our exposures we selected variants associated with that exposure from UK Biobank summary statistics</w:t>
      </w:r>
      <w:r w:rsidR="00B46D8E" w:rsidRPr="002820CC">
        <w:t xml:space="preserve"> (RRID:SCR_026189; </w:t>
      </w:r>
      <w:r w:rsidR="00532FC4" w:rsidRPr="002820CC">
        <w:fldChar w:fldCharType="begin"/>
      </w:r>
      <w:r w:rsidR="00532FC4" w:rsidRPr="002820CC">
        <w:instrText xml:space="preserve"> ADDIN ZOTERO_ITEM CSL_CITATION {"citationID":"reOoRbeU","properties":{"formattedCitation":"[1]","plainCitation":"[1]","noteIndex":0},"citationItems":[{"id":27087,"uris":["http://zotero.org/users/7317906/items/D75P3HJ8"],"itemData":{"id":27087,"type":"article-journal","abstract":"The UK Biobank project is a prospective cohort study with deep genetic and phenotypic data collected on approximately 500,000 individuals from across the United Kingdom, aged between 40 and 69 at recruitment. The open resource is unique in its size and scope. A rich variety of phenotypic and health-related information is available on each participant, including biological measurements, lifestyle indicators, biomarkers in blood and urine, and imaging of the body and brain. Follow-up information is provided by linking health and medical records. Genome-wide genotype data have been collected on all participants, providing many opportunities for the discovery of new genetic associations and the genetic bases of complex traits. Here we describe the centralized analysis of the genetic data, including genotype quality, properties of population structure and relatedness of the genetic data, and efficient phasing and genotype imputation that increases the number of testable variants to around 96 million. Classical allelic variation at 11 human leukocyte antigen genes was imputed, resulting in the recovery of signals with known associations between human leukocyte antigen alleles and many diseases.","container-title":"Nature","DOI":"10.1038/s41586-018-0579-z","ISSN":"1476-4687","issue":"7726","journalAbbreviation":"Nature","language":"eng","note":"PMID: 30305743\nPMCID: PMC6786975","page":"203-209","source":"PubMed","title":"The UK Biobank resource with deep phenotyping and genomic data","volume":"562","author":[{"family":"Bycroft","given":"Clare"},{"family":"Freeman","given":"Colin"},{"family":"Petkova","given":"Desislava"},{"family":"Band","given":"Gavin"},{"family":"Elliott","given":"Lloyd T."},{"family":"Sharp","given":"Kevin"},{"family":"Motyer","given":"Allan"},{"family":"Vukcevic","given":"Damjan"},{"family":"Delaneau","given":"Olivier"},{"family":"O'Connell","given":"Jared"},{"family":"Cortes","given":"Adrian"},{"family":"Welsh","given":"Samantha"},{"family":"Young","given":"Alan"},{"family":"Effingham","given":"Mark"},{"family":"McVean","given":"Gil"},{"family":"Leslie","given":"Stephen"},{"family":"Allen","given":"Naomi"},{"family":"Donnelly","given":"Peter"},{"family":"Marchini","given":"Jonathan"}],"issued":{"date-parts":[["2018",10]]},"citation-key":"bycroftUKBiobankResource2018"}}],"schema":"https://github.com/citation-style-language/schema/raw/master/csl-citation.json"} </w:instrText>
      </w:r>
      <w:r w:rsidR="00532FC4" w:rsidRPr="002820CC">
        <w:fldChar w:fldCharType="separate"/>
      </w:r>
      <w:r w:rsidR="00532FC4" w:rsidRPr="002820CC">
        <w:rPr>
          <w:noProof/>
        </w:rPr>
        <w:t>[1]</w:t>
      </w:r>
      <w:r w:rsidR="00532FC4" w:rsidRPr="002820CC">
        <w:fldChar w:fldCharType="end"/>
      </w:r>
      <w:r w:rsidR="00B46D8E" w:rsidRPr="002820CC">
        <w:t>)</w:t>
      </w:r>
      <w:r w:rsidRPr="002820CC">
        <w:t xml:space="preserve">.  </w:t>
      </w:r>
      <w:r w:rsidR="00FF1D3C" w:rsidRPr="002820CC">
        <w:t>These included</w:t>
      </w:r>
      <w:r w:rsidRPr="002820CC">
        <w:t xml:space="preserve"> total cholesterol (trait 30690; 420</w:t>
      </w:r>
      <w:r w:rsidR="00111879">
        <w:t xml:space="preserve"> </w:t>
      </w:r>
      <w:r w:rsidRPr="002820CC">
        <w:t>607 cases), for LDL cholesterol (trait 30780; 419</w:t>
      </w:r>
      <w:r w:rsidR="00111879">
        <w:t xml:space="preserve"> </w:t>
      </w:r>
      <w:r w:rsidRPr="002820CC">
        <w:t>831 cases)</w:t>
      </w:r>
      <w:r w:rsidR="00FF1D3C" w:rsidRPr="002820CC">
        <w:t>,</w:t>
      </w:r>
      <w:r w:rsidRPr="002820CC">
        <w:t xml:space="preserve"> and serum calcium (trait 30680; 385</w:t>
      </w:r>
      <w:r w:rsidR="00111879">
        <w:t xml:space="preserve"> </w:t>
      </w:r>
      <w:r w:rsidRPr="002820CC">
        <w:t xml:space="preserve">066 cases).  </w:t>
      </w:r>
      <w:r w:rsidR="00824978" w:rsidRPr="002820CC">
        <w:t xml:space="preserve">Instruments were filtered based on linkage disequilibrium (LD) clumping, then removing variants with &lt;1% or &gt;99% allele frequencies, were not present in our outcome summary statistics, </w:t>
      </w:r>
      <w:r w:rsidR="00532FC4" w:rsidRPr="002820CC">
        <w:t xml:space="preserve">or variants that   were either palindromic (A/T or C/G) with intermediate allele frequencies or had strand inconsistencies that prevented confident harmonization using the </w:t>
      </w:r>
      <w:proofErr w:type="spellStart"/>
      <w:r w:rsidR="00532FC4" w:rsidRPr="002820CC">
        <w:t>TwoSampleMR</w:t>
      </w:r>
      <w:proofErr w:type="spellEnd"/>
      <w:r w:rsidR="00532FC4" w:rsidRPr="002820CC">
        <w:t xml:space="preserve"> package (v. 0.6.22; )</w:t>
      </w:r>
      <w:r w:rsidR="00532FC4" w:rsidRPr="002820CC">
        <w:fldChar w:fldCharType="begin"/>
      </w:r>
      <w:r w:rsidR="00532FC4" w:rsidRPr="002820CC">
        <w:instrText xml:space="preserve"> ADDIN ZOTERO_ITEM CSL_CITATION {"citationID":"oWqrPTAU","properties":{"formattedCitation":"[2]","plainCitation":"[2]","noteIndex":0},"citationItems":[{"id":27090,"uris":["http://zotero.org/users/7317906/items/6LJFBWLQ"],"itemData":{"id":27090,"type":"article-journal","abstract":"Results from genome-wide association studies (GWAS) can be used to infer causal relationships between phenotypes, using a strategy known as 2-sample Mendelian randomization (2SMR) and bypassing the need for individual-level data. However, 2SMR methods are evolving rapidly and GWAS results are often insufficiently curated, undermining efficient implementation of the approach. We therefore developed MR-Base (http://www.mrbase.org): a platform that integrates a curated database of complete GWAS results (no restrictions according to statistical significance) with an application programming interface, web app and R packages that automate 2SMR. The software includes several sensitivity analyses for assessing the impact of horizontal pleiotropy and other violations of assumptions. The database currently comprises 11 billion single nucleotide polymorphism-trait associations from 1673 GWAS and is updated on a regular basis. Integrating data with software ensures more rigorous application of hypothesis-driven analyses and allows millions of potential causal relationships to be efficiently evaluated in phenome-wide association studies.","container-title":"eLife","DOI":"10.7554/eLife.34408","ISSN":"2050-084X","note":"publisher: eLife Sciences Publications, Ltd","page":"e34408","source":"eLife","title":"The MR-Base platform supports systematic causal inference across the human phenome","volume":"7","author":[{"family":"Hemani","given":"Gibran"},{"family":"Zheng","given":"Jie"},{"family":"Elsworth","given":"Benjamin"},{"family":"Wade","given":"Kaitlin H"},{"family":"Haberland","given":"Valeriia"},{"family":"Baird","given":"Denis"},{"family":"Laurin","given":"Charles"},{"family":"Burgess","given":"Stephen"},{"family":"Bowden","given":"Jack"},{"family":"Langdon","given":"Ryan"},{"family":"Tan","given":"Vanessa Y"},{"family":"Yarmolinsky","given":"James"},{"family":"Shihab","given":"Hashem A"},{"family":"Timpson","given":"Nicholas J"},{"family":"Evans","given":"David M"},{"family":"Relton","given":"Caroline"},{"family":"Martin","given":"Richard M"},{"family":"Davey Smith","given":"George"},{"family":"Gaunt","given":"Tom R"},{"family":"Haycock","given":"Philip C"}],"editor":[{"family":"Loos","given":"Ruth"}],"issued":{"date-parts":[["2018",5,30]]},"citation-key":"hemaniMRBasePlatformSupports2018"}}],"schema":"https://github.com/citation-style-language/schema/raw/master/csl-citation.json"} </w:instrText>
      </w:r>
      <w:r w:rsidR="00532FC4" w:rsidRPr="002820CC">
        <w:fldChar w:fldCharType="separate"/>
      </w:r>
      <w:r w:rsidR="00532FC4" w:rsidRPr="002820CC">
        <w:rPr>
          <w:noProof/>
        </w:rPr>
        <w:t>[2]</w:t>
      </w:r>
      <w:r w:rsidR="00532FC4" w:rsidRPr="002820CC">
        <w:fldChar w:fldCharType="end"/>
      </w:r>
      <w:r w:rsidR="00532FC4" w:rsidRPr="002820CC">
        <w:t>)</w:t>
      </w:r>
      <w:r w:rsidR="00824978" w:rsidRPr="002820CC">
        <w:t>.  We retained palindromic SNPs</w:t>
      </w:r>
      <w:r w:rsidR="00532FC4" w:rsidRPr="002820CC">
        <w:t xml:space="preserve"> in downstream analyses</w:t>
      </w:r>
      <w:r w:rsidR="00824978" w:rsidRPr="002820CC">
        <w:t xml:space="preserve">.  LD clumping was </w:t>
      </w:r>
      <w:r w:rsidR="00532FC4" w:rsidRPr="002820CC">
        <w:t xml:space="preserve">performed using Plink2 (v 2.00a5.12; RRID:SCR_001757;  </w:t>
      </w:r>
      <w:r w:rsidR="00532FC4" w:rsidRPr="002820CC">
        <w:fldChar w:fldCharType="begin"/>
      </w:r>
      <w:r w:rsidR="00532FC4" w:rsidRPr="002820CC">
        <w:instrText xml:space="preserve"> ADDIN ZOTERO_ITEM CSL_CITATION {"citationID":"V8Jh24X5","properties":{"formattedCitation":"[3]","plainCitation":"[3]","noteIndex":0},"citationItems":[{"id":27095,"uris":["http://zotero.org/users/7317906/items/CATHGFDV"],"itemData":{"id":27095,"type":"article-journal","abstract":"BACKGROUND: PLINK 1 is a widely used open-source C/C++ toolset for genome-wide association studies (GWAS) and research in population genetics. However, the steady accumulation of data from imputation and whole-genome sequencing studies has exposed a strong need for faster and scalable implementations of key functions, such as logistic regression, linkage disequilibrium estimation, and genomic distance evaluation. In addition, GWAS and population-genetic data now frequently contain genotype likelihoods, phase information, and/or multiallelic variants, none of which can be represented by PLINK 1's primary data format.\nFINDINGS: To address these issues, we are developing a second-generation codebase for PLINK. The first major release from this codebase, PLINK 1.9, introduces extensive use of bit-level parallelism, [Formula: see text]-time/constant-space Hardy-Weinberg equilibrium and Fisher's exact tests, and many other algorithmic improvements. In combination, these changes accelerate most operations by 1-4 orders of magnitude, and allow the program to handle datasets too large to fit in RAM. We have also developed an extension to the data format which adds low-overhead support for genotype likelihoods, phase, multiallelic variants, and reference vs. alternate alleles, which is the basis of our planned second release (PLINK 2.0).\nCONCLUSIONS: The second-generation versions of PLINK will offer dramatic improvements in performance and compatibility. For the first time, users without access to high-end computing resources can perform several essential analyses of the feature-rich and very large genetic datasets coming into use.","container-title":"GigaScience","DOI":"10.1186/s13742-015-0047-8","ISSN":"2047-217X","journalAbbreviation":"Gigascience","language":"eng","note":"PMID: 25722852\nPMCID: PMC4342193","page":"7","source":"PubMed","title":"Second-generation PLINK: rising to the challenge of larger and richer datasets","title-short":"Second-generation PLINK","volume":"4","author":[{"family":"Chang","given":"Christopher C."},{"family":"Chow","given":"Carson C."},{"family":"Tellier","given":"Laurent Cam"},{"family":"Vattikuti","given":"Shashaank"},{"family":"Purcell","given":"Shaun M."},{"family":"Lee","given":"James J."}],"issued":{"date-parts":[["2015"]]},"citation-key":"changSecondgenerationPLINKRising2015"}}],"schema":"https://github.com/citation-style-language/schema/raw/master/csl-citation.json"} </w:instrText>
      </w:r>
      <w:r w:rsidR="00532FC4" w:rsidRPr="002820CC">
        <w:fldChar w:fldCharType="separate"/>
      </w:r>
      <w:r w:rsidR="00532FC4" w:rsidRPr="002820CC">
        <w:rPr>
          <w:noProof/>
        </w:rPr>
        <w:t>[3]</w:t>
      </w:r>
      <w:r w:rsidR="00532FC4" w:rsidRPr="002820CC">
        <w:fldChar w:fldCharType="end"/>
      </w:r>
      <w:r w:rsidR="00532FC4" w:rsidRPr="002820CC">
        <w:t xml:space="preserve">) </w:t>
      </w:r>
      <w:r w:rsidR="00824978" w:rsidRPr="002820CC">
        <w:t xml:space="preserve">based on genomes of European ancestry provided by 1000 </w:t>
      </w:r>
      <w:r w:rsidR="00532FC4" w:rsidRPr="002820CC">
        <w:t>G</w:t>
      </w:r>
      <w:r w:rsidR="00824978" w:rsidRPr="002820CC">
        <w:t>enomes</w:t>
      </w:r>
      <w:r w:rsidR="00532FC4" w:rsidRPr="002820CC">
        <w:t xml:space="preserve"> (RRID:SCR_006828; </w:t>
      </w:r>
      <w:r w:rsidR="00532FC4" w:rsidRPr="002820CC">
        <w:fldChar w:fldCharType="begin"/>
      </w:r>
      <w:r w:rsidR="00532FC4" w:rsidRPr="002820CC">
        <w:instrText xml:space="preserve"> ADDIN ZOTERO_ITEM CSL_CITATION {"citationID":"cWNO4sOE","properties":{"formattedCitation":"[4]","plainCitation":"[4]","noteIndex":0},"citationItems":[{"id":27092,"uris":["http://zotero.org/users/7317906/items/P8JP332H"],"itemData":{"id":27092,"type":"article-journal","abstract":"The 1000 Genomes Project set out to provide a comprehensive description of common human genetic variation by applying whole-genome sequencing to a diverse set of individuals from multiple populations. Here we report completion of the project, having reconstructed the genomes of 2,504 individuals from 26 populations using a combination of low-coverage whole-genome sequencing, deep exome sequencing, and dense microarray genotyping. We characterized a broad spectrum of genetic variation, in total over 88 million variants (84.7 million single nucleotide polymorphisms (SNPs), 3.6 million short insertions/deletions (indels), and 60,000 structural variants), all phased onto high-quality haplotypes. This resource includes &gt;99% of SNP variants with a frequency of &gt;1% for a variety of ancestries. We describe the distribution of genetic variation across the global sample, and discuss the implications for common disease studies.","container-title":"Nature","DOI":"10.1038/nature15393","ISSN":"1476-4687","issue":"7571","journalAbbreviation":"Nature","language":"eng","note":"PMID: 26432245\nPMCID: PMC4750478","page":"68-74","source":"PubMed","title":"A global reference for human genetic variation","volume":"526","author":[{"literal":"1000 Genomes Project Consortium"},{"family":"Auton","given":"Adam"},{"family":"Brooks","given":"Lisa D."},{"family":"Durbin","given":"Richard M."},{"family":"Garrison","given":"Erik P."},{"family":"Kang","given":"Hyun Min"},{"family":"Korbel","given":"Jan O."},{"family":"Marchini","given":"Jonathan L."},{"family":"McCarthy","given":"Shane"},{"family":"McVean","given":"Gil A."},{"family":"Abecasis","given":"Gonçalo R."}],"issued":{"date-parts":[["2015",10,1]]},"citation-key":"1000genomesprojectconsortiumGlobalReferenceHuman2015"}}],"schema":"https://github.com/citation-style-language/schema/raw/master/csl-citation.json"} </w:instrText>
      </w:r>
      <w:r w:rsidR="00532FC4" w:rsidRPr="002820CC">
        <w:fldChar w:fldCharType="separate"/>
      </w:r>
      <w:r w:rsidR="00532FC4" w:rsidRPr="002820CC">
        <w:rPr>
          <w:noProof/>
        </w:rPr>
        <w:t>[4]</w:t>
      </w:r>
      <w:r w:rsidR="00532FC4" w:rsidRPr="002820CC">
        <w:fldChar w:fldCharType="end"/>
      </w:r>
      <w:r w:rsidR="00532FC4" w:rsidRPr="002820CC">
        <w:t>)</w:t>
      </w:r>
      <w:r w:rsidR="00824978" w:rsidRPr="002820CC">
        <w:t>.</w:t>
      </w:r>
      <w:r w:rsidR="00532FC4" w:rsidRPr="002820CC">
        <w:t xml:space="preserve">   Clumping parameters were a lead SNP threshold of p ≤ 5×10</w:t>
      </w:r>
      <w:r w:rsidR="002820CC" w:rsidRPr="002820CC">
        <w:rPr>
          <w:rFonts w:cs="Cambria Math"/>
          <w:vertAlign w:val="superscript"/>
        </w:rPr>
        <w:t>-6</w:t>
      </w:r>
      <w:r w:rsidR="00532FC4" w:rsidRPr="002820CC">
        <w:t xml:space="preserve">, </w:t>
      </w:r>
      <w:r w:rsidR="002820CC" w:rsidRPr="002820CC">
        <w:t>a secondary threshold of p ≤ 1×10</w:t>
      </w:r>
      <w:r w:rsidR="002820CC" w:rsidRPr="002820CC">
        <w:rPr>
          <w:rFonts w:ascii="Cambria Math" w:hAnsi="Cambria Math" w:cs="Cambria Math"/>
        </w:rPr>
        <w:t>⁻</w:t>
      </w:r>
      <w:r w:rsidR="002820CC" w:rsidRPr="002820CC">
        <w:rPr>
          <w:rFonts w:cs="Cambria Math"/>
          <w:vertAlign w:val="superscript"/>
        </w:rPr>
        <w:t>6</w:t>
      </w:r>
      <w:r w:rsidR="002820CC" w:rsidRPr="002820CC">
        <w:rPr>
          <w:rFonts w:cs="Cambria Math"/>
        </w:rPr>
        <w:t>, and LD threshold of r</w:t>
      </w:r>
      <w:r w:rsidR="002820CC" w:rsidRPr="002820CC">
        <w:rPr>
          <w:rFonts w:cs="Cambria Math"/>
          <w:vertAlign w:val="superscript"/>
        </w:rPr>
        <w:t>2</w:t>
      </w:r>
      <w:r w:rsidR="002820CC" w:rsidRPr="002820CC">
        <w:rPr>
          <w:rFonts w:cs="Cambria Math"/>
        </w:rPr>
        <w:t xml:space="preserve"> &gt; 1% and a 10 Mb genomic window.</w:t>
      </w:r>
      <w:r w:rsidR="002820CC">
        <w:rPr>
          <w:rFonts w:cs="Cambria Math"/>
        </w:rPr>
        <w:t xml:space="preserve">  </w:t>
      </w:r>
      <w:r w:rsidR="00F00934">
        <w:rPr>
          <w:rFonts w:cs="Cambria Math"/>
        </w:rPr>
        <w:t xml:space="preserve">Steiger filtering was then performed to ensure all instrument SNPs had a stronger effect on the exposure than the outcome.  </w:t>
      </w:r>
      <w:r w:rsidR="002820CC">
        <w:rPr>
          <w:rFonts w:cs="Cambria Math"/>
        </w:rPr>
        <w:t>SNP filtering</w:t>
      </w:r>
      <w:r w:rsidR="003A12D2">
        <w:rPr>
          <w:rFonts w:cs="Cambria Math"/>
        </w:rPr>
        <w:t xml:space="preserve"> for each outcome</w:t>
      </w:r>
      <w:r w:rsidR="002820CC">
        <w:rPr>
          <w:rFonts w:cs="Cambria Math"/>
        </w:rPr>
        <w:t xml:space="preserve"> is </w:t>
      </w:r>
      <w:r w:rsidR="003A12D2">
        <w:rPr>
          <w:rFonts w:cs="Cambria Math"/>
        </w:rPr>
        <w:t>summarized</w:t>
      </w:r>
      <w:r w:rsidR="002820CC">
        <w:rPr>
          <w:rFonts w:cs="Cambria Math"/>
        </w:rPr>
        <w:t xml:space="preserve"> in Supplementary Figure 1</w:t>
      </w:r>
      <w:r w:rsidR="002220E7">
        <w:rPr>
          <w:rFonts w:cs="Cambria Math"/>
        </w:rPr>
        <w:t xml:space="preserve">, with all instruments used for downstream analyses </w:t>
      </w:r>
      <w:r w:rsidR="00813302">
        <w:rPr>
          <w:rFonts w:cs="Cambria Math"/>
        </w:rPr>
        <w:t xml:space="preserve">listed </w:t>
      </w:r>
      <w:r w:rsidR="002220E7">
        <w:rPr>
          <w:rFonts w:cs="Cambria Math"/>
        </w:rPr>
        <w:t>in Supplementary Table 1</w:t>
      </w:r>
      <w:r w:rsidR="002820CC">
        <w:rPr>
          <w:rFonts w:cs="Cambria Math"/>
        </w:rPr>
        <w:t>.</w:t>
      </w:r>
    </w:p>
    <w:p w14:paraId="25A0EF93" w14:textId="1DD1E13D" w:rsidR="007D3CC9" w:rsidRDefault="007D3CC9" w:rsidP="007D3CC9">
      <w:pPr>
        <w:pStyle w:val="Heading2"/>
      </w:pPr>
      <w:r>
        <w:t>Two Samp</w:t>
      </w:r>
      <w:r w:rsidR="00CA30B0">
        <w:t>l</w:t>
      </w:r>
      <w:r>
        <w:t>e MR Analyses</w:t>
      </w:r>
    </w:p>
    <w:p w14:paraId="08600996" w14:textId="0F141C06" w:rsidR="007D3CC9" w:rsidRPr="002820CC" w:rsidRDefault="007D3CC9" w:rsidP="002820CC">
      <w:r>
        <w:rPr>
          <w:rFonts w:cs="Cambria Math"/>
        </w:rPr>
        <w:t>Our outcomes were assessed from the MGI-</w:t>
      </w:r>
      <w:proofErr w:type="spellStart"/>
      <w:r>
        <w:rPr>
          <w:rFonts w:cs="Cambria Math"/>
        </w:rPr>
        <w:t>BioVU</w:t>
      </w:r>
      <w:proofErr w:type="spellEnd"/>
      <w:r>
        <w:rPr>
          <w:rFonts w:cs="Cambria Math"/>
        </w:rPr>
        <w:t xml:space="preserve"> </w:t>
      </w:r>
      <w:proofErr w:type="spellStart"/>
      <w:r>
        <w:rPr>
          <w:rFonts w:cs="Cambria Math"/>
        </w:rPr>
        <w:t>LabWAS</w:t>
      </w:r>
      <w:proofErr w:type="spellEnd"/>
      <w:r w:rsidR="00B3420F">
        <w:rPr>
          <w:rFonts w:cs="Cambria Math"/>
        </w:rPr>
        <w:t xml:space="preserve"> </w:t>
      </w:r>
      <w:r w:rsidR="005821FA">
        <w:rPr>
          <w:rFonts w:cs="Cambria Math"/>
        </w:rPr>
        <w:fldChar w:fldCharType="begin"/>
      </w:r>
      <w:r w:rsidR="005821FA">
        <w:rPr>
          <w:rFonts w:cs="Cambria Math"/>
        </w:rPr>
        <w:instrText xml:space="preserve"> ADDIN ZOTERO_ITEM CSL_CITATION {"citationID":"dzENltIW","properties":{"formattedCitation":"[5]","plainCitation":"[5]","noteIndex":0},"citationItems":[{"id":27098,"uris":["http://zotero.org/users/7317906/items/HBLP22LW"],"itemData":{"id":27098,"type":"article-journal","abstract":"Phenotypes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rsidR="005821FA">
        <w:rPr>
          <w:rFonts w:cs="Cambria Math"/>
        </w:rPr>
        <w:fldChar w:fldCharType="separate"/>
      </w:r>
      <w:r w:rsidR="005821FA">
        <w:rPr>
          <w:rFonts w:cs="Cambria Math"/>
          <w:noProof/>
        </w:rPr>
        <w:t>[5]</w:t>
      </w:r>
      <w:r w:rsidR="005821FA">
        <w:rPr>
          <w:rFonts w:cs="Cambria Math"/>
        </w:rPr>
        <w:fldChar w:fldCharType="end"/>
      </w:r>
      <w:r w:rsidR="005821FA">
        <w:rPr>
          <w:rFonts w:cs="Cambria Math"/>
        </w:rPr>
        <w:t xml:space="preserve"> </w:t>
      </w:r>
      <w:r w:rsidR="00B3420F">
        <w:rPr>
          <w:rFonts w:cs="Cambria Math"/>
        </w:rPr>
        <w:t xml:space="preserve">summary statistics using the </w:t>
      </w:r>
      <w:proofErr w:type="spellStart"/>
      <w:r w:rsidR="00B3420F">
        <w:rPr>
          <w:rFonts w:cs="Cambria Math"/>
        </w:rPr>
        <w:t>TwoSampleMR</w:t>
      </w:r>
      <w:proofErr w:type="spellEnd"/>
      <w:r w:rsidR="00B3420F">
        <w:rPr>
          <w:rFonts w:cs="Cambria Math"/>
        </w:rPr>
        <w:t xml:space="preserve"> package.</w:t>
      </w:r>
      <w:r w:rsidR="007277E3">
        <w:rPr>
          <w:rFonts w:cs="Cambria Math"/>
        </w:rPr>
        <w:t xml:space="preserve">  </w:t>
      </w:r>
      <w:commentRangeStart w:id="0"/>
      <w:r w:rsidR="007277E3">
        <w:rPr>
          <w:rFonts w:cs="Cambria Math"/>
        </w:rPr>
        <w:t xml:space="preserve">For each exposure-outcome pair </w:t>
      </w:r>
      <w:r w:rsidR="00796C46">
        <w:rPr>
          <w:rFonts w:cs="Cambria Math"/>
        </w:rPr>
        <w:t xml:space="preserve">our primary outcome was </w:t>
      </w:r>
      <w:proofErr w:type="gramStart"/>
      <w:r w:rsidR="00796C46">
        <w:rPr>
          <w:rFonts w:cs="Cambria Math"/>
        </w:rPr>
        <w:t xml:space="preserve">using </w:t>
      </w:r>
      <w:r w:rsidR="007277E3">
        <w:rPr>
          <w:rFonts w:cs="Cambria Math"/>
        </w:rPr>
        <w:t xml:space="preserve"> inverse</w:t>
      </w:r>
      <w:proofErr w:type="gramEnd"/>
      <w:r w:rsidR="007277E3">
        <w:rPr>
          <w:rFonts w:cs="Cambria Math"/>
        </w:rPr>
        <w:t xml:space="preserve"> variance weighted (IVW) </w:t>
      </w:r>
      <w:r w:rsidR="00796C46">
        <w:rPr>
          <w:rFonts w:cs="Cambria Math"/>
        </w:rPr>
        <w:t xml:space="preserve">means but as sensitivity </w:t>
      </w:r>
      <w:proofErr w:type="gramStart"/>
      <w:r w:rsidR="00796C46">
        <w:rPr>
          <w:rFonts w:cs="Cambria Math"/>
        </w:rPr>
        <w:t>analyses</w:t>
      </w:r>
      <w:proofErr w:type="gramEnd"/>
      <w:r w:rsidR="00796C46">
        <w:rPr>
          <w:rFonts w:cs="Cambria Math"/>
        </w:rPr>
        <w:t xml:space="preserve"> we also performed analyses using</w:t>
      </w:r>
      <w:r w:rsidR="007277E3">
        <w:rPr>
          <w:rFonts w:cs="Cambria Math"/>
        </w:rPr>
        <w:t xml:space="preserve"> MR-Egger, weighted mean and weighted mode methods.  To test for </w:t>
      </w:r>
      <w:proofErr w:type="gramStart"/>
      <w:r w:rsidR="007277E3">
        <w:rPr>
          <w:rFonts w:cs="Cambria Math"/>
        </w:rPr>
        <w:t>pleiotropy</w:t>
      </w:r>
      <w:proofErr w:type="gramEnd"/>
      <w:r w:rsidR="007277E3">
        <w:rPr>
          <w:rFonts w:cs="Cambria Math"/>
        </w:rPr>
        <w:t xml:space="preserve"> we evaluated whether the Egger intercept was different from zero, and we estimated heterogeneity via Q statistics.  We also tested whether associations were driven by influential SNPs by re-analyzing the data using IVW methods sequentially removing each instrument one at a time.</w:t>
      </w:r>
      <w:commentRangeEnd w:id="0"/>
      <w:r w:rsidR="00796C46">
        <w:rPr>
          <w:rStyle w:val="CommentReference"/>
        </w:rPr>
        <w:commentReference w:id="0"/>
      </w:r>
    </w:p>
    <w:p w14:paraId="601943BB" w14:textId="77777777" w:rsidR="002B35C8" w:rsidRDefault="002B35C8"/>
    <w:p w14:paraId="7BB23034" w14:textId="4EEC738A" w:rsidR="006F63F4" w:rsidRDefault="002B35C8" w:rsidP="00FF1D3C">
      <w:pPr>
        <w:pStyle w:val="Heading2"/>
      </w:pPr>
      <w:r>
        <w:t>Results</w:t>
      </w:r>
    </w:p>
    <w:p w14:paraId="2EF24EE8" w14:textId="77777777" w:rsidR="00D05C4D" w:rsidRDefault="00D05C4D"/>
    <w:p w14:paraId="7CF50E75" w14:textId="47EE46C2" w:rsidR="00D05C4D" w:rsidRDefault="00D05C4D" w:rsidP="00D05C4D">
      <w:pPr>
        <w:pStyle w:val="Heading2"/>
      </w:pPr>
      <w:r>
        <w:lastRenderedPageBreak/>
        <w:t>Selection and Evaluation of Instruments</w:t>
      </w:r>
    </w:p>
    <w:p w14:paraId="0236EA4D" w14:textId="20C9E8CF" w:rsidR="00B3420F" w:rsidRDefault="007D3CC9">
      <w:r>
        <w:t>To understand the causal relationships between calcium and cholesterol in humans, we performed a two-sample Mendelian Randomization study nominating instrumental SNPs associated with calcium or cholesterol from UK Biobank and then evaluating them using summary statistics from MGI-</w:t>
      </w:r>
      <w:proofErr w:type="spellStart"/>
      <w:r>
        <w:t>BioVU</w:t>
      </w:r>
      <w:proofErr w:type="spellEnd"/>
      <w:r>
        <w:t xml:space="preserve"> </w:t>
      </w:r>
      <w:proofErr w:type="spellStart"/>
      <w:r>
        <w:t>LabWAS</w:t>
      </w:r>
      <w:proofErr w:type="spellEnd"/>
      <w:r>
        <w:t xml:space="preserve"> </w:t>
      </w:r>
      <w:r>
        <w:fldChar w:fldCharType="begin"/>
      </w:r>
      <w:r>
        <w:instrText xml:space="preserve"> ADDIN ZOTERO_ITEM CSL_CITATION {"citationID":"GJg3TBhy","properties":{"formattedCitation":"[5,6]","plainCitation":"[5,6]","noteIndex":0},"citationItems":[{"id":9537,"uris":["http://zotero.org/users/7317906/items/H4A3P2LK"],"itemData":{"id":9537,"type":"article-journal","container-title":"Cell Genomics","DOI":"10.1016/j.xgen.2023.100257","ISSN":"2666-979X","issue":"2","journalAbbreviation":"Cell Genomics","language":"English","note":"publisher: Elsevier","page":"100257","source":"www.cell.com","title":"The Michigan Genomics Initiative: A biobank linking genotypes and electronic clinical records in Michigan Medicine patients","title-short":"The Michigan Genomics Initiative","volume":"3","author":[{"family":"Zawistowski","given":"Matthew"},{"family":"Fritsche","given":"Lars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issued":{"date-parts":[["2023",1,31]]},"citation-key":"zawistowskiMichiganGenomicsInitiative2023"}},{"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fldChar w:fldCharType="separate"/>
      </w:r>
      <w:r>
        <w:rPr>
          <w:noProof/>
        </w:rPr>
        <w:t>[5,6]</w:t>
      </w:r>
      <w:r>
        <w:fldChar w:fldCharType="end"/>
      </w:r>
      <w:r>
        <w:t>.  UK Biobank is a population-based cohort of primarily White British individuals aged 40-69 recruited between 2006 and 2010.  MGI-BioVU are hospital-based cohorts of individuals primarily of European ancestry recruited between 2012 and 2025.</w:t>
      </w:r>
      <w:r w:rsidR="005821FA">
        <w:t xml:space="preserve">  SNP instruments were filtered by LD clumping</w:t>
      </w:r>
      <w:r w:rsidR="00D47381">
        <w:t>, excluding rare alleles, and by harmonization with MGI-BioVU genetic data</w:t>
      </w:r>
      <w:r w:rsidR="008002BF">
        <w:t xml:space="preserve"> (summarized in Supplementary Figure 1</w:t>
      </w:r>
      <w:r w:rsidR="00A67A5F">
        <w:t>, full instrument lists are in Supplementary Table 1</w:t>
      </w:r>
      <w:r w:rsidR="008002BF">
        <w:t>)</w:t>
      </w:r>
      <w:r w:rsidR="00D47381">
        <w:t xml:space="preserve">.  These instruments are summarized in </w:t>
      </w:r>
      <w:r w:rsidR="004C095B">
        <w:t>Table 1 (post-</w:t>
      </w:r>
      <w:r w:rsidR="003B74B2">
        <w:t>harmonization</w:t>
      </w:r>
      <w:r w:rsidR="004C095B">
        <w:t xml:space="preserve"> instruments used for downstream analyses) </w:t>
      </w:r>
      <w:r w:rsidR="00A67A5F">
        <w:t xml:space="preserve">and </w:t>
      </w:r>
      <w:r w:rsidR="004C095B">
        <w:t xml:space="preserve">Supplementary Table </w:t>
      </w:r>
      <w:r w:rsidR="00A67A5F">
        <w:t>2</w:t>
      </w:r>
      <w:r w:rsidR="004C095B">
        <w:t xml:space="preserve"> (pre-</w:t>
      </w:r>
      <w:r w:rsidR="003B74B2">
        <w:t>harmonization</w:t>
      </w:r>
      <w:r w:rsidR="004C095B">
        <w:t>).</w:t>
      </w:r>
      <w:r w:rsidR="00D26E8A">
        <w:t xml:space="preserve">  </w:t>
      </w:r>
      <w:commentRangeStart w:id="1"/>
      <w:r w:rsidR="00D26E8A">
        <w:t>These instruments have very strong per-instrument power (typical SNP F-statistics are much greater than 10, with medians of 47-49) and the overall F-statistic ranging from 85-136. These are also well represented in the population (allele frequencies range from 30-35%).  This minimizes the risks of weak or rare instrument bias in our analyses.</w:t>
      </w:r>
      <w:commentRangeEnd w:id="1"/>
      <w:r w:rsidR="006B660D">
        <w:rPr>
          <w:rStyle w:val="CommentReference"/>
        </w:rPr>
        <w:commentReference w:id="1"/>
      </w:r>
    </w:p>
    <w:p w14:paraId="7BCB350D" w14:textId="66D30518" w:rsidR="00162FEC" w:rsidRDefault="00162FEC" w:rsidP="00162FEC">
      <w:r>
        <w:t xml:space="preserve">To confirm that </w:t>
      </w:r>
      <w:proofErr w:type="gramStart"/>
      <w:r>
        <w:t>these instrument</w:t>
      </w:r>
      <w:proofErr w:type="gramEnd"/>
      <w:r>
        <w:t xml:space="preserve"> are valid we performed a positive control analysis where genetically predicted serum Calcium from UK Biobank was used as the exposure and </w:t>
      </w:r>
      <w:proofErr w:type="spellStart"/>
      <w:r>
        <w:t>LabWAS</w:t>
      </w:r>
      <w:proofErr w:type="spellEnd"/>
      <w:r>
        <w:t xml:space="preserve"> serum Calcium was used as the outcome.  </w:t>
      </w:r>
      <w:r w:rsidR="00F44630">
        <w:t>We</w:t>
      </w:r>
      <w:r>
        <w:t xml:space="preserve"> found </w:t>
      </w:r>
      <w:r w:rsidR="00BE5F89">
        <w:t>a</w:t>
      </w:r>
      <w:r>
        <w:t xml:space="preserve"> 0.54 +/- 0.02 unit increase in calcium (</w:t>
      </w:r>
      <w:proofErr w:type="spellStart"/>
      <w:r w:rsidR="00BE5F89">
        <w:t>Lab</w:t>
      </w:r>
      <w:r>
        <w:t>GWAS</w:t>
      </w:r>
      <w:proofErr w:type="spellEnd"/>
      <w:r>
        <w:t>) per 1 unit increase in calcium (UK Biobank)</w:t>
      </w:r>
      <w:r w:rsidR="00BE5F89">
        <w:t xml:space="preserve"> via the IVW method</w:t>
      </w:r>
      <w:r w:rsidR="00F44630">
        <w:t xml:space="preserve"> (Supplementary Figure 2A).</w:t>
      </w:r>
      <w:r>
        <w:t xml:space="preserve"> This is statistically significant with a p-value of 6.2 x 10</w:t>
      </w:r>
      <w:r w:rsidRPr="00162FEC">
        <w:rPr>
          <w:vertAlign w:val="superscript"/>
        </w:rPr>
        <w:t>-119</w:t>
      </w:r>
      <w:r w:rsidR="006302AB">
        <w:rPr>
          <w:vertAlign w:val="superscript"/>
        </w:rPr>
        <w:t xml:space="preserve"> </w:t>
      </w:r>
      <w:r>
        <w:t xml:space="preserve">All four MR methods (IVW, weighted median, weighted mode, MR-Egger) gave consistent, significant causal estimates, confirming instrument validity and </w:t>
      </w:r>
      <w:r w:rsidR="006302AB">
        <w:t>harmonization (Supplementary Figure 2B)</w:t>
      </w:r>
      <w:r>
        <w:t>.  We found small but significant negative pleiotropy (egger intercept = 0.0040 +/- 0.0012; p = 0.0015)</w:t>
      </w:r>
      <w:r w:rsidR="00F81C7E">
        <w:t xml:space="preserve"> and SNP heterogeneity (Q=449; p=1.1 x 10 </w:t>
      </w:r>
      <w:r w:rsidR="00F81C7E" w:rsidRPr="00F81C7E">
        <w:rPr>
          <w:vertAlign w:val="superscript"/>
        </w:rPr>
        <w:t>-10</w:t>
      </w:r>
      <w:r w:rsidR="00F81C7E">
        <w:t xml:space="preserve">) as expected for a polygenic trait.  A leave-one-out analysis showed that IVW methods </w:t>
      </w:r>
      <w:r w:rsidR="00AA5F56">
        <w:t>was</w:t>
      </w:r>
      <w:r w:rsidR="00F81C7E">
        <w:t xml:space="preserve"> robust to influential SNPs.</w:t>
      </w:r>
    </w:p>
    <w:p w14:paraId="30355525" w14:textId="5315EABF" w:rsidR="00121C5B" w:rsidRDefault="00121C5B" w:rsidP="00121C5B">
      <w:pPr>
        <w:pStyle w:val="Heading2"/>
      </w:pPr>
      <w:r>
        <w:t>Evidence for a Calcium -&gt; Cholesterol Causal Effect</w:t>
      </w:r>
    </w:p>
    <w:p w14:paraId="1FAD4F9A" w14:textId="77777777" w:rsidR="00871606" w:rsidRDefault="00871606" w:rsidP="00121C5B">
      <w:pPr>
        <w:pStyle w:val="Heading2"/>
      </w:pPr>
    </w:p>
    <w:p w14:paraId="4DBDE2E2" w14:textId="2B7740E8" w:rsidR="00121C5B" w:rsidRDefault="00121C5B" w:rsidP="00121C5B">
      <w:pPr>
        <w:pStyle w:val="Heading2"/>
      </w:pPr>
      <w:r>
        <w:t>Evidence for a Cholesterol -&gt; Calcium Causal Effect</w:t>
      </w:r>
    </w:p>
    <w:p w14:paraId="4F3F62CB" w14:textId="77777777" w:rsidR="00121C5B" w:rsidRDefault="00121C5B"/>
    <w:p w14:paraId="0B76829D" w14:textId="62A04EEF" w:rsidR="00871606" w:rsidRDefault="00871606"/>
    <w:p w14:paraId="3B9204CB" w14:textId="77777777" w:rsidR="00B3420F" w:rsidRDefault="00B3420F">
      <w:r>
        <w:br w:type="page"/>
      </w:r>
    </w:p>
    <w:p w14:paraId="7A786C21" w14:textId="15E8D7C5" w:rsidR="00871606" w:rsidRDefault="00B3420F" w:rsidP="009B3059">
      <w:pPr>
        <w:pStyle w:val="Heading1"/>
      </w:pPr>
      <w:r>
        <w:lastRenderedPageBreak/>
        <w:t>References</w:t>
      </w:r>
    </w:p>
    <w:p w14:paraId="20AA6B59" w14:textId="77777777" w:rsidR="00871606" w:rsidRDefault="00871606">
      <w:r>
        <w:br w:type="page"/>
      </w:r>
    </w:p>
    <w:p w14:paraId="3908CE4E" w14:textId="555293DA" w:rsidR="00871606" w:rsidRDefault="00871606" w:rsidP="002310F5">
      <w:pPr>
        <w:pStyle w:val="Heading1"/>
      </w:pPr>
      <w:r>
        <w:lastRenderedPageBreak/>
        <w:t>Figure and Table Legends</w:t>
      </w:r>
    </w:p>
    <w:p w14:paraId="46BDB0D8" w14:textId="77777777" w:rsidR="00EF283B" w:rsidRDefault="00EF283B"/>
    <w:p w14:paraId="168FD20E" w14:textId="705154D5" w:rsidR="00EF283B" w:rsidRPr="00C366BF" w:rsidRDefault="00EF283B">
      <w:r w:rsidRPr="00EF283B">
        <w:rPr>
          <w:b/>
          <w:bCs/>
        </w:rPr>
        <w:t>Table 1: Instrument summary statistics for each exposure.</w:t>
      </w:r>
      <w:r w:rsidR="00C366BF">
        <w:rPr>
          <w:b/>
          <w:bCs/>
        </w:rPr>
        <w:t xml:space="preserve">  </w:t>
      </w:r>
      <w:r w:rsidR="00C366BF">
        <w:t>Post-harmonization statistics for each set of exposure instruments</w:t>
      </w:r>
    </w:p>
    <w:p w14:paraId="5BFEF22D" w14:textId="77777777" w:rsidR="00871606" w:rsidRDefault="00871606">
      <w:r>
        <w:br w:type="page"/>
      </w:r>
    </w:p>
    <w:p w14:paraId="283D5E2C" w14:textId="7AC71C1E" w:rsidR="00871606" w:rsidRDefault="00871606" w:rsidP="002310F5">
      <w:pPr>
        <w:pStyle w:val="Heading1"/>
      </w:pPr>
      <w:r>
        <w:lastRenderedPageBreak/>
        <w:t>Supplementary Figure and Table Legends</w:t>
      </w:r>
    </w:p>
    <w:p w14:paraId="550D01C2" w14:textId="77777777" w:rsidR="00871606" w:rsidRDefault="00871606"/>
    <w:p w14:paraId="5370CD09" w14:textId="32FCABE1" w:rsidR="00871606" w:rsidRDefault="00871606">
      <w:r w:rsidRPr="00871606">
        <w:rPr>
          <w:b/>
          <w:bCs/>
        </w:rPr>
        <w:t>Supplementary Figure 1: Instrument selection summary.</w:t>
      </w:r>
      <w:r>
        <w:t xml:space="preserve">  SNP instruments were selected from UK Biobank for each exposure via filtering for association, LD clumping, MAF filtering and then harmonization with data from MGI-</w:t>
      </w:r>
      <w:proofErr w:type="spellStart"/>
      <w:r>
        <w:t>BioVU</w:t>
      </w:r>
      <w:proofErr w:type="spellEnd"/>
      <w:r>
        <w:t xml:space="preserve"> </w:t>
      </w:r>
      <w:proofErr w:type="spellStart"/>
      <w:r>
        <w:t>LabWAS</w:t>
      </w:r>
      <w:proofErr w:type="spellEnd"/>
      <w:r w:rsidR="004E4264">
        <w:t>.</w:t>
      </w:r>
    </w:p>
    <w:p w14:paraId="4F5CFE4D" w14:textId="55F4C2C5" w:rsidR="00C463BB" w:rsidRDefault="00B87D3D">
      <w:r w:rsidRPr="00B87D3D">
        <w:rPr>
          <w:b/>
          <w:bCs/>
        </w:rPr>
        <w:t xml:space="preserve">Supplementary Figure 2: Positive control analysis of the </w:t>
      </w:r>
      <w:r>
        <w:rPr>
          <w:b/>
          <w:bCs/>
        </w:rPr>
        <w:t>concordance</w:t>
      </w:r>
      <w:r w:rsidRPr="00B87D3D">
        <w:rPr>
          <w:b/>
          <w:bCs/>
        </w:rPr>
        <w:t xml:space="preserve"> between UK Biobank vs MGI-</w:t>
      </w:r>
      <w:proofErr w:type="spellStart"/>
      <w:r w:rsidRPr="00B87D3D">
        <w:rPr>
          <w:b/>
          <w:bCs/>
        </w:rPr>
        <w:t>BioVU</w:t>
      </w:r>
      <w:proofErr w:type="spellEnd"/>
      <w:r w:rsidRPr="00B87D3D">
        <w:rPr>
          <w:b/>
          <w:bCs/>
        </w:rPr>
        <w:t xml:space="preserve"> </w:t>
      </w:r>
      <w:proofErr w:type="spellStart"/>
      <w:r w:rsidRPr="00B87D3D">
        <w:rPr>
          <w:b/>
          <w:bCs/>
        </w:rPr>
        <w:t>LabWAS</w:t>
      </w:r>
      <w:proofErr w:type="spellEnd"/>
      <w:r>
        <w:rPr>
          <w:b/>
          <w:bCs/>
        </w:rPr>
        <w:t xml:space="preserve"> for serum Calcium</w:t>
      </w:r>
      <w:r w:rsidRPr="00B87D3D">
        <w:rPr>
          <w:b/>
          <w:bCs/>
        </w:rPr>
        <w:t>.</w:t>
      </w:r>
      <w:r>
        <w:t xml:space="preserve">  A) Effect sizes for each instrument in the exposure (UK Biobank) and outcome (</w:t>
      </w:r>
      <w:proofErr w:type="spellStart"/>
      <w:r>
        <w:t>LabWAS</w:t>
      </w:r>
      <w:proofErr w:type="spellEnd"/>
      <w:r>
        <w:t>).  B) Effect estimates from different MR methods, with the dashed line indicating no effect.</w:t>
      </w:r>
      <w:r w:rsidR="00283D08">
        <w:t xml:space="preserve"> C)</w:t>
      </w:r>
      <w:r w:rsidR="00050E3C">
        <w:t xml:space="preserve"> Leave-one-out analysis using IVW methodology.  </w:t>
      </w:r>
      <w:r w:rsidR="00B2640E">
        <w:t xml:space="preserve">D) Funnel plot, with the IVW estimate in orange, and 95% pseudo-confidence </w:t>
      </w:r>
      <w:r w:rsidR="00953D98">
        <w:t>boundaries</w:t>
      </w:r>
      <w:r w:rsidR="00B2640E">
        <w:t xml:space="preserve"> as dashed lines.</w:t>
      </w:r>
    </w:p>
    <w:p w14:paraId="0C5755D3" w14:textId="3E7E1839" w:rsidR="00C463BB" w:rsidRDefault="00C463BB">
      <w:r w:rsidRPr="00F95B9E">
        <w:rPr>
          <w:b/>
          <w:bCs/>
        </w:rPr>
        <w:t xml:space="preserve">Supplementary Table 1: </w:t>
      </w:r>
      <w:r w:rsidR="00F95B9E" w:rsidRPr="00F95B9E">
        <w:rPr>
          <w:b/>
          <w:bCs/>
        </w:rPr>
        <w:t>Full instrument list</w:t>
      </w:r>
      <w:r w:rsidR="00F95B9E">
        <w:t>.  Instruments used for each exposure after filtering and harmonization.  The alleles</w:t>
      </w:r>
      <w:r w:rsidR="00610487">
        <w:t>, beta coefficients</w:t>
      </w:r>
      <w:r w:rsidR="00F53B39">
        <w:t xml:space="preserve">, </w:t>
      </w:r>
      <w:r w:rsidR="00610487">
        <w:t>p-values</w:t>
      </w:r>
      <w:r w:rsidR="00F53B39">
        <w:t>, and estimated allele frequencies (</w:t>
      </w:r>
      <w:proofErr w:type="spellStart"/>
      <w:r w:rsidR="00F53B39">
        <w:t>eaf</w:t>
      </w:r>
      <w:proofErr w:type="spellEnd"/>
      <w:r w:rsidR="00F53B39">
        <w:t xml:space="preserve">), as well as the </w:t>
      </w:r>
      <w:r w:rsidR="00F53B39" w:rsidRPr="00F53B39">
        <w:rPr>
          <w:i/>
          <w:iCs/>
        </w:rPr>
        <w:t>F</w:t>
      </w:r>
      <w:r w:rsidR="00F53B39">
        <w:t xml:space="preserve"> statistic and R</w:t>
      </w:r>
      <w:r w:rsidR="00F53B39" w:rsidRPr="00F53B39">
        <w:rPr>
          <w:vertAlign w:val="superscript"/>
        </w:rPr>
        <w:t>2</w:t>
      </w:r>
      <w:r w:rsidR="00610487">
        <w:t xml:space="preserve"> </w:t>
      </w:r>
      <w:r w:rsidR="00F95B9E">
        <w:t>are reported</w:t>
      </w:r>
      <w:r w:rsidR="00610487">
        <w:t xml:space="preserve"> </w:t>
      </w:r>
      <w:r w:rsidR="00F53B39">
        <w:t>with respect to</w:t>
      </w:r>
      <w:r w:rsidR="00610487">
        <w:t xml:space="preserve"> the exposure data</w:t>
      </w:r>
      <w:r w:rsidR="007722E7">
        <w:t xml:space="preserve"> (UK Biobank)</w:t>
      </w:r>
      <w:r w:rsidR="00610487">
        <w:t>.</w:t>
      </w:r>
    </w:p>
    <w:p w14:paraId="1AF4F8F8" w14:textId="02607304" w:rsidR="006A57E2" w:rsidRPr="00EF283B" w:rsidRDefault="006A57E2">
      <w:r w:rsidRPr="006A57E2">
        <w:rPr>
          <w:b/>
          <w:bCs/>
        </w:rPr>
        <w:t>Supplementary Table 2: Summary statistics for</w:t>
      </w:r>
      <w:r w:rsidR="00A854F3">
        <w:rPr>
          <w:b/>
          <w:bCs/>
        </w:rPr>
        <w:t xml:space="preserve"> SNP</w:t>
      </w:r>
      <w:r w:rsidRPr="006A57E2">
        <w:rPr>
          <w:b/>
          <w:bCs/>
        </w:rPr>
        <w:t xml:space="preserve"> instruments prior to harmonization.  </w:t>
      </w:r>
      <w:r w:rsidR="00EF283B">
        <w:t>Post-harmonization summary statistics are provided in Table 1</w:t>
      </w:r>
    </w:p>
    <w:p w14:paraId="3D3C6CCB" w14:textId="530FD9CF" w:rsidR="002B35C8" w:rsidRDefault="002B35C8"/>
    <w:sectPr w:rsidR="002B35C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5-10-17T10:31:00Z" w:initials="DB">
    <w:p w14:paraId="6C243783" w14:textId="77777777" w:rsidR="00796C46" w:rsidRDefault="00796C46" w:rsidP="00796C46">
      <w:r>
        <w:rPr>
          <w:rStyle w:val="CommentReference"/>
        </w:rPr>
        <w:annotationRef/>
      </w:r>
      <w:r>
        <w:rPr>
          <w:sz w:val="20"/>
          <w:szCs w:val="20"/>
        </w:rPr>
        <w:t>Articulate rationale for secondary methods</w:t>
      </w:r>
    </w:p>
  </w:comment>
  <w:comment w:id="1" w:author="Dave Bridges" w:date="2025-10-10T14:33:00Z" w:initials="DB">
    <w:p w14:paraId="536C441F" w14:textId="131699D9" w:rsidR="006B660D" w:rsidRDefault="006B660D" w:rsidP="006B660D">
      <w:r>
        <w:rPr>
          <w:rStyle w:val="CommentReference"/>
        </w:rPr>
        <w:annotationRef/>
      </w:r>
      <w:r>
        <w:rPr>
          <w:sz w:val="20"/>
          <w:szCs w:val="20"/>
        </w:rPr>
        <w:t>Update with post-harmonisation statistics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243783" w15:done="0"/>
  <w15:commentEx w15:paraId="536C441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27DA5DD" w16cex:dateUtc="2025-10-17T14:31:00Z"/>
  <w16cex:commentExtensible w16cex:durableId="7BFE3B51" w16cex:dateUtc="2025-10-10T18: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243783" w16cid:durableId="327DA5DD"/>
  <w16cid:commentId w16cid:paraId="536C441F" w16cid:durableId="7BFE3B5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E6"/>
    <w:rsid w:val="00001178"/>
    <w:rsid w:val="00011DCF"/>
    <w:rsid w:val="00013D09"/>
    <w:rsid w:val="000211F7"/>
    <w:rsid w:val="00050E3C"/>
    <w:rsid w:val="0006637A"/>
    <w:rsid w:val="000725D7"/>
    <w:rsid w:val="00072D8C"/>
    <w:rsid w:val="0008602F"/>
    <w:rsid w:val="00087B01"/>
    <w:rsid w:val="00091D69"/>
    <w:rsid w:val="0009550C"/>
    <w:rsid w:val="000A3109"/>
    <w:rsid w:val="000A32E7"/>
    <w:rsid w:val="000B5661"/>
    <w:rsid w:val="000C7A6D"/>
    <w:rsid w:val="000D0655"/>
    <w:rsid w:val="000D3297"/>
    <w:rsid w:val="000D6A57"/>
    <w:rsid w:val="000E1126"/>
    <w:rsid w:val="000E114C"/>
    <w:rsid w:val="000E431E"/>
    <w:rsid w:val="00111879"/>
    <w:rsid w:val="00115D9B"/>
    <w:rsid w:val="00117948"/>
    <w:rsid w:val="00121C5B"/>
    <w:rsid w:val="00141C21"/>
    <w:rsid w:val="00146173"/>
    <w:rsid w:val="001515AD"/>
    <w:rsid w:val="00162FEC"/>
    <w:rsid w:val="00165647"/>
    <w:rsid w:val="001C5750"/>
    <w:rsid w:val="001C657B"/>
    <w:rsid w:val="001D2B81"/>
    <w:rsid w:val="001D4725"/>
    <w:rsid w:val="001E1D57"/>
    <w:rsid w:val="001E3F4F"/>
    <w:rsid w:val="001E5F79"/>
    <w:rsid w:val="001F149F"/>
    <w:rsid w:val="001F2A30"/>
    <w:rsid w:val="001F2B27"/>
    <w:rsid w:val="001F3717"/>
    <w:rsid w:val="001F37CB"/>
    <w:rsid w:val="00211C64"/>
    <w:rsid w:val="002220E7"/>
    <w:rsid w:val="0022433B"/>
    <w:rsid w:val="002310F5"/>
    <w:rsid w:val="00244F96"/>
    <w:rsid w:val="00250B3C"/>
    <w:rsid w:val="00251095"/>
    <w:rsid w:val="00251B10"/>
    <w:rsid w:val="0025516C"/>
    <w:rsid w:val="00257105"/>
    <w:rsid w:val="00263D7A"/>
    <w:rsid w:val="0028006B"/>
    <w:rsid w:val="002820CC"/>
    <w:rsid w:val="002827EA"/>
    <w:rsid w:val="00283D08"/>
    <w:rsid w:val="00293D99"/>
    <w:rsid w:val="002964F2"/>
    <w:rsid w:val="002A005D"/>
    <w:rsid w:val="002B35C8"/>
    <w:rsid w:val="002C45CD"/>
    <w:rsid w:val="002D19E7"/>
    <w:rsid w:val="002D2E10"/>
    <w:rsid w:val="002D4286"/>
    <w:rsid w:val="002D4F83"/>
    <w:rsid w:val="002E3F3F"/>
    <w:rsid w:val="002F3DB8"/>
    <w:rsid w:val="002F563D"/>
    <w:rsid w:val="00300DA1"/>
    <w:rsid w:val="00327582"/>
    <w:rsid w:val="00330AF2"/>
    <w:rsid w:val="003376C5"/>
    <w:rsid w:val="00347044"/>
    <w:rsid w:val="00357A9C"/>
    <w:rsid w:val="00357D5C"/>
    <w:rsid w:val="00364B2E"/>
    <w:rsid w:val="00366F5C"/>
    <w:rsid w:val="003734AC"/>
    <w:rsid w:val="00382FE3"/>
    <w:rsid w:val="00392C7F"/>
    <w:rsid w:val="00392FE2"/>
    <w:rsid w:val="00395991"/>
    <w:rsid w:val="00397C62"/>
    <w:rsid w:val="003A12D2"/>
    <w:rsid w:val="003B3419"/>
    <w:rsid w:val="003B74B2"/>
    <w:rsid w:val="003C031C"/>
    <w:rsid w:val="003C0A11"/>
    <w:rsid w:val="003D16DC"/>
    <w:rsid w:val="003E5857"/>
    <w:rsid w:val="003F09D7"/>
    <w:rsid w:val="003F6B95"/>
    <w:rsid w:val="003F6EB0"/>
    <w:rsid w:val="00406C2E"/>
    <w:rsid w:val="00421B63"/>
    <w:rsid w:val="00465D5F"/>
    <w:rsid w:val="004709DD"/>
    <w:rsid w:val="004777E7"/>
    <w:rsid w:val="00484144"/>
    <w:rsid w:val="00484410"/>
    <w:rsid w:val="004A23A7"/>
    <w:rsid w:val="004B19B0"/>
    <w:rsid w:val="004C095B"/>
    <w:rsid w:val="004C2F28"/>
    <w:rsid w:val="004C6219"/>
    <w:rsid w:val="004D346F"/>
    <w:rsid w:val="004E3BB2"/>
    <w:rsid w:val="004E4264"/>
    <w:rsid w:val="004F6EB4"/>
    <w:rsid w:val="0050389F"/>
    <w:rsid w:val="00506077"/>
    <w:rsid w:val="005100C2"/>
    <w:rsid w:val="005123D2"/>
    <w:rsid w:val="00512484"/>
    <w:rsid w:val="00513628"/>
    <w:rsid w:val="005175C1"/>
    <w:rsid w:val="00523070"/>
    <w:rsid w:val="005245FA"/>
    <w:rsid w:val="00531147"/>
    <w:rsid w:val="00532FC4"/>
    <w:rsid w:val="00535314"/>
    <w:rsid w:val="00537BCF"/>
    <w:rsid w:val="00544AC6"/>
    <w:rsid w:val="00556C78"/>
    <w:rsid w:val="00576DB5"/>
    <w:rsid w:val="005821FA"/>
    <w:rsid w:val="00590023"/>
    <w:rsid w:val="00590933"/>
    <w:rsid w:val="005B517E"/>
    <w:rsid w:val="005B5A17"/>
    <w:rsid w:val="005C51F7"/>
    <w:rsid w:val="005C6416"/>
    <w:rsid w:val="005C770F"/>
    <w:rsid w:val="005D20D7"/>
    <w:rsid w:val="005D2153"/>
    <w:rsid w:val="005E1842"/>
    <w:rsid w:val="005E1BF2"/>
    <w:rsid w:val="005E5E64"/>
    <w:rsid w:val="005F2A7E"/>
    <w:rsid w:val="00607605"/>
    <w:rsid w:val="00610487"/>
    <w:rsid w:val="00610F74"/>
    <w:rsid w:val="0061406A"/>
    <w:rsid w:val="00623FB0"/>
    <w:rsid w:val="00624300"/>
    <w:rsid w:val="00624349"/>
    <w:rsid w:val="006302AB"/>
    <w:rsid w:val="00630F22"/>
    <w:rsid w:val="00637BDD"/>
    <w:rsid w:val="006474D9"/>
    <w:rsid w:val="006532F6"/>
    <w:rsid w:val="0067322A"/>
    <w:rsid w:val="0069411B"/>
    <w:rsid w:val="006A5655"/>
    <w:rsid w:val="006A57E2"/>
    <w:rsid w:val="006B660D"/>
    <w:rsid w:val="006D3471"/>
    <w:rsid w:val="006D6F09"/>
    <w:rsid w:val="006E3BB1"/>
    <w:rsid w:val="006E63C3"/>
    <w:rsid w:val="006F63F4"/>
    <w:rsid w:val="006F745F"/>
    <w:rsid w:val="00701106"/>
    <w:rsid w:val="007067B2"/>
    <w:rsid w:val="00707168"/>
    <w:rsid w:val="007277E3"/>
    <w:rsid w:val="00745F22"/>
    <w:rsid w:val="007513E1"/>
    <w:rsid w:val="0075342D"/>
    <w:rsid w:val="007563ED"/>
    <w:rsid w:val="00757F8B"/>
    <w:rsid w:val="00760470"/>
    <w:rsid w:val="00762DC2"/>
    <w:rsid w:val="00766990"/>
    <w:rsid w:val="0076763C"/>
    <w:rsid w:val="007722E7"/>
    <w:rsid w:val="0077268E"/>
    <w:rsid w:val="007762DE"/>
    <w:rsid w:val="007778CD"/>
    <w:rsid w:val="0078085F"/>
    <w:rsid w:val="00796C46"/>
    <w:rsid w:val="007A68CC"/>
    <w:rsid w:val="007B483A"/>
    <w:rsid w:val="007C359B"/>
    <w:rsid w:val="007C7FAA"/>
    <w:rsid w:val="007D3CC9"/>
    <w:rsid w:val="007F1332"/>
    <w:rsid w:val="007F7E35"/>
    <w:rsid w:val="008002BF"/>
    <w:rsid w:val="00813302"/>
    <w:rsid w:val="008174BE"/>
    <w:rsid w:val="00823B54"/>
    <w:rsid w:val="00824978"/>
    <w:rsid w:val="008263E3"/>
    <w:rsid w:val="00833E08"/>
    <w:rsid w:val="008461E9"/>
    <w:rsid w:val="00856B5B"/>
    <w:rsid w:val="00862CD1"/>
    <w:rsid w:val="0087149B"/>
    <w:rsid w:val="00871606"/>
    <w:rsid w:val="00871AD9"/>
    <w:rsid w:val="00877754"/>
    <w:rsid w:val="008778C4"/>
    <w:rsid w:val="0088544C"/>
    <w:rsid w:val="008A2BDA"/>
    <w:rsid w:val="008A349D"/>
    <w:rsid w:val="008C3302"/>
    <w:rsid w:val="008E0C96"/>
    <w:rsid w:val="008E3845"/>
    <w:rsid w:val="008F4A4D"/>
    <w:rsid w:val="008F5172"/>
    <w:rsid w:val="008F5461"/>
    <w:rsid w:val="008F74D5"/>
    <w:rsid w:val="009030CE"/>
    <w:rsid w:val="00906A0F"/>
    <w:rsid w:val="00907AA6"/>
    <w:rsid w:val="00926BC0"/>
    <w:rsid w:val="00945DFB"/>
    <w:rsid w:val="009476BC"/>
    <w:rsid w:val="0095035A"/>
    <w:rsid w:val="00951FF9"/>
    <w:rsid w:val="0095308E"/>
    <w:rsid w:val="00953D98"/>
    <w:rsid w:val="0095434B"/>
    <w:rsid w:val="00967922"/>
    <w:rsid w:val="0097297D"/>
    <w:rsid w:val="00973DF3"/>
    <w:rsid w:val="0097647B"/>
    <w:rsid w:val="00976AD7"/>
    <w:rsid w:val="00980D41"/>
    <w:rsid w:val="00990A8A"/>
    <w:rsid w:val="00992B19"/>
    <w:rsid w:val="0099707F"/>
    <w:rsid w:val="009A1E34"/>
    <w:rsid w:val="009A5656"/>
    <w:rsid w:val="009B3059"/>
    <w:rsid w:val="009B7D61"/>
    <w:rsid w:val="009D20E5"/>
    <w:rsid w:val="009D5C66"/>
    <w:rsid w:val="009D7F38"/>
    <w:rsid w:val="009E4E77"/>
    <w:rsid w:val="009F2F1E"/>
    <w:rsid w:val="00A01365"/>
    <w:rsid w:val="00A066E7"/>
    <w:rsid w:val="00A12A68"/>
    <w:rsid w:val="00A213E8"/>
    <w:rsid w:val="00A30264"/>
    <w:rsid w:val="00A4251B"/>
    <w:rsid w:val="00A458DF"/>
    <w:rsid w:val="00A55A54"/>
    <w:rsid w:val="00A67A5F"/>
    <w:rsid w:val="00A72D3E"/>
    <w:rsid w:val="00A854F3"/>
    <w:rsid w:val="00A95A18"/>
    <w:rsid w:val="00A9666F"/>
    <w:rsid w:val="00AA5F56"/>
    <w:rsid w:val="00AA6407"/>
    <w:rsid w:val="00AC5992"/>
    <w:rsid w:val="00AD3EA3"/>
    <w:rsid w:val="00AE3366"/>
    <w:rsid w:val="00AE722C"/>
    <w:rsid w:val="00AE7A00"/>
    <w:rsid w:val="00AF7C3C"/>
    <w:rsid w:val="00B120BC"/>
    <w:rsid w:val="00B1299C"/>
    <w:rsid w:val="00B13840"/>
    <w:rsid w:val="00B13E52"/>
    <w:rsid w:val="00B25EBD"/>
    <w:rsid w:val="00B2640E"/>
    <w:rsid w:val="00B32E48"/>
    <w:rsid w:val="00B3420F"/>
    <w:rsid w:val="00B46D8E"/>
    <w:rsid w:val="00B5317F"/>
    <w:rsid w:val="00B82286"/>
    <w:rsid w:val="00B83F54"/>
    <w:rsid w:val="00B87D3D"/>
    <w:rsid w:val="00B917E0"/>
    <w:rsid w:val="00BA26CD"/>
    <w:rsid w:val="00BB142D"/>
    <w:rsid w:val="00BE5F89"/>
    <w:rsid w:val="00BF48EC"/>
    <w:rsid w:val="00BF6701"/>
    <w:rsid w:val="00C120C9"/>
    <w:rsid w:val="00C16149"/>
    <w:rsid w:val="00C17174"/>
    <w:rsid w:val="00C17BC9"/>
    <w:rsid w:val="00C363FB"/>
    <w:rsid w:val="00C366BF"/>
    <w:rsid w:val="00C452F2"/>
    <w:rsid w:val="00C463BB"/>
    <w:rsid w:val="00C47B8B"/>
    <w:rsid w:val="00C530B0"/>
    <w:rsid w:val="00C53982"/>
    <w:rsid w:val="00C56731"/>
    <w:rsid w:val="00C6034C"/>
    <w:rsid w:val="00C60D56"/>
    <w:rsid w:val="00C6526C"/>
    <w:rsid w:val="00C71CFA"/>
    <w:rsid w:val="00C768F8"/>
    <w:rsid w:val="00C77D95"/>
    <w:rsid w:val="00C910F4"/>
    <w:rsid w:val="00CA30B0"/>
    <w:rsid w:val="00CA6AA1"/>
    <w:rsid w:val="00CB1DEF"/>
    <w:rsid w:val="00CB34F2"/>
    <w:rsid w:val="00CC022F"/>
    <w:rsid w:val="00CC183C"/>
    <w:rsid w:val="00CC7459"/>
    <w:rsid w:val="00CD04B1"/>
    <w:rsid w:val="00CD286D"/>
    <w:rsid w:val="00CD5385"/>
    <w:rsid w:val="00CD7E21"/>
    <w:rsid w:val="00CE39F7"/>
    <w:rsid w:val="00CE7389"/>
    <w:rsid w:val="00D04751"/>
    <w:rsid w:val="00D05C4D"/>
    <w:rsid w:val="00D06B2A"/>
    <w:rsid w:val="00D11E7C"/>
    <w:rsid w:val="00D21775"/>
    <w:rsid w:val="00D24A48"/>
    <w:rsid w:val="00D25FD9"/>
    <w:rsid w:val="00D26E8A"/>
    <w:rsid w:val="00D374A8"/>
    <w:rsid w:val="00D37846"/>
    <w:rsid w:val="00D42F34"/>
    <w:rsid w:val="00D47381"/>
    <w:rsid w:val="00D52FF1"/>
    <w:rsid w:val="00D54B93"/>
    <w:rsid w:val="00D61241"/>
    <w:rsid w:val="00D6267F"/>
    <w:rsid w:val="00D63F7D"/>
    <w:rsid w:val="00D64C42"/>
    <w:rsid w:val="00D72666"/>
    <w:rsid w:val="00D808B0"/>
    <w:rsid w:val="00D9027A"/>
    <w:rsid w:val="00D92D6A"/>
    <w:rsid w:val="00D92F6A"/>
    <w:rsid w:val="00D94528"/>
    <w:rsid w:val="00D94DFE"/>
    <w:rsid w:val="00DA5579"/>
    <w:rsid w:val="00DB1E56"/>
    <w:rsid w:val="00DC6771"/>
    <w:rsid w:val="00DC6EFA"/>
    <w:rsid w:val="00DC7DB2"/>
    <w:rsid w:val="00DE29C9"/>
    <w:rsid w:val="00DE3FF2"/>
    <w:rsid w:val="00DE6AEE"/>
    <w:rsid w:val="00E0079E"/>
    <w:rsid w:val="00E00F5E"/>
    <w:rsid w:val="00E17F7E"/>
    <w:rsid w:val="00E26C14"/>
    <w:rsid w:val="00E37E42"/>
    <w:rsid w:val="00E46FD8"/>
    <w:rsid w:val="00E539D6"/>
    <w:rsid w:val="00E644BF"/>
    <w:rsid w:val="00EA6CE9"/>
    <w:rsid w:val="00ED1443"/>
    <w:rsid w:val="00EE4FAC"/>
    <w:rsid w:val="00EF05E6"/>
    <w:rsid w:val="00EF21C3"/>
    <w:rsid w:val="00EF283B"/>
    <w:rsid w:val="00F00934"/>
    <w:rsid w:val="00F01EE3"/>
    <w:rsid w:val="00F02252"/>
    <w:rsid w:val="00F051E9"/>
    <w:rsid w:val="00F153C5"/>
    <w:rsid w:val="00F247B6"/>
    <w:rsid w:val="00F3431B"/>
    <w:rsid w:val="00F41EEB"/>
    <w:rsid w:val="00F44630"/>
    <w:rsid w:val="00F53B39"/>
    <w:rsid w:val="00F541B2"/>
    <w:rsid w:val="00F603A0"/>
    <w:rsid w:val="00F67CDF"/>
    <w:rsid w:val="00F81C7E"/>
    <w:rsid w:val="00F823CE"/>
    <w:rsid w:val="00F93FE3"/>
    <w:rsid w:val="00F95B9E"/>
    <w:rsid w:val="00F97358"/>
    <w:rsid w:val="00FB04DA"/>
    <w:rsid w:val="00FB3A40"/>
    <w:rsid w:val="00FC0A4C"/>
    <w:rsid w:val="00FC7A07"/>
    <w:rsid w:val="00FF1D3C"/>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077337"/>
  <w15:chartTrackingRefBased/>
  <w15:docId w15:val="{9169ADE7-4706-4E44-97D7-8FA7E2076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05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05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05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05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05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05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05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05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05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5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05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05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05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05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05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05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05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05E6"/>
    <w:rPr>
      <w:rFonts w:eastAsiaTheme="majorEastAsia" w:cstheme="majorBidi"/>
      <w:color w:val="272727" w:themeColor="text1" w:themeTint="D8"/>
    </w:rPr>
  </w:style>
  <w:style w:type="paragraph" w:styleId="Title">
    <w:name w:val="Title"/>
    <w:basedOn w:val="Normal"/>
    <w:next w:val="Normal"/>
    <w:link w:val="TitleChar"/>
    <w:uiPriority w:val="10"/>
    <w:qFormat/>
    <w:rsid w:val="00EF05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05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05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05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05E6"/>
    <w:pPr>
      <w:spacing w:before="160"/>
      <w:jc w:val="center"/>
    </w:pPr>
    <w:rPr>
      <w:i/>
      <w:iCs/>
      <w:color w:val="404040" w:themeColor="text1" w:themeTint="BF"/>
    </w:rPr>
  </w:style>
  <w:style w:type="character" w:customStyle="1" w:styleId="QuoteChar">
    <w:name w:val="Quote Char"/>
    <w:basedOn w:val="DefaultParagraphFont"/>
    <w:link w:val="Quote"/>
    <w:uiPriority w:val="29"/>
    <w:rsid w:val="00EF05E6"/>
    <w:rPr>
      <w:i/>
      <w:iCs/>
      <w:color w:val="404040" w:themeColor="text1" w:themeTint="BF"/>
    </w:rPr>
  </w:style>
  <w:style w:type="paragraph" w:styleId="ListParagraph">
    <w:name w:val="List Paragraph"/>
    <w:basedOn w:val="Normal"/>
    <w:uiPriority w:val="34"/>
    <w:qFormat/>
    <w:rsid w:val="00EF05E6"/>
    <w:pPr>
      <w:ind w:left="720"/>
      <w:contextualSpacing/>
    </w:pPr>
  </w:style>
  <w:style w:type="character" w:styleId="IntenseEmphasis">
    <w:name w:val="Intense Emphasis"/>
    <w:basedOn w:val="DefaultParagraphFont"/>
    <w:uiPriority w:val="21"/>
    <w:qFormat/>
    <w:rsid w:val="00EF05E6"/>
    <w:rPr>
      <w:i/>
      <w:iCs/>
      <w:color w:val="0F4761" w:themeColor="accent1" w:themeShade="BF"/>
    </w:rPr>
  </w:style>
  <w:style w:type="paragraph" w:styleId="IntenseQuote">
    <w:name w:val="Intense Quote"/>
    <w:basedOn w:val="Normal"/>
    <w:next w:val="Normal"/>
    <w:link w:val="IntenseQuoteChar"/>
    <w:uiPriority w:val="30"/>
    <w:qFormat/>
    <w:rsid w:val="00EF05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05E6"/>
    <w:rPr>
      <w:i/>
      <w:iCs/>
      <w:color w:val="0F4761" w:themeColor="accent1" w:themeShade="BF"/>
    </w:rPr>
  </w:style>
  <w:style w:type="character" w:styleId="IntenseReference">
    <w:name w:val="Intense Reference"/>
    <w:basedOn w:val="DefaultParagraphFont"/>
    <w:uiPriority w:val="32"/>
    <w:qFormat/>
    <w:rsid w:val="00EF05E6"/>
    <w:rPr>
      <w:b/>
      <w:bCs/>
      <w:smallCaps/>
      <w:color w:val="0F4761" w:themeColor="accent1" w:themeShade="BF"/>
      <w:spacing w:val="5"/>
    </w:rPr>
  </w:style>
  <w:style w:type="paragraph" w:styleId="Bibliography">
    <w:name w:val="Bibliography"/>
    <w:basedOn w:val="Normal"/>
    <w:next w:val="Normal"/>
    <w:uiPriority w:val="37"/>
    <w:semiHidden/>
    <w:unhideWhenUsed/>
    <w:rsid w:val="00B3420F"/>
    <w:pPr>
      <w:tabs>
        <w:tab w:val="left" w:pos="380"/>
      </w:tabs>
      <w:spacing w:after="0" w:line="240" w:lineRule="auto"/>
      <w:ind w:left="384" w:hanging="384"/>
    </w:pPr>
  </w:style>
  <w:style w:type="character" w:styleId="CommentReference">
    <w:name w:val="annotation reference"/>
    <w:basedOn w:val="DefaultParagraphFont"/>
    <w:uiPriority w:val="99"/>
    <w:semiHidden/>
    <w:unhideWhenUsed/>
    <w:rsid w:val="006B660D"/>
    <w:rPr>
      <w:sz w:val="16"/>
      <w:szCs w:val="16"/>
    </w:rPr>
  </w:style>
  <w:style w:type="paragraph" w:styleId="CommentText">
    <w:name w:val="annotation text"/>
    <w:basedOn w:val="Normal"/>
    <w:link w:val="CommentTextChar"/>
    <w:uiPriority w:val="99"/>
    <w:semiHidden/>
    <w:unhideWhenUsed/>
    <w:rsid w:val="006B660D"/>
    <w:pPr>
      <w:spacing w:line="240" w:lineRule="auto"/>
    </w:pPr>
    <w:rPr>
      <w:sz w:val="20"/>
      <w:szCs w:val="20"/>
    </w:rPr>
  </w:style>
  <w:style w:type="character" w:customStyle="1" w:styleId="CommentTextChar">
    <w:name w:val="Comment Text Char"/>
    <w:basedOn w:val="DefaultParagraphFont"/>
    <w:link w:val="CommentText"/>
    <w:uiPriority w:val="99"/>
    <w:semiHidden/>
    <w:rsid w:val="006B660D"/>
    <w:rPr>
      <w:sz w:val="20"/>
      <w:szCs w:val="20"/>
    </w:rPr>
  </w:style>
  <w:style w:type="paragraph" w:styleId="CommentSubject">
    <w:name w:val="annotation subject"/>
    <w:basedOn w:val="CommentText"/>
    <w:next w:val="CommentText"/>
    <w:link w:val="CommentSubjectChar"/>
    <w:uiPriority w:val="99"/>
    <w:semiHidden/>
    <w:unhideWhenUsed/>
    <w:rsid w:val="006B660D"/>
    <w:rPr>
      <w:b/>
      <w:bCs/>
    </w:rPr>
  </w:style>
  <w:style w:type="character" w:customStyle="1" w:styleId="CommentSubjectChar">
    <w:name w:val="Comment Subject Char"/>
    <w:basedOn w:val="CommentTextChar"/>
    <w:link w:val="CommentSubject"/>
    <w:uiPriority w:val="99"/>
    <w:semiHidden/>
    <w:rsid w:val="006B660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5</Pages>
  <Words>3468</Words>
  <Characters>19774</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52</cp:revision>
  <dcterms:created xsi:type="dcterms:W3CDTF">2025-10-10T14:20:00Z</dcterms:created>
  <dcterms:modified xsi:type="dcterms:W3CDTF">2025-10-17T19:31:00Z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id="XUgPc78y"/&gt;&lt;style id="http://www.zotero.org/styles/nutrients" hasBibliography="1" bibliographyStyleHasBeenSet="1"/&gt;&lt;prefs&gt;&lt;pref name="fieldType" value="Field"/&gt;&lt;pref name="automaticJournalAbbrevi</vt:lpwstr>
  </property>
  <property fmtid="{D5CDD505-2E9C-101B-9397-08002B2CF9AE}" pid="3" name="ZOTERO_PREF_2">
    <vt:lpwstr>ations" value="true"/&gt;&lt;/prefs&gt;&lt;/data&gt;</vt:lpwstr>
  </property>
</Properties>
</file>