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ED107" w14:textId="3A0575C5" w:rsidR="00824978" w:rsidRDefault="002B35C8" w:rsidP="00824978">
      <w:pPr>
        <w:pStyle w:val="Heading1"/>
      </w:pPr>
      <w:r>
        <w:t>Methods</w:t>
      </w:r>
    </w:p>
    <w:p w14:paraId="1CA6F4E2" w14:textId="19192797" w:rsidR="002B35C8" w:rsidRDefault="00421B63" w:rsidP="00FF1D3C">
      <w:pPr>
        <w:pStyle w:val="Heading2"/>
      </w:pPr>
      <w:r>
        <w:t>SNP</w:t>
      </w:r>
      <w:r w:rsidR="002B35C8">
        <w:t xml:space="preserve"> Instrument Selection</w:t>
      </w:r>
    </w:p>
    <w:p w14:paraId="6C11CA6A" w14:textId="4313525A"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532FC4" w:rsidRPr="002820CC">
        <w:instrText xml:space="preserve"> ADDIN ZOTERO_ITEM CSL_CITATION {"citationID":"reOoRbeU","properties":{"formattedCitation":"[1]","plainCitation":"[1]","noteIndex":0},"citationItems":[{"id":27087,"uris":["http://zotero.org/users/7317906/items/D75P3HJ8"],"itemData":{"id":27087,"type":"article-journal","abstract":"The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532FC4" w:rsidRPr="002820CC">
        <w:rPr>
          <w:noProof/>
        </w:rPr>
        <w:t>[1]</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532FC4" w:rsidRPr="002820CC">
        <w:instrText xml:space="preserve"> ADDIN ZOTERO_ITEM CSL_CITATION {"citationID":"oWqrPTAU","properties":{"formattedCitation":"[2]","plainCitation":"[2]","noteIndex":0},"citationItems":[{"id":27090,"uris":["http://zotero.org/users/7317906/items/6LJFBWLQ"],"itemData":{"id":27090,"type":"article-journal","abstract":"Results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532FC4" w:rsidRPr="002820CC">
        <w:rPr>
          <w:noProof/>
        </w:rPr>
        <w:t>[2]</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532FC4" w:rsidRPr="002820CC">
        <w:instrText xml:space="preserve"> ADDIN ZOTERO_ITEM CSL_CITATION {"citationID":"V8Jh24X5","properties":{"formattedCitation":"[3]","plainCitation":"[3]","noteIndex":0},"citationItems":[{"id":27095,"uris":["http://zotero.org/users/7317906/items/CATHGFDV"],"itemData":{"id":27095,"type":"article-journal","abstract":"BACKGROUND: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532FC4" w:rsidRPr="002820CC">
        <w:rPr>
          <w:noProof/>
        </w:rPr>
        <w:t>[3]</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532FC4" w:rsidRPr="002820CC">
        <w:instrText xml:space="preserve"> ADDIN ZOTERO_ITEM CSL_CITATION {"citationID":"cWNO4sOE","properties":{"formattedCitation":"[4]","plainCitation":"[4]","noteIndex":0},"citationItems":[{"id":27092,"uris":["http://zotero.org/users/7317906/items/P8JP332H"],"itemData":{"id":27092,"type":"article-journal","abstract":"The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532FC4" w:rsidRPr="002820CC">
        <w:rPr>
          <w:noProof/>
        </w:rPr>
        <w:t>[4]</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0A820F3F" w:rsidR="007D3CC9" w:rsidRPr="002820CC" w:rsidRDefault="007D3CC9" w:rsidP="002820CC">
      <w:r>
        <w:rPr>
          <w:rFonts w:cs="Cambria Math"/>
        </w:rPr>
        <w:t>Our outcomes were assessed from the MGI-</w:t>
      </w:r>
      <w:proofErr w:type="spellStart"/>
      <w:r>
        <w:rPr>
          <w:rFonts w:cs="Cambria Math"/>
        </w:rPr>
        <w:t>BioVU</w:t>
      </w:r>
      <w:proofErr w:type="spellEnd"/>
      <w:r>
        <w:rPr>
          <w:rFonts w:cs="Cambria Math"/>
        </w:rPr>
        <w:t xml:space="preserve"> </w:t>
      </w:r>
      <w:proofErr w:type="spellStart"/>
      <w:r>
        <w:rPr>
          <w:rFonts w:cs="Cambria Math"/>
        </w:rPr>
        <w:t>LabWAS</w:t>
      </w:r>
      <w:proofErr w:type="spellEnd"/>
      <w:r w:rsidR="00B3420F">
        <w:rPr>
          <w:rFonts w:cs="Cambria Math"/>
        </w:rPr>
        <w:t xml:space="preserve"> </w:t>
      </w:r>
      <w:r w:rsidR="005821FA">
        <w:rPr>
          <w:rFonts w:cs="Cambria Math"/>
        </w:rPr>
        <w:fldChar w:fldCharType="begin"/>
      </w:r>
      <w:r w:rsidR="005821FA">
        <w:rPr>
          <w:rFonts w:cs="Cambria Math"/>
        </w:rPr>
        <w:instrText xml:space="preserve"> ADDIN ZOTERO_ITEM CSL_CITATION {"citationID":"dzENltIW","properties":{"formattedCitation":"[5]","plainCitation":"[5]","noteIndex":0},"citationItems":[{"id":27098,"uris":["http://zotero.org/users/7317906/items/HBLP22LW"],"itemData":{"id":27098,"type":"article-journal","abstract":"Phenotypes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5821FA">
        <w:rPr>
          <w:rFonts w:cs="Cambria Math"/>
          <w:noProof/>
        </w:rPr>
        <w:t>[5]</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For each exposure-outcome pair </w:t>
      </w:r>
      <w:r w:rsidR="00796C46">
        <w:rPr>
          <w:rFonts w:cs="Cambria Math"/>
        </w:rPr>
        <w:t xml:space="preserve">our primary outcome was </w:t>
      </w:r>
      <w:proofErr w:type="gramStart"/>
      <w:r w:rsidR="00796C46">
        <w:rPr>
          <w:rFonts w:cs="Cambria Math"/>
        </w:rPr>
        <w:t xml:space="preserve">using </w:t>
      </w:r>
      <w:r w:rsidR="007277E3">
        <w:rPr>
          <w:rFonts w:cs="Cambria Math"/>
        </w:rPr>
        <w:t xml:space="preserve"> inverse</w:t>
      </w:r>
      <w:proofErr w:type="gramEnd"/>
      <w:r w:rsidR="007277E3">
        <w:rPr>
          <w:rFonts w:cs="Cambria Math"/>
        </w:rPr>
        <w:t xml:space="preserve"> variance weighted (IVW) </w:t>
      </w:r>
      <w:r w:rsidR="00796C46">
        <w:rPr>
          <w:rFonts w:cs="Cambria Math"/>
        </w:rPr>
        <w:t xml:space="preserve">means but as sensitivity </w:t>
      </w:r>
      <w:proofErr w:type="gramStart"/>
      <w:r w:rsidR="00796C46">
        <w:rPr>
          <w:rFonts w:cs="Cambria Math"/>
        </w:rPr>
        <w:t>analyses</w:t>
      </w:r>
      <w:proofErr w:type="gramEnd"/>
      <w:r w:rsidR="00796C46">
        <w:rPr>
          <w:rFonts w:cs="Cambria Math"/>
        </w:rPr>
        <w:t xml:space="preserve"> we also performed analyses using</w:t>
      </w:r>
      <w:r w:rsidR="007277E3">
        <w:rPr>
          <w:rFonts w:cs="Cambria Math"/>
        </w:rPr>
        <w:t xml:space="preserve"> MR-Egger, weighted mean and weighted mode methods</w:t>
      </w:r>
      <w:r w:rsidR="008C6483">
        <w:rPr>
          <w:rFonts w:cs="Cambria Math"/>
        </w:rPr>
        <w:t xml:space="preserve"> which make different assumptions about the validity of the genetic instruments</w:t>
      </w:r>
      <w:r w:rsidR="007277E3">
        <w:rPr>
          <w:rFonts w:cs="Cambria Math"/>
        </w:rPr>
        <w:t xml:space="preserve">.  To test for </w:t>
      </w:r>
      <w:r w:rsidR="008C6483">
        <w:rPr>
          <w:rFonts w:cs="Cambria Math"/>
        </w:rPr>
        <w:t xml:space="preserve">directional </w:t>
      </w:r>
      <w:proofErr w:type="gramStart"/>
      <w:r w:rsidR="007277E3">
        <w:rPr>
          <w:rFonts w:cs="Cambria Math"/>
        </w:rPr>
        <w:t>pleiotropy</w:t>
      </w:r>
      <w:proofErr w:type="gramEnd"/>
      <w:r w:rsidR="007277E3">
        <w:rPr>
          <w:rFonts w:cs="Cambria Math"/>
        </w:rPr>
        <w:t xml:space="preserve"> we evaluated whether the Egger intercept was different from zero, and we estimated heterogeneity via Q statistics.  We also tested whether associations were driven by influential SNPs by re-analyzing the data using IVW methods sequentially removing each instrument one at a time.</w:t>
      </w:r>
    </w:p>
    <w:p w14:paraId="601943BB" w14:textId="77777777" w:rsidR="002B35C8" w:rsidRDefault="002B35C8"/>
    <w:p w14:paraId="7BB23034" w14:textId="4EEC738A" w:rsidR="006F63F4" w:rsidRDefault="002B35C8" w:rsidP="008C6483">
      <w:pPr>
        <w:pStyle w:val="Heading1"/>
      </w:pPr>
      <w:r>
        <w:t>Results</w:t>
      </w:r>
    </w:p>
    <w:p w14:paraId="2EF24EE8" w14:textId="77777777" w:rsidR="00D05C4D" w:rsidRDefault="00D05C4D"/>
    <w:p w14:paraId="7CF50E75" w14:textId="47EE46C2" w:rsidR="00D05C4D" w:rsidRDefault="00D05C4D" w:rsidP="00D05C4D">
      <w:pPr>
        <w:pStyle w:val="Heading2"/>
      </w:pPr>
      <w:r>
        <w:lastRenderedPageBreak/>
        <w:t>Selection and Evaluation of Instruments</w:t>
      </w:r>
    </w:p>
    <w:p w14:paraId="0236EA4D" w14:textId="17967AC4" w:rsidR="00B3420F" w:rsidRDefault="007D3CC9">
      <w:r>
        <w:t>To understand the causal relationships between calcium and cholesterol in humans, we performed a two-sample Mendelian Randomization study</w:t>
      </w:r>
      <w:r w:rsidR="007A3FE5">
        <w:t xml:space="preserve"> summarized in Figure 1.  We</w:t>
      </w:r>
      <w:r>
        <w:t xml:space="preserve"> </w:t>
      </w:r>
      <w:r w:rsidR="007A3FE5">
        <w:t>identified</w:t>
      </w:r>
      <w:r>
        <w:t xml:space="preserve"> instrumental SNPs associated with calcium or cholesterol from UK Biobank and then evaluating them using summary statistics from MGI-</w:t>
      </w:r>
      <w:proofErr w:type="spellStart"/>
      <w:r>
        <w:t>BioVU</w:t>
      </w:r>
      <w:proofErr w:type="spellEnd"/>
      <w:r>
        <w:t xml:space="preserve"> </w:t>
      </w:r>
      <w:proofErr w:type="spellStart"/>
      <w:r>
        <w:t>LabWAS</w:t>
      </w:r>
      <w:proofErr w:type="spellEnd"/>
      <w:r>
        <w:t xml:space="preserve"> </w:t>
      </w:r>
      <w:r>
        <w:fldChar w:fldCharType="begin"/>
      </w:r>
      <w:r>
        <w:instrText xml:space="preserve"> ADDIN ZOTERO_ITEM CSL_CITATION {"citationID":"GJg3TBhy","properties":{"formattedCitation":"[5,6]","plainCitation":"[5,6]","noteIndex":0},"citationItems":[{"id":9537,"uris":["http://zotero.org/users/7317906/items/H4A3P2LK"],"itemData":{"id":9537,"type":"article-journal","container-title":"Cell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Pr>
          <w:noProof/>
        </w:rPr>
        <w:t>[5,6]</w:t>
      </w:r>
      <w:r>
        <w:fldChar w:fldCharType="end"/>
      </w:r>
      <w:r>
        <w:t>.  UK Biobank is a population-based cohort of primarily White British individuals aged 40-69 recruited between 2006 and 2010.  MGI-</w:t>
      </w:r>
      <w:proofErr w:type="spellStart"/>
      <w:r>
        <w:t>BioVU</w:t>
      </w:r>
      <w:proofErr w:type="spellEnd"/>
      <w:r>
        <w:t xml:space="preserve">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w:t>
      </w:r>
      <w:proofErr w:type="spellStart"/>
      <w:r w:rsidR="00D47381">
        <w:t>BioVU</w:t>
      </w:r>
      <w:proofErr w:type="spellEnd"/>
      <w:r w:rsidR="00D47381">
        <w:t xml:space="preserve">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BA1574">
        <w:instrText xml:space="preserve"> ADDIN ZOTERO_ITEM CSL_CITATION {"citationID":"DvbYElWe","properties":{"formattedCitation":"[7]","plainCitation":"[7]","noteIndex":0},"citationItems":[{"id":12020,"uris":["http://zotero.org/users/7317906/items/7ASTWT9P"],"itemData":{"id":12020,"type":"article-journal","abstract":"Background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BA1574">
        <w:rPr>
          <w:rFonts w:ascii="Arial" w:hAnsi="Arial" w:cs="Arial"/>
        </w:rPr>
        <w:instrText> </w:instrText>
      </w:r>
      <w:r w:rsidR="00BA1574">
        <w:instrText>=</w:instrText>
      </w:r>
      <w:r w:rsidR="00BA1574">
        <w:rPr>
          <w:rFonts w:ascii="Arial" w:hAnsi="Arial" w:cs="Arial"/>
        </w:rPr>
        <w:instrText> </w:instrText>
      </w:r>
      <w:r w:rsidR="00BA1574">
        <w:instrText>0.99) to 0.792 (P</w:instrText>
      </w:r>
      <w:r w:rsidR="00BA1574">
        <w:rPr>
          <w:rFonts w:ascii="Arial" w:hAnsi="Arial" w:cs="Arial"/>
        </w:rPr>
        <w:instrText> </w:instrText>
      </w:r>
      <w:r w:rsidR="00BA1574">
        <w:instrText>=</w:instrText>
      </w:r>
      <w:r w:rsidR="00BA1574">
        <w:rPr>
          <w:rFonts w:ascii="Arial" w:hAnsi="Arial" w:cs="Arial"/>
        </w:rPr>
        <w:instrText> </w:instrText>
      </w:r>
      <w:r w:rsidR="00BA1574">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BA1574">
        <w:rPr>
          <w:rFonts w:ascii="Arial" w:hAnsi="Arial" w:cs="Arial"/>
        </w:rPr>
        <w:instrText> </w:instrText>
      </w:r>
      <w:r w:rsidR="00BA1574">
        <w:instrText>&amp;gt;</w:instrText>
      </w:r>
      <w:r w:rsidR="00BA1574">
        <w:rPr>
          <w:rFonts w:ascii="Arial" w:hAnsi="Arial" w:cs="Arial"/>
        </w:rPr>
        <w:instrText> </w:instrText>
      </w:r>
      <w:r w:rsidR="00BA1574">
        <w:instrText xml:space="preserve">10 avoids bias in IV analysis is misleading.","container-title":"International Journal of Epidemiology","DOI":"10.1093/ije/dyr036","ISSN":"0300-5771","issue":"3","journalAbbreviation":"International Journal of Epidemiology","page":"755-764","source":"Silverchair","title":"Avoiding bias from weak instruments in Mendelian randomization studies","volume":"40","author":[{"family":"Burgess","given":"Stephen"},{"family":"Thompson","given":"Simon G"},{"literal":"CRP CHD Genetics Collaboration"}],"issued":{"date-parts":[["2011",6,1]]},"citation-key":"burgessAvoidingBiasWeak2011"}}],"schema":"https://github.com/citation-style-language/schema/raw/master/csl-citation.json"} </w:instrText>
      </w:r>
      <w:r w:rsidR="00BA1574">
        <w:fldChar w:fldCharType="separate"/>
      </w:r>
      <w:r w:rsidR="00BA1574">
        <w:rPr>
          <w:noProof/>
        </w:rPr>
        <w:t>[7]</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3361AA6F"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+/- 0.02 unit increase in calcium (</w:t>
      </w:r>
      <w:proofErr w:type="spellStart"/>
      <w:r w:rsidR="00BE5F89">
        <w:t>Lab</w:t>
      </w:r>
      <w:r>
        <w:t>WAS</w:t>
      </w:r>
      <w:proofErr w:type="spellEnd"/>
      <w:r>
        <w:t>)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We found small but significant negative pleiotropy (egger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5B66AEA8" w:rsidR="00121C5B" w:rsidRDefault="008C6483" w:rsidP="00121C5B">
      <w:pPr>
        <w:pStyle w:val="Heading2"/>
      </w:pPr>
      <w:r>
        <w:t xml:space="preserve">Lack of </w:t>
      </w:r>
      <w:r w:rsidR="00121C5B">
        <w:t xml:space="preserve">Evidence for a Calcium -&gt; Cholesterol </w:t>
      </w:r>
      <w:r>
        <w:t>Effect</w:t>
      </w:r>
    </w:p>
    <w:p w14:paraId="1FAD4F9A" w14:textId="60ACFE97" w:rsidR="00871606" w:rsidRDefault="00D77C00" w:rsidP="00D77C00">
      <w:r>
        <w:t>For each of the four hypotheses tested we estimated beta-coefficients and confidence intervals using IVW and three supplementary methods (Figure 2A-D</w:t>
      </w:r>
      <w:r w:rsidR="00BF144E">
        <w:t xml:space="preserve"> and </w:t>
      </w:r>
      <w:proofErr w:type="gramStart"/>
      <w:r w:rsidR="00BF144E">
        <w:t xml:space="preserve">Table </w:t>
      </w:r>
      <w:r>
        <w:t>)</w:t>
      </w:r>
      <w:proofErr w:type="gramEnd"/>
      <w:r>
        <w:t>.  Individual SNP effects in the exposure and outcome, as well as diagnostic volcano plots</w:t>
      </w:r>
      <w:r w:rsidR="00BE54CA">
        <w:t>, and leave-one-out analyses</w:t>
      </w:r>
      <w:r>
        <w:t xml:space="preserve"> for each </w:t>
      </w:r>
      <w:r w:rsidR="00487DB8">
        <w:t>comparison</w:t>
      </w:r>
      <w:r>
        <w:t xml:space="preserve"> can be found in Supplementary Figure </w:t>
      </w:r>
      <w:r w:rsidR="00BC224B">
        <w:t>3</w:t>
      </w:r>
      <w:r w:rsidR="003E1BBD">
        <w:t xml:space="preserve">.  </w:t>
      </w:r>
    </w:p>
    <w:p w14:paraId="4DBDE2E2" w14:textId="71692E52" w:rsidR="00121C5B" w:rsidRDefault="00121C5B" w:rsidP="00121C5B">
      <w:pPr>
        <w:pStyle w:val="Heading2"/>
      </w:pPr>
      <w:r>
        <w:lastRenderedPageBreak/>
        <w:t xml:space="preserve">Evidence for a Cholesterol -&gt; Calcium </w:t>
      </w:r>
      <w:r w:rsidR="002E0DA6">
        <w:t>Effect</w:t>
      </w:r>
    </w:p>
    <w:p w14:paraId="4F3F62CB" w14:textId="77777777" w:rsidR="00121C5B" w:rsidRDefault="00121C5B"/>
    <w:p w14:paraId="0B76829D" w14:textId="62A04EEF" w:rsidR="00871606" w:rsidRDefault="00871606"/>
    <w:p w14:paraId="3B9204CB" w14:textId="77777777" w:rsidR="00B3420F" w:rsidRDefault="00B3420F">
      <w:r>
        <w:br w:type="page"/>
      </w:r>
    </w:p>
    <w:p w14:paraId="7FAAEE21" w14:textId="5917F88A" w:rsidR="00806E4C" w:rsidRDefault="00806E4C" w:rsidP="009B3059">
      <w:pPr>
        <w:pStyle w:val="Heading1"/>
      </w:pPr>
      <w:r>
        <w:lastRenderedPageBreak/>
        <w:t>Discussion</w:t>
      </w:r>
    </w:p>
    <w:p w14:paraId="2272D5AB" w14:textId="3248EE11" w:rsidR="00806E4C" w:rsidRDefault="00806E4C" w:rsidP="00806E4C">
      <w:r>
        <w:t xml:space="preserve">One 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  While these are still very strong instruments by MR standards, it is possible (though we think unlikely) that their weakness may partially underlie the lack of a calcium to cholesterol effect.</w:t>
      </w:r>
    </w:p>
    <w:p w14:paraId="7FE1F2BB" w14:textId="13520FC5" w:rsidR="006C3DBD" w:rsidRPr="00806E4C" w:rsidRDefault="006C3DBD" w:rsidP="006C3DBD">
      <w:pPr>
        <w:pStyle w:val="ListParagraph"/>
        <w:numPr>
          <w:ilvl w:val="0"/>
          <w:numId w:val="1"/>
        </w:numPr>
      </w:pPr>
      <w:r>
        <w:t>Stronger effect for total than LDLC</w:t>
      </w:r>
    </w:p>
    <w:p w14:paraId="7A786C21" w14:textId="34356686" w:rsidR="00871606" w:rsidRDefault="00B3420F" w:rsidP="009B3059">
      <w:pPr>
        <w:pStyle w:val="Heading1"/>
      </w:pPr>
      <w:r>
        <w:t>References</w:t>
      </w:r>
    </w:p>
    <w:p w14:paraId="0FAB79F6" w14:textId="77777777" w:rsidR="006C0229" w:rsidRPr="006C0229" w:rsidRDefault="006C0229" w:rsidP="006C0229">
      <w:pPr>
        <w:pStyle w:val="Bibliography"/>
        <w:rPr>
          <w:rFonts w:ascii="Aptos"/>
        </w:rPr>
      </w:pPr>
      <w:r>
        <w:fldChar w:fldCharType="begin"/>
      </w:r>
      <w:r>
        <w:instrText xml:space="preserve"> ADDIN ZOTERO_BIBL {"uncited":[],"omitted":[],"custom":[]} CSL_BIBLIOGRAPHY </w:instrText>
      </w:r>
      <w:r>
        <w:fldChar w:fldCharType="separate"/>
      </w:r>
      <w:r w:rsidRPr="006C0229">
        <w:rPr>
          <w:rFonts w:ascii="Aptos"/>
        </w:rPr>
        <w:t xml:space="preserve">1. </w:t>
      </w:r>
      <w:r w:rsidRPr="006C0229">
        <w:rPr>
          <w:rFonts w:ascii="Aptos"/>
        </w:rPr>
        <w:tab/>
        <w:t xml:space="preserve">Bycroft, C.; Freeman, C.; Petkova, D.; Band, G.; Elliott, L.T.; Sharp, K.; Motyer, A.; Vukcevic, D.; Delaneau, O.; O’Connell, J.; et al. The UK Biobank Resource with Deep Phenotyping and Genomic Data. </w:t>
      </w:r>
      <w:r w:rsidRPr="006C0229">
        <w:rPr>
          <w:rFonts w:ascii="Aptos"/>
          <w:i/>
          <w:iCs/>
        </w:rPr>
        <w:t>Nature</w:t>
      </w:r>
      <w:r w:rsidRPr="006C0229">
        <w:rPr>
          <w:rFonts w:ascii="Aptos"/>
        </w:rPr>
        <w:t xml:space="preserve"> </w:t>
      </w:r>
      <w:r w:rsidRPr="006C0229">
        <w:rPr>
          <w:rFonts w:ascii="Aptos"/>
          <w:b/>
          <w:bCs/>
        </w:rPr>
        <w:t>2018</w:t>
      </w:r>
      <w:r w:rsidRPr="006C0229">
        <w:rPr>
          <w:rFonts w:ascii="Aptos"/>
        </w:rPr>
        <w:t xml:space="preserve">, </w:t>
      </w:r>
      <w:r w:rsidRPr="006C0229">
        <w:rPr>
          <w:rFonts w:ascii="Aptos"/>
          <w:i/>
          <w:iCs/>
        </w:rPr>
        <w:t>562</w:t>
      </w:r>
      <w:r w:rsidRPr="006C0229">
        <w:rPr>
          <w:rFonts w:ascii="Aptos"/>
        </w:rPr>
        <w:t>, 203–209, doi:10.1038/s41586-018-0579-z.</w:t>
      </w:r>
    </w:p>
    <w:p w14:paraId="40728492" w14:textId="77777777" w:rsidR="006C0229" w:rsidRPr="006C0229" w:rsidRDefault="006C0229" w:rsidP="006C0229">
      <w:pPr>
        <w:pStyle w:val="Bibliography"/>
        <w:rPr>
          <w:rFonts w:ascii="Aptos"/>
        </w:rPr>
      </w:pPr>
      <w:r w:rsidRPr="006C0229">
        <w:rPr>
          <w:rFonts w:ascii="Aptos"/>
        </w:rPr>
        <w:t xml:space="preserve">2. </w:t>
      </w:r>
      <w:r w:rsidRPr="006C0229">
        <w:rPr>
          <w:rFonts w:ascii="Aptos"/>
        </w:rPr>
        <w:tab/>
        <w:t xml:space="preserve">Hemani, G.; Zheng, J.; Elsworth, B.; Wade, K.H.; Haberland, V.; Baird, D.; Laurin, C.; Burgess, S.; Bowden, J.; Langdon, R.; et al. The MR-Base Platform Supports Systematic Causal Inference across the Human Phenome. </w:t>
      </w:r>
      <w:r w:rsidRPr="006C0229">
        <w:rPr>
          <w:rFonts w:ascii="Aptos"/>
          <w:i/>
          <w:iCs/>
        </w:rPr>
        <w:t>eLife</w:t>
      </w:r>
      <w:r w:rsidRPr="006C0229">
        <w:rPr>
          <w:rFonts w:ascii="Aptos"/>
        </w:rPr>
        <w:t xml:space="preserve"> </w:t>
      </w:r>
      <w:r w:rsidRPr="006C0229">
        <w:rPr>
          <w:rFonts w:ascii="Aptos"/>
          <w:b/>
          <w:bCs/>
        </w:rPr>
        <w:t>2018</w:t>
      </w:r>
      <w:r w:rsidRPr="006C0229">
        <w:rPr>
          <w:rFonts w:ascii="Aptos"/>
        </w:rPr>
        <w:t xml:space="preserve">, </w:t>
      </w:r>
      <w:r w:rsidRPr="006C0229">
        <w:rPr>
          <w:rFonts w:ascii="Aptos"/>
          <w:i/>
          <w:iCs/>
        </w:rPr>
        <w:t>7</w:t>
      </w:r>
      <w:r w:rsidRPr="006C0229">
        <w:rPr>
          <w:rFonts w:ascii="Aptos"/>
        </w:rPr>
        <w:t>, e34408, doi:10.7554/eLife.34408.</w:t>
      </w:r>
    </w:p>
    <w:p w14:paraId="0454A358" w14:textId="77777777" w:rsidR="006C0229" w:rsidRPr="006C0229" w:rsidRDefault="006C0229" w:rsidP="006C0229">
      <w:pPr>
        <w:pStyle w:val="Bibliography"/>
        <w:rPr>
          <w:rFonts w:ascii="Aptos"/>
        </w:rPr>
      </w:pPr>
      <w:r w:rsidRPr="006C0229">
        <w:rPr>
          <w:rFonts w:ascii="Aptos"/>
        </w:rPr>
        <w:t xml:space="preserve">3. </w:t>
      </w:r>
      <w:r w:rsidRPr="006C0229">
        <w:rPr>
          <w:rFonts w:ascii="Aptos"/>
        </w:rPr>
        <w:tab/>
        <w:t xml:space="preserve">Chang, C.C.; Chow, C.C.; Tellier, L.C.; Vattikuti, S.; Purcell, S.M.; Lee, J.J. Second-Generation PLINK: Rising to the Challenge of Larger and Richer Datasets. </w:t>
      </w:r>
      <w:r w:rsidRPr="006C0229">
        <w:rPr>
          <w:rFonts w:ascii="Aptos"/>
          <w:i/>
          <w:iCs/>
        </w:rPr>
        <w:t>GigaScience</w:t>
      </w:r>
      <w:r w:rsidRPr="006C0229">
        <w:rPr>
          <w:rFonts w:ascii="Aptos"/>
        </w:rPr>
        <w:t xml:space="preserve"> </w:t>
      </w:r>
      <w:r w:rsidRPr="006C0229">
        <w:rPr>
          <w:rFonts w:ascii="Aptos"/>
          <w:b/>
          <w:bCs/>
        </w:rPr>
        <w:t>2015</w:t>
      </w:r>
      <w:r w:rsidRPr="006C0229">
        <w:rPr>
          <w:rFonts w:ascii="Aptos"/>
        </w:rPr>
        <w:t xml:space="preserve">, </w:t>
      </w:r>
      <w:r w:rsidRPr="006C0229">
        <w:rPr>
          <w:rFonts w:ascii="Aptos"/>
          <w:i/>
          <w:iCs/>
        </w:rPr>
        <w:t>4</w:t>
      </w:r>
      <w:r w:rsidRPr="006C0229">
        <w:rPr>
          <w:rFonts w:ascii="Aptos"/>
        </w:rPr>
        <w:t>, 7, doi:10.1186/s13742-015-0047-8.</w:t>
      </w:r>
    </w:p>
    <w:p w14:paraId="3E0B1354" w14:textId="77777777" w:rsidR="006C0229" w:rsidRPr="006C0229" w:rsidRDefault="006C0229" w:rsidP="006C0229">
      <w:pPr>
        <w:pStyle w:val="Bibliography"/>
        <w:rPr>
          <w:rFonts w:ascii="Aptos"/>
        </w:rPr>
      </w:pPr>
      <w:r w:rsidRPr="006C0229">
        <w:rPr>
          <w:rFonts w:ascii="Aptos"/>
        </w:rPr>
        <w:t xml:space="preserve">4. </w:t>
      </w:r>
      <w:r w:rsidRPr="006C0229">
        <w:rPr>
          <w:rFonts w:ascii="Aptos"/>
        </w:rPr>
        <w:tab/>
        <w:t xml:space="preserve">1000 Genomes Project Consortium; Auton, A.; Brooks, L.D.; Durbin, R.M.; Garrison, E.P.; Kang, H.M.; Korbel, J.O.; Marchini, J.L.; McCarthy, S.; McVean, G.A.; et al. A Global Reference for Human Genetic Variation. </w:t>
      </w:r>
      <w:r w:rsidRPr="006C0229">
        <w:rPr>
          <w:rFonts w:ascii="Aptos"/>
          <w:i/>
          <w:iCs/>
        </w:rPr>
        <w:t>Nature</w:t>
      </w:r>
      <w:r w:rsidRPr="006C0229">
        <w:rPr>
          <w:rFonts w:ascii="Aptos"/>
        </w:rPr>
        <w:t xml:space="preserve"> </w:t>
      </w:r>
      <w:r w:rsidRPr="006C0229">
        <w:rPr>
          <w:rFonts w:ascii="Aptos"/>
          <w:b/>
          <w:bCs/>
        </w:rPr>
        <w:t>2015</w:t>
      </w:r>
      <w:r w:rsidRPr="006C0229">
        <w:rPr>
          <w:rFonts w:ascii="Aptos"/>
        </w:rPr>
        <w:t xml:space="preserve">, </w:t>
      </w:r>
      <w:r w:rsidRPr="006C0229">
        <w:rPr>
          <w:rFonts w:ascii="Aptos"/>
          <w:i/>
          <w:iCs/>
        </w:rPr>
        <w:t>526</w:t>
      </w:r>
      <w:r w:rsidRPr="006C0229">
        <w:rPr>
          <w:rFonts w:ascii="Aptos"/>
        </w:rPr>
        <w:t>, 68–74, doi:10.1038/nature15393.</w:t>
      </w:r>
    </w:p>
    <w:p w14:paraId="49F1455F" w14:textId="77777777" w:rsidR="006C0229" w:rsidRPr="006C0229" w:rsidRDefault="006C0229" w:rsidP="006C0229">
      <w:pPr>
        <w:pStyle w:val="Bibliography"/>
        <w:rPr>
          <w:rFonts w:ascii="Aptos"/>
        </w:rPr>
      </w:pPr>
      <w:r w:rsidRPr="006C0229">
        <w:rPr>
          <w:rFonts w:ascii="Aptos"/>
        </w:rPr>
        <w:t xml:space="preserve">5. </w:t>
      </w:r>
      <w:r w:rsidRPr="006C0229">
        <w:rPr>
          <w:rFonts w:ascii="Aptos"/>
        </w:rPr>
        <w:tab/>
        <w:t xml:space="preserve">Goldstein, J.A.; Weinstock, J.S.; Bastarache, L.A.; Larach, D.B.; Fritsche, L.G.; Schmidt, E.M.; Brummett, C.M.; Kheterpal, S.; Abecasis, G.R.; Denny, J.C.; et al. LabWAS: Novel Findings and Study Design Recommendations from a Meta-Analysis of Clinical Labs in Two Independent Biobanks. </w:t>
      </w:r>
      <w:r w:rsidRPr="006C0229">
        <w:rPr>
          <w:rFonts w:ascii="Aptos"/>
          <w:i/>
          <w:iCs/>
        </w:rPr>
        <w:t>PLoS Genet.</w:t>
      </w:r>
      <w:r w:rsidRPr="006C0229">
        <w:rPr>
          <w:rFonts w:ascii="Aptos"/>
        </w:rPr>
        <w:t xml:space="preserve"> </w:t>
      </w:r>
      <w:r w:rsidRPr="006C0229">
        <w:rPr>
          <w:rFonts w:ascii="Aptos"/>
          <w:b/>
          <w:bCs/>
        </w:rPr>
        <w:t>2020</w:t>
      </w:r>
      <w:r w:rsidRPr="006C0229">
        <w:rPr>
          <w:rFonts w:ascii="Aptos"/>
        </w:rPr>
        <w:t xml:space="preserve">, </w:t>
      </w:r>
      <w:r w:rsidRPr="006C0229">
        <w:rPr>
          <w:rFonts w:ascii="Aptos"/>
          <w:i/>
          <w:iCs/>
        </w:rPr>
        <w:t>16</w:t>
      </w:r>
      <w:r w:rsidRPr="006C0229">
        <w:rPr>
          <w:rFonts w:ascii="Aptos"/>
        </w:rPr>
        <w:t>, e1009077, doi:10.1371/journal.pgen.1009077.</w:t>
      </w:r>
    </w:p>
    <w:p w14:paraId="47FF2EC5" w14:textId="77777777" w:rsidR="006C0229" w:rsidRPr="006C0229" w:rsidRDefault="006C0229" w:rsidP="006C0229">
      <w:pPr>
        <w:pStyle w:val="Bibliography"/>
        <w:rPr>
          <w:rFonts w:ascii="Aptos"/>
        </w:rPr>
      </w:pPr>
      <w:r w:rsidRPr="006C0229">
        <w:rPr>
          <w:rFonts w:ascii="Aptos"/>
        </w:rPr>
        <w:t xml:space="preserve">6. </w:t>
      </w:r>
      <w:r w:rsidRPr="006C0229">
        <w:rPr>
          <w:rFonts w:ascii="Aptos"/>
        </w:rPr>
        <w:tab/>
        <w:t xml:space="preserve">Zawistowski, M.; Fritsche, L.G.; Pandit, A.; Vanderwerff, B.; Patil, S.; Schmidt, E.M.; VandeHaar, P.; Willer, C.J.; Brummett, C.M.; Kheterpal, S.; et al. The Michigan Genomics Initiative: A Biobank Linking Genotypes and Electronic Clinical Records in Michigan Medicine Patients. </w:t>
      </w:r>
      <w:r w:rsidRPr="006C0229">
        <w:rPr>
          <w:rFonts w:ascii="Aptos"/>
          <w:i/>
          <w:iCs/>
        </w:rPr>
        <w:t>Cell Genomics</w:t>
      </w:r>
      <w:r w:rsidRPr="006C0229">
        <w:rPr>
          <w:rFonts w:ascii="Aptos"/>
        </w:rPr>
        <w:t xml:space="preserve"> </w:t>
      </w:r>
      <w:r w:rsidRPr="006C0229">
        <w:rPr>
          <w:rFonts w:ascii="Aptos"/>
          <w:b/>
          <w:bCs/>
        </w:rPr>
        <w:t>2023</w:t>
      </w:r>
      <w:r w:rsidRPr="006C0229">
        <w:rPr>
          <w:rFonts w:ascii="Aptos"/>
        </w:rPr>
        <w:t xml:space="preserve">, </w:t>
      </w:r>
      <w:r w:rsidRPr="006C0229">
        <w:rPr>
          <w:rFonts w:ascii="Aptos"/>
          <w:i/>
          <w:iCs/>
        </w:rPr>
        <w:t>3</w:t>
      </w:r>
      <w:r w:rsidRPr="006C0229">
        <w:rPr>
          <w:rFonts w:ascii="Aptos"/>
        </w:rPr>
        <w:t>, 100257, doi:10.1016/j.xgen.2023.100257.</w:t>
      </w:r>
    </w:p>
    <w:p w14:paraId="23B20C91" w14:textId="77777777" w:rsidR="006C0229" w:rsidRPr="006C0229" w:rsidRDefault="006C0229" w:rsidP="006C0229">
      <w:pPr>
        <w:pStyle w:val="Bibliography"/>
        <w:rPr>
          <w:rFonts w:ascii="Aptos"/>
        </w:rPr>
      </w:pPr>
      <w:r w:rsidRPr="006C0229">
        <w:rPr>
          <w:rFonts w:ascii="Aptos"/>
        </w:rPr>
        <w:t xml:space="preserve">7. </w:t>
      </w:r>
      <w:r w:rsidRPr="006C0229">
        <w:rPr>
          <w:rFonts w:ascii="Aptos"/>
        </w:rPr>
        <w:tab/>
        <w:t xml:space="preserve">Burgess, S.; Thompson, S.G.; CRP CHD Genetics Collaboration Avoiding Bias from Weak Instruments in Mendelian Randomization Studies. </w:t>
      </w:r>
      <w:r w:rsidRPr="006C0229">
        <w:rPr>
          <w:rFonts w:ascii="Aptos"/>
          <w:i/>
          <w:iCs/>
        </w:rPr>
        <w:t>Int. J. Epidemiol.</w:t>
      </w:r>
      <w:r w:rsidRPr="006C0229">
        <w:rPr>
          <w:rFonts w:ascii="Aptos"/>
        </w:rPr>
        <w:t xml:space="preserve"> </w:t>
      </w:r>
      <w:r w:rsidRPr="006C0229">
        <w:rPr>
          <w:rFonts w:ascii="Aptos"/>
          <w:b/>
          <w:bCs/>
        </w:rPr>
        <w:t>2011</w:t>
      </w:r>
      <w:r w:rsidRPr="006C0229">
        <w:rPr>
          <w:rFonts w:ascii="Aptos"/>
        </w:rPr>
        <w:t xml:space="preserve">, </w:t>
      </w:r>
      <w:r w:rsidRPr="006C0229">
        <w:rPr>
          <w:rFonts w:ascii="Aptos"/>
          <w:i/>
          <w:iCs/>
        </w:rPr>
        <w:t>40</w:t>
      </w:r>
      <w:r w:rsidRPr="006C0229">
        <w:rPr>
          <w:rFonts w:ascii="Aptos"/>
        </w:rPr>
        <w:t>, 755–764, doi:10.1093/ije/dyr036.</w:t>
      </w:r>
    </w:p>
    <w:p w14:paraId="20AA6B59" w14:textId="0098D7B8" w:rsidR="00871606" w:rsidRDefault="006C0229">
      <w:r>
        <w:fldChar w:fldCharType="end"/>
      </w:r>
      <w:r w:rsidR="00871606">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DB2D051" w:rsidR="00EF283B" w:rsidRDefault="00EF283B">
      <w:r w:rsidRPr="00EF283B">
        <w:rPr>
          <w:b/>
          <w:bCs/>
        </w:rPr>
        <w:t>Table 1: Instrument summary statistics for each exposure.</w:t>
      </w:r>
      <w:r w:rsidR="00C366BF">
        <w:rPr>
          <w:b/>
          <w:bCs/>
        </w:rPr>
        <w:t xml:space="preserve">  </w:t>
      </w:r>
      <w:r w:rsidR="00C366BF">
        <w:t>Post-harmonization statistics for each set of exposure instruments</w:t>
      </w:r>
    </w:p>
    <w:p w14:paraId="5FA51A20" w14:textId="417C753F" w:rsidR="00BF144E" w:rsidRPr="00BF144E" w:rsidRDefault="00BF144E">
      <w:pPr>
        <w:rPr>
          <w:b/>
          <w:bCs/>
        </w:rPr>
      </w:pPr>
      <w:r w:rsidRPr="00BF144E">
        <w:rPr>
          <w:b/>
          <w:bCs/>
        </w:rPr>
        <w:t>Table 2: Summary of bidirectional MR results.</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w:t>
      </w:r>
      <w:proofErr w:type="spellStart"/>
      <w:r>
        <w:t>BioVU</w:t>
      </w:r>
      <w:proofErr w:type="spellEnd"/>
      <w:r>
        <w:t xml:space="preserve"> </w:t>
      </w:r>
      <w:proofErr w:type="spellStart"/>
      <w:r>
        <w:t>LabWAS</w:t>
      </w:r>
      <w:proofErr w:type="spellEnd"/>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w:t>
      </w:r>
      <w:proofErr w:type="spellStart"/>
      <w:r w:rsidRPr="00B87D3D">
        <w:rPr>
          <w:b/>
          <w:bCs/>
        </w:rPr>
        <w:t>BioVU</w:t>
      </w:r>
      <w:proofErr w:type="spellEnd"/>
      <w:r w:rsidRPr="00B87D3D">
        <w:rPr>
          <w:b/>
          <w:bCs/>
        </w:rPr>
        <w:t xml:space="preserve">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3D9D4CBC" w14:textId="08D7400D" w:rsidR="00D77C00" w:rsidRPr="00BF144E" w:rsidRDefault="00D77C00">
      <w:r w:rsidRPr="00D77C00">
        <w:rPr>
          <w:b/>
          <w:bCs/>
        </w:rPr>
        <w:t>Supplementary Figure 3: Scatter</w:t>
      </w:r>
      <w:r w:rsidR="00BF144E">
        <w:rPr>
          <w:b/>
          <w:bCs/>
        </w:rPr>
        <w:t>, leave-one-out analyses,</w:t>
      </w:r>
      <w:r w:rsidRPr="00D77C00">
        <w:rPr>
          <w:b/>
          <w:bCs/>
        </w:rPr>
        <w:t xml:space="preserve"> </w:t>
      </w:r>
      <w:r w:rsidR="00AE265B">
        <w:rPr>
          <w:b/>
          <w:bCs/>
        </w:rPr>
        <w:t xml:space="preserve">and funnel </w:t>
      </w:r>
      <w:r w:rsidRPr="00D77C00">
        <w:rPr>
          <w:b/>
          <w:bCs/>
        </w:rPr>
        <w:t>plots for each cholesterol/calcium analysis.</w:t>
      </w:r>
      <w:r w:rsidR="00BF144E">
        <w:rPr>
          <w:b/>
          <w:bCs/>
        </w:rPr>
        <w:t xml:space="preserve">  </w:t>
      </w:r>
      <w:r w:rsidR="00BF144E">
        <w:t>Scatter plots showing effect estimates in the exposure (UKBB) and outcome (</w:t>
      </w:r>
      <w:proofErr w:type="spellStart"/>
      <w:r w:rsidR="00BF144E">
        <w:t>LabWAS</w:t>
      </w:r>
      <w:proofErr w:type="spellEnd"/>
      <w:r w:rsidR="00BF144E">
        <w:t xml:space="preserve">) cohorts with beta-coefficients and 95% confidence intervals (A-D).  Leave-one-out analyses showing the IVW estimates for each comparison sequentially removing each SNP (E-H).  Funnel plot </w:t>
      </w:r>
      <w:r w:rsidR="00A36B6F">
        <w:t>describing each variant’s estimate and precision relative to the IVW estimate (in orange)</w:t>
      </w:r>
      <w:r w:rsidR="00BF144E">
        <w:t xml:space="preserve"> </w:t>
      </w:r>
      <w:r w:rsidR="00A36B6F">
        <w:t xml:space="preserve">and 95% pseudo-confidence </w:t>
      </w:r>
      <w:r w:rsidR="00FE66FA">
        <w:t>boundaries</w:t>
      </w:r>
      <w:r w:rsidR="00A36B6F">
        <w:t xml:space="preserve">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D0A90"/>
    <w:multiLevelType w:val="hybridMultilevel"/>
    <w:tmpl w:val="D59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37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725D7"/>
    <w:rsid w:val="00072D8C"/>
    <w:rsid w:val="0008602F"/>
    <w:rsid w:val="00087B01"/>
    <w:rsid w:val="00091D69"/>
    <w:rsid w:val="0009550C"/>
    <w:rsid w:val="000A3109"/>
    <w:rsid w:val="000A32E7"/>
    <w:rsid w:val="000B5661"/>
    <w:rsid w:val="000C7A6D"/>
    <w:rsid w:val="000D0655"/>
    <w:rsid w:val="000D3297"/>
    <w:rsid w:val="000D6A57"/>
    <w:rsid w:val="000E1126"/>
    <w:rsid w:val="000E114C"/>
    <w:rsid w:val="000E431E"/>
    <w:rsid w:val="00111879"/>
    <w:rsid w:val="00115D9B"/>
    <w:rsid w:val="00117948"/>
    <w:rsid w:val="00121C5B"/>
    <w:rsid w:val="00141C21"/>
    <w:rsid w:val="00146173"/>
    <w:rsid w:val="001515AD"/>
    <w:rsid w:val="00162FEC"/>
    <w:rsid w:val="0016564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322AB"/>
    <w:rsid w:val="00244F96"/>
    <w:rsid w:val="00250B3C"/>
    <w:rsid w:val="00251095"/>
    <w:rsid w:val="00251B10"/>
    <w:rsid w:val="0025516C"/>
    <w:rsid w:val="00257105"/>
    <w:rsid w:val="00263D7A"/>
    <w:rsid w:val="0028006B"/>
    <w:rsid w:val="002820CC"/>
    <w:rsid w:val="002827EA"/>
    <w:rsid w:val="00283D08"/>
    <w:rsid w:val="00293D99"/>
    <w:rsid w:val="002964F2"/>
    <w:rsid w:val="002A005D"/>
    <w:rsid w:val="002B35C8"/>
    <w:rsid w:val="002C45CD"/>
    <w:rsid w:val="002D19E7"/>
    <w:rsid w:val="002D2E10"/>
    <w:rsid w:val="002D4286"/>
    <w:rsid w:val="002D4F83"/>
    <w:rsid w:val="002E0DA6"/>
    <w:rsid w:val="002E3F3F"/>
    <w:rsid w:val="002E3FE2"/>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1BBD"/>
    <w:rsid w:val="003E5857"/>
    <w:rsid w:val="003F09D7"/>
    <w:rsid w:val="003F6B95"/>
    <w:rsid w:val="003F6EB0"/>
    <w:rsid w:val="00406C2E"/>
    <w:rsid w:val="00421B63"/>
    <w:rsid w:val="00465D5F"/>
    <w:rsid w:val="004709DD"/>
    <w:rsid w:val="004777E7"/>
    <w:rsid w:val="00484144"/>
    <w:rsid w:val="00484410"/>
    <w:rsid w:val="00487DB8"/>
    <w:rsid w:val="00491DC5"/>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45FA"/>
    <w:rsid w:val="00527731"/>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90A4D"/>
    <w:rsid w:val="0069411B"/>
    <w:rsid w:val="006A5655"/>
    <w:rsid w:val="006A57E2"/>
    <w:rsid w:val="006B660D"/>
    <w:rsid w:val="006C0229"/>
    <w:rsid w:val="006C3DBD"/>
    <w:rsid w:val="006D3471"/>
    <w:rsid w:val="006D491E"/>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380F"/>
    <w:rsid w:val="007A3FE5"/>
    <w:rsid w:val="007A68CC"/>
    <w:rsid w:val="007B483A"/>
    <w:rsid w:val="007C359B"/>
    <w:rsid w:val="007C7FAA"/>
    <w:rsid w:val="007D3CC9"/>
    <w:rsid w:val="007F1332"/>
    <w:rsid w:val="007F7E35"/>
    <w:rsid w:val="008002BF"/>
    <w:rsid w:val="00806E4C"/>
    <w:rsid w:val="00813302"/>
    <w:rsid w:val="008174BE"/>
    <w:rsid w:val="00823B54"/>
    <w:rsid w:val="00824978"/>
    <w:rsid w:val="008263E3"/>
    <w:rsid w:val="00833E08"/>
    <w:rsid w:val="008461E9"/>
    <w:rsid w:val="00856B5B"/>
    <w:rsid w:val="00862CD1"/>
    <w:rsid w:val="0087149B"/>
    <w:rsid w:val="00871606"/>
    <w:rsid w:val="00871AD9"/>
    <w:rsid w:val="00877754"/>
    <w:rsid w:val="008778C4"/>
    <w:rsid w:val="0088544C"/>
    <w:rsid w:val="008A2BDA"/>
    <w:rsid w:val="008A349D"/>
    <w:rsid w:val="008C3302"/>
    <w:rsid w:val="008C6483"/>
    <w:rsid w:val="008E0C96"/>
    <w:rsid w:val="008E3845"/>
    <w:rsid w:val="008F4A4D"/>
    <w:rsid w:val="008F5172"/>
    <w:rsid w:val="008F5461"/>
    <w:rsid w:val="008F74D5"/>
    <w:rsid w:val="009030CE"/>
    <w:rsid w:val="00906A0F"/>
    <w:rsid w:val="00907AA6"/>
    <w:rsid w:val="00926BC0"/>
    <w:rsid w:val="00945DFB"/>
    <w:rsid w:val="009476BC"/>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13E8"/>
    <w:rsid w:val="00A30264"/>
    <w:rsid w:val="00A36B6F"/>
    <w:rsid w:val="00A4251B"/>
    <w:rsid w:val="00A458DF"/>
    <w:rsid w:val="00A55A54"/>
    <w:rsid w:val="00A67A5F"/>
    <w:rsid w:val="00A72D3E"/>
    <w:rsid w:val="00A854F3"/>
    <w:rsid w:val="00A95A18"/>
    <w:rsid w:val="00A9666F"/>
    <w:rsid w:val="00AA5F56"/>
    <w:rsid w:val="00AA6407"/>
    <w:rsid w:val="00AC5992"/>
    <w:rsid w:val="00AD3EA3"/>
    <w:rsid w:val="00AE265B"/>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7621D"/>
    <w:rsid w:val="00B82286"/>
    <w:rsid w:val="00B83F54"/>
    <w:rsid w:val="00B87D3D"/>
    <w:rsid w:val="00B917E0"/>
    <w:rsid w:val="00BA1574"/>
    <w:rsid w:val="00BA26CD"/>
    <w:rsid w:val="00BB142D"/>
    <w:rsid w:val="00BC224B"/>
    <w:rsid w:val="00BE2AAF"/>
    <w:rsid w:val="00BE54CA"/>
    <w:rsid w:val="00BE5F89"/>
    <w:rsid w:val="00BF144E"/>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241"/>
    <w:rsid w:val="00D6267F"/>
    <w:rsid w:val="00D63F7D"/>
    <w:rsid w:val="00D64C42"/>
    <w:rsid w:val="00D72666"/>
    <w:rsid w:val="00D77C00"/>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5277"/>
    <w:rsid w:val="00E46FD8"/>
    <w:rsid w:val="00E539D6"/>
    <w:rsid w:val="00E63B8D"/>
    <w:rsid w:val="00E644BF"/>
    <w:rsid w:val="00EA6CE9"/>
    <w:rsid w:val="00ED1443"/>
    <w:rsid w:val="00EE4FAC"/>
    <w:rsid w:val="00EF05E6"/>
    <w:rsid w:val="00EF21C3"/>
    <w:rsid w:val="00EF283B"/>
    <w:rsid w:val="00F00934"/>
    <w:rsid w:val="00F01EE3"/>
    <w:rsid w:val="00F02252"/>
    <w:rsid w:val="00F051E9"/>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E66FA"/>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6</Pages>
  <Words>4501</Words>
  <Characters>25662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77</cp:revision>
  <dcterms:created xsi:type="dcterms:W3CDTF">2025-10-10T14:20:00Z</dcterms:created>
  <dcterms:modified xsi:type="dcterms:W3CDTF">2025-10-18T13:31:00Z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id="a3PUzIOo"/&gt;&lt;style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