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or variants that   were either palindromic (A/T or C/G) with intermediate allele frequencies or had strand inconsistencies that prevented confident harmonization using the TwoSampleMR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2127C5CD" w:rsidR="007D3CC9" w:rsidRDefault="007D3CC9" w:rsidP="002820CC">
      <w:pPr>
        <w:rPr>
          <w:rFonts w:cs="Cambria Math"/>
        </w:rPr>
      </w:pPr>
      <w:r>
        <w:rPr>
          <w:rFonts w:cs="Cambria Math"/>
        </w:rPr>
        <w:t>Our outcomes were assessed from the MGI-BioVU LabWAS</w:t>
      </w:r>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summary statistics using the TwoSampleMR package.</w:t>
      </w:r>
      <w:r w:rsidR="007277E3">
        <w:rPr>
          <w:rFonts w:cs="Cambria Math"/>
        </w:rPr>
        <w:t xml:space="preserve">  </w:t>
      </w:r>
      <w:r w:rsidR="001F20D2">
        <w:rPr>
          <w:rFonts w:cs="Cambria Math"/>
        </w:rPr>
        <w:t>Due to significant heterogeneity, f</w:t>
      </w:r>
      <w:r w:rsidR="007277E3">
        <w:rPr>
          <w:rFonts w:cs="Cambria Math"/>
        </w:rPr>
        <w:t xml:space="preserve">or each exposure-outcome pair </w:t>
      </w:r>
      <w:r w:rsidR="00796C46">
        <w:rPr>
          <w:rFonts w:cs="Cambria Math"/>
        </w:rPr>
        <w:t xml:space="preserve">our primary </w:t>
      </w:r>
      <w:r w:rsidR="00531FCC">
        <w:rPr>
          <w:rFonts w:cs="Cambria Math"/>
        </w:rPr>
        <w:t>model</w:t>
      </w:r>
      <w:r w:rsidR="00796C46">
        <w:rPr>
          <w:rFonts w:cs="Cambria Math"/>
        </w:rPr>
        <w:t xml:space="preserve"> was </w:t>
      </w:r>
      <w:r w:rsidR="007277E3">
        <w:rPr>
          <w:rFonts w:cs="Cambria Math"/>
        </w:rPr>
        <w:t xml:space="preserve">inverse variance weighted </w:t>
      </w:r>
      <w:r w:rsidR="001F20D2">
        <w:rPr>
          <w:rFonts w:cs="Cambria Math"/>
        </w:rPr>
        <w:t xml:space="preserve">with multiplicative random effects models </w:t>
      </w:r>
      <w:r w:rsidR="007277E3">
        <w:rPr>
          <w:rFonts w:cs="Cambria Math"/>
        </w:rPr>
        <w:t>(IVW</w:t>
      </w:r>
      <w:r w:rsidR="001F20D2">
        <w:rPr>
          <w:rFonts w:cs="Cambria Math"/>
        </w:rPr>
        <w:t>-MRE</w:t>
      </w:r>
      <w:r w:rsidR="007277E3">
        <w:rPr>
          <w:rFonts w:cs="Cambria Math"/>
        </w:rPr>
        <w:t>)</w:t>
      </w:r>
      <w:r w:rsidR="001F20D2">
        <w:rPr>
          <w:rFonts w:cs="Cambria Math"/>
        </w:rPr>
        <w:t>,</w:t>
      </w:r>
      <w:r w:rsidR="007277E3">
        <w:rPr>
          <w:rFonts w:cs="Cambria Math"/>
        </w:rPr>
        <w:t xml:space="preserve"> </w:t>
      </w:r>
      <w:r w:rsidR="001F20D2">
        <w:rPr>
          <w:rFonts w:cs="Cambria Math"/>
        </w:rPr>
        <w:t xml:space="preserve"> </w:t>
      </w:r>
      <w:r w:rsidR="00796C46">
        <w:rPr>
          <w:rFonts w:cs="Cambria Math"/>
        </w:rPr>
        <w:t>but as sensitivity analyses we also performed analyses using</w:t>
      </w:r>
      <w:r w:rsidR="007277E3">
        <w:rPr>
          <w:rFonts w:cs="Cambria Math"/>
        </w:rPr>
        <w:t xml:space="preserve"> </w:t>
      </w:r>
      <w:r w:rsidR="001F20D2">
        <w:rPr>
          <w:rFonts w:cs="Cambria Math"/>
        </w:rPr>
        <w:t xml:space="preserve">MR-PRESSO, </w:t>
      </w:r>
      <w:r w:rsidR="007277E3">
        <w:rPr>
          <w:rFonts w:cs="Cambria Math"/>
        </w:rPr>
        <w:t xml:space="preserve">MR-Egger, </w:t>
      </w:r>
      <w:r w:rsidR="001F20D2">
        <w:rPr>
          <w:rFonts w:cs="Cambria Math"/>
        </w:rPr>
        <w:t xml:space="preserve">MR-CAUSE, </w:t>
      </w:r>
      <w:r w:rsidR="007277E3">
        <w:rPr>
          <w:rFonts w:cs="Cambria Math"/>
        </w:rPr>
        <w:t>weighted mean and weighted mode methods</w:t>
      </w:r>
      <w:r w:rsidR="001F20D2">
        <w:rPr>
          <w:rFonts w:cs="Cambria Math"/>
        </w:rPr>
        <w:t xml:space="preserve"> and present each.  </w:t>
      </w:r>
      <w:r w:rsidR="007277E3">
        <w:rPr>
          <w:rFonts w:cs="Cambria Math"/>
        </w:rPr>
        <w:t xml:space="preserve">To test for </w:t>
      </w:r>
      <w:r w:rsidR="005E6696">
        <w:rPr>
          <w:rFonts w:cs="Cambria Math"/>
        </w:rPr>
        <w:t xml:space="preserve">uncorrelated </w:t>
      </w:r>
      <w:r w:rsidR="008C6483">
        <w:rPr>
          <w:rFonts w:cs="Cambria Math"/>
        </w:rPr>
        <w:t xml:space="preserve">directional </w:t>
      </w:r>
      <w:r w:rsidR="007277E3">
        <w:rPr>
          <w:rFonts w:cs="Cambria Math"/>
        </w:rPr>
        <w:t xml:space="preserve">pleiotropy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w:t>
      </w:r>
      <w:r w:rsidR="001F20D2">
        <w:rPr>
          <w:rFonts w:cs="Cambria Math"/>
        </w:rPr>
        <w:t>and I</w:t>
      </w:r>
      <w:r w:rsidR="001F20D2" w:rsidRPr="001F20D2">
        <w:rPr>
          <w:rFonts w:cs="Cambria Math"/>
          <w:vertAlign w:val="superscript"/>
        </w:rPr>
        <w:t>2</w:t>
      </w:r>
      <w:r w:rsidR="001F20D2">
        <w:rPr>
          <w:rFonts w:cs="Cambria Math"/>
        </w:rPr>
        <w:t xml:space="preserve"> </w:t>
      </w:r>
      <w:r w:rsidR="007277E3">
        <w:rPr>
          <w:rFonts w:cs="Cambria Math"/>
        </w:rPr>
        <w:t>statistics.  We also tested whether associations were driven by influential SNPs by re-analyzing the data using IVW methods sequentially removing each instrument one at a time.</w:t>
      </w:r>
    </w:p>
    <w:p w14:paraId="1BC02562" w14:textId="3277E435" w:rsidR="00135110" w:rsidRPr="00135110" w:rsidRDefault="00135110" w:rsidP="00135110">
      <w:pPr>
        <w:rPr>
          <w:rFonts w:cs="Cambria Math"/>
        </w:rPr>
      </w:pPr>
      <w:r w:rsidRPr="00135110">
        <w:rPr>
          <w:rFonts w:cs="Cambria Math"/>
        </w:rPr>
        <w:t xml:space="preserve">For drug-target MR, we repeated the analyses restricting variants to ±500 kb windows around the established cholesterol drug targets </w:t>
      </w:r>
      <w:r w:rsidRPr="00135110">
        <w:rPr>
          <w:rFonts w:cs="Cambria Math"/>
          <w:i/>
          <w:iCs/>
        </w:rPr>
        <w:t>HMGCR</w:t>
      </w:r>
      <w:r w:rsidRPr="00135110">
        <w:rPr>
          <w:rFonts w:cs="Cambria Math"/>
        </w:rPr>
        <w:t xml:space="preserve"> (statins), </w:t>
      </w:r>
      <w:r w:rsidRPr="00135110">
        <w:rPr>
          <w:rFonts w:cs="Cambria Math"/>
          <w:i/>
          <w:iCs/>
        </w:rPr>
        <w:t>PCSK9</w:t>
      </w:r>
      <w:r w:rsidRPr="00135110">
        <w:rPr>
          <w:rFonts w:cs="Cambria Math"/>
        </w:rPr>
        <w:t xml:space="preserve"> (PCSK9 inhibitors), and </w:t>
      </w:r>
      <w:r w:rsidRPr="00135110">
        <w:rPr>
          <w:rFonts w:cs="Cambria Math"/>
          <w:i/>
          <w:iCs/>
        </w:rPr>
        <w:t>NPC1L1</w:t>
      </w:r>
      <w:r w:rsidRPr="00135110">
        <w:rPr>
          <w:rFonts w:cs="Cambria Math"/>
        </w:rPr>
        <w:t xml:space="preserve"> (ezetimibe</w:t>
      </w:r>
      <w:r>
        <w:rPr>
          <w:rFonts w:cs="Cambria Math"/>
        </w:rPr>
        <w:t>)</w:t>
      </w:r>
      <w:r w:rsidRPr="00135110">
        <w:rPr>
          <w:rFonts w:cs="Cambria Math"/>
        </w:rPr>
        <w:t>. Variants associated with each exposure at p &lt; 5×10</w:t>
      </w:r>
      <w:r w:rsidRPr="00135110">
        <w:rPr>
          <w:rFonts w:ascii="Cambria Math" w:hAnsi="Cambria Math" w:cs="Cambria Math"/>
        </w:rPr>
        <w:t>⁻</w:t>
      </w:r>
      <w:r w:rsidRPr="00135110">
        <w:rPr>
          <w:rFonts w:cs="Cambria Math"/>
        </w:rPr>
        <w:t xml:space="preserve">⁸ </w:t>
      </w:r>
      <w:r w:rsidRPr="00135110">
        <w:rPr>
          <w:rFonts w:cs="Cambria Math"/>
        </w:rPr>
        <w:lastRenderedPageBreak/>
        <w:t xml:space="preserve">were retained as instruments. For </w:t>
      </w:r>
      <w:r w:rsidRPr="00135110">
        <w:rPr>
          <w:rFonts w:cs="Cambria Math"/>
          <w:i/>
          <w:iCs/>
        </w:rPr>
        <w:t>PCSK9</w:t>
      </w:r>
      <w:r w:rsidRPr="00135110">
        <w:rPr>
          <w:rFonts w:cs="Cambria Math"/>
        </w:rPr>
        <w:t xml:space="preserve"> and </w:t>
      </w:r>
      <w:r w:rsidRPr="00135110">
        <w:rPr>
          <w:rFonts w:cs="Cambria Math"/>
          <w:i/>
          <w:iCs/>
        </w:rPr>
        <w:t>NPC1L1</w:t>
      </w:r>
      <w:r w:rsidRPr="00135110">
        <w:rPr>
          <w:rFonts w:cs="Cambria Math"/>
        </w:rPr>
        <w:t xml:space="preserve">, conventional independence clumping was applied (r² &lt; 0.001 in 1000 Genomes EUR reference). For </w:t>
      </w:r>
      <w:r w:rsidRPr="00135110">
        <w:rPr>
          <w:rFonts w:cs="Cambria Math"/>
          <w:i/>
          <w:iCs/>
        </w:rPr>
        <w:t>HMGCR</w:t>
      </w:r>
      <w:r w:rsidRPr="00135110">
        <w:rPr>
          <w:rFonts w:cs="Cambria Math"/>
        </w:rPr>
        <w:t xml:space="preserve">, the high linkage disequilibrium structure of the locus collapsed strict clumping to a single SNP, so a relaxed clumping threshold of r² &lt; 0.30 was used to construct an allele score, following the established statin drug-target MR literature </w:t>
      </w:r>
      <w:commentRangeStart w:id="0"/>
      <w:r w:rsidRPr="00135110">
        <w:rPr>
          <w:rFonts w:cs="Cambria Math"/>
        </w:rPr>
        <w:t xml:space="preserve">(Swerdlow et al. 2015; Ference et al. 2012). </w:t>
      </w:r>
      <w:commentRangeEnd w:id="0"/>
      <w:r w:rsidRPr="00135110">
        <w:rPr>
          <w:rStyle w:val="CommentReference"/>
          <w:rFonts w:cs="Cambria Math"/>
          <w:sz w:val="24"/>
          <w:szCs w:val="24"/>
        </w:rPr>
        <w:commentReference w:id="0"/>
      </w:r>
      <w:r w:rsidRPr="00135110">
        <w:rPr>
          <w:rFonts w:cs="Cambria Math"/>
        </w:rPr>
        <w:t xml:space="preserve">Outcomes were assessed in </w:t>
      </w:r>
      <w:r>
        <w:rPr>
          <w:rFonts w:cs="Cambria Math"/>
        </w:rPr>
        <w:t>both</w:t>
      </w:r>
      <w:r w:rsidRPr="00135110">
        <w:rPr>
          <w:rFonts w:cs="Cambria Math"/>
        </w:rPr>
        <w:t xml:space="preserve"> MGI-BioVU LabWAS  and the UK Biobank serum calcium GWAS (</w:t>
      </w:r>
      <w:commentRangeStart w:id="1"/>
      <w:r w:rsidRPr="00135110">
        <w:rPr>
          <w:rFonts w:cs="Cambria Math"/>
        </w:rPr>
        <w:t>Barton et al. 2021</w:t>
      </w:r>
      <w:commentRangeEnd w:id="1"/>
      <w:r w:rsidRPr="00135110">
        <w:rPr>
          <w:rStyle w:val="CommentReference"/>
          <w:rFonts w:cs="Cambria Math"/>
          <w:sz w:val="24"/>
          <w:szCs w:val="24"/>
        </w:rPr>
        <w:commentReference w:id="1"/>
      </w:r>
      <w:r w:rsidRPr="00135110">
        <w:rPr>
          <w:rFonts w:cs="Cambria Math"/>
        </w:rPr>
        <w:t>, n = 400,792; OpenGWAS ID ebi-a-GCST90025990). Because the LDL-C exposure GWAS (ieu-b-110) is also UK Biobank-derived, the UK Biobank calcium analyses constitute one-sample MR. The total cholesterol exposure GWAS (OpenGWAS ID</w:t>
      </w:r>
      <w:r>
        <w:rPr>
          <w:rFonts w:cs="Cambria Math"/>
        </w:rPr>
        <w:t xml:space="preserve"> </w:t>
      </w:r>
      <w:r w:rsidRPr="00135110">
        <w:rPr>
          <w:rFonts w:cs="Cambria Math"/>
        </w:rPr>
        <w:t xml:space="preserve">ebi-a-GCST90025953, GLGC meta-analysis) </w:t>
      </w:r>
      <w:r>
        <w:rPr>
          <w:rFonts w:cs="Cambria Math"/>
        </w:rPr>
        <w:t>was</w:t>
      </w:r>
      <w:r w:rsidRPr="00135110">
        <w:rPr>
          <w:rFonts w:cs="Cambria Math"/>
        </w:rPr>
        <w:t xml:space="preserve"> non-overlapping with UK Biobank. After harmonisation requiring concordance of both effect and non-effect alleles, primary estimates were obtained using inverse-variance weighted random-effects (IVW-RE) meta-analysis, with weighted median and MR-Egger as sensitivity analyses where ≥3 instruments were available. Single-SNP analyses used the Wald ratio. For </w:t>
      </w:r>
      <w:r w:rsidRPr="00135110">
        <w:rPr>
          <w:rFonts w:cs="Cambria Math"/>
          <w:i/>
          <w:iCs/>
        </w:rPr>
        <w:t>HMGCR</w:t>
      </w:r>
      <w:r w:rsidRPr="00135110">
        <w:rPr>
          <w:rFonts w:cs="Cambria Math"/>
        </w:rPr>
        <w:t>, leave-one-out IVW analysis was performed to assess robustness of the allele score to any single instrument.</w:t>
      </w:r>
    </w:p>
    <w:p w14:paraId="7BB23034" w14:textId="4EEC738A" w:rsidR="006F63F4" w:rsidRDefault="002B35C8" w:rsidP="008C6483">
      <w:pPr>
        <w:pStyle w:val="Heading1"/>
      </w:pPr>
      <w:r>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MGI-BioVU LabWAS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MGI-BioVU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MGI-BioVU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xml:space="preserve">. These are also well </w:t>
      </w:r>
      <w:r w:rsidR="00D26E8A">
        <w:lastRenderedPageBreak/>
        <w:t>represented in the population (allele frequencies range from 30-35%).  This minimizes the risks of weak or rare instrument bias in our analyses.</w:t>
      </w:r>
      <w:r w:rsidR="00527731">
        <w:t xml:space="preserve">  </w:t>
      </w:r>
    </w:p>
    <w:p w14:paraId="7BCB350D" w14:textId="62D873EA" w:rsidR="00162FEC" w:rsidRDefault="00162FEC" w:rsidP="00162FEC">
      <w:r>
        <w:t xml:space="preserve">To confirm that these instrument are valid we performed a positive control analysis where genetically predicted serum Calcium from UK Biobank was used as the exposure and LabWAS serum Calcium was used as the outcome.  </w:t>
      </w:r>
      <w:r w:rsidR="00F44630">
        <w:t>We</w:t>
      </w:r>
      <w:r>
        <w:t xml:space="preserve"> found </w:t>
      </w:r>
      <w:r w:rsidR="00BE5F89">
        <w:t>a</w:t>
      </w:r>
      <w:r>
        <w:t xml:space="preserve"> 0.54 +/- 0.02 unit increase in calcium (</w:t>
      </w:r>
      <w:r w:rsidR="00BE5F89">
        <w:t>Lab</w:t>
      </w:r>
      <w:r>
        <w:t>WAS)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t xml:space="preserve">Lack of </w:t>
      </w:r>
      <w:r w:rsidR="00121C5B">
        <w:t xml:space="preserve">Evidence for a Calcium -&gt; Cholesterol </w:t>
      </w:r>
      <w:r>
        <w:t>Effect</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27A274EF" w:rsidR="0015153C" w:rsidRDefault="0015153C" w:rsidP="00D77C00">
      <w:r>
        <w:t>We first evaluated SNP instruments for calcium, asking whether they were associated with cholesterol effects using LabWAS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Leave-one out analyses described in Supplementary Figures 3I and J show four influential SNPs that modestly change the IVW estimate when removed, but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relationship between genetically predicted serum calcium levels and total or LDL-cholesterol</w:t>
      </w:r>
      <w:r w:rsidR="00A763AC">
        <w:t>.</w:t>
      </w:r>
      <w:r w:rsidR="009E34EA">
        <w:t xml:space="preserve">  This is consistent with a prior MR analysis that also did not demonstrate an association between serum calcium and serum lipid levels </w:t>
      </w:r>
      <w:r w:rsidR="009E34EA">
        <w:fldChar w:fldCharType="begin"/>
      </w:r>
      <w:r w:rsidR="009E34EA">
        <w:instrText xml:space="preserve"> ADDIN ZOTERO_ITEM CSL_CITATION {"citationID":"BIrENf5i","properties":{"formattedCitation":"[10]","plainCitation":"[10]","noteIndex":0},"citationItems":[{"id":27133,"uris":["http://zotero.org/users/7317906/items/M5V8ZSLF"],"itemData":{"id":27133,"type":"article-journal","abstract":"IMPORTANCE: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9E34EA">
        <w:rPr>
          <w:rFonts w:ascii="Arial" w:hAnsi="Arial" w:cs="Arial"/>
        </w:rPr>
        <w:instrText> </w:instrText>
      </w:r>
      <w:r w:rsidR="009E34EA">
        <w:instrText>=</w:instrText>
      </w:r>
      <w:r w:rsidR="009E34EA">
        <w:rPr>
          <w:rFonts w:ascii="Arial" w:hAnsi="Arial" w:cs="Arial"/>
        </w:rPr>
        <w:instrText> </w:instrText>
      </w:r>
      <w:r w:rsidR="009E34EA">
        <w:instrText>up to 61</w:instrText>
      </w:r>
      <w:r w:rsidR="009E34EA">
        <w:rPr>
          <w:rFonts w:ascii="Arial" w:hAnsi="Arial" w:cs="Arial"/>
        </w:rPr>
        <w:instrText> </w:instrText>
      </w:r>
      <w:r w:rsidR="009E34EA">
        <w:instrText>079 individuals) and from the Coronary Artery Disease Genome-wide Replication and Meta-analysis Plus the Coronary Artery Disease Genetics (CardiogramplusC4D) consortium's 1000 genomes-based genome-wide association meta-analysis (N</w:instrText>
      </w:r>
      <w:r w:rsidR="009E34EA">
        <w:rPr>
          <w:rFonts w:ascii="Arial" w:hAnsi="Arial" w:cs="Arial"/>
        </w:rPr>
        <w:instrText> </w:instrText>
      </w:r>
      <w:r w:rsidR="009E34EA">
        <w:instrText>=</w:instrText>
      </w:r>
      <w:r w:rsidR="009E34EA">
        <w:rPr>
          <w:rFonts w:ascii="Arial" w:hAnsi="Arial" w:cs="Arial"/>
        </w:rPr>
        <w:instrText> </w:instrText>
      </w:r>
      <w:r w:rsidR="009E34EA">
        <w:instrText>up to 184</w:instrText>
      </w:r>
      <w:r w:rsidR="009E34EA">
        <w:rPr>
          <w:rFonts w:ascii="Arial" w:hAnsi="Arial" w:cs="Arial"/>
        </w:rPr>
        <w:instrText> </w:instrText>
      </w:r>
      <w:r w:rsidR="009E34EA">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9E34EA">
        <w:rPr>
          <w:rFonts w:ascii="Arial" w:hAnsi="Arial" w:cs="Arial"/>
        </w:rPr>
        <w:instrText> </w:instrText>
      </w:r>
      <w:r w:rsidR="009E34EA">
        <w:instrText>305 individuals (60</w:instrText>
      </w:r>
      <w:r w:rsidR="009E34EA">
        <w:rPr>
          <w:rFonts w:ascii="Arial" w:hAnsi="Arial" w:cs="Arial"/>
        </w:rPr>
        <w:instrText> </w:instrText>
      </w:r>
      <w:r w:rsidR="009E34EA">
        <w:instrText>801 CAD cases [approximately 70% with myocardial infarction] and 123</w:instrText>
      </w:r>
      <w:r w:rsidR="009E34EA">
        <w:rPr>
          <w:rFonts w:ascii="Arial" w:hAnsi="Arial" w:cs="Arial"/>
        </w:rPr>
        <w:instrText> </w:instrText>
      </w:r>
      <w:r w:rsidR="009E34EA">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9E34EA">
        <w:rPr>
          <w:rFonts w:ascii="Arial" w:hAnsi="Arial" w:cs="Arial"/>
        </w:rPr>
        <w:instrText> </w:instrText>
      </w:r>
      <w:r w:rsidR="009E34EA">
        <w:instrText>=</w:instrText>
      </w:r>
      <w:r w:rsidR="009E34EA">
        <w:rPr>
          <w:rFonts w:ascii="Arial" w:hAnsi="Arial" w:cs="Arial"/>
        </w:rPr>
        <w:instrText> </w:instrText>
      </w:r>
      <w:r w:rsidR="009E34EA">
        <w:instrText>.003) for CAD and 1.24 (95% CI, 1.05-1.46; P</w:instrText>
      </w:r>
      <w:r w:rsidR="009E34EA">
        <w:rPr>
          <w:rFonts w:ascii="Arial" w:hAnsi="Arial" w:cs="Arial"/>
        </w:rPr>
        <w:instrText> </w:instrText>
      </w:r>
      <w:r w:rsidR="009E34EA">
        <w:instrText>=</w:instrText>
      </w:r>
      <w:r w:rsidR="009E34EA">
        <w:rPr>
          <w:rFonts w:ascii="Arial" w:hAnsi="Arial" w:cs="Arial"/>
        </w:rPr>
        <w:instrText> </w:instrText>
      </w:r>
      <w:r w:rsidR="009E34EA">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unknown.","container-title":"JAMA","DOI":"10.1001/jama.2017.8981","ISSN":"1538-3598","issue":"4","journalAbbreviation":"JAMA","language":"eng","note":"PMID: 28742912\nPMCID: PMC5817597","page":"371-380","source":"PubMed","title":"Association of Genetic Variants Related to Serum Calcium Levels With Coronary Artery Disease and Myocardial Infarction","volume":"318","author":[{"family":"Larsson","given":"Susanna C."},{"family":"Burgess","given":"Stephen"},{"family":"Michaëlsson","given":"Karl"}],"issued":{"date-parts":[["2017",7,25]]},"citation-key":"larssonAssociationGeneticVariants2017"}}],"schema":"https://github.com/citation-style-language/schema/raw/master/csl-citation.json"} </w:instrText>
      </w:r>
      <w:r w:rsidR="009E34EA">
        <w:fldChar w:fldCharType="separate"/>
      </w:r>
      <w:r w:rsidR="009E34EA">
        <w:rPr>
          <w:noProof/>
        </w:rPr>
        <w:t>[10]</w:t>
      </w:r>
      <w:r w:rsidR="009E34EA">
        <w:fldChar w:fldCharType="end"/>
      </w:r>
      <w:r w:rsidR="009E34EA">
        <w:t>.</w:t>
      </w:r>
    </w:p>
    <w:p w14:paraId="4DBDE2E2" w14:textId="71692E52" w:rsidR="00121C5B" w:rsidRDefault="00121C5B" w:rsidP="00121C5B">
      <w:pPr>
        <w:pStyle w:val="Heading2"/>
      </w:pPr>
      <w:r>
        <w:lastRenderedPageBreak/>
        <w:t xml:space="preserve">Evidence for a Cholesterol -&gt; Calcium </w:t>
      </w:r>
      <w:r w:rsidR="002E0DA6">
        <w:t>Effect</w:t>
      </w:r>
    </w:p>
    <w:p w14:paraId="2C74DB49" w14:textId="77777777" w:rsidR="001070FE" w:rsidRDefault="00067487" w:rsidP="00067487">
      <w:r>
        <w:t xml:space="preserve">We then tested the reverse hypothesis, that genetically predicted cholesterol levels could impact serum calcium levels.  As shown in Figures 2C-D and Table 2 IVW analyses show a significant positive relationship between </w:t>
      </w:r>
      <w:commentRangeStart w:id="2"/>
      <w:r>
        <w:t>both total cholesterol (</w:t>
      </w:r>
      <w:r w:rsidRPr="00067487">
        <w:t>0.065</w:t>
      </w:r>
      <w:r w:rsidRPr="00067487">
        <w:tab/>
      </w:r>
      <w:r>
        <w:t xml:space="preserve">-/+ </w:t>
      </w:r>
      <w:r w:rsidRPr="00067487">
        <w:t>0.019</w:t>
      </w:r>
      <w:r>
        <w:t xml:space="preserve"> p=</w:t>
      </w:r>
      <w:r w:rsidRPr="00067487">
        <w:t>0.0005</w:t>
      </w:r>
      <w:r>
        <w:t>8) and LDL-cholesterol (</w:t>
      </w:r>
      <w:r w:rsidRPr="00067487">
        <w:t>0.053</w:t>
      </w:r>
      <w:r>
        <w:t xml:space="preserve"> +/ </w:t>
      </w:r>
      <w:r w:rsidRPr="00067487">
        <w:t>0.019</w:t>
      </w:r>
      <w:r>
        <w:t xml:space="preserve"> p=</w:t>
      </w:r>
      <w:r w:rsidRPr="00067487">
        <w:t>0.0059</w:t>
      </w:r>
      <w:r>
        <w:t>) and calcium levels</w:t>
      </w:r>
      <w:commentRangeEnd w:id="2"/>
      <w:r w:rsidR="008274E7">
        <w:rPr>
          <w:rStyle w:val="CommentReference"/>
          <w:sz w:val="24"/>
          <w:szCs w:val="24"/>
        </w:rPr>
        <w:commentReference w:id="2"/>
      </w:r>
      <w:r>
        <w:t xml:space="preserve">.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52EBBF81"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w:t>
      </w:r>
      <w:r w:rsidR="00385D8D">
        <w:t xml:space="preserve">uncorrelated </w:t>
      </w:r>
      <w:r w:rsidR="00067487">
        <w:t>pleiotropy</w:t>
      </w:r>
      <w:r w:rsidR="00473DFB">
        <w:t xml:space="preserve"> (Supplementary Figures 3G and H)</w:t>
      </w:r>
      <w:r w:rsidR="00D61072">
        <w:t>, confirmed by small and non-significant Egger intercepts for both total (</w:t>
      </w:r>
      <w:r w:rsidR="00D61072" w:rsidRPr="00D61072">
        <w:t>0.0011</w:t>
      </w:r>
      <w:r w:rsidR="00D61072">
        <w:t xml:space="preserve"> +/- </w:t>
      </w:r>
      <w:r w:rsidR="00D61072" w:rsidRPr="00D61072">
        <w:t>0.0009</w:t>
      </w:r>
      <w:r w:rsidR="00D61072">
        <w:t>; p=</w:t>
      </w:r>
      <w:r w:rsidR="00D61072" w:rsidRPr="00D61072">
        <w:t>0.26</w:t>
      </w:r>
      <w:r w:rsidR="00D61072">
        <w:t>) and LDL-cholesterol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influential SNPs as leave-one-out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These findings suggest that elevated cholesterol </w:t>
      </w:r>
      <w:r w:rsidR="006C0FB6">
        <w:t>could</w:t>
      </w:r>
      <w:r w:rsidR="006C0FB6" w:rsidRPr="006C0FB6">
        <w:t xml:space="preserve"> contribute to higher serum calcium concentrations</w:t>
      </w:r>
      <w:r w:rsidR="006C0FB6">
        <w:t>.</w:t>
      </w:r>
    </w:p>
    <w:p w14:paraId="061B1DB1" w14:textId="3A300336" w:rsidR="0058330D" w:rsidRDefault="0058330D" w:rsidP="0058330D">
      <w:pPr>
        <w:pStyle w:val="Heading2"/>
      </w:pPr>
      <w:r>
        <w:t>Drug-Target MR</w:t>
      </w:r>
    </w:p>
    <w:p w14:paraId="3B9204CB" w14:textId="2E63C63E" w:rsidR="00B3420F" w:rsidRDefault="0058330D">
      <w:r>
        <w:t xml:space="preserve">We next repeated our analysis of genetically predicted cholesterol impacting calcium by restricting our exposure SNPs to actionable drug targets, in this case including variants near </w:t>
      </w:r>
      <w:r w:rsidRPr="0058330D">
        <w:rPr>
          <w:i/>
          <w:iCs/>
        </w:rPr>
        <w:t>HMGCR</w:t>
      </w:r>
      <w:r>
        <w:t xml:space="preserve"> (the target of statins), </w:t>
      </w:r>
      <w:r w:rsidRPr="0058330D">
        <w:rPr>
          <w:i/>
          <w:iCs/>
        </w:rPr>
        <w:t>PCSK9</w:t>
      </w:r>
      <w:r>
        <w:t xml:space="preserve">, and </w:t>
      </w:r>
      <w:r w:rsidRPr="0058330D">
        <w:rPr>
          <w:i/>
          <w:iCs/>
        </w:rPr>
        <w:t>NPC1L1</w:t>
      </w:r>
      <w:r>
        <w:t xml:space="preserve"> (the target of </w:t>
      </w:r>
      <w:r w:rsidRPr="0058330D">
        <w:t>ezetimibe</w:t>
      </w:r>
      <w:r>
        <w:t xml:space="preserve">).  </w:t>
      </w:r>
      <w:r w:rsidR="00DF789E">
        <w:t>We first used the MGI-BioVU LabWAS as the outcome GWAS, retaining the two-sample design used above.</w:t>
      </w:r>
      <w:r>
        <w:t xml:space="preserve">  For HMGCR we identified 11 SNPs (explaining </w:t>
      </w:r>
      <w:r w:rsidR="00F50243">
        <w:t>0.37 and 0.32</w:t>
      </w:r>
      <w:r>
        <w:t>% of the exposure variance</w:t>
      </w:r>
      <w:r w:rsidR="00F50243">
        <w:t xml:space="preserve"> for LDL-C and total cholesterol respectively</w:t>
      </w:r>
      <w:r>
        <w:t xml:space="preserve">; </w:t>
      </w:r>
      <w:r w:rsidR="00F50243">
        <w:t>overall</w:t>
      </w:r>
      <w:r>
        <w:t xml:space="preserve"> F-statistic</w:t>
      </w:r>
      <w:r w:rsidR="00F50243">
        <w:t>s of 149 and 351</w:t>
      </w:r>
      <w:r>
        <w:t xml:space="preserve">).  </w:t>
      </w:r>
      <w:r w:rsidR="00F50243">
        <w:t>In this analysis we found</w:t>
      </w:r>
      <w:r>
        <w:t xml:space="preserve"> no strong evidence of directional horizontal pleiotropy (Egger intercept p=</w:t>
      </w:r>
      <w:r w:rsidRPr="0058330D">
        <w:t>0.1795</w:t>
      </w:r>
      <w:r>
        <w:t xml:space="preserve"> and 0.743 for LDL-C and total cholesterol respectively).  In both cases the IVW</w:t>
      </w:r>
      <w:r w:rsidR="00DF789E">
        <w:t xml:space="preserve"> mixed </w:t>
      </w:r>
      <w:r>
        <w:t>random effects modeling showed positive association</w:t>
      </w:r>
      <w:r w:rsidR="00FF0B34">
        <w:t>s between cholesterol and calcium (</w:t>
      </w:r>
      <w:r w:rsidRPr="0058330D">
        <w:t>0.1630</w:t>
      </w:r>
      <w:r>
        <w:t xml:space="preserve"> [</w:t>
      </w:r>
      <w:r w:rsidRPr="0058330D">
        <w:t>0.0114–0.3147</w:t>
      </w:r>
      <w:r w:rsidR="00FF0B34">
        <w:t>]</w:t>
      </w:r>
      <w:r>
        <w:t xml:space="preserve"> p=0.035) for LDL-C and </w:t>
      </w:r>
      <w:r w:rsidRPr="0058330D">
        <w:t>0.1603</w:t>
      </w:r>
      <w:r>
        <w:t xml:space="preserve"> [</w:t>
      </w:r>
      <w:r w:rsidRPr="0058330D">
        <w:t>-0.0047–0.3252</w:t>
      </w:r>
      <w:r w:rsidR="00FF0B34">
        <w:t>]</w:t>
      </w:r>
      <w:r>
        <w:t xml:space="preserve"> p=0.056 for total cholesterol</w:t>
      </w:r>
      <w:r w:rsidR="00FF0B34">
        <w:t>).</w:t>
      </w:r>
      <w:r w:rsidR="0021034F">
        <w:t xml:space="preserve">  </w:t>
      </w:r>
      <w:r>
        <w:t>However</w:t>
      </w:r>
      <w:r w:rsidR="00DF789E">
        <w:t>,</w:t>
      </w:r>
      <w:r>
        <w:t xml:space="preserve"> there were no overlapping </w:t>
      </w:r>
      <w:r w:rsidR="0021034F">
        <w:t xml:space="preserve">harmonized </w:t>
      </w:r>
      <w:r>
        <w:t xml:space="preserve">instruments near </w:t>
      </w:r>
      <w:r w:rsidRPr="0058330D">
        <w:rPr>
          <w:i/>
          <w:iCs/>
        </w:rPr>
        <w:t>NPC1L1</w:t>
      </w:r>
      <w:r>
        <w:t xml:space="preserve"> or </w:t>
      </w:r>
      <w:r w:rsidRPr="0058330D">
        <w:rPr>
          <w:i/>
          <w:iCs/>
        </w:rPr>
        <w:t>PCSK9</w:t>
      </w:r>
      <w:r>
        <w:t xml:space="preserve"> in the MGI-BioVU GWAS, precluding their analysis </w:t>
      </w:r>
      <w:r w:rsidR="0021034F">
        <w:t>with</w:t>
      </w:r>
      <w:r>
        <w:t xml:space="preserve"> this approach</w:t>
      </w:r>
      <w:r w:rsidR="0021034F">
        <w:t>.</w:t>
      </w:r>
    </w:p>
    <w:p w14:paraId="7FAAEE21" w14:textId="6E0D8C86" w:rsidR="00806E4C" w:rsidRDefault="00F50243" w:rsidP="00F62283">
      <w:r>
        <w:lastRenderedPageBreak/>
        <w:t>To overcome this limitation</w:t>
      </w:r>
      <w:r w:rsidR="003F64CE">
        <w:t>,</w:t>
      </w:r>
      <w:r>
        <w:t xml:space="preserve"> we repeated the Drug-Target MR analysis using the larger UK-Biobank outcome GWAS (</w:t>
      </w:r>
      <w:r>
        <w:rPr>
          <w:i/>
          <w:iCs/>
        </w:rPr>
        <w:t>i.e.</w:t>
      </w:r>
      <w:r>
        <w:t xml:space="preserve"> a one-sample MR approach).  </w:t>
      </w:r>
      <w:r w:rsidR="00A965D4">
        <w:t xml:space="preserve">After harmonization, this approach yielded 26 and 7 SNPs for total cholesterol and LDL-C respectively for </w:t>
      </w:r>
      <w:r w:rsidR="00A965D4" w:rsidRPr="00BD657E">
        <w:rPr>
          <w:i/>
          <w:iCs/>
        </w:rPr>
        <w:t>HMGCR</w:t>
      </w:r>
      <w:r w:rsidR="00A965D4">
        <w:t xml:space="preserve">, three SNPs for </w:t>
      </w:r>
      <w:r w:rsidR="00A965D4" w:rsidRPr="00BD657E">
        <w:rPr>
          <w:i/>
          <w:iCs/>
        </w:rPr>
        <w:t>PCSK9</w:t>
      </w:r>
      <w:r w:rsidR="00A965D4">
        <w:t xml:space="preserve"> and</w:t>
      </w:r>
      <w:r w:rsidR="0080021B">
        <w:t xml:space="preserve"> total cholesterol, one SNP for PCSK9 and LDL-C, and </w:t>
      </w:r>
      <w:r w:rsidR="00A965D4">
        <w:t xml:space="preserve">one SNP for </w:t>
      </w:r>
      <w:r w:rsidR="00A965D4" w:rsidRPr="00BD657E">
        <w:rPr>
          <w:i/>
          <w:iCs/>
        </w:rPr>
        <w:t>NPC1L1</w:t>
      </w:r>
      <w:r w:rsidR="00A965D4">
        <w:t xml:space="preserve"> </w:t>
      </w:r>
      <w:r w:rsidR="0080021B">
        <w:t xml:space="preserve">for each outcome </w:t>
      </w:r>
      <w:r w:rsidR="00A965D4">
        <w:t xml:space="preserve">(see Table </w:t>
      </w:r>
      <w:r w:rsidR="00BD657E">
        <w:t>1</w:t>
      </w:r>
      <w:r w:rsidR="00A965D4">
        <w:t xml:space="preserve"> for instrument summary statistics, and </w:t>
      </w:r>
      <w:r w:rsidR="00BD657E">
        <w:t>Supplementary Table 1 for list of instruments).  Again</w:t>
      </w:r>
      <w:r w:rsidR="0080021B">
        <w:t>,</w:t>
      </w:r>
      <w:r w:rsidR="00BD657E">
        <w:t xml:space="preserve"> there was limited evidence of directional horizontal pleiotropy (Egger’s intercept p &gt;</w:t>
      </w:r>
      <w:r w:rsidR="00BD657E" w:rsidRPr="00BD657E">
        <w:t xml:space="preserve"> </w:t>
      </w:r>
      <w:r w:rsidR="00BD657E" w:rsidRPr="00BD657E">
        <w:t>0.74</w:t>
      </w:r>
      <w:r w:rsidR="00BD657E">
        <w:t xml:space="preserve"> for each analysis where there was multiple SNPs).  Confirming our result with MGI-BioVU LabWAS we found a similar positive beta coefficients for the effects of </w:t>
      </w:r>
      <w:r w:rsidR="00BD657E" w:rsidRPr="00BD657E">
        <w:rPr>
          <w:i/>
          <w:iCs/>
        </w:rPr>
        <w:t>HM</w:t>
      </w:r>
      <w:r w:rsidR="00DF789E">
        <w:rPr>
          <w:i/>
          <w:iCs/>
        </w:rPr>
        <w:t>G</w:t>
      </w:r>
      <w:r w:rsidR="00BD657E" w:rsidRPr="00BD657E">
        <w:rPr>
          <w:i/>
          <w:iCs/>
        </w:rPr>
        <w:t>CR</w:t>
      </w:r>
      <w:r w:rsidR="00BD657E">
        <w:t xml:space="preserve"> variants on serum calcium (</w:t>
      </w:r>
      <w:r w:rsidR="00BD657E" w:rsidRPr="00BD657E">
        <w:t>0.1823</w:t>
      </w:r>
      <w:r w:rsidR="00BD657E">
        <w:t xml:space="preserve"> [</w:t>
      </w:r>
      <w:r w:rsidR="00BD657E" w:rsidRPr="00BD657E">
        <w:t>0.1482–0.2164</w:t>
      </w:r>
      <w:r w:rsidR="00BD657E">
        <w:t xml:space="preserve">] for </w:t>
      </w:r>
      <w:r w:rsidR="007E7B9D">
        <w:t xml:space="preserve">the </w:t>
      </w:r>
      <w:r w:rsidR="00BD657E">
        <w:t xml:space="preserve">total cholesterol </w:t>
      </w:r>
      <w:r w:rsidR="007E7B9D">
        <w:t xml:space="preserve">exposure SNPs </w:t>
      </w:r>
      <w:r w:rsidR="00BD657E">
        <w:t xml:space="preserve">and for </w:t>
      </w:r>
      <w:r w:rsidR="00BD657E" w:rsidRPr="00BD657E">
        <w:t>0.1807</w:t>
      </w:r>
      <w:r w:rsidR="00BD657E">
        <w:t xml:space="preserve"> [</w:t>
      </w:r>
      <w:r w:rsidR="00BD657E" w:rsidRPr="00BD657E">
        <w:t>0.1286–0.2327</w:t>
      </w:r>
      <w:r w:rsidR="00BD657E">
        <w:t xml:space="preserve">] for </w:t>
      </w:r>
      <w:r w:rsidR="007E7B9D">
        <w:t xml:space="preserve">the </w:t>
      </w:r>
      <w:r w:rsidR="00BD657E">
        <w:t>LDL-C</w:t>
      </w:r>
      <w:r w:rsidR="007E7B9D">
        <w:t xml:space="preserve"> exposure SNPs</w:t>
      </w:r>
      <w:r w:rsidR="00BD657E">
        <w:t xml:space="preserve">, both p&lt;0.001 see Table 3).  For </w:t>
      </w:r>
      <w:r w:rsidR="00BD657E" w:rsidRPr="00BD657E">
        <w:rPr>
          <w:i/>
          <w:iCs/>
        </w:rPr>
        <w:t>PCSK9</w:t>
      </w:r>
      <w:r w:rsidR="00BD657E">
        <w:t xml:space="preserve"> and </w:t>
      </w:r>
      <w:r w:rsidR="00BD657E" w:rsidRPr="00BD657E">
        <w:rPr>
          <w:i/>
          <w:iCs/>
        </w:rPr>
        <w:t>NPC1L1</w:t>
      </w:r>
      <w:r w:rsidR="00BD657E">
        <w:t xml:space="preserve"> we found no evidence for a significant association between cholesterol-associated variants near these genes on </w:t>
      </w:r>
      <w:r w:rsidR="007E7B9D">
        <w:t>serum calcium</w:t>
      </w:r>
      <w:r w:rsidR="00BD657E">
        <w:t xml:space="preserve"> (p &gt; 0.6 for all tests).  </w:t>
      </w:r>
      <w:r w:rsidR="004B746B" w:rsidRPr="004B746B">
        <w:rPr>
          <w:rStyle w:val="Emphasis"/>
          <w:i w:val="0"/>
          <w:iCs w:val="0"/>
        </w:rPr>
        <w:t xml:space="preserve">The </w:t>
      </w:r>
      <w:r w:rsidR="004B746B" w:rsidRPr="004B746B">
        <w:rPr>
          <w:rStyle w:val="Emphasis"/>
        </w:rPr>
        <w:t>PCSK9</w:t>
      </w:r>
      <w:r w:rsidR="004B746B" w:rsidRPr="004B746B">
        <w:rPr>
          <w:rStyle w:val="Emphasis"/>
          <w:i w:val="0"/>
          <w:iCs w:val="0"/>
        </w:rPr>
        <w:t xml:space="preserve"> 95% confidence interval (-0.04 to 0.05) excludes effects larger than approximately one-quarter of the </w:t>
      </w:r>
      <w:r w:rsidR="004B746B" w:rsidRPr="004B746B">
        <w:rPr>
          <w:rStyle w:val="Emphasis"/>
        </w:rPr>
        <w:t>HMGCR</w:t>
      </w:r>
      <w:r w:rsidR="004B746B" w:rsidRPr="004B746B">
        <w:rPr>
          <w:rStyle w:val="Emphasis"/>
          <w:i w:val="0"/>
          <w:iCs w:val="0"/>
        </w:rPr>
        <w:t xml:space="preserve"> estimate, providing positive evidence that genetically proxied </w:t>
      </w:r>
      <w:r w:rsidR="004B746B" w:rsidRPr="004B746B">
        <w:rPr>
          <w:rStyle w:val="Emphasis"/>
        </w:rPr>
        <w:t>PCSK9</w:t>
      </w:r>
      <w:r w:rsidR="004B746B" w:rsidRPr="004B746B">
        <w:rPr>
          <w:rStyle w:val="Emphasis"/>
          <w:i w:val="0"/>
          <w:iCs w:val="0"/>
        </w:rPr>
        <w:t xml:space="preserve"> inhibition does not affect serum calcium and contrasting </w:t>
      </w:r>
      <w:r w:rsidR="004B746B">
        <w:rPr>
          <w:rStyle w:val="Emphasis"/>
          <w:i w:val="0"/>
          <w:iCs w:val="0"/>
        </w:rPr>
        <w:t xml:space="preserve">it </w:t>
      </w:r>
      <w:r w:rsidR="004B746B" w:rsidRPr="004B746B">
        <w:rPr>
          <w:rStyle w:val="Emphasis"/>
          <w:i w:val="0"/>
          <w:iCs w:val="0"/>
        </w:rPr>
        <w:t xml:space="preserve">with the </w:t>
      </w:r>
      <w:r w:rsidR="004B746B" w:rsidRPr="004B746B">
        <w:rPr>
          <w:rStyle w:val="Emphasis"/>
        </w:rPr>
        <w:t>HMGCR</w:t>
      </w:r>
      <w:r w:rsidR="004B746B" w:rsidRPr="004B746B">
        <w:rPr>
          <w:rStyle w:val="Emphasis"/>
          <w:i w:val="0"/>
          <w:iCs w:val="0"/>
        </w:rPr>
        <w:t xml:space="preserve"> result. The </w:t>
      </w:r>
      <w:r w:rsidR="004B746B" w:rsidRPr="004B746B">
        <w:rPr>
          <w:rStyle w:val="Emphasis"/>
        </w:rPr>
        <w:t>NPC1L1</w:t>
      </w:r>
      <w:r w:rsidR="004B746B" w:rsidRPr="004B746B">
        <w:rPr>
          <w:rStyle w:val="Emphasis"/>
          <w:i w:val="0"/>
          <w:iCs w:val="0"/>
        </w:rPr>
        <w:t xml:space="preserve"> estimates were imprecise (single instrument; 95% CI width &gt;0.3) and </w:t>
      </w:r>
      <w:r w:rsidR="004B746B">
        <w:rPr>
          <w:rStyle w:val="Emphasis"/>
          <w:i w:val="0"/>
          <w:iCs w:val="0"/>
        </w:rPr>
        <w:t>are unlikely to be able to</w:t>
      </w:r>
      <w:r w:rsidR="004B746B" w:rsidRPr="004B746B">
        <w:rPr>
          <w:rStyle w:val="Emphasis"/>
          <w:i w:val="0"/>
          <w:iCs w:val="0"/>
        </w:rPr>
        <w:t xml:space="preserve"> distinguish a true null from an </w:t>
      </w:r>
      <w:r w:rsidR="004B746B" w:rsidRPr="004B746B">
        <w:rPr>
          <w:rStyle w:val="Emphasis"/>
        </w:rPr>
        <w:t>HMGCR</w:t>
      </w:r>
      <w:r w:rsidR="004B746B" w:rsidRPr="004B746B">
        <w:rPr>
          <w:rStyle w:val="Emphasis"/>
          <w:i w:val="0"/>
          <w:iCs w:val="0"/>
        </w:rPr>
        <w:t>-magnitude effect</w:t>
      </w:r>
      <w:r w:rsidR="004B746B">
        <w:rPr>
          <w:rStyle w:val="Emphasis"/>
          <w:i w:val="0"/>
          <w:iCs w:val="0"/>
        </w:rPr>
        <w:t xml:space="preserve">.  </w:t>
      </w:r>
      <w:r w:rsidR="004B746B">
        <w:t>T</w:t>
      </w:r>
      <w:r w:rsidR="00DF789E">
        <w:t xml:space="preserve">hese data suggest that </w:t>
      </w:r>
      <w:r w:rsidR="00F62283" w:rsidRPr="00F62283">
        <w:t>the genetically proxied effect of HMGCR inhibition on serum calcium is stronger than that of PCSK9 inhibition or NPC1L1 inhibition, suggesting the calcium effect is mediated through mevalonate pathway intermediates (</w:t>
      </w:r>
      <w:r w:rsidR="00F62283" w:rsidRPr="00F62283">
        <w:rPr>
          <w:i/>
          <w:iCs/>
        </w:rPr>
        <w:t>e.g.,</w:t>
      </w:r>
      <w:r w:rsidR="00F62283" w:rsidRPr="00F62283">
        <w:t xml:space="preserve"> isoprenoids required for protein prenylation) rather than LDL-C lowering </w:t>
      </w:r>
      <w:r w:rsidR="00F62283" w:rsidRPr="00F62283">
        <w:rPr>
          <w:i/>
          <w:iCs/>
        </w:rPr>
        <w:t>per se</w:t>
      </w:r>
      <w:r w:rsidR="00F62283" w:rsidRPr="00F62283">
        <w:t>.</w:t>
      </w:r>
    </w:p>
    <w:p w14:paraId="53F2963F" w14:textId="77777777" w:rsidR="00F62283" w:rsidRDefault="00F62283" w:rsidP="00F62283"/>
    <w:p w14:paraId="2FF17C88" w14:textId="430C08AB" w:rsidR="00F62283" w:rsidRDefault="00F62283" w:rsidP="00F62283">
      <w:pPr>
        <w:pStyle w:val="Heading1"/>
      </w:pPr>
      <w:r>
        <w:t>Discussion</w:t>
      </w:r>
    </w:p>
    <w:p w14:paraId="5C092266" w14:textId="13EF91F4"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9E34EA">
        <w:instrText xml:space="preserve"> ADDIN ZOTERO_ITEM CSL_CITATION {"citationID":"60soaiRK","properties":{"formattedCitation":"[11]","plainCitation":"[11]","noteIndex":0},"citationItems":[{"id":27119,"uris":["http://zotero.org/users/7317906/items/WKT9NGK9"],"itemData":{"id":27119,"type":"article-journal","abstract":"Mendelian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inference.","container-title":"Nature Reviews Methods Primers","DOI":"10.1038/s43586-021-00092-5","ISSN":"2662-8449","issue":"1","journalAbbreviation":"Nat Rev Methods Primers","language":"en","license":"2022 Springer Nature Limited","note":"publisher: Nature Publishing Group","page":"6","source":"www.nature.com","title":"Mendelian randomization","volume":"2","author":[{"family":"Sanderson","given":"Eleanor"},{"family":"Glymour","given":"M.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Smith","given":"George"}],"issued":{"date-parts":[["2022",2,10]]},"citation-key":"sandersonMendelianRandomization2022"}}],"schema":"https://github.com/citation-style-language/schema/raw/master/csl-citation.json"} </w:instrText>
      </w:r>
      <w:r w:rsidR="00FD2498">
        <w:fldChar w:fldCharType="separate"/>
      </w:r>
      <w:r w:rsidR="009E34EA">
        <w:rPr>
          <w:noProof/>
        </w:rPr>
        <w:t>[11]</w:t>
      </w:r>
      <w:r w:rsidR="00FD2498">
        <w:fldChar w:fldCharType="end"/>
      </w:r>
      <w:r w:rsidR="00FD2498">
        <w:t>.  The key assumptions of MR include the relevance assumption, independence assumption and exclusion restriction assumptions.</w:t>
      </w:r>
    </w:p>
    <w:p w14:paraId="05621932" w14:textId="028356C2" w:rsidR="00D004E7" w:rsidRDefault="00DB7C86" w:rsidP="00806E4C">
      <w:r>
        <w:t>We have strong evidence for the r</w:t>
      </w:r>
      <w:r w:rsidR="00D004E7">
        <w:t>elevance assumption</w:t>
      </w:r>
      <w:r>
        <w:t>, or that SNPs are strongly associated with our exposure based both on the strong F-statistics (for each analysis substantially &gt;10; see Table 1) and with our positive control which demonstrates significant positive associations between SNPs in UK Biobank vs MGI-BioVU LabWAS.</w:t>
      </w:r>
    </w:p>
    <w:p w14:paraId="0193638F" w14:textId="6388F841" w:rsidR="00D004E7" w:rsidRDefault="00D004E7" w:rsidP="00806E4C">
      <w:r>
        <w:t>Independence assumption</w:t>
      </w:r>
    </w:p>
    <w:p w14:paraId="6D32467F" w14:textId="381DBD76" w:rsidR="00D004E7" w:rsidRDefault="00D004E7" w:rsidP="00806E4C">
      <w:r>
        <w:lastRenderedPageBreak/>
        <w:t xml:space="preserve">There is little evidence for violation of the exclusion restriction criteria in our </w:t>
      </w:r>
      <w:r w:rsidR="00710EE5">
        <w:t>analysis</w:t>
      </w:r>
      <w:r>
        <w:t xml:space="preserve"> given the lack of significant directional uncorrelated horizontal pleiotropy detected in our sensitivity analyses</w:t>
      </w:r>
      <w:r w:rsidR="001F20D2">
        <w:t xml:space="preserve"> (Egger’s intercepts were small and p&gt;0.</w:t>
      </w:r>
      <w:r w:rsidR="00B61D00">
        <w:t>2</w:t>
      </w:r>
      <w:r w:rsidR="001F20D2">
        <w:t xml:space="preserve">5 for </w:t>
      </w:r>
      <w:r w:rsidR="00B61D00">
        <w:t>all</w:t>
      </w:r>
      <w:r w:rsidR="001F20D2">
        <w:t xml:space="preserve"> </w:t>
      </w:r>
      <w:r w:rsidR="00B61D00">
        <w:t>analyses</w:t>
      </w:r>
      <w:r w:rsidR="001F20D2">
        <w:t>).  Furthermore</w:t>
      </w:r>
      <w:r w:rsidR="000E3BFB">
        <w:t xml:space="preserve">, </w:t>
      </w:r>
      <w:r w:rsidR="001F20D2">
        <w:t>we</w:t>
      </w:r>
      <w:r w:rsidR="00DB7C86">
        <w:t xml:space="preserve"> </w:t>
      </w:r>
      <w:r w:rsidR="001F20D2">
        <w:t>found</w:t>
      </w:r>
      <w:r w:rsidR="00DB7C86">
        <w:t xml:space="preserve"> similarity between IVW and MR-PRESSO estimates and other methods that are less sensitive to pleiotropy (weighted median, weighted mode and MR-RAPS)</w:t>
      </w:r>
      <w:r>
        <w:t>.</w:t>
      </w:r>
      <w:r w:rsidR="00DB7C86">
        <w:t xml:space="preserve">  </w:t>
      </w:r>
      <w:r w:rsidR="001F20D2">
        <w:t xml:space="preserve">Finally, </w:t>
      </w:r>
      <w:r w:rsidR="00DB7C86">
        <w:t xml:space="preserve">funnel and scatter plots do </w:t>
      </w:r>
      <w:r w:rsidR="00FA10DA">
        <w:t xml:space="preserve">not </w:t>
      </w:r>
      <w:r w:rsidR="00FD2498">
        <w:t>show clear</w:t>
      </w:r>
      <w:r w:rsidR="00DB7C86">
        <w:t xml:space="preserve"> visual evidence of uncorrelated pleiotropy.</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1D06AE5" w:rsidR="00806E4C" w:rsidRDefault="00806E4C" w:rsidP="00806E4C">
      <w:r>
        <w:t xml:space="preserve">One </w:t>
      </w:r>
      <w:r w:rsidR="00B972C6">
        <w:t xml:space="preserve">modest </w:t>
      </w:r>
      <w:r>
        <w:t xml:space="preserve">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21494033" w14:textId="77777777" w:rsidR="009E34EA" w:rsidRDefault="009E34EA" w:rsidP="00806E4C"/>
    <w:p w14:paraId="6DAE8B3F" w14:textId="71D0DC77" w:rsidR="009E34EA" w:rsidRDefault="009E34EA" w:rsidP="00806E4C">
      <w:r>
        <w:t xml:space="preserve">While this study found no evidence of a causal association between serum calcium and LDL-C or total cholesterol levels, this relationship is still likely important.  Calcium levels in blood are associated with an increased risk of both arterial calcification and coronary artery disease </w:t>
      </w:r>
      <w:r>
        <w:fldChar w:fldCharType="begin"/>
      </w:r>
      <w:r>
        <w:instrText xml:space="preserve"> ADDIN ZOTERO_ITEM CSL_CITATION {"citationID":"qfMVi6wV","properties":{"formattedCitation":"[12,13]","plainCitation":"[12,13]","noteIndex":0},"citationItems":[{"id":9407,"uris":["http://zotero.org/users/7317906/items/PNCI3UN4"],"itemData":{"id":9407,"type":"article-journal","abstract":"Background\nCalcium-phosphate levels, linked to vascular dysfunction in chronic kidney disease, may represent novel risk factors for coronary heart disease, stroke, and death in community-dwelling adults.\nMethods\nWe tested this hypothesis over 12.6 years of follow-up in the prospective, community-based Atherosclerosis Risk in Communities Study (n = 15,732).\nResults\nAt baseline, mean (SD) values were 9.8 (0.4) mg/dL for serum calcium, 3.4 (0.5) mg/dL for serum phosphate, 33.6 (5.3) mg2/dL2 for calcium-phosphate product, 54.2 (5.7) years for age, and 93.1 (21.5) mL/min per 1.73 m2 for glomerular filtration rate (GFR). Shared associations of calcium, phosphate, and calcium-phosphate product included older age, female sex, African American race, cigarette-years, current cigarette smoking, low body mass index, low-density lipoprotein cholesterol, high-density lipoprotein cholesterol, triglycerides, low serum albumin, low GFR, low caloric intake, and phosphorus intake. With adjustment for age, demographic characteristics, comorbid conditions, albumin, and GFR, calcium-associated hazards ratios for coronary heart disease, stroke, and death were, respectively, 1.01 (95% confidence interval 0.96-1.06), 1.16 (1.07-1.26, P = .0005), and 1.03 (0.98-1.08); phosphate-associated hazards ratios were 1.03 (0.98-1.08), 1.11 (1.02-1.21, P = .0219), and 1.14 (1.09-1.20, P &lt; .0001); calcium-phosphate product-associated hazards ratios were 1.03 (0.98-1.08), 1.15 (1.05-1.26, P = .0017), and 1.15 (1.09-1.20, P &lt; .0001).\nConclusions\nAlthough calcium, phosphate, and calcium-phosphate product levels exhibit complex associations with traditional cardiovascular risk factors and outcomes, they may be potentially modifiable risk factors for stroke and death in community-dwelling adults.","container-title":"American Heart Journal","DOI":"10.1016/j.ahj.2008.05.016","ISSN":"0002-8703","issue":"3","journalAbbreviation":"American Heart Journal","language":"en","page":"556-563","source":"ScienceDirect","title":"Calcium-phosphate levels and cardiovascular disease in community-dwelling adults: The Atherosclerosis Risk in Communities (ARIC) Study","title-short":"Calcium-phosphate levels and cardiovascular disease in community-dwelling adults","volume":"156","author":[{"family":"Foley","given":"Robert N."},{"family":"Collins","given":"Allan J."},{"family":"Ishani","given":"Areef"},{"family":"Kalra","given":"Philip A."}],"issued":{"date-parts":[["2008",9,1]]},"citation-key":"foleyCalciumphosphateLevelsCardiovascular2008"}},{"id":9408,"uris":["http://zotero.org/users/7317906/items/PPSCBETR"],"itemData":{"id":9408,"type":"article-journal","abstract":"—Total serum calcium levels were measured in 12 865 men and 14 293 women, between the ages of 25 and 97 years, in the Tromsø Study during 1994 and 1995. With the use of a sex-specific multiple linear regression model with age, calcium, body mass index, cholesterol, HDL cholesterol, triglycerides, systolic and diastolic blood pressure, and pulse as possible covariates, serum calcium was significantly (P&lt;0.001) and positively associated with systolic and diastolic blood pressure, serum cholesterol, and HDL cholesterol in both sexes. A similar but weaker association was observed between serum calcium and triglycerides in men (P&lt;0.01). In all age groups, serum calcium levels were higher in men with a history of myocardial infarction than in those without, and the difference was significant (P&lt;0.0001) in a linear regression analysis adjusted for age. When all the other variables were also included in a logistic regression model, serum calcium was a highly significant (P&lt;0.0001) predictor of myocardial infarction in men, with an odds ratio of 1.2 per 0.1 mmol/L increase in serum calcium. In women, a nonsignificant trend was again seen. Because the free or ionized form of calcium is the physiologically important form and serum calcium was not corrected for serum albumin in our study, the results must be interpreted with caution. However, it appears likely that serum calcium is a predictor of cardiovascular disease in men.","container-title":"Hypertension","DOI":"10.1161/01.HYP.34.3.484","issue":"3","note":"publisher: American Heart Association","page":"484-490","source":"ahajournals.org (Atypon)","title":"Serum Calcium and Cardiovascular Risk Factors and Diseases","volume":"34","author":[{"family":"Jorde","given":"Rolf"},{"family":"Sundsfjord","given":"Johan"},{"family":"Fitzgerald","given":"Patrick"},{"family":"Bønaa","given":"Kaare H."}],"issued":{"date-parts":[["1999",9]]},"citation-key":"jordeSerumCalciumCardiovascular1999"}}],"schema":"https://github.com/citation-style-language/schema/raw/master/csl-citation.json"} </w:instrText>
      </w:r>
      <w:r>
        <w:fldChar w:fldCharType="separate"/>
      </w:r>
      <w:r>
        <w:rPr>
          <w:noProof/>
        </w:rPr>
        <w:t>[12,13]</w:t>
      </w:r>
      <w:r>
        <w:fldChar w:fldCharType="end"/>
      </w:r>
      <w:r>
        <w:t xml:space="preserve">.  Furthermore a separate MR analysis demonstrated that a 1 SD increase in serum calcium is associated with a 25% increased risk of coronary artery disease </w:t>
      </w:r>
      <w:r>
        <w:fldChar w:fldCharType="begin"/>
      </w:r>
      <w:r>
        <w:instrText xml:space="preserve"> ADDIN ZOTERO_ITEM CSL_CITATION {"citationID":"pP9FZDUD","properties":{"formattedCitation":"[10]","plainCitation":"[10]","noteIndex":0},"citationItems":[{"id":27133,"uris":["http://zotero.org/users/7317906/items/M5V8ZSLF"],"itemData":{"id":27133,"type":"article-journal","abstract":"IMPORTANCE: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Pr>
          <w:rFonts w:ascii="Arial" w:hAnsi="Arial" w:cs="Arial"/>
        </w:rPr>
        <w:instrText> </w:instrText>
      </w:r>
      <w:r>
        <w:instrText>=</w:instrText>
      </w:r>
      <w:r>
        <w:rPr>
          <w:rFonts w:ascii="Arial" w:hAnsi="Arial" w:cs="Arial"/>
        </w:rPr>
        <w:instrText> </w:instrText>
      </w:r>
      <w:r>
        <w:instrText>up to 61</w:instrText>
      </w:r>
      <w:r>
        <w:rPr>
          <w:rFonts w:ascii="Arial" w:hAnsi="Arial" w:cs="Arial"/>
        </w:rPr>
        <w:instrText> </w:instrText>
      </w:r>
      <w:r>
        <w:instrText>079 individuals) and from the Coronary Artery Disease Genome-wide Replication and Meta-analysis Plus the Coronary Artery Disease Genetics (CardiogramplusC4D) consortium's 1000 genomes-based genome-wide association meta-analysis (N</w:instrText>
      </w:r>
      <w:r>
        <w:rPr>
          <w:rFonts w:ascii="Arial" w:hAnsi="Arial" w:cs="Arial"/>
        </w:rPr>
        <w:instrText> </w:instrText>
      </w:r>
      <w:r>
        <w:instrText>=</w:instrText>
      </w:r>
      <w:r>
        <w:rPr>
          <w:rFonts w:ascii="Arial" w:hAnsi="Arial" w:cs="Arial"/>
        </w:rPr>
        <w:instrText> </w:instrText>
      </w:r>
      <w:r>
        <w:instrText>up to 184</w:instrText>
      </w:r>
      <w:r>
        <w:rPr>
          <w:rFonts w:ascii="Arial" w:hAnsi="Arial" w:cs="Arial"/>
        </w:rPr>
        <w:instrText> </w:instrText>
      </w:r>
      <w:r>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Pr>
          <w:rFonts w:ascii="Arial" w:hAnsi="Arial" w:cs="Arial"/>
        </w:rPr>
        <w:instrText> </w:instrText>
      </w:r>
      <w:r>
        <w:instrText>305 individuals (60</w:instrText>
      </w:r>
      <w:r>
        <w:rPr>
          <w:rFonts w:ascii="Arial" w:hAnsi="Arial" w:cs="Arial"/>
        </w:rPr>
        <w:instrText> </w:instrText>
      </w:r>
      <w:r>
        <w:instrText>801 CAD cases [approximately 70% with myocardial infarction] and 123</w:instrText>
      </w:r>
      <w:r>
        <w:rPr>
          <w:rFonts w:ascii="Arial" w:hAnsi="Arial" w:cs="Arial"/>
        </w:rPr>
        <w:instrText> </w:instrText>
      </w:r>
      <w:r>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Pr>
          <w:rFonts w:ascii="Arial" w:hAnsi="Arial" w:cs="Arial"/>
        </w:rPr>
        <w:instrText> </w:instrText>
      </w:r>
      <w:r>
        <w:instrText>=</w:instrText>
      </w:r>
      <w:r>
        <w:rPr>
          <w:rFonts w:ascii="Arial" w:hAnsi="Arial" w:cs="Arial"/>
        </w:rPr>
        <w:instrText> </w:instrText>
      </w:r>
      <w:r>
        <w:instrText>.003) for CAD and 1.24 (95% CI, 1.05-1.46; P</w:instrText>
      </w:r>
      <w:r>
        <w:rPr>
          <w:rFonts w:ascii="Arial" w:hAnsi="Arial" w:cs="Arial"/>
        </w:rPr>
        <w:instrText> </w:instrText>
      </w:r>
      <w:r>
        <w:instrText>=</w:instrText>
      </w:r>
      <w:r>
        <w:rPr>
          <w:rFonts w:ascii="Arial" w:hAnsi="Arial" w:cs="Arial"/>
        </w:rPr>
        <w:instrText> </w:instrText>
      </w:r>
      <w:r>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unknown.","container-title":"JAMA","DOI":"10.1001/jama.2017.8981","ISSN":"1538-3598","issue":"4","journalAbbreviation":"JAMA","language":"eng","note":"PMID: 28742912\nPMCID: PMC5817597","page":"371-380","source":"PubMed","title":"Association of Genetic Variants Related to Serum Calcium Levels With Coronary Artery Disease and Myocardial Infarction","volume":"318","author":[{"family":"Larsson","given":"Susanna C."},{"family":"Burgess","given":"Stephen"},{"family":"Michaëlsson","given":"Karl"}],"issued":{"date-parts":[["2017",7,25]]},"citation-key":"larssonAssociationGeneticVariants2017"}}],"schema":"https://github.com/citation-style-language/schema/raw/master/csl-citation.json"} </w:instrText>
      </w:r>
      <w:r>
        <w:fldChar w:fldCharType="separate"/>
      </w:r>
      <w:r>
        <w:rPr>
          <w:noProof/>
        </w:rPr>
        <w:t>[10]</w:t>
      </w:r>
      <w:r>
        <w:fldChar w:fldCharType="end"/>
      </w:r>
      <w:r>
        <w:t>.</w:t>
      </w:r>
      <w:r w:rsidR="00587FF2">
        <w:t xml:space="preserve">  We therefore posit a model wherein elevations in serum cholesterol result in increases in serum calcium, and those two factors combine to enhance cardiovascular disease risk.  This model is supported by several studies showing that statin treatment reduces both fracture risk and increases BMD, consistent with reduced bone-demineralization induced calcium release </w:t>
      </w:r>
      <w:r w:rsidR="00587FF2">
        <w:fldChar w:fldCharType="begin"/>
      </w:r>
      <w:r w:rsidR="00587FF2">
        <w:instrText xml:space="preserve"> ADDIN ZOTERO_ITEM CSL_CITATION {"citationID":"mdTcmh0L","properties":{"formattedCitation":"[14\\uc0\\u8211{}16]","plainCitation":"[14–16]","noteIndex":0},"citationItems":[{"id":27342,"uris":["http://zotero.org/users/7317906/items/7TZD8CS8"],"itemData":{"id":27342,"type":"article-journal","abstract":"The lipophilic statin as moderate to high dose of simvastatin had beneficial positive effect to increasing BMD and could be additive use for prevention of bone loss in hyperlipidemia patients.","container-title":"Bone","issue":"4","language":"en","page":"1011-5","source":"pubmed.ncbi.nlm.nih.gov","title":"Effects of statins vs. non-statin lipid-lowering therapy on bone formation and bone mineral density biomarkers in patients with hyperlipidemia","volume":"46","author":[{"family":"Chuengsamarn","given":"S"},{"family":"Rattanamongkoulgul","given":"S"},{"family":"Suwanwalaikorn","given":"S"},{"family":"Wattanasirichaigoon","given":"S"},{"family":"Kaufman","given":"L"}],"issued":{"date-parts":[["2010"]]},"citation-key":"chuengsamarnEffectsStatinsVs2010"}},{"id":27344,"uris":["http://zotero.org/users/7317906/items/YERIHVQF"],"itemData":{"id":27344,"type":"article-journal","abstract":"Statins can help maintain or increase bone mass of hypercholesterolemic menopausal women through promoting bone synthesis.","container-title":"Zhonghua Yi Xue Za Zhi.","issue":"29","language":"en","page":"2309-11","source":"pubmed.ncbi.nlm.nih.gov","title":"[Effects of statins upon bone mineral density in postmenopausal women with hypercholesterolemia]","volume":"93","author":[{"family":"Zhao","given":"C"},{"family":"Bi","given":"Q"},{"family":"Hu","given":"J.T."},{"family":"Xia","given":"B."},{"family":"Ying","given":"Q.F."},{"family":"Zhu","given":"D.J."},{"family":"Zhang","given":"S.J."},{"family":"Gu","given":"H.F."},{"family":"Hong","given":"J"},{"family":"Qui","given":"B"},{"family":"Yu","given":"Chen"}],"issued":{"date-parts":[["2013"]]},"citation-key":"zhaoEffectsStatinsBone2013"}},{"id":27336,"uris":["http://zotero.org/users/7317906/items/HD5W5LBP"],"itemData":{"id":27336,"type":"article-journal","abstract":"Supplemental Digital Content is available in the text, Although observational studies have identified the protective effect of statins on bone health, the effects remain controversial in randomized controlled trials (RCTs). We conducted a meta-analysis of RCTs to evaluate the effects of statins on bone mineral density (BMD) and fracture risk among adults., We searched electronic databases of Medline, Embase, and the Cochrane Central Register of Controlled Trials (CENTRAL) and conducted a bibliography review to identify articles published until May, 2015., Studies included in this meta-analysis should be randomized controlled trials conducted in adults, using statins in the intervention group. Information on changes in BMD or odds ratio, relative risk or hazard ratio (HR) for fracture risk with the corresponding 95% confidence interval (CI) was provided., Two investigators independently reviewed the title or abstract, further reviewed the full-texts and extracted information on study characteristics and study outcomes. Net change estimates of BMD and pooled HR of fracture risk comparing the intervention group with the control group were estimated across trials using random-effects models., Of the relevant 334 citations, 7 trials (including 27,900 randomized participants in total) meeting the eligibility criteria were included. Of the 7 trials, 5 were conducted to assess the association of statins use with BMD change and 2 with fracture risk. Compared with the control group, statins use was associated with significant increase in BMD of 0.03</w:instrText>
      </w:r>
      <w:r w:rsidR="00587FF2">
        <w:rPr>
          <w:rFonts w:ascii="Arial" w:hAnsi="Arial" w:cs="Arial"/>
        </w:rPr>
        <w:instrText> </w:instrText>
      </w:r>
      <w:r w:rsidR="00587FF2">
        <w:instrText>g/cm2 (95% CI: 0.006, 0.053; I2</w:instrText>
      </w:r>
      <w:r w:rsidR="00587FF2">
        <w:rPr>
          <w:rFonts w:ascii="Arial" w:hAnsi="Arial" w:cs="Arial"/>
        </w:rPr>
        <w:instrText> </w:instrText>
      </w:r>
      <w:r w:rsidR="00587FF2">
        <w:instrText>=</w:instrText>
      </w:r>
      <w:r w:rsidR="00587FF2">
        <w:rPr>
          <w:rFonts w:ascii="Arial" w:hAnsi="Arial" w:cs="Arial"/>
        </w:rPr>
        <w:instrText> </w:instrText>
      </w:r>
      <w:r w:rsidR="00587FF2">
        <w:instrText>99.2%; P</w:instrText>
      </w:r>
      <w:r w:rsidR="00587FF2">
        <w:rPr>
          <w:rFonts w:ascii="Arial" w:hAnsi="Arial" w:cs="Arial"/>
        </w:rPr>
        <w:instrText> </w:instrText>
      </w:r>
      <w:r w:rsidR="00587FF2">
        <w:instrText>&lt;</w:instrText>
      </w:r>
      <w:r w:rsidR="00587FF2">
        <w:rPr>
          <w:rFonts w:ascii="Arial" w:hAnsi="Arial" w:cs="Arial"/>
        </w:rPr>
        <w:instrText> </w:instrText>
      </w:r>
      <w:r w:rsidR="00587FF2">
        <w:instrText>0.001), but null association with fracture risk, with the pooled HR of 1.00 (95% CI: 0.87, 1.15; I2</w:instrText>
      </w:r>
      <w:r w:rsidR="00587FF2">
        <w:rPr>
          <w:rFonts w:ascii="Arial" w:hAnsi="Arial" w:cs="Arial"/>
        </w:rPr>
        <w:instrText> </w:instrText>
      </w:r>
      <w:r w:rsidR="00587FF2">
        <w:instrText>=</w:instrText>
      </w:r>
      <w:r w:rsidR="00587FF2">
        <w:rPr>
          <w:rFonts w:ascii="Arial" w:hAnsi="Arial" w:cs="Arial"/>
        </w:rPr>
        <w:instrText> </w:instrText>
      </w:r>
      <w:r w:rsidR="00587FF2">
        <w:instrText>0; P</w:instrText>
      </w:r>
      <w:r w:rsidR="00587FF2">
        <w:rPr>
          <w:rFonts w:ascii="Arial" w:hAnsi="Arial" w:cs="Arial"/>
        </w:rPr>
        <w:instrText> </w:instrText>
      </w:r>
      <w:r w:rsidR="00587FF2">
        <w:instrText>=</w:instrText>
      </w:r>
      <w:r w:rsidR="00587FF2">
        <w:rPr>
          <w:rFonts w:ascii="Arial" w:hAnsi="Arial" w:cs="Arial"/>
        </w:rPr>
        <w:instrText> </w:instrText>
      </w:r>
      <w:r w:rsidR="00587FF2">
        <w:instrText xml:space="preserve">0.396). Sensitivity analyses revealed that the associations were consistent and robust., The effect of statins use on bone health among subpopulation could not be identified due to limited number of trials., These findings provide evidence that statins could be used to increase BMD other than decreasing fracture risk in participant with dyslipidemia. In addition, further trials with the primary outcome of bone health-related measurements in subpopulation are warranted to ensure the effect of statins use.","container-title":"Medicine","DOI":"10.1097/MD.0000000000003042","ISSN":"0025-7974","issue":"22","journalAbbreviation":"Medicine (Baltimore)","note":"PMID: 27258488\nPMCID: PMC4900696","page":"e3042","source":"PubMed Central","title":"Effects of Statins on Bone Mineral Density and Fracture Risk","volume":"95","author":[{"family":"Wang","given":"Zongze"},{"family":"Li","given":"Ying"},{"family":"Zhou","given":"Fengxin"},{"family":"Piao","given":"Zhe"},{"family":"Hao","given":"Jian"}],"issued":{"date-parts":[["2016",6,3]]},"citation-key":"wangEffectsStatinsBone2016"}}],"schema":"https://github.com/citation-style-language/schema/raw/master/csl-citation.json"} </w:instrText>
      </w:r>
      <w:r w:rsidR="00587FF2">
        <w:fldChar w:fldCharType="separate"/>
      </w:r>
      <w:r w:rsidR="00587FF2" w:rsidRPr="00587FF2">
        <w:rPr>
          <w:rFonts w:ascii="Aptos" w:cs="Times New Roman"/>
          <w:kern w:val="0"/>
        </w:rPr>
        <w:t>[14–16]</w:t>
      </w:r>
      <w:r w:rsidR="00587FF2">
        <w:fldChar w:fldCharType="end"/>
      </w:r>
      <w:r w:rsidR="00587FF2">
        <w: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t>References</w:t>
      </w:r>
    </w:p>
    <w:p w14:paraId="2B5178EB" w14:textId="77777777" w:rsidR="00587FF2" w:rsidRPr="00587FF2" w:rsidRDefault="006C0229" w:rsidP="00587FF2">
      <w:pPr>
        <w:pStyle w:val="Bibliography"/>
        <w:rPr>
          <w:rFonts w:ascii="Aptos"/>
        </w:rPr>
      </w:pPr>
      <w:r>
        <w:fldChar w:fldCharType="begin"/>
      </w:r>
      <w:r>
        <w:instrText xml:space="preserve"> ADDIN ZOTERO_BIBL {"uncited":[],"omitted":[],"custom":[]} CSL_BIBLIOGRAPHY </w:instrText>
      </w:r>
      <w:r>
        <w:fldChar w:fldCharType="separate"/>
      </w:r>
      <w:r w:rsidR="00587FF2" w:rsidRPr="00587FF2">
        <w:rPr>
          <w:rFonts w:ascii="Aptos"/>
        </w:rPr>
        <w:t xml:space="preserve">1. </w:t>
      </w:r>
      <w:r w:rsidR="00587FF2" w:rsidRPr="00587FF2">
        <w:rPr>
          <w:rFonts w:ascii="Aptos"/>
        </w:rPr>
        <w:tab/>
        <w:t xml:space="preserve">Skrivankova, V.W.; Richmond, R.C.; Woolf, B.A.R.; Davies, N.M.; Swanson, S.A.; VanderWeele, T.J.; Timpson, N.J.; Higgins, J.P.T.; Dimou, N.; Langenberg, C.; et al. Strengthening the Reporting of Observational Studies in Epidemiology Using Mendelian Randomisation (STROBE-MR): Explanation and Elaboration. </w:t>
      </w:r>
      <w:r w:rsidR="00587FF2" w:rsidRPr="00587FF2">
        <w:rPr>
          <w:rFonts w:ascii="Aptos"/>
          <w:i/>
          <w:iCs/>
        </w:rPr>
        <w:t>BMJ</w:t>
      </w:r>
      <w:r w:rsidR="00587FF2" w:rsidRPr="00587FF2">
        <w:rPr>
          <w:rFonts w:ascii="Aptos"/>
        </w:rPr>
        <w:t xml:space="preserve"> </w:t>
      </w:r>
      <w:r w:rsidR="00587FF2" w:rsidRPr="00587FF2">
        <w:rPr>
          <w:rFonts w:ascii="Aptos"/>
          <w:b/>
          <w:bCs/>
        </w:rPr>
        <w:t>2021</w:t>
      </w:r>
      <w:r w:rsidR="00587FF2" w:rsidRPr="00587FF2">
        <w:rPr>
          <w:rFonts w:ascii="Aptos"/>
        </w:rPr>
        <w:t xml:space="preserve">, </w:t>
      </w:r>
      <w:r w:rsidR="00587FF2" w:rsidRPr="00587FF2">
        <w:rPr>
          <w:rFonts w:ascii="Aptos"/>
          <w:i/>
          <w:iCs/>
        </w:rPr>
        <w:t>375</w:t>
      </w:r>
      <w:r w:rsidR="00587FF2" w:rsidRPr="00587FF2">
        <w:rPr>
          <w:rFonts w:ascii="Aptos"/>
        </w:rPr>
        <w:t>, n2233, doi:10.1136/bmj.n2233.</w:t>
      </w:r>
    </w:p>
    <w:p w14:paraId="6F988804" w14:textId="77777777" w:rsidR="00587FF2" w:rsidRPr="00587FF2" w:rsidRDefault="00587FF2" w:rsidP="00587FF2">
      <w:pPr>
        <w:pStyle w:val="Bibliography"/>
        <w:rPr>
          <w:rFonts w:ascii="Aptos"/>
        </w:rPr>
      </w:pPr>
      <w:r w:rsidRPr="00587FF2">
        <w:rPr>
          <w:rFonts w:ascii="Aptos"/>
        </w:rPr>
        <w:lastRenderedPageBreak/>
        <w:t xml:space="preserve">2. </w:t>
      </w:r>
      <w:r w:rsidRPr="00587FF2">
        <w:rPr>
          <w:rFonts w:ascii="Aptos"/>
        </w:rPr>
        <w:tab/>
        <w:t xml:space="preserve">Skrivankova, V.W.; Richmond, R.C.; Woolf, B.A.R.; Yarmolinsky, J.; Davies, N.M.; Swanson, S.A.; VanderWeele, T.J.; Higgins, J.P.T.; Timpson, N.J.; Dimou, N.; et al. Strengthening the Reporting of Observational Studies in Epidemiology Using Mendelian Randomization: The STROBE-MR Statement. </w:t>
      </w:r>
      <w:r w:rsidRPr="00587FF2">
        <w:rPr>
          <w:rFonts w:ascii="Aptos"/>
          <w:i/>
          <w:iCs/>
        </w:rPr>
        <w:t>JAMA</w:t>
      </w:r>
      <w:r w:rsidRPr="00587FF2">
        <w:rPr>
          <w:rFonts w:ascii="Aptos"/>
        </w:rPr>
        <w:t xml:space="preserve"> </w:t>
      </w:r>
      <w:r w:rsidRPr="00587FF2">
        <w:rPr>
          <w:rFonts w:ascii="Aptos"/>
          <w:b/>
          <w:bCs/>
        </w:rPr>
        <w:t>2021</w:t>
      </w:r>
      <w:r w:rsidRPr="00587FF2">
        <w:rPr>
          <w:rFonts w:ascii="Aptos"/>
        </w:rPr>
        <w:t xml:space="preserve">, </w:t>
      </w:r>
      <w:r w:rsidRPr="00587FF2">
        <w:rPr>
          <w:rFonts w:ascii="Aptos"/>
          <w:i/>
          <w:iCs/>
        </w:rPr>
        <w:t>326</w:t>
      </w:r>
      <w:r w:rsidRPr="00587FF2">
        <w:rPr>
          <w:rFonts w:ascii="Aptos"/>
        </w:rPr>
        <w:t>, 1614–1621, doi:10.1001/jama.2021.18236.</w:t>
      </w:r>
    </w:p>
    <w:p w14:paraId="49A6E795" w14:textId="77777777" w:rsidR="00587FF2" w:rsidRPr="00587FF2" w:rsidRDefault="00587FF2" w:rsidP="00587FF2">
      <w:pPr>
        <w:pStyle w:val="Bibliography"/>
        <w:rPr>
          <w:rFonts w:ascii="Aptos"/>
        </w:rPr>
      </w:pPr>
      <w:r w:rsidRPr="00587FF2">
        <w:rPr>
          <w:rFonts w:ascii="Aptos"/>
        </w:rPr>
        <w:t xml:space="preserve">3. </w:t>
      </w:r>
      <w:r w:rsidRPr="00587FF2">
        <w:rPr>
          <w:rFonts w:ascii="Aptos"/>
        </w:rPr>
        <w:tab/>
        <w:t xml:space="preserve">Bycroft, C.; Freeman, C.; Petkova, D.; Band, G.; Elliott, L.T.; Sharp, K.; Motyer, A.; Vukcevic, D.; Delaneau, O.; O’Connell, J.; et al. The UK Biobank Resource with Deep Phenotyping and Genomic Data. </w:t>
      </w:r>
      <w:r w:rsidRPr="00587FF2">
        <w:rPr>
          <w:rFonts w:ascii="Aptos"/>
          <w:i/>
          <w:iCs/>
        </w:rPr>
        <w:t>Nature</w:t>
      </w:r>
      <w:r w:rsidRPr="00587FF2">
        <w:rPr>
          <w:rFonts w:ascii="Aptos"/>
        </w:rPr>
        <w:t xml:space="preserve"> </w:t>
      </w:r>
      <w:r w:rsidRPr="00587FF2">
        <w:rPr>
          <w:rFonts w:ascii="Aptos"/>
          <w:b/>
          <w:bCs/>
        </w:rPr>
        <w:t>2018</w:t>
      </w:r>
      <w:r w:rsidRPr="00587FF2">
        <w:rPr>
          <w:rFonts w:ascii="Aptos"/>
        </w:rPr>
        <w:t xml:space="preserve">, </w:t>
      </w:r>
      <w:r w:rsidRPr="00587FF2">
        <w:rPr>
          <w:rFonts w:ascii="Aptos"/>
          <w:i/>
          <w:iCs/>
        </w:rPr>
        <w:t>562</w:t>
      </w:r>
      <w:r w:rsidRPr="00587FF2">
        <w:rPr>
          <w:rFonts w:ascii="Aptos"/>
        </w:rPr>
        <w:t>, 203–209, doi:10.1038/s41586-018-0579-z.</w:t>
      </w:r>
    </w:p>
    <w:p w14:paraId="230F08C9" w14:textId="77777777" w:rsidR="00587FF2" w:rsidRPr="00587FF2" w:rsidRDefault="00587FF2" w:rsidP="00587FF2">
      <w:pPr>
        <w:pStyle w:val="Bibliography"/>
        <w:rPr>
          <w:rFonts w:ascii="Aptos"/>
        </w:rPr>
      </w:pPr>
      <w:r w:rsidRPr="00587FF2">
        <w:rPr>
          <w:rFonts w:ascii="Aptos"/>
        </w:rPr>
        <w:t xml:space="preserve">4. </w:t>
      </w:r>
      <w:r w:rsidRPr="00587FF2">
        <w:rPr>
          <w:rFonts w:ascii="Aptos"/>
        </w:rPr>
        <w:tab/>
        <w:t xml:space="preserve">Hemani, G.; Zheng, J.; Elsworth, B.; Wade, K.H.; Haberland, V.; Baird, D.; Laurin, C.; Burgess, S.; Bowden, J.; Langdon, R.; et al. The MR-Base Platform Supports Systematic Causal Inference across the Human Phenome. </w:t>
      </w:r>
      <w:r w:rsidRPr="00587FF2">
        <w:rPr>
          <w:rFonts w:ascii="Aptos"/>
          <w:i/>
          <w:iCs/>
        </w:rPr>
        <w:t>eLife</w:t>
      </w:r>
      <w:r w:rsidRPr="00587FF2">
        <w:rPr>
          <w:rFonts w:ascii="Aptos"/>
        </w:rPr>
        <w:t xml:space="preserve"> </w:t>
      </w:r>
      <w:r w:rsidRPr="00587FF2">
        <w:rPr>
          <w:rFonts w:ascii="Aptos"/>
          <w:b/>
          <w:bCs/>
        </w:rPr>
        <w:t>2018</w:t>
      </w:r>
      <w:r w:rsidRPr="00587FF2">
        <w:rPr>
          <w:rFonts w:ascii="Aptos"/>
        </w:rPr>
        <w:t xml:space="preserve">, </w:t>
      </w:r>
      <w:r w:rsidRPr="00587FF2">
        <w:rPr>
          <w:rFonts w:ascii="Aptos"/>
          <w:i/>
          <w:iCs/>
        </w:rPr>
        <w:t>7</w:t>
      </w:r>
      <w:r w:rsidRPr="00587FF2">
        <w:rPr>
          <w:rFonts w:ascii="Aptos"/>
        </w:rPr>
        <w:t>, e34408, doi:10.7554/eLife.34408.</w:t>
      </w:r>
    </w:p>
    <w:p w14:paraId="12D0CFB4" w14:textId="77777777" w:rsidR="00587FF2" w:rsidRPr="00587FF2" w:rsidRDefault="00587FF2" w:rsidP="00587FF2">
      <w:pPr>
        <w:pStyle w:val="Bibliography"/>
        <w:rPr>
          <w:rFonts w:ascii="Aptos"/>
        </w:rPr>
      </w:pPr>
      <w:r w:rsidRPr="00587FF2">
        <w:rPr>
          <w:rFonts w:ascii="Aptos"/>
        </w:rPr>
        <w:t xml:space="preserve">5. </w:t>
      </w:r>
      <w:r w:rsidRPr="00587FF2">
        <w:rPr>
          <w:rFonts w:ascii="Aptos"/>
        </w:rPr>
        <w:tab/>
        <w:t xml:space="preserve">Chang, C.C.; Chow, C.C.; Tellier, L.C.; Vattikuti, S.; Purcell, S.M.; Lee, J.J. Second-Generation PLINK: Rising to the Challenge of Larger and Richer Datasets. </w:t>
      </w:r>
      <w:r w:rsidRPr="00587FF2">
        <w:rPr>
          <w:rFonts w:ascii="Aptos"/>
          <w:i/>
          <w:iCs/>
        </w:rPr>
        <w:t>GigaScience</w:t>
      </w:r>
      <w:r w:rsidRPr="00587FF2">
        <w:rPr>
          <w:rFonts w:ascii="Aptos"/>
        </w:rPr>
        <w:t xml:space="preserve"> </w:t>
      </w:r>
      <w:r w:rsidRPr="00587FF2">
        <w:rPr>
          <w:rFonts w:ascii="Aptos"/>
          <w:b/>
          <w:bCs/>
        </w:rPr>
        <w:t>2015</w:t>
      </w:r>
      <w:r w:rsidRPr="00587FF2">
        <w:rPr>
          <w:rFonts w:ascii="Aptos"/>
        </w:rPr>
        <w:t xml:space="preserve">, </w:t>
      </w:r>
      <w:r w:rsidRPr="00587FF2">
        <w:rPr>
          <w:rFonts w:ascii="Aptos"/>
          <w:i/>
          <w:iCs/>
        </w:rPr>
        <w:t>4</w:t>
      </w:r>
      <w:r w:rsidRPr="00587FF2">
        <w:rPr>
          <w:rFonts w:ascii="Aptos"/>
        </w:rPr>
        <w:t>, 7, doi:10.1186/s13742-015-0047-8.</w:t>
      </w:r>
    </w:p>
    <w:p w14:paraId="6FBCE735" w14:textId="77777777" w:rsidR="00587FF2" w:rsidRPr="00587FF2" w:rsidRDefault="00587FF2" w:rsidP="00587FF2">
      <w:pPr>
        <w:pStyle w:val="Bibliography"/>
        <w:rPr>
          <w:rFonts w:ascii="Aptos"/>
        </w:rPr>
      </w:pPr>
      <w:r w:rsidRPr="00587FF2">
        <w:rPr>
          <w:rFonts w:ascii="Aptos"/>
        </w:rPr>
        <w:t xml:space="preserve">6. </w:t>
      </w:r>
      <w:r w:rsidRPr="00587FF2">
        <w:rPr>
          <w:rFonts w:ascii="Aptos"/>
        </w:rPr>
        <w:tab/>
        <w:t xml:space="preserve">1000 Genomes Project Consortium; Auton, A.; Brooks, L.D.; Durbin, R.M.; Garrison, E.P.; Kang, H.M.; Korbel, J.O.; Marchini, J.L.; McCarthy, S.; McVean, G.A.; et al. A Global Reference for Human Genetic Variation. </w:t>
      </w:r>
      <w:r w:rsidRPr="00587FF2">
        <w:rPr>
          <w:rFonts w:ascii="Aptos"/>
          <w:i/>
          <w:iCs/>
        </w:rPr>
        <w:t>Nature</w:t>
      </w:r>
      <w:r w:rsidRPr="00587FF2">
        <w:rPr>
          <w:rFonts w:ascii="Aptos"/>
        </w:rPr>
        <w:t xml:space="preserve"> </w:t>
      </w:r>
      <w:r w:rsidRPr="00587FF2">
        <w:rPr>
          <w:rFonts w:ascii="Aptos"/>
          <w:b/>
          <w:bCs/>
        </w:rPr>
        <w:t>2015</w:t>
      </w:r>
      <w:r w:rsidRPr="00587FF2">
        <w:rPr>
          <w:rFonts w:ascii="Aptos"/>
        </w:rPr>
        <w:t xml:space="preserve">, </w:t>
      </w:r>
      <w:r w:rsidRPr="00587FF2">
        <w:rPr>
          <w:rFonts w:ascii="Aptos"/>
          <w:i/>
          <w:iCs/>
        </w:rPr>
        <w:t>526</w:t>
      </w:r>
      <w:r w:rsidRPr="00587FF2">
        <w:rPr>
          <w:rFonts w:ascii="Aptos"/>
        </w:rPr>
        <w:t>, 68–74, doi:10.1038/nature15393.</w:t>
      </w:r>
    </w:p>
    <w:p w14:paraId="3CFECCA6" w14:textId="77777777" w:rsidR="00587FF2" w:rsidRPr="00587FF2" w:rsidRDefault="00587FF2" w:rsidP="00587FF2">
      <w:pPr>
        <w:pStyle w:val="Bibliography"/>
        <w:rPr>
          <w:rFonts w:ascii="Aptos"/>
        </w:rPr>
      </w:pPr>
      <w:r w:rsidRPr="00587FF2">
        <w:rPr>
          <w:rFonts w:ascii="Aptos"/>
        </w:rPr>
        <w:t xml:space="preserve">7. </w:t>
      </w:r>
      <w:r w:rsidRPr="00587FF2">
        <w:rPr>
          <w:rFonts w:ascii="Aptos"/>
        </w:rPr>
        <w:tab/>
        <w:t xml:space="preserve">Goldstein, J.A.; Weinstock, J.S.; Bastarache, L.A.; Larach, D.B.; Fritsche, L.G.; Schmidt, E.M.; Brummett, C.M.; Kheterpal, S.; Abecasis, G.R.; Denny, J.C.; et al. LabWAS: Novel Findings and Study Design Recommendations from a Meta-Analysis of Clinical Labs in Two Independent Biobanks. </w:t>
      </w:r>
      <w:r w:rsidRPr="00587FF2">
        <w:rPr>
          <w:rFonts w:ascii="Aptos"/>
          <w:i/>
          <w:iCs/>
        </w:rPr>
        <w:t>PLoS Genet.</w:t>
      </w:r>
      <w:r w:rsidRPr="00587FF2">
        <w:rPr>
          <w:rFonts w:ascii="Aptos"/>
        </w:rPr>
        <w:t xml:space="preserve"> </w:t>
      </w:r>
      <w:r w:rsidRPr="00587FF2">
        <w:rPr>
          <w:rFonts w:ascii="Aptos"/>
          <w:b/>
          <w:bCs/>
        </w:rPr>
        <w:t>2020</w:t>
      </w:r>
      <w:r w:rsidRPr="00587FF2">
        <w:rPr>
          <w:rFonts w:ascii="Aptos"/>
        </w:rPr>
        <w:t xml:space="preserve">, </w:t>
      </w:r>
      <w:r w:rsidRPr="00587FF2">
        <w:rPr>
          <w:rFonts w:ascii="Aptos"/>
          <w:i/>
          <w:iCs/>
        </w:rPr>
        <w:t>16</w:t>
      </w:r>
      <w:r w:rsidRPr="00587FF2">
        <w:rPr>
          <w:rFonts w:ascii="Aptos"/>
        </w:rPr>
        <w:t>, e1009077, doi:10.1371/journal.pgen.1009077.</w:t>
      </w:r>
    </w:p>
    <w:p w14:paraId="15FDC177" w14:textId="77777777" w:rsidR="00587FF2" w:rsidRPr="00587FF2" w:rsidRDefault="00587FF2" w:rsidP="00587FF2">
      <w:pPr>
        <w:pStyle w:val="Bibliography"/>
        <w:rPr>
          <w:rFonts w:ascii="Aptos"/>
        </w:rPr>
      </w:pPr>
      <w:r w:rsidRPr="00587FF2">
        <w:rPr>
          <w:rFonts w:ascii="Aptos"/>
        </w:rPr>
        <w:t xml:space="preserve">8. </w:t>
      </w:r>
      <w:r w:rsidRPr="00587FF2">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587FF2">
        <w:rPr>
          <w:rFonts w:ascii="Aptos"/>
          <w:i/>
          <w:iCs/>
        </w:rPr>
        <w:t>Cell Genomics</w:t>
      </w:r>
      <w:r w:rsidRPr="00587FF2">
        <w:rPr>
          <w:rFonts w:ascii="Aptos"/>
        </w:rPr>
        <w:t xml:space="preserve"> </w:t>
      </w:r>
      <w:r w:rsidRPr="00587FF2">
        <w:rPr>
          <w:rFonts w:ascii="Aptos"/>
          <w:b/>
          <w:bCs/>
        </w:rPr>
        <w:t>2023</w:t>
      </w:r>
      <w:r w:rsidRPr="00587FF2">
        <w:rPr>
          <w:rFonts w:ascii="Aptos"/>
        </w:rPr>
        <w:t xml:space="preserve">, </w:t>
      </w:r>
      <w:r w:rsidRPr="00587FF2">
        <w:rPr>
          <w:rFonts w:ascii="Aptos"/>
          <w:i/>
          <w:iCs/>
        </w:rPr>
        <w:t>3</w:t>
      </w:r>
      <w:r w:rsidRPr="00587FF2">
        <w:rPr>
          <w:rFonts w:ascii="Aptos"/>
        </w:rPr>
        <w:t>, 100257, doi:10.1016/j.xgen.2023.100257.</w:t>
      </w:r>
    </w:p>
    <w:p w14:paraId="42F3BECF" w14:textId="77777777" w:rsidR="00587FF2" w:rsidRPr="00587FF2" w:rsidRDefault="00587FF2" w:rsidP="00587FF2">
      <w:pPr>
        <w:pStyle w:val="Bibliography"/>
        <w:rPr>
          <w:rFonts w:ascii="Aptos"/>
        </w:rPr>
      </w:pPr>
      <w:r w:rsidRPr="00587FF2">
        <w:rPr>
          <w:rFonts w:ascii="Aptos"/>
        </w:rPr>
        <w:t xml:space="preserve">9. </w:t>
      </w:r>
      <w:r w:rsidRPr="00587FF2">
        <w:rPr>
          <w:rFonts w:ascii="Aptos"/>
        </w:rPr>
        <w:tab/>
        <w:t xml:space="preserve">Burgess, S.; Thompson, S.G.; CRP CHD Genetics Collaboration Avoiding Bias from Weak Instruments in Mendelian Randomization Studies. </w:t>
      </w:r>
      <w:r w:rsidRPr="00587FF2">
        <w:rPr>
          <w:rFonts w:ascii="Aptos"/>
          <w:i/>
          <w:iCs/>
        </w:rPr>
        <w:t>Int. J. Epidemiol.</w:t>
      </w:r>
      <w:r w:rsidRPr="00587FF2">
        <w:rPr>
          <w:rFonts w:ascii="Aptos"/>
        </w:rPr>
        <w:t xml:space="preserve"> </w:t>
      </w:r>
      <w:r w:rsidRPr="00587FF2">
        <w:rPr>
          <w:rFonts w:ascii="Aptos"/>
          <w:b/>
          <w:bCs/>
        </w:rPr>
        <w:t>2011</w:t>
      </w:r>
      <w:r w:rsidRPr="00587FF2">
        <w:rPr>
          <w:rFonts w:ascii="Aptos"/>
        </w:rPr>
        <w:t xml:space="preserve">, </w:t>
      </w:r>
      <w:r w:rsidRPr="00587FF2">
        <w:rPr>
          <w:rFonts w:ascii="Aptos"/>
          <w:i/>
          <w:iCs/>
        </w:rPr>
        <w:t>40</w:t>
      </w:r>
      <w:r w:rsidRPr="00587FF2">
        <w:rPr>
          <w:rFonts w:ascii="Aptos"/>
        </w:rPr>
        <w:t>, 755–764, doi:10.1093/ije/dyr036.</w:t>
      </w:r>
    </w:p>
    <w:p w14:paraId="1BEBD71B" w14:textId="77777777" w:rsidR="00587FF2" w:rsidRPr="00587FF2" w:rsidRDefault="00587FF2" w:rsidP="00587FF2">
      <w:pPr>
        <w:pStyle w:val="Bibliography"/>
        <w:rPr>
          <w:rFonts w:ascii="Aptos"/>
        </w:rPr>
      </w:pPr>
      <w:r w:rsidRPr="00587FF2">
        <w:rPr>
          <w:rFonts w:ascii="Aptos"/>
        </w:rPr>
        <w:t xml:space="preserve">10. </w:t>
      </w:r>
      <w:r w:rsidRPr="00587FF2">
        <w:rPr>
          <w:rFonts w:ascii="Aptos"/>
        </w:rPr>
        <w:tab/>
        <w:t xml:space="preserve">Larsson, S.C.; Burgess, S.; Michaëlsson, K. Association of Genetic Variants Related to Serum Calcium Levels With Coronary Artery Disease and Myocardial Infarction. </w:t>
      </w:r>
      <w:r w:rsidRPr="00587FF2">
        <w:rPr>
          <w:rFonts w:ascii="Aptos"/>
          <w:i/>
          <w:iCs/>
        </w:rPr>
        <w:t>JAMA</w:t>
      </w:r>
      <w:r w:rsidRPr="00587FF2">
        <w:rPr>
          <w:rFonts w:ascii="Aptos"/>
        </w:rPr>
        <w:t xml:space="preserve"> </w:t>
      </w:r>
      <w:r w:rsidRPr="00587FF2">
        <w:rPr>
          <w:rFonts w:ascii="Aptos"/>
          <w:b/>
          <w:bCs/>
        </w:rPr>
        <w:t>2017</w:t>
      </w:r>
      <w:r w:rsidRPr="00587FF2">
        <w:rPr>
          <w:rFonts w:ascii="Aptos"/>
        </w:rPr>
        <w:t xml:space="preserve">, </w:t>
      </w:r>
      <w:r w:rsidRPr="00587FF2">
        <w:rPr>
          <w:rFonts w:ascii="Aptos"/>
          <w:i/>
          <w:iCs/>
        </w:rPr>
        <w:t>318</w:t>
      </w:r>
      <w:r w:rsidRPr="00587FF2">
        <w:rPr>
          <w:rFonts w:ascii="Aptos"/>
        </w:rPr>
        <w:t>, 371–380, doi:10.1001/jama.2017.8981.</w:t>
      </w:r>
    </w:p>
    <w:p w14:paraId="41A7DA5C" w14:textId="77777777" w:rsidR="00587FF2" w:rsidRPr="00587FF2" w:rsidRDefault="00587FF2" w:rsidP="00587FF2">
      <w:pPr>
        <w:pStyle w:val="Bibliography"/>
        <w:rPr>
          <w:rFonts w:ascii="Aptos"/>
        </w:rPr>
      </w:pPr>
      <w:r w:rsidRPr="00587FF2">
        <w:rPr>
          <w:rFonts w:ascii="Aptos"/>
        </w:rPr>
        <w:t xml:space="preserve">11. </w:t>
      </w:r>
      <w:r w:rsidRPr="00587FF2">
        <w:rPr>
          <w:rFonts w:ascii="Aptos"/>
        </w:rPr>
        <w:tab/>
        <w:t xml:space="preserve">Sanderson, E.; Glymour, M.M.; Holmes, M.V.; Kang, H.; Morrison, J.; Munafò, M.R.; Palmer, T.; Schooling, C.M.; Wallace, C.; Zhao, Q.; et al. Mendelian Randomization. </w:t>
      </w:r>
      <w:r w:rsidRPr="00587FF2">
        <w:rPr>
          <w:rFonts w:ascii="Aptos"/>
          <w:i/>
          <w:iCs/>
        </w:rPr>
        <w:t>Nat. Rev. Methods Primer</w:t>
      </w:r>
      <w:r w:rsidRPr="00587FF2">
        <w:rPr>
          <w:rFonts w:ascii="Aptos"/>
        </w:rPr>
        <w:t xml:space="preserve"> </w:t>
      </w:r>
      <w:r w:rsidRPr="00587FF2">
        <w:rPr>
          <w:rFonts w:ascii="Aptos"/>
          <w:b/>
          <w:bCs/>
        </w:rPr>
        <w:t>2022</w:t>
      </w:r>
      <w:r w:rsidRPr="00587FF2">
        <w:rPr>
          <w:rFonts w:ascii="Aptos"/>
        </w:rPr>
        <w:t xml:space="preserve">, </w:t>
      </w:r>
      <w:r w:rsidRPr="00587FF2">
        <w:rPr>
          <w:rFonts w:ascii="Aptos"/>
          <w:i/>
          <w:iCs/>
        </w:rPr>
        <w:t>2</w:t>
      </w:r>
      <w:r w:rsidRPr="00587FF2">
        <w:rPr>
          <w:rFonts w:ascii="Aptos"/>
        </w:rPr>
        <w:t>, 6, doi:10.1038/s43586-021-00092-5.</w:t>
      </w:r>
    </w:p>
    <w:p w14:paraId="5F70D40F" w14:textId="77777777" w:rsidR="00587FF2" w:rsidRPr="00587FF2" w:rsidRDefault="00587FF2" w:rsidP="00587FF2">
      <w:pPr>
        <w:pStyle w:val="Bibliography"/>
        <w:rPr>
          <w:rFonts w:ascii="Aptos"/>
        </w:rPr>
      </w:pPr>
      <w:r w:rsidRPr="00587FF2">
        <w:rPr>
          <w:rFonts w:ascii="Aptos"/>
        </w:rPr>
        <w:t xml:space="preserve">12. </w:t>
      </w:r>
      <w:r w:rsidRPr="00587FF2">
        <w:rPr>
          <w:rFonts w:ascii="Aptos"/>
        </w:rPr>
        <w:tab/>
        <w:t xml:space="preserve">Foley, R.N.; Collins, A.J.; Ishani, A.; Kalra, P.A. Calcium-Phosphate Levels and Cardiovascular Disease in Community-Dwelling Adults: The Atherosclerosis Risk in Communities (ARIC) Study. </w:t>
      </w:r>
      <w:r w:rsidRPr="00587FF2">
        <w:rPr>
          <w:rFonts w:ascii="Aptos"/>
          <w:i/>
          <w:iCs/>
        </w:rPr>
        <w:t>Am. Heart J.</w:t>
      </w:r>
      <w:r w:rsidRPr="00587FF2">
        <w:rPr>
          <w:rFonts w:ascii="Aptos"/>
        </w:rPr>
        <w:t xml:space="preserve"> </w:t>
      </w:r>
      <w:r w:rsidRPr="00587FF2">
        <w:rPr>
          <w:rFonts w:ascii="Aptos"/>
          <w:b/>
          <w:bCs/>
        </w:rPr>
        <w:t>2008</w:t>
      </w:r>
      <w:r w:rsidRPr="00587FF2">
        <w:rPr>
          <w:rFonts w:ascii="Aptos"/>
        </w:rPr>
        <w:t xml:space="preserve">, </w:t>
      </w:r>
      <w:r w:rsidRPr="00587FF2">
        <w:rPr>
          <w:rFonts w:ascii="Aptos"/>
          <w:i/>
          <w:iCs/>
        </w:rPr>
        <w:t>156</w:t>
      </w:r>
      <w:r w:rsidRPr="00587FF2">
        <w:rPr>
          <w:rFonts w:ascii="Aptos"/>
        </w:rPr>
        <w:t>, 556–563, doi:10.1016/j.ahj.2008.05.016.</w:t>
      </w:r>
    </w:p>
    <w:p w14:paraId="06843F16" w14:textId="77777777" w:rsidR="00587FF2" w:rsidRPr="00587FF2" w:rsidRDefault="00587FF2" w:rsidP="00587FF2">
      <w:pPr>
        <w:pStyle w:val="Bibliography"/>
        <w:rPr>
          <w:rFonts w:ascii="Aptos"/>
        </w:rPr>
      </w:pPr>
      <w:r w:rsidRPr="00587FF2">
        <w:rPr>
          <w:rFonts w:ascii="Aptos"/>
        </w:rPr>
        <w:lastRenderedPageBreak/>
        <w:t xml:space="preserve">13. </w:t>
      </w:r>
      <w:r w:rsidRPr="00587FF2">
        <w:rPr>
          <w:rFonts w:ascii="Aptos"/>
        </w:rPr>
        <w:tab/>
        <w:t xml:space="preserve">Jorde, R.; Sundsfjord, J.; Fitzgerald, P.; Bønaa, K.H. Serum Calcium and Cardiovascular Risk Factors and Diseases. </w:t>
      </w:r>
      <w:r w:rsidRPr="00587FF2">
        <w:rPr>
          <w:rFonts w:ascii="Aptos"/>
          <w:i/>
          <w:iCs/>
        </w:rPr>
        <w:t>Hypertension</w:t>
      </w:r>
      <w:r w:rsidRPr="00587FF2">
        <w:rPr>
          <w:rFonts w:ascii="Aptos"/>
        </w:rPr>
        <w:t xml:space="preserve"> </w:t>
      </w:r>
      <w:r w:rsidRPr="00587FF2">
        <w:rPr>
          <w:rFonts w:ascii="Aptos"/>
          <w:b/>
          <w:bCs/>
        </w:rPr>
        <w:t>1999</w:t>
      </w:r>
      <w:r w:rsidRPr="00587FF2">
        <w:rPr>
          <w:rFonts w:ascii="Aptos"/>
        </w:rPr>
        <w:t xml:space="preserve">, </w:t>
      </w:r>
      <w:r w:rsidRPr="00587FF2">
        <w:rPr>
          <w:rFonts w:ascii="Aptos"/>
          <w:i/>
          <w:iCs/>
        </w:rPr>
        <w:t>34</w:t>
      </w:r>
      <w:r w:rsidRPr="00587FF2">
        <w:rPr>
          <w:rFonts w:ascii="Aptos"/>
        </w:rPr>
        <w:t>, 484–490, doi:10.1161/01.HYP.34.3.484.</w:t>
      </w:r>
    </w:p>
    <w:p w14:paraId="1A74D73B" w14:textId="77777777" w:rsidR="00587FF2" w:rsidRPr="00587FF2" w:rsidRDefault="00587FF2" w:rsidP="00587FF2">
      <w:pPr>
        <w:pStyle w:val="Bibliography"/>
        <w:rPr>
          <w:rFonts w:ascii="Aptos"/>
        </w:rPr>
      </w:pPr>
      <w:r w:rsidRPr="00587FF2">
        <w:rPr>
          <w:rFonts w:ascii="Aptos"/>
        </w:rPr>
        <w:t xml:space="preserve">14. </w:t>
      </w:r>
      <w:r w:rsidRPr="00587FF2">
        <w:rPr>
          <w:rFonts w:ascii="Aptos"/>
        </w:rPr>
        <w:tab/>
        <w:t xml:space="preserve">Chuengsamarn, S.; Rattanamongkoulgul, S.; Suwanwalaikorn, S.; Wattanasirichaigoon, S.; Kaufman, L. Effects of Statins vs. Non-Statin Lipid-Lowering Therapy on Bone Formation and Bone Mineral Density Biomarkers in Patients with Hyperlipidemia. </w:t>
      </w:r>
      <w:r w:rsidRPr="00587FF2">
        <w:rPr>
          <w:rFonts w:ascii="Aptos"/>
          <w:i/>
          <w:iCs/>
        </w:rPr>
        <w:t>Bone</w:t>
      </w:r>
      <w:r w:rsidRPr="00587FF2">
        <w:rPr>
          <w:rFonts w:ascii="Aptos"/>
        </w:rPr>
        <w:t xml:space="preserve"> </w:t>
      </w:r>
      <w:r w:rsidRPr="00587FF2">
        <w:rPr>
          <w:rFonts w:ascii="Aptos"/>
          <w:b/>
          <w:bCs/>
        </w:rPr>
        <w:t>2010</w:t>
      </w:r>
      <w:r w:rsidRPr="00587FF2">
        <w:rPr>
          <w:rFonts w:ascii="Aptos"/>
        </w:rPr>
        <w:t xml:space="preserve">, </w:t>
      </w:r>
      <w:r w:rsidRPr="00587FF2">
        <w:rPr>
          <w:rFonts w:ascii="Aptos"/>
          <w:i/>
          <w:iCs/>
        </w:rPr>
        <w:t>46</w:t>
      </w:r>
      <w:r w:rsidRPr="00587FF2">
        <w:rPr>
          <w:rFonts w:ascii="Aptos"/>
        </w:rPr>
        <w:t>, 1011–1015.</w:t>
      </w:r>
    </w:p>
    <w:p w14:paraId="0F71BAAB" w14:textId="77777777" w:rsidR="00587FF2" w:rsidRPr="00587FF2" w:rsidRDefault="00587FF2" w:rsidP="00587FF2">
      <w:pPr>
        <w:pStyle w:val="Bibliography"/>
        <w:rPr>
          <w:rFonts w:ascii="Aptos"/>
        </w:rPr>
      </w:pPr>
      <w:r w:rsidRPr="00587FF2">
        <w:rPr>
          <w:rFonts w:ascii="Aptos"/>
        </w:rPr>
        <w:t xml:space="preserve">15. </w:t>
      </w:r>
      <w:r w:rsidRPr="00587FF2">
        <w:rPr>
          <w:rFonts w:ascii="Aptos"/>
        </w:rPr>
        <w:tab/>
        <w:t xml:space="preserve">Zhao, C.; Bi, Q.; Hu, J.T.; Xia, B.; Ying, Q.F.; Zhu, D.J.; Zhang, S.J.; Gu, H.F.; Hong, J.; Qui, B.; et al. [Effects of Statins upon Bone Mineral Density in Postmenopausal Women with Hypercholesterolemia]. </w:t>
      </w:r>
      <w:r w:rsidRPr="00587FF2">
        <w:rPr>
          <w:rFonts w:ascii="Aptos"/>
          <w:i/>
          <w:iCs/>
        </w:rPr>
        <w:t>Zhonghua Yi Xue Za Zhi</w:t>
      </w:r>
      <w:r w:rsidRPr="00587FF2">
        <w:rPr>
          <w:rFonts w:ascii="Aptos"/>
        </w:rPr>
        <w:t xml:space="preserve"> </w:t>
      </w:r>
      <w:r w:rsidRPr="00587FF2">
        <w:rPr>
          <w:rFonts w:ascii="Aptos"/>
          <w:b/>
          <w:bCs/>
        </w:rPr>
        <w:t>2013</w:t>
      </w:r>
      <w:r w:rsidRPr="00587FF2">
        <w:rPr>
          <w:rFonts w:ascii="Aptos"/>
        </w:rPr>
        <w:t xml:space="preserve">, </w:t>
      </w:r>
      <w:r w:rsidRPr="00587FF2">
        <w:rPr>
          <w:rFonts w:ascii="Aptos"/>
          <w:i/>
          <w:iCs/>
        </w:rPr>
        <w:t>93</w:t>
      </w:r>
      <w:r w:rsidRPr="00587FF2">
        <w:rPr>
          <w:rFonts w:ascii="Aptos"/>
        </w:rPr>
        <w:t>, 2309–2311.</w:t>
      </w:r>
    </w:p>
    <w:p w14:paraId="1912E97F" w14:textId="77777777" w:rsidR="00587FF2" w:rsidRPr="00587FF2" w:rsidRDefault="00587FF2" w:rsidP="00587FF2">
      <w:pPr>
        <w:pStyle w:val="Bibliography"/>
        <w:rPr>
          <w:rFonts w:ascii="Aptos"/>
        </w:rPr>
      </w:pPr>
      <w:r w:rsidRPr="00587FF2">
        <w:rPr>
          <w:rFonts w:ascii="Aptos"/>
        </w:rPr>
        <w:t xml:space="preserve">16. </w:t>
      </w:r>
      <w:r w:rsidRPr="00587FF2">
        <w:rPr>
          <w:rFonts w:ascii="Aptos"/>
        </w:rPr>
        <w:tab/>
        <w:t xml:space="preserve">Wang, Z.; Li, Y.; Zhou, F.; Piao, Z.; Hao, J. Effects of Statins on Bone Mineral Density and Fracture Risk. </w:t>
      </w:r>
      <w:r w:rsidRPr="00587FF2">
        <w:rPr>
          <w:rFonts w:ascii="Aptos"/>
          <w:i/>
          <w:iCs/>
        </w:rPr>
        <w:t>Medicine (Baltimore)</w:t>
      </w:r>
      <w:r w:rsidRPr="00587FF2">
        <w:rPr>
          <w:rFonts w:ascii="Aptos"/>
        </w:rPr>
        <w:t xml:space="preserve"> </w:t>
      </w:r>
      <w:r w:rsidRPr="00587FF2">
        <w:rPr>
          <w:rFonts w:ascii="Aptos"/>
          <w:b/>
          <w:bCs/>
        </w:rPr>
        <w:t>2016</w:t>
      </w:r>
      <w:r w:rsidRPr="00587FF2">
        <w:rPr>
          <w:rFonts w:ascii="Aptos"/>
        </w:rPr>
        <w:t xml:space="preserve">, </w:t>
      </w:r>
      <w:r w:rsidRPr="00587FF2">
        <w:rPr>
          <w:rFonts w:ascii="Aptos"/>
          <w:i/>
          <w:iCs/>
        </w:rPr>
        <w:t>95</w:t>
      </w:r>
      <w:r w:rsidRPr="00587FF2">
        <w:rPr>
          <w:rFonts w:ascii="Aptos"/>
        </w:rPr>
        <w:t>, e3042, doi:10.1097/MD.0000000000003042.</w:t>
      </w:r>
    </w:p>
    <w:p w14:paraId="20AA6B59" w14:textId="05946988" w:rsidR="00871606" w:rsidRDefault="006C0229" w:rsidP="00587FF2">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AC2337C"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r w:rsidR="00ED2E27">
        <w:t>.</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1735B1FB" w14:textId="64E000F7" w:rsidR="00E73B0F" w:rsidRDefault="00E73B0F">
      <w:r w:rsidRPr="00E73B0F">
        <w:rPr>
          <w:b/>
          <w:bCs/>
        </w:rPr>
        <w:t xml:space="preserve">Table </w:t>
      </w:r>
      <w:r w:rsidRPr="00E73B0F">
        <w:rPr>
          <w:b/>
          <w:bCs/>
        </w:rPr>
        <w:t>3</w:t>
      </w:r>
      <w:r w:rsidRPr="00E73B0F">
        <w:rPr>
          <w:b/>
          <w:bCs/>
        </w:rPr>
        <w:t xml:space="preserve">: Summary of </w:t>
      </w:r>
      <w:r w:rsidRPr="00E73B0F">
        <w:rPr>
          <w:b/>
          <w:bCs/>
        </w:rPr>
        <w:t>Drug-Target</w:t>
      </w:r>
      <w:r w:rsidRPr="00E73B0F">
        <w:rPr>
          <w:b/>
          <w:bCs/>
        </w:rPr>
        <w:t xml:space="preserve"> MR results.</w:t>
      </w:r>
      <w:r w:rsidRPr="00E73B0F">
        <w:t xml:space="preserve">  Results from inverse variance weighted analyses </w:t>
      </w:r>
      <w:r w:rsidR="003F64CE">
        <w:t xml:space="preserve">or Wald tests (when there was only one SNP) </w:t>
      </w:r>
      <w:r w:rsidRPr="00E73B0F">
        <w:t xml:space="preserve">for </w:t>
      </w:r>
      <w:r w:rsidR="003F64CE">
        <w:t>SNPs within 500 kb of known cholesterol drug targets</w:t>
      </w:r>
      <w:r w:rsidRPr="00E73B0F">
        <w:t>.</w:t>
      </w:r>
    </w:p>
    <w:p w14:paraId="5BFEF22D" w14:textId="2E914CA2"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LabWAS</w:t>
      </w:r>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LabWAS</w:t>
      </w:r>
      <w:r>
        <w:rPr>
          <w:b/>
          <w:bCs/>
        </w:rPr>
        <w:t xml:space="preserve"> for serum Calcium</w:t>
      </w:r>
      <w:r w:rsidRPr="00B87D3D">
        <w:rPr>
          <w:b/>
          <w:bCs/>
        </w:rPr>
        <w:t>.</w:t>
      </w:r>
      <w:r>
        <w:t xml:space="preserve">  A) Effect sizes for each instrument in the exposure (UK Biobank) and outcome (LabWAS).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 xml:space="preserve">Scatter plots showing effect estimates in the exposure (UKBB) and outcome (LabWAS)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xml:space="preserve">, and estimated allele frequencies (eaf),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6-04-26T19:29:00Z" w:initials="DB">
    <w:p w14:paraId="71BEC5B1" w14:textId="77777777" w:rsidR="00135110" w:rsidRDefault="00135110" w:rsidP="00135110">
      <w:r>
        <w:rPr>
          <w:rStyle w:val="CommentReference"/>
        </w:rPr>
        <w:annotationRef/>
      </w:r>
      <w:r>
        <w:rPr>
          <w:sz w:val="20"/>
          <w:szCs w:val="20"/>
        </w:rPr>
        <w:t>add refs</w:t>
      </w:r>
    </w:p>
  </w:comment>
  <w:comment w:id="1" w:author="Dave Bridges" w:date="2026-04-26T19:30:00Z" w:initials="DB">
    <w:p w14:paraId="549B24E9" w14:textId="77777777" w:rsidR="00135110" w:rsidRDefault="00135110" w:rsidP="00135110">
      <w:r>
        <w:rPr>
          <w:rStyle w:val="CommentReference"/>
        </w:rPr>
        <w:annotationRef/>
      </w:r>
      <w:r>
        <w:rPr>
          <w:sz w:val="20"/>
          <w:szCs w:val="20"/>
        </w:rPr>
        <w:t>add ref</w:t>
      </w:r>
    </w:p>
  </w:comment>
  <w:comment w:id="2" w:author="Dave Bridges" w:date="2025-10-19T09:46:00Z" w:initials="DB">
    <w:p w14:paraId="58E8312F" w14:textId="77777777" w:rsidR="008274E7" w:rsidRDefault="008274E7" w:rsidP="008274E7">
      <w:r>
        <w:rPr>
          <w:rStyle w:val="CommentReference"/>
        </w:rPr>
        <w:annotationRef/>
      </w:r>
      <w:r>
        <w:rPr>
          <w:sz w:val="20"/>
          <w:szCs w:val="20"/>
        </w:rPr>
        <w:t>Needs units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BEC5B1" w15:done="0"/>
  <w15:commentEx w15:paraId="549B24E9" w15:done="0"/>
  <w15:commentEx w15:paraId="58E831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3AC302" w16cex:dateUtc="2026-04-26T23:29:00Z"/>
  <w16cex:commentExtensible w16cex:durableId="388A8173" w16cex:dateUtc="2026-04-26T23:30:00Z"/>
  <w16cex:commentExtensible w16cex:durableId="3F604B3E" w16cex:dateUtc="2025-10-19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BEC5B1" w16cid:durableId="123AC302"/>
  <w16cid:commentId w16cid:paraId="549B24E9" w16cid:durableId="388A8173"/>
  <w16cid:commentId w16cid:paraId="58E8312F" w16cid:durableId="3F604B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3BFB"/>
    <w:rsid w:val="000E431E"/>
    <w:rsid w:val="001070FE"/>
    <w:rsid w:val="00111879"/>
    <w:rsid w:val="00115D9B"/>
    <w:rsid w:val="00117948"/>
    <w:rsid w:val="00121C5B"/>
    <w:rsid w:val="0013427F"/>
    <w:rsid w:val="00135110"/>
    <w:rsid w:val="00141C21"/>
    <w:rsid w:val="00146173"/>
    <w:rsid w:val="0015153C"/>
    <w:rsid w:val="001515AD"/>
    <w:rsid w:val="00157115"/>
    <w:rsid w:val="00162FEC"/>
    <w:rsid w:val="00165647"/>
    <w:rsid w:val="001C1657"/>
    <w:rsid w:val="001C5750"/>
    <w:rsid w:val="001C657B"/>
    <w:rsid w:val="001D2B81"/>
    <w:rsid w:val="001D4725"/>
    <w:rsid w:val="001E1D57"/>
    <w:rsid w:val="001E3F4F"/>
    <w:rsid w:val="001E5F79"/>
    <w:rsid w:val="001F149F"/>
    <w:rsid w:val="001F20D2"/>
    <w:rsid w:val="001F2A30"/>
    <w:rsid w:val="001F2B27"/>
    <w:rsid w:val="001F3717"/>
    <w:rsid w:val="001F37CB"/>
    <w:rsid w:val="0021034F"/>
    <w:rsid w:val="00211C64"/>
    <w:rsid w:val="002220E7"/>
    <w:rsid w:val="0022433B"/>
    <w:rsid w:val="002310F5"/>
    <w:rsid w:val="002322AB"/>
    <w:rsid w:val="00244F96"/>
    <w:rsid w:val="00250B3C"/>
    <w:rsid w:val="00251095"/>
    <w:rsid w:val="00251B10"/>
    <w:rsid w:val="0025516C"/>
    <w:rsid w:val="00257105"/>
    <w:rsid w:val="00263D7A"/>
    <w:rsid w:val="0026580A"/>
    <w:rsid w:val="0028006B"/>
    <w:rsid w:val="002820CC"/>
    <w:rsid w:val="002827EA"/>
    <w:rsid w:val="00283D08"/>
    <w:rsid w:val="00290744"/>
    <w:rsid w:val="00293D99"/>
    <w:rsid w:val="002964F2"/>
    <w:rsid w:val="002A005D"/>
    <w:rsid w:val="002B3436"/>
    <w:rsid w:val="002B35C8"/>
    <w:rsid w:val="002C45CD"/>
    <w:rsid w:val="002C5D14"/>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6F5C"/>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28D7"/>
    <w:rsid w:val="003F64CE"/>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A23A7"/>
    <w:rsid w:val="004B19B0"/>
    <w:rsid w:val="004B746B"/>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1FCC"/>
    <w:rsid w:val="00532FC4"/>
    <w:rsid w:val="00535314"/>
    <w:rsid w:val="00537BCF"/>
    <w:rsid w:val="00544AC6"/>
    <w:rsid w:val="00556C78"/>
    <w:rsid w:val="00576DB5"/>
    <w:rsid w:val="005821FA"/>
    <w:rsid w:val="0058330D"/>
    <w:rsid w:val="00587FF2"/>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10EE5"/>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E7B9D"/>
    <w:rsid w:val="007F1332"/>
    <w:rsid w:val="007F7E35"/>
    <w:rsid w:val="0080021B"/>
    <w:rsid w:val="008002BF"/>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C3302"/>
    <w:rsid w:val="008C6483"/>
    <w:rsid w:val="008E002E"/>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34EA"/>
    <w:rsid w:val="009E4E77"/>
    <w:rsid w:val="009F2F1E"/>
    <w:rsid w:val="00A01365"/>
    <w:rsid w:val="00A066E7"/>
    <w:rsid w:val="00A12A68"/>
    <w:rsid w:val="00A2097B"/>
    <w:rsid w:val="00A213E8"/>
    <w:rsid w:val="00A30264"/>
    <w:rsid w:val="00A36B6F"/>
    <w:rsid w:val="00A4251B"/>
    <w:rsid w:val="00A458DF"/>
    <w:rsid w:val="00A55A54"/>
    <w:rsid w:val="00A67A5F"/>
    <w:rsid w:val="00A72D3E"/>
    <w:rsid w:val="00A763AC"/>
    <w:rsid w:val="00A854F3"/>
    <w:rsid w:val="00A95A18"/>
    <w:rsid w:val="00A965D4"/>
    <w:rsid w:val="00A9666F"/>
    <w:rsid w:val="00AA5F56"/>
    <w:rsid w:val="00AA6407"/>
    <w:rsid w:val="00AC5992"/>
    <w:rsid w:val="00AD24F0"/>
    <w:rsid w:val="00AD3EA3"/>
    <w:rsid w:val="00AE265B"/>
    <w:rsid w:val="00AE3366"/>
    <w:rsid w:val="00AE722C"/>
    <w:rsid w:val="00AE7A00"/>
    <w:rsid w:val="00AF55A0"/>
    <w:rsid w:val="00AF7C3C"/>
    <w:rsid w:val="00B120BC"/>
    <w:rsid w:val="00B1299C"/>
    <w:rsid w:val="00B13840"/>
    <w:rsid w:val="00B13E52"/>
    <w:rsid w:val="00B25EBD"/>
    <w:rsid w:val="00B2640E"/>
    <w:rsid w:val="00B32E48"/>
    <w:rsid w:val="00B3420F"/>
    <w:rsid w:val="00B46D8E"/>
    <w:rsid w:val="00B5317F"/>
    <w:rsid w:val="00B61D00"/>
    <w:rsid w:val="00B7621D"/>
    <w:rsid w:val="00B77FB8"/>
    <w:rsid w:val="00B82286"/>
    <w:rsid w:val="00B83F54"/>
    <w:rsid w:val="00B87D3D"/>
    <w:rsid w:val="00B917E0"/>
    <w:rsid w:val="00B972C6"/>
    <w:rsid w:val="00BA1574"/>
    <w:rsid w:val="00BA26CD"/>
    <w:rsid w:val="00BB142D"/>
    <w:rsid w:val="00BC224B"/>
    <w:rsid w:val="00BD657E"/>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DF789E"/>
    <w:rsid w:val="00E0079E"/>
    <w:rsid w:val="00E00F5E"/>
    <w:rsid w:val="00E17F7E"/>
    <w:rsid w:val="00E26C14"/>
    <w:rsid w:val="00E37E42"/>
    <w:rsid w:val="00E45277"/>
    <w:rsid w:val="00E46FD8"/>
    <w:rsid w:val="00E539D6"/>
    <w:rsid w:val="00E63B8D"/>
    <w:rsid w:val="00E644BF"/>
    <w:rsid w:val="00E73B0F"/>
    <w:rsid w:val="00E916A3"/>
    <w:rsid w:val="00EA6CE9"/>
    <w:rsid w:val="00ED1443"/>
    <w:rsid w:val="00ED2E27"/>
    <w:rsid w:val="00EE4FAC"/>
    <w:rsid w:val="00EF05E6"/>
    <w:rsid w:val="00EF21C3"/>
    <w:rsid w:val="00EF283B"/>
    <w:rsid w:val="00F00934"/>
    <w:rsid w:val="00F01EE3"/>
    <w:rsid w:val="00F02252"/>
    <w:rsid w:val="00F051E9"/>
    <w:rsid w:val="00F12188"/>
    <w:rsid w:val="00F153C5"/>
    <w:rsid w:val="00F247B6"/>
    <w:rsid w:val="00F3431B"/>
    <w:rsid w:val="00F41EEB"/>
    <w:rsid w:val="00F44630"/>
    <w:rsid w:val="00F50243"/>
    <w:rsid w:val="00F53B39"/>
    <w:rsid w:val="00F541B2"/>
    <w:rsid w:val="00F603A0"/>
    <w:rsid w:val="00F62283"/>
    <w:rsid w:val="00F67CDF"/>
    <w:rsid w:val="00F81C7E"/>
    <w:rsid w:val="00F823CE"/>
    <w:rsid w:val="00F93FE3"/>
    <w:rsid w:val="00F95B9E"/>
    <w:rsid w:val="00F97358"/>
    <w:rsid w:val="00FA10DA"/>
    <w:rsid w:val="00FB04DA"/>
    <w:rsid w:val="00FB3A40"/>
    <w:rsid w:val="00FC0A4C"/>
    <w:rsid w:val="00FC7A07"/>
    <w:rsid w:val="00FD2498"/>
    <w:rsid w:val="00FE66FA"/>
    <w:rsid w:val="00FF0B34"/>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 w:type="character" w:styleId="Emphasis">
    <w:name w:val="Emphasis"/>
    <w:basedOn w:val="DefaultParagraphFont"/>
    <w:uiPriority w:val="20"/>
    <w:qFormat/>
    <w:rsid w:val="004B746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10</Pages>
  <Words>10595</Words>
  <Characters>57853</Characters>
  <Application>Microsoft Office Word</Application>
  <DocSecurity>0</DocSecurity>
  <Lines>2142</Lines>
  <Paragraphs>1291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132</cp:revision>
  <dcterms:created xsi:type="dcterms:W3CDTF">2025-10-10T14:20:00Z</dcterms:created>
  <dcterms:modified xsi:type="dcterms:W3CDTF">2026-04-27T00:08:00Z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id="m1XgCDqx"/&gt;&lt;style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