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4367801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0"/>
      <w:r w:rsidRPr="00E56EE1">
        <w:rPr>
          <w:vertAlign w:val="superscript"/>
        </w:rPr>
        <w:t>2</w:t>
      </w:r>
      <w:r>
        <w:t>The Jackson Laboratories</w:t>
      </w:r>
      <w:commentRangeEnd w:id="0"/>
      <w:r w:rsidR="00FE3D9F">
        <w:rPr>
          <w:rStyle w:val="CommentReference"/>
        </w:rPr>
        <w:commentReference w:id="0"/>
      </w:r>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w:t>
      </w:r>
      <w:proofErr w:type="spellStart"/>
      <w:r>
        <w:t xml:space="preserve"> with </w:t>
      </w:r>
      <w:proofErr w:type="spellEnd"/>
      <w:r>
        <w:t xml:space="preserve">serum cholesterol levels in 844 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bookmarkStart w:id="1" w:name="_GoBack"/>
      <w:bookmarkEnd w:id="1"/>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7CA83DDB" w:rsidR="008C11CC" w:rsidRDefault="008C11CC" w:rsidP="00A53691">
      <w:r>
        <w:t xml:space="preserve">Human genetics has led </w:t>
      </w:r>
      <w:proofErr w:type="spellStart"/>
      <w:r>
        <w:t>led</w:t>
      </w:r>
      <w:proofErr w:type="spellEnd"/>
      <w:r>
        <w:t xml:space="preserve">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2"/>
      <w:r>
        <w:t>Diversity Outbred Data</w:t>
      </w:r>
      <w:commentRangeEnd w:id="2"/>
      <w:r w:rsidR="00546A2E">
        <w:rPr>
          <w:rStyle w:val="CommentReference"/>
          <w:rFonts w:ascii="Times New Roman" w:eastAsia="Times New Roman" w:hAnsi="Times New Roman" w:cs="Times New Roman"/>
          <w:color w:val="auto"/>
        </w:rPr>
        <w:commentReference w:id="2"/>
      </w:r>
    </w:p>
    <w:p w14:paraId="4B536548" w14:textId="7E15E75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957DD06" w:rsidR="00E52D5C" w:rsidRDefault="009D2910" w:rsidP="000B2E8A">
      <w:r>
        <w:t>The strong cross-sectional</w:t>
      </w:r>
      <w:r w:rsidR="00EB4B45">
        <w:t xml:space="preserve"> </w:t>
      </w:r>
      <w:r>
        <w:t>association of calcium with cholesterol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 xml:space="preserve">after </w:t>
      </w:r>
      <w:r w:rsidR="00EB4B45">
        <w:lastRenderedPageBreak/>
        <w:t>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1910F995" w:rsidR="00B66305" w:rsidRDefault="00F34566" w:rsidP="000B2E8A">
      <w:r>
        <w:t xml:space="preserve">To our knowledge this is the first demonstration of an association between serum calcium and cholesterol in rodents.  </w:t>
      </w:r>
      <w:r>
        <w:t>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As such,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5B268C90"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w:t>
      </w:r>
      <w:r w:rsidR="00B5781A">
        <w:lastRenderedPageBreak/>
        <w:t xml:space="preserve">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connection between cholesterol and calcium.   </w:t>
      </w:r>
      <w:r w:rsidR="00193752">
        <w:t>Whether calcium can modify serum cholesterol, or cholesterol can modify calcium are both important nutritional and pathophysiological questions, and future controlled mouse studies should shed light on the directions and mechanisms of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595D729"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proofErr w:type="spellStart"/>
      <w:r w:rsidR="00DE1510">
        <w:t>hoemostatic</w:t>
      </w:r>
      <w:proofErr w:type="spellEnd"/>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39BB6C02" w14:textId="662B4D22" w:rsidR="002B2A55" w:rsidRDefault="002B2A55" w:rsidP="000B2E8A"/>
    <w:p w14:paraId="263B0B56" w14:textId="287317EB" w:rsidR="002B2A55" w:rsidRDefault="002B2A55" w:rsidP="00E50DC1">
      <w:pPr>
        <w:pStyle w:val="Heading1"/>
      </w:pPr>
      <w:commentRangeStart w:id="3"/>
      <w:r>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4"/>
      <w:r>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 xml:space="preserve">Funding </w:t>
      </w:r>
      <w:r w:rsidR="004C7DE0">
        <w:lastRenderedPageBreak/>
        <w:t>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w:t>
      </w:r>
      <w:proofErr w:type="spellStart"/>
      <w:r w:rsidR="00FA2FC4" w:rsidRPr="00FA2FC4">
        <w:t>Birtcher</w:t>
      </w:r>
      <w:proofErr w:type="spellEnd"/>
      <w:r w:rsidR="00FA2FC4" w:rsidRPr="00FA2FC4">
        <w:t xml:space="preserve">, K.K.; Blumenthal, R.S.; Braun, L.T.; de Ferranti, S.; </w:t>
      </w:r>
      <w:proofErr w:type="spellStart"/>
      <w:r w:rsidR="00FA2FC4" w:rsidRPr="00FA2FC4">
        <w:t>Faiella-Tommasino</w:t>
      </w:r>
      <w:proofErr w:type="spellEnd"/>
      <w:r w:rsidR="00FA2FC4" w:rsidRPr="00FA2FC4">
        <w:t>, J.; Forman, D.E.; et al. 2018 AHA/ACC/AACVPR/AAPA/ABC/ACPM/ADA/AGS/</w:t>
      </w:r>
      <w:proofErr w:type="spellStart"/>
      <w:r w:rsidR="00FA2FC4" w:rsidRPr="00FA2FC4">
        <w:t>APhA</w:t>
      </w:r>
      <w:proofErr w:type="spellEnd"/>
      <w:r w:rsidR="00FA2FC4" w:rsidRPr="00FA2FC4">
        <w:t xml:space="preserve">/ASPC/NLA/PCNA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r>
      <w:proofErr w:type="spellStart"/>
      <w:r w:rsidRPr="00FA2FC4">
        <w:t>Khera</w:t>
      </w:r>
      <w:proofErr w:type="spellEnd"/>
      <w:r w:rsidRPr="00FA2FC4">
        <w:t xml:space="preserve">, A.V.; </w:t>
      </w:r>
      <w:proofErr w:type="spellStart"/>
      <w:r w:rsidRPr="00FA2FC4">
        <w:t>Emdin</w:t>
      </w:r>
      <w:proofErr w:type="spellEnd"/>
      <w:r w:rsidRPr="00FA2FC4">
        <w:t xml:space="preserve">, C.A.; Drake, I.; Natarajan, P.; Bick, A.G.; Cook, N.R.; </w:t>
      </w:r>
      <w:proofErr w:type="spellStart"/>
      <w:r w:rsidRPr="00FA2FC4">
        <w:t>Chasman</w:t>
      </w:r>
      <w:proofErr w:type="spellEnd"/>
      <w:r w:rsidRPr="00FA2FC4">
        <w:t xml:space="preserve">,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r>
      <w:proofErr w:type="spellStart"/>
      <w:r w:rsidRPr="00FA2FC4">
        <w:t>Khera</w:t>
      </w:r>
      <w:proofErr w:type="spellEnd"/>
      <w:r w:rsidRPr="00FA2FC4">
        <w:t xml:space="preserve">, A.V.; </w:t>
      </w:r>
      <w:proofErr w:type="spellStart"/>
      <w:r w:rsidRPr="00FA2FC4">
        <w:t>Kathiresan</w:t>
      </w:r>
      <w:proofErr w:type="spellEnd"/>
      <w:r w:rsidRPr="00FA2FC4">
        <w:t xml:space="preserve">,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w:t>
      </w:r>
      <w:proofErr w:type="spellStart"/>
      <w:r w:rsidRPr="00FA2FC4">
        <w:t>Gatti</w:t>
      </w:r>
      <w:proofErr w:type="spellEnd"/>
      <w:r w:rsidRPr="00FA2FC4">
        <w:t xml:space="preserve">,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w:t>
      </w:r>
      <w:proofErr w:type="spellStart"/>
      <w:r w:rsidRPr="00FA2FC4">
        <w:t>Fornés</w:t>
      </w:r>
      <w:proofErr w:type="spellEnd"/>
      <w:r w:rsidRPr="00FA2FC4">
        <w:t xml:space="preserve">, A.; </w:t>
      </w:r>
      <w:proofErr w:type="spellStart"/>
      <w:r w:rsidRPr="00FA2FC4">
        <w:t>Galecki</w:t>
      </w:r>
      <w:proofErr w:type="spellEnd"/>
      <w:r w:rsidRPr="00FA2FC4">
        <w:t xml:space="preserve">, A.; Miller, R.A.; Burke, D.T. Multiple-Trait Quantitative Trait Loci Analysis Using a Large Mouse </w:t>
      </w:r>
      <w:proofErr w:type="spellStart"/>
      <w:r w:rsidRPr="00FA2FC4">
        <w:t>Sibship</w:t>
      </w:r>
      <w:proofErr w:type="spellEnd"/>
      <w:r w:rsidRPr="00FA2FC4">
        <w:t xml:space="preserve">.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w:t>
      </w:r>
      <w:proofErr w:type="spellStart"/>
      <w:r w:rsidRPr="00FA2FC4">
        <w:t>Allayee</w:t>
      </w:r>
      <w:proofErr w:type="spellEnd"/>
      <w:r w:rsidRPr="00FA2FC4">
        <w:t xml:space="preserve">, H.; Angel, J.M.; </w:t>
      </w:r>
      <w:proofErr w:type="spellStart"/>
      <w:r w:rsidRPr="00FA2FC4">
        <w:t>Attie</w:t>
      </w:r>
      <w:proofErr w:type="spellEnd"/>
      <w:r w:rsidRPr="00FA2FC4">
        <w:t xml:space="preserve">, A.D.; Beatty, J.; Beavis, W.D.; Belknap, J.K.; Bennett, B.; </w:t>
      </w:r>
      <w:proofErr w:type="spellStart"/>
      <w:r w:rsidRPr="00FA2FC4">
        <w:t>Berrettini</w:t>
      </w:r>
      <w:proofErr w:type="spellEnd"/>
      <w:r w:rsidRPr="00FA2FC4">
        <w:t xml:space="preserve">,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w:t>
      </w:r>
      <w:proofErr w:type="spellStart"/>
      <w:r w:rsidRPr="00FA2FC4">
        <w:t>Prins</w:t>
      </w:r>
      <w:proofErr w:type="spellEnd"/>
      <w:r w:rsidRPr="00FA2FC4">
        <w:t xml:space="preserve">, P.; Mulligan, M.K.; Roy, S.; Williams, E.G.; Lutz, C.M.; Valenzuela, A.; </w:t>
      </w:r>
      <w:proofErr w:type="spellStart"/>
      <w:r w:rsidRPr="00FA2FC4">
        <w:t>Bohl</w:t>
      </w:r>
      <w:proofErr w:type="spellEnd"/>
      <w:r w:rsidRPr="00FA2FC4">
        <w:t xml:space="preserve">, C.J.; </w:t>
      </w:r>
      <w:proofErr w:type="spellStart"/>
      <w:r w:rsidRPr="00FA2FC4">
        <w:t>Ingels</w:t>
      </w:r>
      <w:proofErr w:type="spellEnd"/>
      <w:r w:rsidRPr="00FA2FC4">
        <w:t xml:space="preserve">, J.F.; et al. A Platform for Experimental Precision 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xml:space="preserve">, 235-247.e9, </w:t>
      </w:r>
      <w:proofErr w:type="gramStart"/>
      <w:r w:rsidRPr="00FA2FC4">
        <w:t>doi:10.1016/j.cels</w:t>
      </w:r>
      <w:proofErr w:type="gramEnd"/>
      <w:r w:rsidRPr="00FA2FC4">
        <w:t>.2020.12.002.</w:t>
      </w:r>
    </w:p>
    <w:p w14:paraId="47F3F1C8" w14:textId="77777777" w:rsidR="00FA2FC4" w:rsidRPr="00FA2FC4" w:rsidRDefault="00FA2FC4" w:rsidP="00FA2FC4">
      <w:pPr>
        <w:pStyle w:val="Bibliography"/>
      </w:pPr>
      <w:r w:rsidRPr="00FA2FC4">
        <w:t xml:space="preserve">8. </w:t>
      </w:r>
      <w:r w:rsidRPr="00FA2FC4">
        <w:tab/>
        <w:t xml:space="preserve">Chick, J.M.; Munger, S.C.; </w:t>
      </w:r>
      <w:proofErr w:type="spellStart"/>
      <w:r w:rsidRPr="00FA2FC4">
        <w:t>Simecek</w:t>
      </w:r>
      <w:proofErr w:type="spellEnd"/>
      <w:r w:rsidRPr="00FA2FC4">
        <w:t xml:space="preserve">, P.; </w:t>
      </w:r>
      <w:proofErr w:type="spellStart"/>
      <w:r w:rsidRPr="00FA2FC4">
        <w:t>Huttlin</w:t>
      </w:r>
      <w:proofErr w:type="spellEnd"/>
      <w:r w:rsidRPr="00FA2FC4">
        <w:t xml:space="preserve">, E.L.; Choi, K.; </w:t>
      </w:r>
      <w:proofErr w:type="spellStart"/>
      <w:r w:rsidRPr="00FA2FC4">
        <w:t>Gatti</w:t>
      </w:r>
      <w:proofErr w:type="spellEnd"/>
      <w:r w:rsidRPr="00FA2FC4">
        <w:t xml:space="preserve">, D.M.; </w:t>
      </w:r>
      <w:proofErr w:type="spellStart"/>
      <w:r w:rsidRPr="00FA2FC4">
        <w:t>Raghupathy</w:t>
      </w:r>
      <w:proofErr w:type="spellEnd"/>
      <w:r w:rsidRPr="00FA2FC4">
        <w:t xml:space="preserve">, N.; Svenson, K.L.; Churchill, G.A.; </w:t>
      </w:r>
      <w:proofErr w:type="spellStart"/>
      <w:r w:rsidRPr="00FA2FC4">
        <w:t>Gygi</w:t>
      </w:r>
      <w:proofErr w:type="spellEnd"/>
      <w:r w:rsidRPr="00FA2FC4">
        <w:t xml:space="preserve">,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w:t>
      </w:r>
      <w:proofErr w:type="spellStart"/>
      <w:r w:rsidRPr="00FA2FC4">
        <w:t>Raghupathy</w:t>
      </w:r>
      <w:proofErr w:type="spellEnd"/>
      <w:r w:rsidRPr="00FA2FC4">
        <w:t xml:space="preserve">, N.; Choi, K.; Simons, A.K.; </w:t>
      </w:r>
      <w:proofErr w:type="spellStart"/>
      <w:r w:rsidRPr="00FA2FC4">
        <w:t>Gatti</w:t>
      </w:r>
      <w:proofErr w:type="spellEnd"/>
      <w:r w:rsidRPr="00FA2FC4">
        <w:t xml:space="preserve">, D.M.; </w:t>
      </w:r>
      <w:proofErr w:type="spellStart"/>
      <w:r w:rsidRPr="00FA2FC4">
        <w:t>Hinerfeld</w:t>
      </w:r>
      <w:proofErr w:type="spellEnd"/>
      <w:r w:rsidRPr="00FA2FC4">
        <w:t xml:space="preserve">, D.A.; Svenson, K.L.; Keller, M.P.; </w:t>
      </w:r>
      <w:proofErr w:type="spellStart"/>
      <w:r w:rsidRPr="00FA2FC4">
        <w:t>Attie</w:t>
      </w:r>
      <w:proofErr w:type="spellEnd"/>
      <w:r w:rsidRPr="00FA2FC4">
        <w:t>, A.D.; Hibbs, M.A.; et al. RNA-</w:t>
      </w:r>
      <w:proofErr w:type="spellStart"/>
      <w:r w:rsidRPr="00FA2FC4">
        <w:t>Seq</w:t>
      </w:r>
      <w:proofErr w:type="spellEnd"/>
      <w:r w:rsidRPr="00FA2FC4">
        <w:t xml:space="preserve">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r>
      <w:proofErr w:type="spellStart"/>
      <w:r w:rsidRPr="00FA2FC4">
        <w:t>Andreux</w:t>
      </w:r>
      <w:proofErr w:type="spellEnd"/>
      <w:r w:rsidRPr="00FA2FC4">
        <w:t xml:space="preserve">, P.A.; Williams, E.G.; </w:t>
      </w:r>
      <w:proofErr w:type="spellStart"/>
      <w:r w:rsidRPr="00FA2FC4">
        <w:t>Koutnikova</w:t>
      </w:r>
      <w:proofErr w:type="spellEnd"/>
      <w:r w:rsidRPr="00FA2FC4">
        <w:t xml:space="preserve">, H.; </w:t>
      </w:r>
      <w:proofErr w:type="spellStart"/>
      <w:r w:rsidRPr="00FA2FC4">
        <w:t>Houtkooper</w:t>
      </w:r>
      <w:proofErr w:type="spellEnd"/>
      <w:r w:rsidRPr="00FA2FC4">
        <w:t xml:space="preserve">, R.H.H.; </w:t>
      </w:r>
      <w:proofErr w:type="spellStart"/>
      <w:r w:rsidRPr="00FA2FC4">
        <w:t>Champy</w:t>
      </w:r>
      <w:proofErr w:type="spellEnd"/>
      <w:r w:rsidRPr="00FA2FC4">
        <w:t xml:space="preserve">, M.-F.F.; Henry, H.; </w:t>
      </w:r>
      <w:proofErr w:type="spellStart"/>
      <w:r w:rsidRPr="00FA2FC4">
        <w:t>Schoonjans</w:t>
      </w:r>
      <w:proofErr w:type="spellEnd"/>
      <w:r w:rsidRPr="00FA2FC4">
        <w:t xml:space="preserve">, K.; Williams, R.W.; </w:t>
      </w:r>
      <w:proofErr w:type="spellStart"/>
      <w:r w:rsidRPr="00FA2FC4">
        <w:t>Auwerx</w:t>
      </w:r>
      <w:proofErr w:type="spellEnd"/>
      <w:r w:rsidRPr="00FA2FC4">
        <w:t xml:space="preserve">, J. Systems Genetics of Metabolism: The Use of the BXD Murine Reference Panel for </w:t>
      </w:r>
      <w:proofErr w:type="spellStart"/>
      <w:r w:rsidRPr="00FA2FC4">
        <w:t>Multiscalar</w:t>
      </w:r>
      <w:proofErr w:type="spellEnd"/>
      <w:r w:rsidRPr="00FA2FC4">
        <w:t xml:space="preserve">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xml:space="preserve">, 1287–1299, </w:t>
      </w:r>
      <w:proofErr w:type="gramStart"/>
      <w:r w:rsidRPr="00FA2FC4">
        <w:t>doi:10.1016/j.cell</w:t>
      </w:r>
      <w:proofErr w:type="gramEnd"/>
      <w:r w:rsidRPr="00FA2FC4">
        <w:t>.2012.08.012.</w:t>
      </w:r>
    </w:p>
    <w:p w14:paraId="07FD7108" w14:textId="77777777" w:rsidR="00FA2FC4" w:rsidRPr="00FA2FC4" w:rsidRDefault="00FA2FC4" w:rsidP="00FA2FC4">
      <w:pPr>
        <w:pStyle w:val="Bibliography"/>
      </w:pPr>
      <w:r w:rsidRPr="00FA2FC4">
        <w:lastRenderedPageBreak/>
        <w:t xml:space="preserve">11. </w:t>
      </w:r>
      <w:r w:rsidRPr="00FA2FC4">
        <w:tab/>
        <w:t xml:space="preserve">Mulligan, M.K.; </w:t>
      </w:r>
      <w:proofErr w:type="spellStart"/>
      <w:r w:rsidRPr="00FA2FC4">
        <w:t>Mozhui</w:t>
      </w:r>
      <w:proofErr w:type="spellEnd"/>
      <w:r w:rsidRPr="00FA2FC4">
        <w:t xml:space="preserve">, K.; </w:t>
      </w:r>
      <w:proofErr w:type="spellStart"/>
      <w:r w:rsidRPr="00FA2FC4">
        <w:t>Prins</w:t>
      </w:r>
      <w:proofErr w:type="spellEnd"/>
      <w:r w:rsidRPr="00FA2FC4">
        <w:t xml:space="preserve">, P.; Williams, R.W. </w:t>
      </w:r>
      <w:proofErr w:type="spellStart"/>
      <w:r w:rsidRPr="00FA2FC4">
        <w:t>GeneNetwork</w:t>
      </w:r>
      <w:proofErr w:type="spellEnd"/>
      <w:r w:rsidRPr="00FA2FC4">
        <w:t xml:space="preserve">: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w:t>
      </w:r>
      <w:proofErr w:type="spellStart"/>
      <w:r w:rsidRPr="00FA2FC4">
        <w:t>Furlotte</w:t>
      </w:r>
      <w:proofErr w:type="spellEnd"/>
      <w:r w:rsidRPr="00FA2FC4">
        <w:t xml:space="preserve">, N.; </w:t>
      </w:r>
      <w:proofErr w:type="spellStart"/>
      <w:r w:rsidRPr="00FA2FC4">
        <w:t>Nijveen</w:t>
      </w:r>
      <w:proofErr w:type="spellEnd"/>
      <w:r w:rsidRPr="00FA2FC4">
        <w:t xml:space="preserve">, H.; Yan, L.; Zhou, X.; Williams, R.W.; </w:t>
      </w:r>
      <w:proofErr w:type="spellStart"/>
      <w:r w:rsidRPr="00FA2FC4">
        <w:t>Prins</w:t>
      </w:r>
      <w:proofErr w:type="spellEnd"/>
      <w:r w:rsidRPr="00FA2FC4">
        <w:t xml:space="preserve">, P. </w:t>
      </w:r>
      <w:proofErr w:type="spellStart"/>
      <w:r w:rsidRPr="00FA2FC4">
        <w:t>GeneNetwork</w:t>
      </w:r>
      <w:proofErr w:type="spellEnd"/>
      <w:r w:rsidRPr="00FA2FC4">
        <w:t xml:space="preserve">: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r>
      <w:proofErr w:type="spellStart"/>
      <w:r w:rsidRPr="00FA2FC4">
        <w:t>Therneau</w:t>
      </w:r>
      <w:proofErr w:type="spellEnd"/>
      <w:r w:rsidRPr="00FA2FC4">
        <w:t xml:space="preserve">, Terry; Atkinson, Beth </w:t>
      </w:r>
      <w:proofErr w:type="spellStart"/>
      <w:r w:rsidRPr="00FA2FC4">
        <w:t>Rpart</w:t>
      </w:r>
      <w:proofErr w:type="spellEnd"/>
      <w:r w:rsidRPr="00FA2FC4">
        <w: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w:t>
      </w:r>
      <w:proofErr w:type="spellStart"/>
      <w:r w:rsidRPr="00FA2FC4">
        <w:t>Lithell</w:t>
      </w:r>
      <w:proofErr w:type="spellEnd"/>
      <w:r w:rsidRPr="00FA2FC4">
        <w:t xml:space="preserve">, H.; </w:t>
      </w:r>
      <w:proofErr w:type="spellStart"/>
      <w:r w:rsidRPr="00FA2FC4">
        <w:t>Wengle</w:t>
      </w:r>
      <w:proofErr w:type="spellEnd"/>
      <w:r w:rsidRPr="00FA2FC4">
        <w:t xml:space="preserve">, B.; </w:t>
      </w:r>
      <w:proofErr w:type="spellStart"/>
      <w:r w:rsidRPr="00FA2FC4">
        <w:t>Ljunghall</w:t>
      </w:r>
      <w:proofErr w:type="spellEnd"/>
      <w:r w:rsidRPr="00FA2FC4">
        <w:t xml:space="preserve">,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r>
      <w:proofErr w:type="spellStart"/>
      <w:r w:rsidRPr="00FA2FC4">
        <w:t>Jorde</w:t>
      </w:r>
      <w:proofErr w:type="spellEnd"/>
      <w:r w:rsidRPr="00FA2FC4">
        <w:t xml:space="preserve">, R.; </w:t>
      </w:r>
      <w:proofErr w:type="spellStart"/>
      <w:r w:rsidRPr="00FA2FC4">
        <w:t>Sundsfjord</w:t>
      </w:r>
      <w:proofErr w:type="spellEnd"/>
      <w:r w:rsidRPr="00FA2FC4">
        <w:t xml:space="preserve">, J.; Fitzgerald, P.; </w:t>
      </w:r>
      <w:proofErr w:type="spellStart"/>
      <w:r w:rsidRPr="00FA2FC4">
        <w:t>Bønaa</w:t>
      </w:r>
      <w:proofErr w:type="spellEnd"/>
      <w:r w:rsidRPr="00FA2FC4">
        <w:t xml:space="preserve">,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xml:space="preserve">, 484–490, </w:t>
      </w:r>
      <w:proofErr w:type="gramStart"/>
      <w:r w:rsidRPr="00FA2FC4">
        <w:t>doi:10.1161/01.HYP</w:t>
      </w:r>
      <w:proofErr w:type="gramEnd"/>
      <w:r w:rsidRPr="00FA2FC4">
        <w:t>.34.3.484.</w:t>
      </w:r>
    </w:p>
    <w:p w14:paraId="0C5F42AC" w14:textId="77777777" w:rsidR="00FA2FC4" w:rsidRPr="00FA2FC4" w:rsidRDefault="00FA2FC4" w:rsidP="00FA2FC4">
      <w:pPr>
        <w:pStyle w:val="Bibliography"/>
      </w:pPr>
      <w:r w:rsidRPr="00FA2FC4">
        <w:t xml:space="preserve">18. </w:t>
      </w:r>
      <w:r w:rsidRPr="00FA2FC4">
        <w:tab/>
        <w:t xml:space="preserve">Kennedy, A.; </w:t>
      </w:r>
      <w:proofErr w:type="spellStart"/>
      <w:r w:rsidRPr="00FA2FC4">
        <w:t>Vasdev</w:t>
      </w:r>
      <w:proofErr w:type="spellEnd"/>
      <w:r w:rsidRPr="00FA2FC4">
        <w:t xml:space="preserve">, S.; Randell, E.; </w:t>
      </w:r>
      <w:proofErr w:type="spellStart"/>
      <w:r w:rsidRPr="00FA2FC4">
        <w:t>Xie</w:t>
      </w:r>
      <w:proofErr w:type="spellEnd"/>
      <w:r w:rsidRPr="00FA2FC4">
        <w:t xml:space="preserv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r>
      <w:proofErr w:type="spellStart"/>
      <w:r w:rsidRPr="00FA2FC4">
        <w:t>Saltevo</w:t>
      </w:r>
      <w:proofErr w:type="spellEnd"/>
      <w:r w:rsidRPr="00FA2FC4">
        <w:t xml:space="preserve">, J.; </w:t>
      </w:r>
      <w:proofErr w:type="spellStart"/>
      <w:r w:rsidRPr="00FA2FC4">
        <w:t>Niskanen</w:t>
      </w:r>
      <w:proofErr w:type="spellEnd"/>
      <w:r w:rsidRPr="00FA2FC4">
        <w:t xml:space="preserve">, L.; </w:t>
      </w:r>
      <w:proofErr w:type="spellStart"/>
      <w:r w:rsidRPr="00FA2FC4">
        <w:t>Kautiainen</w:t>
      </w:r>
      <w:proofErr w:type="spellEnd"/>
      <w:r w:rsidRPr="00FA2FC4">
        <w:t xml:space="preserve">, H.; </w:t>
      </w:r>
      <w:proofErr w:type="spellStart"/>
      <w:r w:rsidRPr="00FA2FC4">
        <w:t>Teittinen</w:t>
      </w:r>
      <w:proofErr w:type="spellEnd"/>
      <w:r w:rsidRPr="00FA2FC4">
        <w:t xml:space="preserve">, J.; </w:t>
      </w:r>
      <w:proofErr w:type="spellStart"/>
      <w:r w:rsidRPr="00FA2FC4">
        <w:t>Oksa</w:t>
      </w:r>
      <w:proofErr w:type="spellEnd"/>
      <w:r w:rsidRPr="00FA2FC4">
        <w:t xml:space="preserve">, H.; </w:t>
      </w:r>
      <w:proofErr w:type="spellStart"/>
      <w:r w:rsidRPr="00FA2FC4">
        <w:t>Korpi-Hyövälti</w:t>
      </w:r>
      <w:proofErr w:type="spellEnd"/>
      <w:r w:rsidRPr="00FA2FC4">
        <w:t xml:space="preserve">, E.; </w:t>
      </w:r>
      <w:proofErr w:type="spellStart"/>
      <w:r w:rsidRPr="00FA2FC4">
        <w:t>Sundvall</w:t>
      </w:r>
      <w:proofErr w:type="spellEnd"/>
      <w:r w:rsidRPr="00FA2FC4">
        <w:t xml:space="preserve">, J.; </w:t>
      </w:r>
      <w:proofErr w:type="spellStart"/>
      <w:r w:rsidRPr="00FA2FC4">
        <w:t>Männistö</w:t>
      </w:r>
      <w:proofErr w:type="spellEnd"/>
      <w:r w:rsidRPr="00FA2FC4">
        <w:t xml:space="preserve">, S.; </w:t>
      </w:r>
      <w:proofErr w:type="spellStart"/>
      <w:r w:rsidRPr="00FA2FC4">
        <w:t>Peltonen</w:t>
      </w:r>
      <w:proofErr w:type="spellEnd"/>
      <w:r w:rsidRPr="00FA2FC4">
        <w:t xml:space="preserve">, M.; </w:t>
      </w:r>
      <w:proofErr w:type="spellStart"/>
      <w:r w:rsidRPr="00FA2FC4">
        <w:t>Mäntyselkä</w:t>
      </w:r>
      <w:proofErr w:type="spellEnd"/>
      <w:r w:rsidRPr="00FA2FC4">
        <w:t xml:space="preserve">,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w:t>
      </w:r>
      <w:proofErr w:type="spellStart"/>
      <w:r w:rsidRPr="00FA2FC4">
        <w:t>Faniello</w:t>
      </w:r>
      <w:proofErr w:type="spellEnd"/>
      <w:r w:rsidRPr="00FA2FC4">
        <w:t xml:space="preserve">, M.C.; </w:t>
      </w:r>
      <w:proofErr w:type="spellStart"/>
      <w:r w:rsidRPr="00FA2FC4">
        <w:t>Canino</w:t>
      </w:r>
      <w:proofErr w:type="spellEnd"/>
      <w:r w:rsidRPr="00FA2FC4">
        <w:t xml:space="preserve">, G.; </w:t>
      </w:r>
      <w:proofErr w:type="spellStart"/>
      <w:r w:rsidRPr="00FA2FC4">
        <w:t>Tripolino</w:t>
      </w:r>
      <w:proofErr w:type="spellEnd"/>
      <w:r w:rsidRPr="00FA2FC4">
        <w:t xml:space="preserve">, C.; </w:t>
      </w:r>
      <w:proofErr w:type="spellStart"/>
      <w:r w:rsidRPr="00FA2FC4">
        <w:t>Gnasso</w:t>
      </w:r>
      <w:proofErr w:type="spellEnd"/>
      <w:r w:rsidRPr="00FA2FC4">
        <w:t xml:space="preserve">, A.; </w:t>
      </w:r>
      <w:proofErr w:type="spellStart"/>
      <w:r w:rsidRPr="00FA2FC4">
        <w:t>Cuda</w:t>
      </w:r>
      <w:proofErr w:type="spellEnd"/>
      <w:r w:rsidRPr="00FA2FC4">
        <w:t xml:space="preserve">, G.; Costanzo, F.S.; </w:t>
      </w:r>
      <w:proofErr w:type="spellStart"/>
      <w:r w:rsidRPr="00FA2FC4">
        <w:t>Irace</w:t>
      </w:r>
      <w:proofErr w:type="spellEnd"/>
      <w:r w:rsidRPr="00FA2FC4">
        <w:t xml:space="preserve">, C. Serum Calcium Increase Correlates </w:t>
      </w:r>
      <w:proofErr w:type="gramStart"/>
      <w:r w:rsidRPr="00FA2FC4">
        <w:t>With</w:t>
      </w:r>
      <w:proofErr w:type="gramEnd"/>
      <w:r w:rsidRPr="00FA2FC4">
        <w:t xml:space="preserve">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w:t>
      </w:r>
      <w:proofErr w:type="spellStart"/>
      <w:r w:rsidRPr="00FA2FC4">
        <w:t>Bacquer</w:t>
      </w:r>
      <w:proofErr w:type="spellEnd"/>
      <w:r w:rsidRPr="00FA2FC4">
        <w:t xml:space="preserve">, D.; De </w:t>
      </w:r>
      <w:proofErr w:type="spellStart"/>
      <w:r w:rsidRPr="00FA2FC4">
        <w:t>Henauw</w:t>
      </w:r>
      <w:proofErr w:type="spellEnd"/>
      <w:r w:rsidRPr="00FA2FC4">
        <w:t xml:space="preserve">, S.; De Backer, G.; </w:t>
      </w:r>
      <w:proofErr w:type="spellStart"/>
      <w:r w:rsidRPr="00FA2FC4">
        <w:t>Kornitzer</w:t>
      </w:r>
      <w:proofErr w:type="spellEnd"/>
      <w:r w:rsidRPr="00FA2FC4">
        <w:t xml:space="preserve">,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xml:space="preserve">, 273–281, </w:t>
      </w:r>
      <w:proofErr w:type="gramStart"/>
      <w:r w:rsidRPr="00FA2FC4">
        <w:t>doi:10.1161/01.ATV</w:t>
      </w:r>
      <w:proofErr w:type="gramEnd"/>
      <w:r w:rsidRPr="00FA2FC4">
        <w:t>.3.3.273.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r>
      <w:proofErr w:type="spellStart"/>
      <w:r w:rsidRPr="00FA2FC4">
        <w:t>Sabanayagam</w:t>
      </w:r>
      <w:proofErr w:type="spellEnd"/>
      <w:r w:rsidRPr="00FA2FC4">
        <w:t>, C</w:t>
      </w:r>
      <w:proofErr w:type="spellStart"/>
      <w:r w:rsidRPr="00FA2FC4">
        <w:t>.; Shankar,</w:t>
      </w:r>
      <w:proofErr w:type="spellEnd"/>
      <w:r w:rsidRPr="00FA2FC4">
        <w:t xml:space="preserve">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w:t>
      </w:r>
      <w:proofErr w:type="gramStart"/>
      <w:r w:rsidRPr="00FA2FC4">
        <w:t>00503.x.</w:t>
      </w:r>
      <w:proofErr w:type="gramEnd"/>
    </w:p>
    <w:p w14:paraId="2E329511" w14:textId="77777777" w:rsidR="00FA2FC4" w:rsidRPr="00FA2FC4" w:rsidRDefault="00FA2FC4" w:rsidP="00FA2FC4">
      <w:pPr>
        <w:pStyle w:val="Bibliography"/>
      </w:pPr>
      <w:r w:rsidRPr="00FA2FC4">
        <w:t xml:space="preserve">25. </w:t>
      </w:r>
      <w:r w:rsidRPr="00FA2FC4">
        <w:tab/>
      </w:r>
      <w:proofErr w:type="spellStart"/>
      <w:r w:rsidRPr="00FA2FC4">
        <w:t>Rohrmann</w:t>
      </w:r>
      <w:proofErr w:type="spellEnd"/>
      <w:r w:rsidRPr="00FA2FC4">
        <w:t xml:space="preserve">, S.; </w:t>
      </w:r>
      <w:proofErr w:type="spellStart"/>
      <w:r w:rsidRPr="00FA2FC4">
        <w:t>Garmo</w:t>
      </w:r>
      <w:proofErr w:type="spellEnd"/>
      <w:r w:rsidRPr="00FA2FC4">
        <w:t xml:space="preserve">, H.; Malmström, H.; </w:t>
      </w:r>
      <w:proofErr w:type="spellStart"/>
      <w:r w:rsidRPr="00FA2FC4">
        <w:t>Hammar</w:t>
      </w:r>
      <w:proofErr w:type="spellEnd"/>
      <w:r w:rsidRPr="00FA2FC4">
        <w:t xml:space="preserve">, N.; </w:t>
      </w:r>
      <w:proofErr w:type="spellStart"/>
      <w:r w:rsidRPr="00FA2FC4">
        <w:t>Jungner</w:t>
      </w:r>
      <w:proofErr w:type="spellEnd"/>
      <w:r w:rsidRPr="00FA2FC4">
        <w:t xml:space="preserve">, I.; </w:t>
      </w:r>
      <w:proofErr w:type="spellStart"/>
      <w:r w:rsidRPr="00FA2FC4">
        <w:t>Walldius</w:t>
      </w:r>
      <w:proofErr w:type="spellEnd"/>
      <w:r w:rsidRPr="00FA2FC4">
        <w:t xml:space="preserve">, G.; Van </w:t>
      </w:r>
      <w:proofErr w:type="spellStart"/>
      <w:r w:rsidRPr="00FA2FC4">
        <w:t>Hemelrijck</w:t>
      </w:r>
      <w:proofErr w:type="spellEnd"/>
      <w:r w:rsidRPr="00FA2FC4">
        <w:t xml:space="preserve">, M. Association between Serum Calcium Concentration and Risk of Incident </w:t>
      </w:r>
      <w:r w:rsidRPr="00FA2FC4">
        <w:lastRenderedPageBreak/>
        <w:t xml:space="preserve">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xml:space="preserve">, 85–93, </w:t>
      </w:r>
      <w:proofErr w:type="gramStart"/>
      <w:r w:rsidRPr="00FA2FC4">
        <w:t>doi:10.1016/j.atherosclerosis</w:t>
      </w:r>
      <w:proofErr w:type="gramEnd"/>
      <w:r w:rsidRPr="00FA2FC4">
        <w:t>.2016.06.004.</w:t>
      </w:r>
    </w:p>
    <w:p w14:paraId="658D68BE" w14:textId="77777777" w:rsidR="00FA2FC4" w:rsidRPr="00FA2FC4" w:rsidRDefault="00FA2FC4" w:rsidP="00FA2FC4">
      <w:pPr>
        <w:pStyle w:val="Bibliography"/>
      </w:pPr>
      <w:r w:rsidRPr="00FA2FC4">
        <w:t xml:space="preserve">26. </w:t>
      </w:r>
      <w:r w:rsidRPr="00FA2FC4">
        <w:tab/>
        <w:t xml:space="preserve">Green, M.A.; </w:t>
      </w:r>
      <w:proofErr w:type="spellStart"/>
      <w:r w:rsidRPr="00FA2FC4">
        <w:t>Jucha</w:t>
      </w:r>
      <w:proofErr w:type="spellEnd"/>
      <w:r w:rsidRPr="00FA2FC4">
        <w:t xml:space="preserve">,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w:t>
      </w:r>
      <w:proofErr w:type="spellStart"/>
      <w:r w:rsidRPr="00FA2FC4">
        <w:t>ije</w:t>
      </w:r>
      <w:proofErr w:type="spellEnd"/>
      <w:r w:rsidRPr="00FA2FC4">
        <w:t>/16.4.532.</w:t>
      </w:r>
    </w:p>
    <w:p w14:paraId="7CF82A5F" w14:textId="77777777" w:rsidR="00FA2FC4" w:rsidRPr="00FA2FC4" w:rsidRDefault="00FA2FC4" w:rsidP="00FA2FC4">
      <w:pPr>
        <w:pStyle w:val="Bibliography"/>
      </w:pPr>
      <w:r w:rsidRPr="00FA2FC4">
        <w:t xml:space="preserve">27. </w:t>
      </w:r>
      <w:r w:rsidRPr="00FA2FC4">
        <w:tab/>
        <w:t xml:space="preserve">He, L.; Qian, Y.; Ren, X.; </w:t>
      </w:r>
      <w:proofErr w:type="spellStart"/>
      <w:r w:rsidRPr="00FA2FC4">
        <w:t>Jin</w:t>
      </w:r>
      <w:proofErr w:type="spellEnd"/>
      <w:r w:rsidRPr="00FA2FC4">
        <w:t xml:space="preserve">, Y.; Chang, W.; Li, J.; Chen, Y.; Song, X.; Tang, H.; Ding, L.; et al. Total Serum Calcium Level May Have Adverse Effects on Serum Cholesterol and Triglycerides Among Female University Faculty and Staffs. </w:t>
      </w:r>
      <w:proofErr w:type="spellStart"/>
      <w:r w:rsidRPr="00FA2FC4">
        <w:rPr>
          <w:i/>
          <w:iCs/>
        </w:rPr>
        <w:t>Biol</w:t>
      </w:r>
      <w:proofErr w:type="spellEnd"/>
      <w:r w:rsidRPr="00FA2FC4">
        <w:rPr>
          <w:i/>
          <w:iCs/>
        </w:rPr>
        <w:t xml:space="preserve">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w:t>
      </w:r>
      <w:proofErr w:type="spellStart"/>
      <w:r w:rsidRPr="00FA2FC4">
        <w:t>Skarfors</w:t>
      </w:r>
      <w:proofErr w:type="spellEnd"/>
      <w:r w:rsidRPr="00FA2FC4">
        <w:t xml:space="preserve">, E.; Berglund, L.; </w:t>
      </w:r>
      <w:proofErr w:type="spellStart"/>
      <w:r w:rsidRPr="00FA2FC4">
        <w:t>Lithell</w:t>
      </w:r>
      <w:proofErr w:type="spellEnd"/>
      <w:r w:rsidRPr="00FA2FC4">
        <w:t xml:space="preserve">, H.; </w:t>
      </w:r>
      <w:proofErr w:type="spellStart"/>
      <w:r w:rsidRPr="00FA2FC4">
        <w:t>Ljunghall</w:t>
      </w:r>
      <w:proofErr w:type="spellEnd"/>
      <w:r w:rsidRPr="00FA2FC4">
        <w:t xml:space="preserve">,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w:t>
      </w:r>
      <w:proofErr w:type="spellStart"/>
      <w:r w:rsidRPr="00FA2FC4">
        <w:t>Bolland</w:t>
      </w:r>
      <w:proofErr w:type="spellEnd"/>
      <w:r w:rsidRPr="00FA2FC4">
        <w:t xml:space="preserve">,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w:t>
      </w:r>
      <w:proofErr w:type="spellStart"/>
      <w:r w:rsidRPr="00FA2FC4">
        <w:t>Ishani</w:t>
      </w:r>
      <w:proofErr w:type="spellEnd"/>
      <w:r w:rsidRPr="00FA2FC4">
        <w:t xml:space="preserve">, A.; </w:t>
      </w:r>
      <w:proofErr w:type="spellStart"/>
      <w:r w:rsidRPr="00FA2FC4">
        <w:t>Kalra</w:t>
      </w:r>
      <w:proofErr w:type="spellEnd"/>
      <w:r w:rsidRPr="00FA2FC4">
        <w:t xml:space="preserve">,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xml:space="preserve">, 556–563, </w:t>
      </w:r>
      <w:proofErr w:type="gramStart"/>
      <w:r w:rsidRPr="00FA2FC4">
        <w:t>doi:10.1016/j.ahj</w:t>
      </w:r>
      <w:proofErr w:type="gramEnd"/>
      <w:r w:rsidRPr="00FA2FC4">
        <w:t>.2008.05.016.</w:t>
      </w:r>
    </w:p>
    <w:p w14:paraId="4625B765" w14:textId="77777777" w:rsidR="00FA2FC4" w:rsidRPr="00FA2FC4" w:rsidRDefault="00FA2FC4" w:rsidP="00FA2FC4">
      <w:pPr>
        <w:pStyle w:val="Bibliography"/>
      </w:pPr>
      <w:r w:rsidRPr="00FA2FC4">
        <w:t xml:space="preserve">31. </w:t>
      </w:r>
      <w:r w:rsidRPr="00FA2FC4">
        <w:tab/>
      </w:r>
      <w:proofErr w:type="spellStart"/>
      <w:r w:rsidRPr="00FA2FC4">
        <w:t>Slinin</w:t>
      </w:r>
      <w:proofErr w:type="spellEnd"/>
      <w:r w:rsidRPr="00FA2FC4">
        <w:t xml:space="preserve">, Y.; Blackwell, T.; </w:t>
      </w:r>
      <w:proofErr w:type="spellStart"/>
      <w:r w:rsidRPr="00FA2FC4">
        <w:t>Ishani</w:t>
      </w:r>
      <w:proofErr w:type="spellEnd"/>
      <w:r w:rsidRPr="00FA2FC4">
        <w:t xml:space="preserve">, A.; Cummings, S.R.; </w:t>
      </w:r>
      <w:proofErr w:type="spellStart"/>
      <w:r w:rsidRPr="00FA2FC4">
        <w:t>Ensrud</w:t>
      </w:r>
      <w:proofErr w:type="spellEnd"/>
      <w:r w:rsidRPr="00FA2FC4">
        <w:t xml:space="preserve">, K.E.; MORE Investigators Serum Calcium, Phosphorus and Cardiovascular Events in Post-Menopausal Women. </w:t>
      </w:r>
      <w:proofErr w:type="spellStart"/>
      <w:r w:rsidRPr="00FA2FC4">
        <w:rPr>
          <w:i/>
          <w:iCs/>
        </w:rPr>
        <w:t>Int</w:t>
      </w:r>
      <w:proofErr w:type="spellEnd"/>
      <w:r w:rsidRPr="00FA2FC4">
        <w:rPr>
          <w:i/>
          <w:iCs/>
        </w:rPr>
        <w:t xml:space="preserve"> J </w:t>
      </w:r>
      <w:proofErr w:type="spellStart"/>
      <w:r w:rsidRPr="00FA2FC4">
        <w:rPr>
          <w:i/>
          <w:iCs/>
        </w:rPr>
        <w:t>Cardiol</w:t>
      </w:r>
      <w:proofErr w:type="spellEnd"/>
      <w:r w:rsidRPr="00FA2FC4">
        <w:t xml:space="preserve"> </w:t>
      </w:r>
      <w:r w:rsidRPr="00FA2FC4">
        <w:rPr>
          <w:b/>
          <w:bCs/>
        </w:rPr>
        <w:t>2011</w:t>
      </w:r>
      <w:r w:rsidRPr="00FA2FC4">
        <w:t xml:space="preserve">, </w:t>
      </w:r>
      <w:r w:rsidRPr="00FA2FC4">
        <w:rPr>
          <w:i/>
          <w:iCs/>
        </w:rPr>
        <w:t>149</w:t>
      </w:r>
      <w:r w:rsidRPr="00FA2FC4">
        <w:t xml:space="preserve">, 335–340, </w:t>
      </w:r>
      <w:proofErr w:type="gramStart"/>
      <w:r w:rsidRPr="00FA2FC4">
        <w:t>doi:10.1016/j.ijcard</w:t>
      </w:r>
      <w:proofErr w:type="gramEnd"/>
      <w:r w:rsidRPr="00FA2FC4">
        <w:t>.2010.02.013.</w:t>
      </w:r>
    </w:p>
    <w:p w14:paraId="2FF98971" w14:textId="77777777" w:rsidR="00FA2FC4" w:rsidRPr="00FA2FC4" w:rsidRDefault="00FA2FC4" w:rsidP="00FA2FC4">
      <w:pPr>
        <w:pStyle w:val="Bibliography"/>
      </w:pPr>
      <w:r w:rsidRPr="00FA2FC4">
        <w:t xml:space="preserve">32. </w:t>
      </w:r>
      <w:r w:rsidRPr="00FA2FC4">
        <w:tab/>
      </w:r>
      <w:proofErr w:type="spellStart"/>
      <w:r w:rsidRPr="00FA2FC4">
        <w:t>Jorde</w:t>
      </w:r>
      <w:proofErr w:type="spellEnd"/>
      <w:r w:rsidRPr="00FA2FC4">
        <w:t xml:space="preserve">, R.; Schirmer, H.; </w:t>
      </w:r>
      <w:proofErr w:type="spellStart"/>
      <w:r w:rsidRPr="00FA2FC4">
        <w:t>Njølstad</w:t>
      </w:r>
      <w:proofErr w:type="spellEnd"/>
      <w:r w:rsidRPr="00FA2FC4">
        <w:t xml:space="preserve">, I.; </w:t>
      </w:r>
      <w:proofErr w:type="spellStart"/>
      <w:r w:rsidRPr="00FA2FC4">
        <w:t>Løchen</w:t>
      </w:r>
      <w:proofErr w:type="spellEnd"/>
      <w:r w:rsidRPr="00FA2FC4">
        <w:t xml:space="preserve">, M.-L.; </w:t>
      </w:r>
      <w:proofErr w:type="spellStart"/>
      <w:r w:rsidRPr="00FA2FC4">
        <w:t>Bøgeberg</w:t>
      </w:r>
      <w:proofErr w:type="spellEnd"/>
      <w:r w:rsidRPr="00FA2FC4">
        <w:t xml:space="preserve"> </w:t>
      </w:r>
      <w:proofErr w:type="spellStart"/>
      <w:r w:rsidRPr="00FA2FC4">
        <w:t>Mathiesen</w:t>
      </w:r>
      <w:proofErr w:type="spellEnd"/>
      <w:r w:rsidRPr="00FA2FC4">
        <w:t xml:space="preserve">, E.; </w:t>
      </w:r>
      <w:proofErr w:type="spellStart"/>
      <w:r w:rsidRPr="00FA2FC4">
        <w:t>Kamycheva</w:t>
      </w:r>
      <w:proofErr w:type="spellEnd"/>
      <w:r w:rsidRPr="00FA2FC4">
        <w:t xml:space="preserve">, E.; </w:t>
      </w:r>
      <w:proofErr w:type="spellStart"/>
      <w:r w:rsidRPr="00FA2FC4">
        <w:t>Figenschau</w:t>
      </w:r>
      <w:proofErr w:type="spellEnd"/>
      <w:r w:rsidRPr="00FA2FC4">
        <w:t xml:space="preserve">, Y.; </w:t>
      </w:r>
      <w:proofErr w:type="spellStart"/>
      <w:r w:rsidRPr="00FA2FC4">
        <w:t>Grimnes</w:t>
      </w:r>
      <w:proofErr w:type="spellEnd"/>
      <w:r w:rsidRPr="00FA2FC4">
        <w:t xml:space="preserve">, G. Serum Calcium and the Calcium-Sensing Receptor Polymorphism Rs17251221 in Relation to Coronary Heart Disease, Type 2 Diabetes, Cancer and Mortality: The </w:t>
      </w:r>
      <w:proofErr w:type="spellStart"/>
      <w:r w:rsidRPr="00FA2FC4">
        <w:t>Tromsø</w:t>
      </w:r>
      <w:proofErr w:type="spellEnd"/>
      <w:r w:rsidRPr="00FA2FC4">
        <w:t xml:space="preserve"> Study. </w:t>
      </w:r>
      <w:proofErr w:type="spellStart"/>
      <w:r w:rsidRPr="00FA2FC4">
        <w:rPr>
          <w:i/>
          <w:iCs/>
        </w:rPr>
        <w:t>Eur</w:t>
      </w:r>
      <w:proofErr w:type="spellEnd"/>
      <w:r w:rsidRPr="00FA2FC4">
        <w:rPr>
          <w:i/>
          <w:iCs/>
        </w:rPr>
        <w:t xml:space="preserve">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w:t>
      </w:r>
      <w:proofErr w:type="spellStart"/>
      <w:r w:rsidRPr="00FA2FC4">
        <w:t>Divitini</w:t>
      </w:r>
      <w:proofErr w:type="spellEnd"/>
      <w:r w:rsidRPr="00FA2FC4">
        <w:t xml:space="preserve">, M.L.; </w:t>
      </w:r>
      <w:proofErr w:type="spellStart"/>
      <w:r w:rsidRPr="00FA2FC4">
        <w:t>Knuiman</w:t>
      </w:r>
      <w:proofErr w:type="spellEnd"/>
      <w:r w:rsidRPr="00FA2FC4">
        <w:t xml:space="preserve">, M.W. Plasma Calcium as a Predictor of Cardiovascular Disease in a Community-Based Cohort. </w:t>
      </w:r>
      <w:proofErr w:type="spellStart"/>
      <w:r w:rsidRPr="00FA2FC4">
        <w:rPr>
          <w:i/>
          <w:iCs/>
        </w:rPr>
        <w:t>Clin</w:t>
      </w:r>
      <w:proofErr w:type="spellEnd"/>
      <w:r w:rsidRPr="00FA2FC4">
        <w:rPr>
          <w:i/>
          <w:iCs/>
        </w:rPr>
        <w:t xml:space="preserve"> Endocrinol (</w:t>
      </w:r>
      <w:proofErr w:type="spellStart"/>
      <w:r w:rsidRPr="00FA2FC4">
        <w:rPr>
          <w:i/>
          <w:iCs/>
        </w:rPr>
        <w:t>Oxf</w:t>
      </w:r>
      <w:proofErr w:type="spellEnd"/>
      <w:r w:rsidRPr="00FA2FC4">
        <w:rPr>
          <w:i/>
          <w:iCs/>
        </w:rPr>
        <w:t>)</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t xml:space="preserve">34. </w:t>
      </w:r>
      <w:r w:rsidRPr="00FA2FC4">
        <w:tab/>
        <w:t xml:space="preserve">Wang, M.; Yan, S.; Peng, Y.; Shi, Y.; </w:t>
      </w:r>
      <w:proofErr w:type="spellStart"/>
      <w:r w:rsidRPr="00FA2FC4">
        <w:t>Tsauo</w:t>
      </w:r>
      <w:proofErr w:type="spellEnd"/>
      <w:r w:rsidRPr="00FA2FC4">
        <w:t xml:space="preserve">,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w:t>
      </w:r>
      <w:proofErr w:type="spellStart"/>
      <w:r w:rsidRPr="00FA2FC4">
        <w:t>Barale</w:t>
      </w:r>
      <w:proofErr w:type="spellEnd"/>
      <w:r w:rsidRPr="00FA2FC4">
        <w:t xml:space="preserve">, M.; </w:t>
      </w:r>
      <w:proofErr w:type="spellStart"/>
      <w:r w:rsidRPr="00FA2FC4">
        <w:t>Bertaina</w:t>
      </w:r>
      <w:proofErr w:type="spellEnd"/>
      <w:r w:rsidRPr="00FA2FC4">
        <w:t xml:space="preserve">, S.; </w:t>
      </w:r>
      <w:proofErr w:type="spellStart"/>
      <w:r w:rsidRPr="00FA2FC4">
        <w:t>Sigrist</w:t>
      </w:r>
      <w:proofErr w:type="spellEnd"/>
      <w:r w:rsidRPr="00FA2FC4">
        <w:t xml:space="preserve">, S.; </w:t>
      </w:r>
      <w:proofErr w:type="spellStart"/>
      <w:r w:rsidRPr="00FA2FC4">
        <w:t>Mazzetti</w:t>
      </w:r>
      <w:proofErr w:type="spellEnd"/>
      <w:r w:rsidRPr="00FA2FC4">
        <w:t xml:space="preserve">, R.; </w:t>
      </w:r>
      <w:proofErr w:type="spellStart"/>
      <w:r w:rsidRPr="00FA2FC4">
        <w:t>Loiacono</w:t>
      </w:r>
      <w:proofErr w:type="spellEnd"/>
      <w:r w:rsidRPr="00FA2FC4">
        <w:t xml:space="preserve">, M.; </w:t>
      </w:r>
      <w:proofErr w:type="spellStart"/>
      <w:r w:rsidRPr="00FA2FC4">
        <w:t>Mengozzi</w:t>
      </w:r>
      <w:proofErr w:type="spellEnd"/>
      <w:r w:rsidRPr="00FA2FC4">
        <w:t xml:space="preserve">, G.; </w:t>
      </w:r>
      <w:proofErr w:type="spellStart"/>
      <w:r w:rsidRPr="00FA2FC4">
        <w:t>Ghigo</w:t>
      </w:r>
      <w:proofErr w:type="spellEnd"/>
      <w:r w:rsidRPr="00FA2FC4">
        <w:t xml:space="preserve">, E.; </w:t>
      </w:r>
      <w:proofErr w:type="spellStart"/>
      <w:r w:rsidRPr="00FA2FC4">
        <w:t>Maccario</w:t>
      </w:r>
      <w:proofErr w:type="spellEnd"/>
      <w:r w:rsidRPr="00FA2FC4">
        <w:t xml:space="preserve">,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FA2FC4">
        <w:rPr>
          <w:i/>
          <w:iCs/>
        </w:rPr>
        <w:t>Int</w:t>
      </w:r>
      <w:proofErr w:type="spellEnd"/>
      <w:r w:rsidRPr="00FA2FC4">
        <w:rPr>
          <w:i/>
          <w:iCs/>
        </w:rPr>
        <w:t xml:space="preserve">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r>
      <w:proofErr w:type="spellStart"/>
      <w:r w:rsidRPr="00FA2FC4">
        <w:t>Luboshitzky</w:t>
      </w:r>
      <w:proofErr w:type="spellEnd"/>
      <w:r w:rsidRPr="00FA2FC4">
        <w:t xml:space="preserve">, R.; </w:t>
      </w:r>
      <w:proofErr w:type="spellStart"/>
      <w:r w:rsidRPr="00FA2FC4">
        <w:t>Chertok-Schaham</w:t>
      </w:r>
      <w:proofErr w:type="spellEnd"/>
      <w:r w:rsidRPr="00FA2FC4">
        <w:t xml:space="preserve">, Y.; </w:t>
      </w:r>
      <w:proofErr w:type="spellStart"/>
      <w:r w:rsidRPr="00FA2FC4">
        <w:t>Lavi</w:t>
      </w:r>
      <w:proofErr w:type="spellEnd"/>
      <w:r w:rsidRPr="00FA2FC4">
        <w:t xml:space="preserve">, I.; </w:t>
      </w:r>
      <w:proofErr w:type="spellStart"/>
      <w:r w:rsidRPr="00FA2FC4">
        <w:t>Ishay</w:t>
      </w:r>
      <w:proofErr w:type="spellEnd"/>
      <w:r w:rsidRPr="00FA2FC4">
        <w:t xml:space="preserve">,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lastRenderedPageBreak/>
        <w:t xml:space="preserve">38. </w:t>
      </w:r>
      <w:r w:rsidRPr="00FA2FC4">
        <w:tab/>
        <w:t xml:space="preserve">Ring, M.; </w:t>
      </w:r>
      <w:proofErr w:type="spellStart"/>
      <w:r w:rsidRPr="00FA2FC4">
        <w:t>Farahnak</w:t>
      </w:r>
      <w:proofErr w:type="spellEnd"/>
      <w:r w:rsidRPr="00FA2FC4">
        <w:t xml:space="preserve">, P.; </w:t>
      </w:r>
      <w:proofErr w:type="spellStart"/>
      <w:r w:rsidRPr="00FA2FC4">
        <w:t>Gustavsson</w:t>
      </w:r>
      <w:proofErr w:type="spellEnd"/>
      <w:r w:rsidRPr="00FA2FC4">
        <w:t xml:space="preserve">, T.; Nilsson, I.-L.; Eriksson, M.J.; </w:t>
      </w:r>
      <w:proofErr w:type="spellStart"/>
      <w:r w:rsidRPr="00FA2FC4">
        <w:t>Caidahl</w:t>
      </w:r>
      <w:proofErr w:type="spellEnd"/>
      <w:r w:rsidRPr="00FA2FC4">
        <w:t xml:space="preserve">, K. Arterial Structure and Function in Mild Primary Hyperparathyroidism Is Not Directly Related to Parathyroid Hormone, Calcium, or Vitamin D. </w:t>
      </w:r>
      <w:proofErr w:type="spellStart"/>
      <w:r w:rsidRPr="00FA2FC4">
        <w:rPr>
          <w:i/>
          <w:iCs/>
        </w:rPr>
        <w:t>PLoS</w:t>
      </w:r>
      <w:proofErr w:type="spellEnd"/>
      <w:r w:rsidRPr="00FA2FC4">
        <w:rPr>
          <w:i/>
          <w:iCs/>
        </w:rPr>
        <w:t xml:space="preserve"> One</w:t>
      </w:r>
      <w:r w:rsidRPr="00FA2FC4">
        <w:t xml:space="preserve"> </w:t>
      </w:r>
      <w:r w:rsidRPr="00FA2FC4">
        <w:rPr>
          <w:b/>
          <w:bCs/>
        </w:rPr>
        <w:t>2012</w:t>
      </w:r>
      <w:r w:rsidRPr="00FA2FC4">
        <w:t xml:space="preserve">, </w:t>
      </w:r>
      <w:r w:rsidRPr="00FA2FC4">
        <w:rPr>
          <w:i/>
          <w:iCs/>
        </w:rPr>
        <w:t>7</w:t>
      </w:r>
      <w:r w:rsidRPr="00FA2FC4">
        <w:t xml:space="preserve">, e39519, </w:t>
      </w:r>
      <w:proofErr w:type="gramStart"/>
      <w:r w:rsidRPr="00FA2FC4">
        <w:t>doi:10.1371/journal.pone</w:t>
      </w:r>
      <w:proofErr w:type="gramEnd"/>
      <w:r w:rsidRPr="00FA2FC4">
        <w:t>.0039519.</w:t>
      </w:r>
    </w:p>
    <w:p w14:paraId="6838B462" w14:textId="77777777" w:rsidR="00FA2FC4" w:rsidRPr="00FA2FC4" w:rsidRDefault="00FA2FC4" w:rsidP="00FA2FC4">
      <w:pPr>
        <w:pStyle w:val="Bibliography"/>
      </w:pPr>
      <w:r w:rsidRPr="00FA2FC4">
        <w:t xml:space="preserve">39. </w:t>
      </w:r>
      <w:r w:rsidRPr="00FA2FC4">
        <w:tab/>
      </w:r>
      <w:proofErr w:type="spellStart"/>
      <w:r w:rsidRPr="00FA2FC4">
        <w:t>Farahnak</w:t>
      </w:r>
      <w:proofErr w:type="spellEnd"/>
      <w:r w:rsidRPr="00FA2FC4">
        <w:t xml:space="preserve">, P.; </w:t>
      </w:r>
      <w:proofErr w:type="spellStart"/>
      <w:r w:rsidRPr="00FA2FC4">
        <w:t>Lärfars</w:t>
      </w:r>
      <w:proofErr w:type="spellEnd"/>
      <w:r w:rsidRPr="00FA2FC4">
        <w:t xml:space="preserve">, G.; </w:t>
      </w:r>
      <w:proofErr w:type="spellStart"/>
      <w:r w:rsidRPr="00FA2FC4">
        <w:t>Sten</w:t>
      </w:r>
      <w:proofErr w:type="spellEnd"/>
      <w:r w:rsidRPr="00FA2FC4">
        <w:t xml:space="preserve">-Linder, M.; Nilsson, I.-L. Mild Primary Hyperparathyroidism: Vitamin D Deficiency and Cardiovascular Risk Markers. </w:t>
      </w:r>
      <w:r w:rsidRPr="00FA2FC4">
        <w:rPr>
          <w:i/>
          <w:iCs/>
        </w:rPr>
        <w:t xml:space="preserve">J </w:t>
      </w:r>
      <w:proofErr w:type="spellStart"/>
      <w:r w:rsidRPr="00FA2FC4">
        <w:rPr>
          <w:i/>
          <w:iCs/>
        </w:rPr>
        <w:t>Clin</w:t>
      </w:r>
      <w:proofErr w:type="spellEnd"/>
      <w:r w:rsidRPr="00FA2FC4">
        <w:rPr>
          <w:i/>
          <w:iCs/>
        </w:rPr>
        <w:t xml:space="preserve"> Endocrinol </w:t>
      </w:r>
      <w:proofErr w:type="spellStart"/>
      <w:r w:rsidRPr="00FA2FC4">
        <w:rPr>
          <w:i/>
          <w:iCs/>
        </w:rPr>
        <w:t>Metab</w:t>
      </w:r>
      <w:proofErr w:type="spellEnd"/>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r>
      <w:proofErr w:type="spellStart"/>
      <w:r w:rsidRPr="00FA2FC4">
        <w:t>Christensson</w:t>
      </w:r>
      <w:proofErr w:type="spellEnd"/>
      <w:r w:rsidRPr="00FA2FC4">
        <w:t xml:space="preserve">, T.; </w:t>
      </w:r>
      <w:proofErr w:type="spellStart"/>
      <w:r w:rsidRPr="00FA2FC4">
        <w:t>Einarsson</w:t>
      </w:r>
      <w:proofErr w:type="spellEnd"/>
      <w:r w:rsidRPr="00FA2FC4">
        <w:t xml:space="preserve">, K. Serum Lipids before and after Parathyroidectomy in Patients with Primary Hyperparathyroidism. </w:t>
      </w:r>
      <w:proofErr w:type="spellStart"/>
      <w:r w:rsidRPr="00FA2FC4">
        <w:rPr>
          <w:i/>
          <w:iCs/>
        </w:rPr>
        <w:t>Clinica</w:t>
      </w:r>
      <w:proofErr w:type="spellEnd"/>
      <w:r w:rsidRPr="00FA2FC4">
        <w:rPr>
          <w:i/>
          <w:iCs/>
        </w:rPr>
        <w:t xml:space="preserve"> </w:t>
      </w:r>
      <w:proofErr w:type="spellStart"/>
      <w:r w:rsidRPr="00FA2FC4">
        <w:rPr>
          <w:i/>
          <w:iCs/>
        </w:rPr>
        <w:t>Chimica</w:t>
      </w:r>
      <w:proofErr w:type="spellEnd"/>
      <w:r w:rsidRPr="00FA2FC4">
        <w:rPr>
          <w:i/>
          <w:iCs/>
        </w:rPr>
        <w:t xml:space="preserve">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r>
      <w:proofErr w:type="spellStart"/>
      <w:r w:rsidRPr="00FA2FC4">
        <w:t>Ejlsmark-Svensson</w:t>
      </w:r>
      <w:proofErr w:type="spellEnd"/>
      <w:r w:rsidRPr="00FA2FC4">
        <w:t xml:space="preserve">, H.; </w:t>
      </w:r>
      <w:proofErr w:type="spellStart"/>
      <w:r w:rsidRPr="00FA2FC4">
        <w:t>Rolighed</w:t>
      </w:r>
      <w:proofErr w:type="spellEnd"/>
      <w:r w:rsidRPr="00FA2FC4">
        <w:t xml:space="preserve">, L.; </w:t>
      </w:r>
      <w:proofErr w:type="spellStart"/>
      <w:r w:rsidRPr="00FA2FC4">
        <w:t>Rejnmark</w:t>
      </w:r>
      <w:proofErr w:type="spellEnd"/>
      <w:r w:rsidRPr="00FA2FC4">
        <w:t xml:space="preserve">,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r>
      <w:proofErr w:type="spellStart"/>
      <w:r w:rsidRPr="00FA2FC4">
        <w:t>Hagström</w:t>
      </w:r>
      <w:proofErr w:type="spellEnd"/>
      <w:r w:rsidRPr="00FA2FC4">
        <w:t xml:space="preserve">, E.; Lundgren, E.; </w:t>
      </w:r>
      <w:proofErr w:type="spellStart"/>
      <w:r w:rsidRPr="00FA2FC4">
        <w:t>Rastad</w:t>
      </w:r>
      <w:proofErr w:type="spellEnd"/>
      <w:r w:rsidRPr="00FA2FC4">
        <w:t xml:space="preserve">, J.; Hellman, P. Metabolic Abnormalities in Patients with </w:t>
      </w:r>
      <w:proofErr w:type="spellStart"/>
      <w:r w:rsidRPr="00FA2FC4">
        <w:t>Normocalcemic</w:t>
      </w:r>
      <w:proofErr w:type="spellEnd"/>
      <w:r w:rsidRPr="00FA2FC4">
        <w:t xml:space="preserve">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r>
      <w:proofErr w:type="spellStart"/>
      <w:r w:rsidRPr="00FA2FC4">
        <w:t>Kaji</w:t>
      </w:r>
      <w:proofErr w:type="spellEnd"/>
      <w:r w:rsidRPr="00FA2FC4">
        <w:t xml:space="preserve">, H.; </w:t>
      </w:r>
      <w:proofErr w:type="spellStart"/>
      <w:r w:rsidRPr="00FA2FC4">
        <w:t>Hisa</w:t>
      </w:r>
      <w:proofErr w:type="spellEnd"/>
      <w:r w:rsidRPr="00FA2FC4">
        <w:t xml:space="preserve">, I.; Inoue, Y.; Sugimoto, T. Low Density Lipoprotein-Cholesterol Levels Affect Vertebral Fracture Risk in Female Patients with Primary Hyperparathyroidism. </w:t>
      </w:r>
      <w:proofErr w:type="spellStart"/>
      <w:r w:rsidRPr="00FA2FC4">
        <w:rPr>
          <w:i/>
          <w:iCs/>
        </w:rPr>
        <w:t>Exp</w:t>
      </w:r>
      <w:proofErr w:type="spellEnd"/>
      <w:r w:rsidRPr="00FA2FC4">
        <w:rPr>
          <w:i/>
          <w:iCs/>
        </w:rPr>
        <w:t xml:space="preserve"> </w:t>
      </w:r>
      <w:proofErr w:type="spellStart"/>
      <w:r w:rsidRPr="00FA2FC4">
        <w:rPr>
          <w:i/>
          <w:iCs/>
        </w:rPr>
        <w:t>Clin</w:t>
      </w:r>
      <w:proofErr w:type="spellEnd"/>
      <w:r w:rsidRPr="00FA2FC4">
        <w:rPr>
          <w:i/>
          <w:iCs/>
        </w:rPr>
        <w:t xml:space="preserve">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w:t>
      </w:r>
      <w:proofErr w:type="spellStart"/>
      <w:r w:rsidRPr="00FA2FC4">
        <w:t>Bodenstein</w:t>
      </w:r>
      <w:proofErr w:type="spellEnd"/>
      <w:r w:rsidRPr="00FA2FC4">
        <w:t xml:space="preserve">, K.; Yu, O.H.Y.; </w:t>
      </w:r>
      <w:proofErr w:type="spellStart"/>
      <w:r w:rsidRPr="00FA2FC4">
        <w:t>Linnaranta</w:t>
      </w:r>
      <w:proofErr w:type="spellEnd"/>
      <w:r w:rsidRPr="00FA2FC4">
        <w:t xml:space="preserve">, O.; Renaud, S.; </w:t>
      </w:r>
      <w:proofErr w:type="spellStart"/>
      <w:r w:rsidRPr="00FA2FC4">
        <w:t>Mahdanian</w:t>
      </w:r>
      <w:proofErr w:type="spellEnd"/>
      <w:r w:rsidRPr="00FA2FC4">
        <w:t xml:space="preserve">, A.; Su, C.-L.; </w:t>
      </w:r>
      <w:proofErr w:type="spellStart"/>
      <w:r w:rsidRPr="00FA2FC4">
        <w:t>Mucsi</w:t>
      </w:r>
      <w:proofErr w:type="spellEnd"/>
      <w:r w:rsidRPr="00FA2FC4">
        <w:t xml:space="preserve">, I.; </w:t>
      </w:r>
      <w:proofErr w:type="spellStart"/>
      <w:r w:rsidRPr="00FA2FC4">
        <w:t>Mulsant</w:t>
      </w:r>
      <w:proofErr w:type="spellEnd"/>
      <w:r w:rsidRPr="00FA2FC4">
        <w:t xml:space="preserve">, B.; Herrmann, N.; et al. Atorvastatin Lowers Serum Calcium Levels in Lithium-Users: Results from a Randomized Controlled Trial. </w:t>
      </w:r>
      <w:r w:rsidRPr="00FA2FC4">
        <w:rPr>
          <w:i/>
          <w:iCs/>
        </w:rPr>
        <w:t xml:space="preserve">BMC </w:t>
      </w:r>
      <w:proofErr w:type="spellStart"/>
      <w:r w:rsidRPr="00FA2FC4">
        <w:rPr>
          <w:i/>
          <w:iCs/>
        </w:rPr>
        <w:t>Endocr</w:t>
      </w:r>
      <w:proofErr w:type="spellEnd"/>
      <w:r w:rsidRPr="00FA2FC4">
        <w:rPr>
          <w:i/>
          <w:iCs/>
        </w:rPr>
        <w:t xml:space="preserve"> </w:t>
      </w:r>
      <w:proofErr w:type="spellStart"/>
      <w:r w:rsidRPr="00FA2FC4">
        <w:rPr>
          <w:i/>
          <w:iCs/>
        </w:rPr>
        <w:t>Disord</w:t>
      </w:r>
      <w:proofErr w:type="spellEnd"/>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w:t>
      </w:r>
      <w:proofErr w:type="spellStart"/>
      <w:r w:rsidRPr="00FA2FC4">
        <w:t>Khazaal</w:t>
      </w:r>
      <w:proofErr w:type="spellEnd"/>
      <w:r w:rsidRPr="00FA2FC4">
        <w:t xml:space="preserve">, F.A.; Mahmoud, I.J.; Haji, G.F.; </w:t>
      </w:r>
      <w:proofErr w:type="spellStart"/>
      <w:r w:rsidRPr="00FA2FC4">
        <w:t>Alrubaie</w:t>
      </w:r>
      <w:proofErr w:type="spellEnd"/>
      <w:r w:rsidRPr="00FA2FC4">
        <w:t xml:space="preserve">, A.; </w:t>
      </w:r>
      <w:proofErr w:type="spellStart"/>
      <w:r w:rsidRPr="00FA2FC4">
        <w:t>Abdulraheem</w:t>
      </w:r>
      <w:proofErr w:type="spellEnd"/>
      <w:r w:rsidRPr="00FA2FC4">
        <w:t xml:space="preserve">, Y.; * A.M.A.; </w:t>
      </w:r>
      <w:proofErr w:type="spellStart"/>
      <w:r w:rsidRPr="00FA2FC4">
        <w:t>Alkuraishi</w:t>
      </w:r>
      <w:proofErr w:type="spellEnd"/>
      <w:r w:rsidRPr="00FA2FC4">
        <w:t xml:space="preserve">,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r>
      <w:proofErr w:type="spellStart"/>
      <w:r w:rsidRPr="00FA2FC4">
        <w:t>Montagnani</w:t>
      </w:r>
      <w:proofErr w:type="spellEnd"/>
      <w:r w:rsidRPr="00FA2FC4">
        <w:t xml:space="preserve">, A.; </w:t>
      </w:r>
      <w:proofErr w:type="spellStart"/>
      <w:r w:rsidRPr="00FA2FC4">
        <w:t>Gonnelli</w:t>
      </w:r>
      <w:proofErr w:type="spellEnd"/>
      <w:r w:rsidRPr="00FA2FC4">
        <w:t xml:space="preserve">, S.; </w:t>
      </w:r>
      <w:proofErr w:type="spellStart"/>
      <w:r w:rsidRPr="00FA2FC4">
        <w:t>Cepollaro</w:t>
      </w:r>
      <w:proofErr w:type="spellEnd"/>
      <w:r w:rsidRPr="00FA2FC4">
        <w:t xml:space="preserve">, C.; </w:t>
      </w:r>
      <w:proofErr w:type="spellStart"/>
      <w:r w:rsidRPr="00FA2FC4">
        <w:t>Pacini</w:t>
      </w:r>
      <w:proofErr w:type="spellEnd"/>
      <w:r w:rsidRPr="00FA2FC4">
        <w:t xml:space="preserve">, S.; Campagna, M.S.; </w:t>
      </w:r>
      <w:proofErr w:type="spellStart"/>
      <w:r w:rsidRPr="00FA2FC4">
        <w:t>Franci</w:t>
      </w:r>
      <w:proofErr w:type="spellEnd"/>
      <w:r w:rsidRPr="00FA2FC4">
        <w:t xml:space="preserve">, M.B.; </w:t>
      </w:r>
      <w:proofErr w:type="spellStart"/>
      <w:r w:rsidRPr="00FA2FC4">
        <w:t>Lucani</w:t>
      </w:r>
      <w:proofErr w:type="spellEnd"/>
      <w:r w:rsidRPr="00FA2FC4">
        <w:t xml:space="preserve">, B.; </w:t>
      </w:r>
      <w:proofErr w:type="spellStart"/>
      <w:r w:rsidRPr="00FA2FC4">
        <w:t>Gennari</w:t>
      </w:r>
      <w:proofErr w:type="spellEnd"/>
      <w:r w:rsidRPr="00FA2FC4">
        <w:t xml:space="preserve">,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76FC8527"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2"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3"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FA65581"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FA65581" w16cid:durableId="273742BF"/>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A008F"/>
    <w:rsid w:val="000B2E8A"/>
    <w:rsid w:val="000C06E4"/>
    <w:rsid w:val="000C4958"/>
    <w:rsid w:val="00107DAE"/>
    <w:rsid w:val="001340B0"/>
    <w:rsid w:val="00143D60"/>
    <w:rsid w:val="001651F4"/>
    <w:rsid w:val="0017038D"/>
    <w:rsid w:val="00181330"/>
    <w:rsid w:val="00193752"/>
    <w:rsid w:val="00194B8A"/>
    <w:rsid w:val="001C5E79"/>
    <w:rsid w:val="001D0F83"/>
    <w:rsid w:val="001D218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2E64"/>
    <w:rsid w:val="008210DC"/>
    <w:rsid w:val="00864E8B"/>
    <w:rsid w:val="008A3818"/>
    <w:rsid w:val="008B0A52"/>
    <w:rsid w:val="008C11CC"/>
    <w:rsid w:val="008C79AA"/>
    <w:rsid w:val="008D5B9F"/>
    <w:rsid w:val="009516D5"/>
    <w:rsid w:val="009A1515"/>
    <w:rsid w:val="009B2FF9"/>
    <w:rsid w:val="009C47AD"/>
    <w:rsid w:val="009D2910"/>
    <w:rsid w:val="00A015D7"/>
    <w:rsid w:val="00A07221"/>
    <w:rsid w:val="00A35CFB"/>
    <w:rsid w:val="00A45CB6"/>
    <w:rsid w:val="00A53691"/>
    <w:rsid w:val="00A8356A"/>
    <w:rsid w:val="00AA4501"/>
    <w:rsid w:val="00AB6E43"/>
    <w:rsid w:val="00AD22DF"/>
    <w:rsid w:val="00AD2F62"/>
    <w:rsid w:val="00AF24F7"/>
    <w:rsid w:val="00B063F8"/>
    <w:rsid w:val="00B24424"/>
    <w:rsid w:val="00B26227"/>
    <w:rsid w:val="00B5781A"/>
    <w:rsid w:val="00B66305"/>
    <w:rsid w:val="00BC2D63"/>
    <w:rsid w:val="00BF3BE7"/>
    <w:rsid w:val="00C13CA6"/>
    <w:rsid w:val="00C21E70"/>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6EE1"/>
    <w:rsid w:val="00E60FD3"/>
    <w:rsid w:val="00E86175"/>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21969</Words>
  <Characters>125224</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94</cp:revision>
  <dcterms:created xsi:type="dcterms:W3CDTF">2022-11-27T15:44:00Z</dcterms:created>
  <dcterms:modified xsi:type="dcterms:W3CDTF">2022-12-06T00:14:00Z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