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10EC3DCB" w:rsidR="006A2913" w:rsidRPr="008C6B55" w:rsidRDefault="006A2913" w:rsidP="008C6B55">
      <w:pPr>
        <w:pStyle w:val="Heading1"/>
        <w:rPr>
          <w:color w:val="000000" w:themeColor="text1"/>
        </w:rPr>
      </w:pPr>
      <w:r w:rsidRPr="008C6B55">
        <w:rPr>
          <w:color w:val="000000" w:themeColor="text1"/>
        </w:rPr>
        <w:t>Point-by-Point Response</w:t>
      </w:r>
      <w:r w:rsidR="00ED5930">
        <w:rPr>
          <w:color w:val="000000" w:themeColor="text1"/>
        </w:rPr>
        <w:t xml:space="preserve"> to Reviewer #1</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2980E173"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w:t>
      </w:r>
      <w:r w:rsidR="00F764A3">
        <w:rPr>
          <w:rFonts w:eastAsia="Times New Roman" w:cstheme="minorHAnsi"/>
          <w:b/>
          <w:color w:val="222222"/>
        </w:rPr>
        <w:t>249-250</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1FDFD988">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5055B47F" w:rsidR="00ED5930" w:rsidRDefault="00ED5930">
                            <w:pPr>
                              <w:rPr>
                                <w:b/>
                              </w:rPr>
                            </w:pPr>
                          </w:p>
                          <w:p w14:paraId="0143A58C" w14:textId="4850B85B" w:rsidR="00ED5930" w:rsidRDefault="00F764A3">
                            <w:pPr>
                              <w:rPr>
                                <w:b/>
                              </w:rPr>
                            </w:pPr>
                            <w:r>
                              <w:rPr>
                                <w:b/>
                                <w:noProof/>
                              </w:rPr>
                              <w:drawing>
                                <wp:inline distT="0" distB="0" distL="0" distR="0" wp14:anchorId="5BBD612F" wp14:editId="51D35297">
                                  <wp:extent cx="2995295" cy="21393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5055B47F" w:rsidR="00ED5930" w:rsidRDefault="00ED5930">
                      <w:pPr>
                        <w:rPr>
                          <w:b/>
                        </w:rPr>
                      </w:pPr>
                    </w:p>
                    <w:p w14:paraId="0143A58C" w14:textId="4850B85B" w:rsidR="00ED5930" w:rsidRDefault="00F764A3">
                      <w:pPr>
                        <w:rPr>
                          <w:b/>
                        </w:rPr>
                      </w:pPr>
                      <w:r>
                        <w:rPr>
                          <w:b/>
                          <w:noProof/>
                        </w:rPr>
                        <w:drawing>
                          <wp:inline distT="0" distB="0" distL="0" distR="0" wp14:anchorId="5BBD612F" wp14:editId="51D35297">
                            <wp:extent cx="2995295" cy="21393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lipoprotein-plots-1.pdf"/>
                                    <pic:cNvPicPr/>
                                  </pic:nvPicPr>
                                  <pic:blipFill>
                                    <a:blip r:embed="rId5">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6218FA9A"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292456">
        <w:rPr>
          <w:rFonts w:eastAsia="Times New Roman" w:cstheme="minorHAnsi"/>
          <w:b/>
          <w:color w:val="222222"/>
        </w:rPr>
        <w:t>151-156</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7B8E21B1"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w:t>
      </w:r>
      <w:r w:rsidR="00F53F67">
        <w:rPr>
          <w:rFonts w:eastAsia="Times New Roman" w:cstheme="minorHAnsi"/>
          <w:b/>
          <w:color w:val="222222"/>
        </w:rPr>
        <w:t xml:space="preserve">After adjusting for multiple comparisons, out of 80 parameters, we report 35 significant correlations with cholesterol and 28 significant associations after adjusting for sex and diet.  22 parameters, including calcium, were significant in both analyses, including several reported in more detail in the revised manuscript (HDL-C and non-HDL-C at both time points, cholesterol at 8 weeks, and triglycerides at 19 weeks).  </w:t>
      </w:r>
      <w:r w:rsidR="00245663" w:rsidRPr="008C6B55">
        <w:rPr>
          <w:rFonts w:eastAsia="Times New Roman" w:cstheme="minorHAnsi"/>
          <w:b/>
          <w:color w:val="222222"/>
        </w:rPr>
        <w:t xml:space="preserve">This </w:t>
      </w:r>
      <w:r w:rsidR="00043199">
        <w:rPr>
          <w:rFonts w:eastAsia="Times New Roman" w:cstheme="minorHAnsi"/>
          <w:b/>
          <w:color w:val="222222"/>
        </w:rPr>
        <w:t xml:space="preserve">table </w:t>
      </w:r>
      <w:r w:rsidR="00245663" w:rsidRPr="008C6B55">
        <w:rPr>
          <w:rFonts w:eastAsia="Times New Roman" w:cstheme="minorHAnsi"/>
          <w:b/>
          <w:color w:val="222222"/>
        </w:rPr>
        <w:t xml:space="preserve">is now described in the manuscript </w:t>
      </w:r>
      <w:r w:rsidR="00433298" w:rsidRPr="008C6B55">
        <w:rPr>
          <w:rFonts w:eastAsia="Times New Roman" w:cstheme="minorHAnsi"/>
          <w:b/>
          <w:color w:val="222222"/>
        </w:rPr>
        <w:t xml:space="preserve">on lines </w:t>
      </w:r>
      <w:r w:rsidR="005A68E9">
        <w:rPr>
          <w:rFonts w:eastAsia="Times New Roman" w:cstheme="minorHAnsi"/>
          <w:b/>
          <w:color w:val="222222"/>
        </w:rPr>
        <w:t>156-158</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2A66A9ED" w:rsidR="00433298" w:rsidRPr="008C6B55" w:rsidRDefault="00433298" w:rsidP="00433298">
      <w:pPr>
        <w:ind w:left="720"/>
        <w:rPr>
          <w:rFonts w:eastAsia="Times New Roman" w:cstheme="minorHAnsi"/>
          <w:b/>
          <w:color w:val="222222"/>
        </w:rPr>
      </w:pPr>
      <w:r w:rsidRPr="008C6B55">
        <w:rPr>
          <w:rFonts w:cstheme="minorHAnsi"/>
          <w:b/>
          <w:color w:val="FF0000"/>
        </w:rPr>
        <w:t xml:space="preserve">The relationships between all clinical parameters and endpoint cholesterol both in terms of non-parametric correlations and diet/sex adjusted associations are presented in </w:t>
      </w:r>
      <w:r w:rsidR="00043199">
        <w:rPr>
          <w:rFonts w:cstheme="minorHAnsi"/>
          <w:b/>
          <w:color w:val="FF0000"/>
        </w:rPr>
        <w:t xml:space="preserve">the </w:t>
      </w:r>
      <w:r w:rsidRPr="008C6B55">
        <w:rPr>
          <w:rFonts w:cstheme="minorHAnsi"/>
          <w:b/>
          <w:color w:val="FF0000"/>
        </w:rPr>
        <w:t>Supplementary Table.</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6">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7">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 xml:space="preserve">serum calcium,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207E7B4E"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w:t>
      </w:r>
      <w:r w:rsidR="007902E6">
        <w:rPr>
          <w:rFonts w:eastAsia="Times New Roman" w:cstheme="minorHAnsi"/>
          <w:b/>
          <w:color w:val="222222"/>
        </w:rPr>
        <w:t>94</w:t>
      </w:r>
      <w:r w:rsidR="00892729">
        <w:rPr>
          <w:rFonts w:eastAsia="Times New Roman" w:cstheme="minorHAnsi"/>
          <w:b/>
          <w:color w:val="222222"/>
        </w:rPr>
        <w:t>-</w:t>
      </w:r>
      <w:r w:rsidR="007902E6">
        <w:rPr>
          <w:rFonts w:eastAsia="Times New Roman" w:cstheme="minorHAnsi"/>
          <w:b/>
          <w:color w:val="222222"/>
        </w:rPr>
        <w:t>202</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325CFA3E"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61B43810" w14:textId="579C5893" w:rsidR="00A0057A" w:rsidRDefault="00ED5930" w:rsidP="00ED5930">
      <w:pPr>
        <w:rPr>
          <w:rFonts w:eastAsia="Times New Roman" w:cstheme="minorHAnsi"/>
          <w:color w:val="222222"/>
          <w:shd w:val="clear" w:color="auto" w:fill="FFFFFF"/>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3360" behindDoc="1" locked="0" layoutInCell="1" allowOverlap="1" wp14:anchorId="1229967B" wp14:editId="64FB72F1">
                <wp:simplePos x="0" y="0"/>
                <wp:positionH relativeFrom="column">
                  <wp:posOffset>2111375</wp:posOffset>
                </wp:positionH>
                <wp:positionV relativeFrom="paragraph">
                  <wp:posOffset>480721</wp:posOffset>
                </wp:positionV>
                <wp:extent cx="3705860" cy="2851150"/>
                <wp:effectExtent l="0" t="0" r="2540" b="6350"/>
                <wp:wrapTight wrapText="bothSides">
                  <wp:wrapPolygon edited="0">
                    <wp:start x="0" y="0"/>
                    <wp:lineTo x="0" y="21552"/>
                    <wp:lineTo x="21541" y="21552"/>
                    <wp:lineTo x="2154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5860" cy="2851150"/>
                        </a:xfrm>
                        <a:prstGeom prst="rect">
                          <a:avLst/>
                        </a:prstGeom>
                        <a:solidFill>
                          <a:schemeClr val="lt1"/>
                        </a:solidFill>
                        <a:ln w="6350">
                          <a:noFill/>
                        </a:ln>
                      </wps:spPr>
                      <wps:txb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9967B" id="_x0000_t202" coordsize="21600,21600" o:spt="202" path="m,l,21600r21600,l21600,xe">
                <v:stroke joinstyle="miter"/>
                <v:path gradientshapeok="t" o:connecttype="rect"/>
              </v:shapetype>
              <v:shape id="Text Box 6" o:spid="_x0000_s1028" type="#_x0000_t202" style="position:absolute;margin-left:166.25pt;margin-top:37.85pt;width:291.8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" fillcolor="white [3201]" stroked="f" strokeweight=".5pt">
                <v:textbo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v:textbox>
                <w10:wrap type="tight"/>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Additional analysis.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 xml:space="preserve">-How do the authors explain the weaker association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and plasma TG in figure 2, panel A, male mice on HFHS diet compared to normal diet?</w:t>
      </w:r>
    </w:p>
    <w:p w14:paraId="42F24486" w14:textId="5B57EFEE" w:rsidR="00A0057A" w:rsidRDefault="00A0057A" w:rsidP="00ED5930">
      <w:pPr>
        <w:rPr>
          <w:rFonts w:eastAsia="Times New Roman" w:cstheme="minorHAnsi"/>
          <w:color w:val="222222"/>
        </w:rPr>
      </w:pPr>
    </w:p>
    <w:p w14:paraId="1718A3C9" w14:textId="3BAE19A3" w:rsidR="006A0643" w:rsidRDefault="00A0057A" w:rsidP="00ED5930">
      <w:pPr>
        <w:rPr>
          <w:rFonts w:eastAsia="Times New Roman" w:cstheme="minorHAnsi"/>
          <w:b/>
          <w:color w:val="222222"/>
        </w:rPr>
      </w:pPr>
      <w:r w:rsidRPr="00A0057A">
        <w:rPr>
          <w:rFonts w:eastAsia="Times New Roman" w:cstheme="minorHAnsi"/>
          <w:b/>
          <w:color w:val="222222"/>
        </w:rPr>
        <w:t xml:space="preserve">This is something we had not noticed in our initial analysis of these data, so thank the </w:t>
      </w:r>
      <w:r w:rsidR="00D11A2A">
        <w:rPr>
          <w:rFonts w:eastAsia="Times New Roman" w:cstheme="minorHAnsi"/>
          <w:b/>
          <w:color w:val="222222"/>
        </w:rPr>
        <w:t>reviewer for pointing this out.  Indeed</w:t>
      </w:r>
      <w:r w:rsidR="00551935">
        <w:rPr>
          <w:rFonts w:eastAsia="Times New Roman" w:cstheme="minorHAnsi"/>
          <w:b/>
          <w:color w:val="222222"/>
        </w:rPr>
        <w:t>,</w:t>
      </w:r>
      <w:r w:rsidR="00D11A2A">
        <w:rPr>
          <w:rFonts w:eastAsia="Times New Roman" w:cstheme="minorHAnsi"/>
          <w:b/>
          <w:color w:val="222222"/>
        </w:rPr>
        <w:t xml:space="preserve"> a visual analysis of the relationships between circulating cholesterol and triglycerides in Figure 2A shows a positive trend for each group, but a noticeably attenuated relationship in the male mice on NCD.  We have performed sub-group </w:t>
      </w:r>
      <w:r w:rsidR="006A0643">
        <w:rPr>
          <w:rFonts w:eastAsia="Times New Roman" w:cstheme="minorHAnsi"/>
          <w:b/>
          <w:color w:val="222222"/>
        </w:rPr>
        <w:t xml:space="preserve">sensitivity </w:t>
      </w:r>
      <w:r w:rsidR="00D11A2A">
        <w:rPr>
          <w:rFonts w:eastAsia="Times New Roman" w:cstheme="minorHAnsi"/>
          <w:b/>
          <w:color w:val="222222"/>
        </w:rPr>
        <w:t>analyses in Response Table 1 describing these effects in more detail.  Indeed</w:t>
      </w:r>
      <w:r w:rsidR="006A0643">
        <w:rPr>
          <w:rFonts w:eastAsia="Times New Roman" w:cstheme="minorHAnsi"/>
          <w:b/>
          <w:color w:val="222222"/>
        </w:rPr>
        <w:t>,</w:t>
      </w:r>
      <w:r w:rsidR="00D11A2A">
        <w:rPr>
          <w:rFonts w:eastAsia="Times New Roman" w:cstheme="minorHAnsi"/>
          <w:b/>
          <w:color w:val="222222"/>
        </w:rPr>
        <w:t xml:space="preserve"> the</w:t>
      </w:r>
      <w:r w:rsidR="006A0643">
        <w:rPr>
          <w:rFonts w:eastAsia="Times New Roman" w:cstheme="minorHAnsi"/>
          <w:b/>
          <w:color w:val="222222"/>
        </w:rPr>
        <w:t xml:space="preserve"> correlation between</w:t>
      </w:r>
      <w:r w:rsidR="00D11A2A">
        <w:rPr>
          <w:rFonts w:eastAsia="Times New Roman" w:cstheme="minorHAnsi"/>
          <w:b/>
          <w:color w:val="222222"/>
        </w:rPr>
        <w:t xml:space="preserve"> </w:t>
      </w:r>
      <w:r w:rsidR="00D11A2A">
        <w:rPr>
          <w:rFonts w:eastAsia="Times New Roman" w:cstheme="minorHAnsi"/>
          <w:b/>
          <w:color w:val="222222"/>
        </w:rPr>
        <w:lastRenderedPageBreak/>
        <w:t>serum triglyceride</w:t>
      </w:r>
      <w:r w:rsidR="006A0643">
        <w:rPr>
          <w:rFonts w:eastAsia="Times New Roman" w:cstheme="minorHAnsi"/>
          <w:b/>
          <w:color w:val="222222"/>
        </w:rPr>
        <w:t>s and</w:t>
      </w:r>
      <w:r w:rsidR="00D11A2A">
        <w:rPr>
          <w:rFonts w:eastAsia="Times New Roman" w:cstheme="minorHAnsi"/>
          <w:b/>
          <w:color w:val="222222"/>
        </w:rPr>
        <w:t xml:space="preserve"> </w:t>
      </w:r>
      <w:r w:rsidR="006A0643">
        <w:rPr>
          <w:rFonts w:eastAsia="Times New Roman" w:cstheme="minorHAnsi"/>
          <w:b/>
          <w:color w:val="222222"/>
        </w:rPr>
        <w:t xml:space="preserve">cholesterol </w:t>
      </w:r>
      <w:r w:rsidR="00D11A2A">
        <w:rPr>
          <w:rFonts w:eastAsia="Times New Roman" w:cstheme="minorHAnsi"/>
          <w:b/>
          <w:color w:val="222222"/>
        </w:rPr>
        <w:t>is attenuated in HFHS mice</w:t>
      </w:r>
      <w:r w:rsidR="00794551">
        <w:rPr>
          <w:rFonts w:eastAsia="Times New Roman" w:cstheme="minorHAnsi"/>
          <w:b/>
          <w:color w:val="222222"/>
        </w:rPr>
        <w:t xml:space="preserve"> of both sexes</w:t>
      </w:r>
      <w:r w:rsidR="006A0643">
        <w:rPr>
          <w:rFonts w:eastAsia="Times New Roman" w:cstheme="minorHAnsi"/>
          <w:b/>
          <w:color w:val="222222"/>
        </w:rPr>
        <w:t>, and that the slope of the cholesterol/triglycerides estimate is much lower in the HFHS/Male group</w:t>
      </w:r>
      <w:r w:rsidR="00794551">
        <w:rPr>
          <w:rFonts w:eastAsia="Times New Roman" w:cstheme="minorHAnsi"/>
          <w:b/>
          <w:color w:val="222222"/>
        </w:rPr>
        <w:t>.</w:t>
      </w:r>
      <w:r w:rsidR="006A0643">
        <w:rPr>
          <w:rFonts w:eastAsia="Times New Roman" w:cstheme="minorHAnsi"/>
          <w:b/>
          <w:color w:val="222222"/>
        </w:rPr>
        <w:t xml:space="preserve">  </w:t>
      </w:r>
    </w:p>
    <w:p w14:paraId="476BDD92" w14:textId="729B9B7E" w:rsidR="006A0643" w:rsidRDefault="00ED5930" w:rsidP="00ED5930">
      <w:pPr>
        <w:rPr>
          <w:rFonts w:eastAsia="Times New Roman" w:cstheme="minorHAnsi"/>
          <w:b/>
          <w:color w:val="222222"/>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5408" behindDoc="1" locked="0" layoutInCell="1" allowOverlap="1" wp14:anchorId="79072881" wp14:editId="0A96A6DA">
                <wp:simplePos x="0" y="0"/>
                <wp:positionH relativeFrom="column">
                  <wp:posOffset>-80645</wp:posOffset>
                </wp:positionH>
                <wp:positionV relativeFrom="paragraph">
                  <wp:posOffset>334645</wp:posOffset>
                </wp:positionV>
                <wp:extent cx="5735955" cy="2973705"/>
                <wp:effectExtent l="0" t="0" r="4445" b="0"/>
                <wp:wrapTight wrapText="bothSides">
                  <wp:wrapPolygon edited="0">
                    <wp:start x="0" y="0"/>
                    <wp:lineTo x="0" y="21494"/>
                    <wp:lineTo x="21569" y="21494"/>
                    <wp:lineTo x="2156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5955" cy="2973705"/>
                        </a:xfrm>
                        <a:prstGeom prst="rect">
                          <a:avLst/>
                        </a:prstGeom>
                        <a:solidFill>
                          <a:schemeClr val="lt1"/>
                        </a:solidFill>
                        <a:ln w="6350">
                          <a:noFill/>
                        </a:ln>
                      </wps:spPr>
                      <wps:txb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72881" id="Text Box 8" o:spid="_x0000_s1029" type="#_x0000_t202" style="position:absolute;margin-left:-6.35pt;margin-top:26.35pt;width:451.65pt;height:23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" fillcolor="white [3201]" stroked="f" strokeweight=".5pt">
                <v:textbo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v:textbox>
                <w10:wrap type="tight"/>
              </v:shape>
            </w:pict>
          </mc:Fallback>
        </mc:AlternateContent>
      </w:r>
    </w:p>
    <w:p w14:paraId="3400CAF3" w14:textId="1D981184" w:rsidR="00D11A2A" w:rsidRPr="008C6B55" w:rsidRDefault="006A0643" w:rsidP="00ED5930">
      <w:pPr>
        <w:rPr>
          <w:rFonts w:eastAsia="Times New Roman" w:cstheme="minorHAnsi"/>
          <w:color w:val="222222"/>
        </w:rPr>
      </w:pPr>
      <w:r>
        <w:rPr>
          <w:rFonts w:eastAsia="Times New Roman" w:cstheme="minorHAnsi"/>
          <w:b/>
          <w:color w:val="222222"/>
        </w:rPr>
        <w:t xml:space="preserve">We explored this further via multivariate modeling </w:t>
      </w:r>
      <w:r w:rsidR="0049284E">
        <w:rPr>
          <w:rFonts w:eastAsia="Times New Roman" w:cstheme="minorHAnsi"/>
          <w:b/>
          <w:color w:val="222222"/>
        </w:rPr>
        <w:t>testing</w:t>
      </w:r>
      <w:r>
        <w:rPr>
          <w:rFonts w:eastAsia="Times New Roman" w:cstheme="minorHAnsi"/>
          <w:b/>
          <w:color w:val="222222"/>
        </w:rPr>
        <w:t xml:space="preserve"> if diet and/or sex significantly modified these relationships.  Indeed</w:t>
      </w:r>
      <w:r w:rsidR="00F60BDD">
        <w:rPr>
          <w:rFonts w:eastAsia="Times New Roman" w:cstheme="minorHAnsi"/>
          <w:b/>
          <w:color w:val="222222"/>
        </w:rPr>
        <w:t>,</w:t>
      </w:r>
      <w:r>
        <w:rPr>
          <w:rFonts w:eastAsia="Times New Roman" w:cstheme="minorHAnsi"/>
          <w:b/>
          <w:color w:val="222222"/>
        </w:rPr>
        <w:t xml:space="preserve"> a linear model containing terms for a three-way</w:t>
      </w:r>
      <w:r w:rsidR="00F60BDD">
        <w:rPr>
          <w:rFonts w:eastAsia="Times New Roman" w:cstheme="minorHAnsi"/>
          <w:b/>
          <w:color w:val="222222"/>
        </w:rPr>
        <w:t>-</w:t>
      </w:r>
      <w:r>
        <w:rPr>
          <w:rFonts w:eastAsia="Times New Roman" w:cstheme="minorHAnsi"/>
          <w:b/>
          <w:color w:val="222222"/>
        </w:rPr>
        <w:t>interactions for triglycerides, diet and sex does support an attenuation of the triglyceride-cholesterol relationship in male mice on a high fat, high sucrose diet.   The full model is reported in Response Table 2</w:t>
      </w:r>
      <w:r w:rsidR="00F60BDD">
        <w:rPr>
          <w:rFonts w:eastAsia="Times New Roman" w:cstheme="minorHAnsi"/>
          <w:b/>
          <w:color w:val="222222"/>
        </w:rPr>
        <w:t xml:space="preserve">.  This was an overlooked moderation by both sex and diet that we now report in the revised manuscript on lines </w:t>
      </w:r>
      <w:r w:rsidR="00ED5930">
        <w:rPr>
          <w:rFonts w:eastAsia="Times New Roman" w:cstheme="minorHAnsi"/>
          <w:b/>
          <w:color w:val="222222"/>
        </w:rPr>
        <w:t>13</w:t>
      </w:r>
      <w:r w:rsidR="00551935">
        <w:rPr>
          <w:rFonts w:eastAsia="Times New Roman" w:cstheme="minorHAnsi"/>
          <w:b/>
          <w:color w:val="222222"/>
        </w:rPr>
        <w:t>3</w:t>
      </w:r>
      <w:r w:rsidR="00ED5930">
        <w:rPr>
          <w:rFonts w:eastAsia="Times New Roman" w:cstheme="minorHAnsi"/>
          <w:b/>
          <w:color w:val="222222"/>
        </w:rPr>
        <w:t>-13</w:t>
      </w:r>
      <w:r w:rsidR="00551935">
        <w:rPr>
          <w:rFonts w:eastAsia="Times New Roman" w:cstheme="minorHAnsi"/>
          <w:b/>
          <w:color w:val="222222"/>
        </w:rPr>
        <w:t>7</w:t>
      </w:r>
      <w:r w:rsidR="00F60BDD">
        <w:rPr>
          <w:rFonts w:eastAsia="Times New Roman" w:cstheme="minorHAnsi"/>
          <w:b/>
          <w:color w:val="222222"/>
        </w:rPr>
        <w:t>:</w:t>
      </w:r>
    </w:p>
    <w:p w14:paraId="02B5CF6C" w14:textId="77777777" w:rsidR="00ED5930" w:rsidRDefault="00ED5930" w:rsidP="00ED5930">
      <w:pPr>
        <w:rPr>
          <w:rFonts w:eastAsia="Times New Roman" w:cstheme="minorHAnsi"/>
          <w:color w:val="222222"/>
        </w:rPr>
      </w:pPr>
    </w:p>
    <w:p w14:paraId="1AA414C7" w14:textId="77777777" w:rsidR="00ED5930" w:rsidRDefault="00ED5930" w:rsidP="00ED5930">
      <w:pPr>
        <w:ind w:left="720"/>
        <w:rPr>
          <w:rFonts w:eastAsia="Times New Roman" w:cstheme="minorHAnsi"/>
          <w:color w:val="222222"/>
        </w:rPr>
      </w:pPr>
      <w:r w:rsidRPr="00ED5930">
        <w:rPr>
          <w:b/>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Pr="00ED5930">
        <w:rPr>
          <w:rFonts w:ascii="Symbol" w:eastAsia="Times New Roman" w:hAnsi="Symbol" w:cstheme="minorHAnsi"/>
          <w:b/>
          <w:color w:val="FF0000"/>
        </w:rPr>
        <w:t></w:t>
      </w:r>
      <w:r w:rsidRPr="00ED5930">
        <w:rPr>
          <w:rFonts w:ascii="Symbol" w:eastAsia="Times New Roman" w:hAnsi="Symbol" w:cstheme="minorHAnsi"/>
          <w:b/>
          <w:color w:val="FF0000"/>
          <w:vertAlign w:val="superscript"/>
        </w:rPr>
        <w:t></w:t>
      </w:r>
      <w:r w:rsidRPr="00ED5930">
        <w:rPr>
          <w:rFonts w:eastAsia="Times New Roman" w:cstheme="minorHAnsi"/>
          <w:b/>
          <w:color w:val="FF0000"/>
          <w:vertAlign w:val="subscript"/>
        </w:rPr>
        <w:t>p</w:t>
      </w:r>
      <w:r w:rsidRPr="00ED5930">
        <w:rPr>
          <w:b/>
          <w:color w:val="FF0000"/>
        </w:rPr>
        <w:t xml:space="preserve"> = 0.014).</w:t>
      </w:r>
      <w:r w:rsidR="00072AB6" w:rsidRPr="008C6B55">
        <w:rPr>
          <w:rFonts w:eastAsia="Times New Roman" w:cstheme="minorHAnsi"/>
          <w:color w:val="222222"/>
        </w:rPr>
        <w:br/>
      </w:r>
    </w:p>
    <w:p w14:paraId="2167FD64" w14:textId="77777777" w:rsidR="00ED5930" w:rsidRDefault="00072AB6" w:rsidP="00ED5930">
      <w:pPr>
        <w:pStyle w:val="Heading1"/>
        <w:rPr>
          <w:color w:val="000000" w:themeColor="text1"/>
        </w:rPr>
      </w:pPr>
      <w:r w:rsidRPr="008C6B55">
        <w:rPr>
          <w:rFonts w:eastAsia="Times New Roman" w:cstheme="minorHAnsi"/>
          <w:color w:val="222222"/>
        </w:rPr>
        <w:br/>
      </w:r>
    </w:p>
    <w:p w14:paraId="57463E9B" w14:textId="77777777" w:rsidR="00ED5930" w:rsidRDefault="00ED5930">
      <w:pPr>
        <w:rPr>
          <w:rFonts w:asciiTheme="majorHAnsi" w:eastAsiaTheme="majorEastAsia" w:hAnsiTheme="majorHAnsi" w:cstheme="majorBidi"/>
          <w:color w:val="000000" w:themeColor="text1"/>
          <w:sz w:val="32"/>
          <w:szCs w:val="32"/>
        </w:rPr>
      </w:pPr>
      <w:r>
        <w:rPr>
          <w:color w:val="000000" w:themeColor="text1"/>
        </w:rPr>
        <w:br w:type="page"/>
      </w:r>
    </w:p>
    <w:p w14:paraId="669BEBE6" w14:textId="2D70B115" w:rsidR="00ED5930" w:rsidRPr="008C6B55" w:rsidRDefault="00ED5930" w:rsidP="00ED5930">
      <w:pPr>
        <w:pStyle w:val="Heading1"/>
        <w:rPr>
          <w:color w:val="000000" w:themeColor="text1"/>
        </w:rPr>
      </w:pPr>
      <w:r w:rsidRPr="008C6B55">
        <w:rPr>
          <w:color w:val="000000" w:themeColor="text1"/>
        </w:rPr>
        <w:lastRenderedPageBreak/>
        <w:t>Point-by-Point Response</w:t>
      </w:r>
      <w:r>
        <w:rPr>
          <w:color w:val="000000" w:themeColor="text1"/>
        </w:rPr>
        <w:t xml:space="preserve"> to Reviewer #2</w:t>
      </w:r>
    </w:p>
    <w:p w14:paraId="617AC329" w14:textId="77777777" w:rsidR="00823DBC" w:rsidRDefault="00072AB6" w:rsidP="00ED5930">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Comments to the Author</w:t>
      </w:r>
      <w:r w:rsidRPr="008C6B55">
        <w:rPr>
          <w:rFonts w:eastAsia="Times New Roman" w:cstheme="minorHAnsi"/>
          <w:color w:val="222222"/>
        </w:rPr>
        <w:br/>
      </w:r>
      <w:r w:rsidRPr="008C6B55">
        <w:rPr>
          <w:rFonts w:eastAsia="Times New Roman" w:cstheme="minorHAnsi"/>
          <w:color w:val="222222"/>
          <w:shd w:val="clear" w:color="auto" w:fill="FFFFFF"/>
        </w:rPr>
        <w:t>Comment:</w:t>
      </w:r>
      <w:r w:rsidRPr="008C6B55">
        <w:rPr>
          <w:rFonts w:eastAsia="Times New Roman" w:cstheme="minorHAnsi"/>
          <w:color w:val="222222"/>
        </w:rPr>
        <w:br/>
      </w:r>
      <w:r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Major concerns:</w:t>
      </w:r>
      <w:r w:rsidRPr="008C6B55">
        <w:rPr>
          <w:rFonts w:eastAsia="Times New Roman" w:cstheme="minorHAnsi"/>
          <w:color w:val="222222"/>
        </w:rPr>
        <w:br/>
      </w:r>
      <w:r w:rsidRPr="008C6B55">
        <w:rPr>
          <w:rFonts w:eastAsia="Times New Roman" w:cstheme="minorHAnsi"/>
          <w:color w:val="222222"/>
          <w:shd w:val="clear" w:color="auto" w:fill="FFFFFF"/>
        </w:rPr>
        <w:t>1.      How long was the HSFS diet fed to the mice?</w:t>
      </w:r>
    </w:p>
    <w:p w14:paraId="6D4B05E1" w14:textId="77777777" w:rsidR="00823DBC" w:rsidRDefault="00823DBC" w:rsidP="00ED5930">
      <w:pPr>
        <w:ind w:firstLine="1440"/>
        <w:rPr>
          <w:rFonts w:eastAsia="Times New Roman" w:cstheme="minorHAnsi"/>
          <w:color w:val="222222"/>
        </w:rPr>
      </w:pPr>
    </w:p>
    <w:p w14:paraId="5D43A149" w14:textId="265418FD" w:rsidR="00823DBC" w:rsidRPr="00823DBC" w:rsidRDefault="00823DBC" w:rsidP="00823DBC">
      <w:pPr>
        <w:rPr>
          <w:rFonts w:eastAsia="Times New Roman" w:cstheme="minorHAnsi"/>
          <w:b/>
          <w:color w:val="222222"/>
        </w:rPr>
      </w:pPr>
      <w:r w:rsidRPr="00823DBC">
        <w:rPr>
          <w:rFonts w:eastAsia="Times New Roman" w:cstheme="minorHAnsi"/>
          <w:b/>
          <w:color w:val="222222"/>
        </w:rPr>
        <w:t>Mice were fed the HFHS diet from week 3 to week 19, so a total of 16 weeks.  This is now noted in the methods section on lines 10</w:t>
      </w:r>
      <w:r w:rsidR="00F764A3">
        <w:rPr>
          <w:rFonts w:eastAsia="Times New Roman" w:cstheme="minorHAnsi"/>
          <w:b/>
          <w:color w:val="222222"/>
        </w:rPr>
        <w:t>0</w:t>
      </w:r>
      <w:r w:rsidRPr="00823DBC">
        <w:rPr>
          <w:rFonts w:eastAsia="Times New Roman" w:cstheme="minorHAnsi"/>
          <w:b/>
          <w:color w:val="222222"/>
        </w:rPr>
        <w:t>-10</w:t>
      </w:r>
      <w:r w:rsidR="00F764A3">
        <w:rPr>
          <w:rFonts w:eastAsia="Times New Roman" w:cstheme="minorHAnsi"/>
          <w:b/>
          <w:color w:val="222222"/>
        </w:rPr>
        <w:t>1</w:t>
      </w:r>
    </w:p>
    <w:p w14:paraId="17E59007" w14:textId="5CD31D34" w:rsidR="00823DBC" w:rsidRPr="00823DBC" w:rsidRDefault="00823DBC" w:rsidP="00823DBC">
      <w:pPr>
        <w:ind w:firstLine="1440"/>
        <w:rPr>
          <w:rFonts w:eastAsia="Times New Roman" w:cstheme="minorHAnsi"/>
          <w:b/>
          <w:color w:val="222222"/>
        </w:rPr>
      </w:pPr>
    </w:p>
    <w:p w14:paraId="2A144ABB" w14:textId="4AC3B2CA" w:rsidR="00823DBC" w:rsidRPr="00823DBC" w:rsidRDefault="00823DBC" w:rsidP="00823DBC">
      <w:pPr>
        <w:ind w:left="720"/>
        <w:rPr>
          <w:rFonts w:eastAsia="Times New Roman" w:cstheme="minorHAnsi"/>
          <w:b/>
          <w:color w:val="222222"/>
        </w:rPr>
      </w:pPr>
      <w:r w:rsidRPr="00823DBC">
        <w:rPr>
          <w:b/>
          <w:color w:val="FF0000"/>
        </w:rPr>
        <w:t xml:space="preserve">We first evaluated the cholesterol levels in the diversity outbred mice measured at 8 and 19 weeks (5 and 16 weeks of HFHS or NCD feeding).   </w:t>
      </w:r>
    </w:p>
    <w:p w14:paraId="439CEFFB" w14:textId="77777777" w:rsidR="00823DBC" w:rsidRDefault="00823DBC" w:rsidP="00823DBC">
      <w:pPr>
        <w:ind w:firstLine="1440"/>
        <w:rPr>
          <w:rFonts w:eastAsia="Times New Roman" w:cstheme="minorHAnsi"/>
          <w:color w:val="222222"/>
        </w:rPr>
      </w:pPr>
    </w:p>
    <w:p w14:paraId="5CFA1AE9" w14:textId="77777777" w:rsidR="00500378" w:rsidRDefault="00072AB6" w:rsidP="00823DBC">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 xml:space="preserve">2.      Are all of these mouse datasets from healthy mice fed NCD or HFHS? </w:t>
      </w:r>
    </w:p>
    <w:p w14:paraId="21AE5BDB" w14:textId="77777777" w:rsidR="00500378" w:rsidRDefault="00500378" w:rsidP="00823DBC">
      <w:pPr>
        <w:ind w:firstLine="1440"/>
        <w:rPr>
          <w:rFonts w:eastAsia="Times New Roman" w:cstheme="minorHAnsi"/>
          <w:color w:val="222222"/>
          <w:shd w:val="clear" w:color="auto" w:fill="FFFFFF"/>
        </w:rPr>
      </w:pPr>
    </w:p>
    <w:p w14:paraId="4CA94319" w14:textId="077E25C5" w:rsidR="00500378" w:rsidRDefault="00500378" w:rsidP="00500378">
      <w:pPr>
        <w:rPr>
          <w:rFonts w:eastAsia="Times New Roman" w:cstheme="minorHAnsi"/>
          <w:b/>
          <w:color w:val="222222"/>
          <w:shd w:val="clear" w:color="auto" w:fill="FFFFFF"/>
        </w:rPr>
      </w:pPr>
      <w:r w:rsidRPr="00500378">
        <w:rPr>
          <w:rFonts w:eastAsia="Times New Roman" w:cstheme="minorHAnsi"/>
          <w:b/>
          <w:color w:val="222222"/>
          <w:shd w:val="clear" w:color="auto" w:fill="FFFFFF"/>
        </w:rPr>
        <w:t>Yes</w:t>
      </w:r>
      <w:r w:rsidR="003478A0">
        <w:rPr>
          <w:rFonts w:eastAsia="Times New Roman" w:cstheme="minorHAnsi"/>
          <w:b/>
          <w:color w:val="222222"/>
          <w:shd w:val="clear" w:color="auto" w:fill="FFFFFF"/>
        </w:rPr>
        <w:t>,</w:t>
      </w:r>
      <w:r w:rsidR="006F7363">
        <w:rPr>
          <w:rFonts w:eastAsia="Times New Roman" w:cstheme="minorHAnsi"/>
          <w:b/>
          <w:color w:val="222222"/>
          <w:shd w:val="clear" w:color="auto" w:fill="FFFFFF"/>
        </w:rPr>
        <w:t xml:space="preserve"> they were only on one of those two diets </w:t>
      </w:r>
      <w:r w:rsidR="003478A0">
        <w:rPr>
          <w:rFonts w:eastAsia="Times New Roman" w:cstheme="minorHAnsi"/>
          <w:b/>
          <w:color w:val="222222"/>
          <w:shd w:val="clear" w:color="auto" w:fill="FFFFFF"/>
        </w:rPr>
        <w:t xml:space="preserve">after their </w:t>
      </w:r>
      <w:r w:rsidR="006F7363">
        <w:rPr>
          <w:rFonts w:eastAsia="Times New Roman" w:cstheme="minorHAnsi"/>
          <w:b/>
          <w:color w:val="222222"/>
          <w:shd w:val="clear" w:color="auto" w:fill="FFFFFF"/>
        </w:rPr>
        <w:t xml:space="preserve">weaning at three weeks.  </w:t>
      </w:r>
      <w:r w:rsidR="00DD69BB">
        <w:rPr>
          <w:rFonts w:eastAsia="Times New Roman" w:cstheme="minorHAnsi"/>
          <w:b/>
          <w:color w:val="222222"/>
          <w:shd w:val="clear" w:color="auto" w:fill="FFFFFF"/>
        </w:rPr>
        <w:t xml:space="preserve"> Now noted in the methods section on lines 60-64:</w:t>
      </w:r>
    </w:p>
    <w:p w14:paraId="3D5280C4" w14:textId="77777777" w:rsidR="00DD69BB" w:rsidRDefault="00DD69BB" w:rsidP="00500378">
      <w:pPr>
        <w:rPr>
          <w:rFonts w:eastAsia="Times New Roman" w:cstheme="minorHAnsi"/>
          <w:b/>
          <w:color w:val="222222"/>
          <w:shd w:val="clear" w:color="auto" w:fill="FFFFFF"/>
        </w:rPr>
      </w:pPr>
    </w:p>
    <w:p w14:paraId="15A17517" w14:textId="6E15AE06" w:rsidR="00DD69BB" w:rsidRPr="00DD69BB" w:rsidRDefault="00DD69BB" w:rsidP="00DD69BB">
      <w:pPr>
        <w:ind w:left="720"/>
        <w:rPr>
          <w:rFonts w:eastAsia="Times New Roman" w:cstheme="minorHAnsi"/>
          <w:b/>
          <w:color w:val="FF0000"/>
          <w:shd w:val="clear" w:color="auto" w:fill="FFFFFF"/>
        </w:rPr>
      </w:pPr>
      <w:r w:rsidRPr="00DD69BB">
        <w:rPr>
          <w:b/>
          <w:color w:val="FF0000"/>
        </w:rPr>
        <w:t>Animals were first received at wean age (3 weeks old) and then distributed into cages of five same-sex animals per cage. Animals were housed in pressurized, individually ventilated cages (</w:t>
      </w:r>
      <w:proofErr w:type="spellStart"/>
      <w:r w:rsidRPr="00DD69BB">
        <w:rPr>
          <w:b/>
          <w:color w:val="FF0000"/>
        </w:rPr>
        <w:t>Thoren</w:t>
      </w:r>
      <w:proofErr w:type="spellEnd"/>
      <w:r w:rsidRPr="00DD69BB">
        <w:rPr>
          <w:b/>
          <w:color w:val="FF0000"/>
        </w:rPr>
        <w:t xml:space="preserve"> Caging Systems, Hazelton, PA) with pine bedding (</w:t>
      </w:r>
      <w:proofErr w:type="spellStart"/>
      <w:r w:rsidRPr="00DD69BB">
        <w:rPr>
          <w:b/>
          <w:color w:val="FF0000"/>
        </w:rPr>
        <w:t>Crobb</w:t>
      </w:r>
      <w:proofErr w:type="spellEnd"/>
      <w:r w:rsidRPr="00DD69BB">
        <w:rPr>
          <w:b/>
          <w:color w:val="FF0000"/>
        </w:rPr>
        <w:t xml:space="preserve"> Box, Ellsworth, ME) and had ad libitum access to food. At time of weaning mice were placed on a high fat high sucrose diet (HFHS; Harlan TD.08811), or kept on a normal chow diet (NCD; </w:t>
      </w:r>
      <w:proofErr w:type="spellStart"/>
      <w:r w:rsidRPr="00DD69BB">
        <w:rPr>
          <w:b/>
          <w:color w:val="FF0000"/>
        </w:rPr>
        <w:t>LabDiet</w:t>
      </w:r>
      <w:proofErr w:type="spellEnd"/>
      <w:r w:rsidRPr="00DD69BB">
        <w:rPr>
          <w:b/>
          <w:color w:val="FF0000"/>
        </w:rPr>
        <w:t xml:space="preserve"> 5K52).</w:t>
      </w:r>
    </w:p>
    <w:p w14:paraId="10D68CCE" w14:textId="77777777" w:rsidR="00500378" w:rsidRDefault="00500378" w:rsidP="00500378">
      <w:pPr>
        <w:rPr>
          <w:rFonts w:eastAsia="Times New Roman" w:cstheme="minorHAnsi"/>
          <w:color w:val="222222"/>
          <w:shd w:val="clear" w:color="auto" w:fill="FFFFFF"/>
        </w:rPr>
      </w:pPr>
    </w:p>
    <w:p w14:paraId="01FE9509"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shd w:val="clear" w:color="auto" w:fill="FFFFFF"/>
        </w:rPr>
        <w:t>Are these phenotypes, including the relationship between cholesterol and calcium, for healthy cases and are different in disease conditions?</w:t>
      </w:r>
    </w:p>
    <w:p w14:paraId="3232699E" w14:textId="77777777" w:rsidR="00500378" w:rsidRDefault="00500378" w:rsidP="00500378">
      <w:pPr>
        <w:rPr>
          <w:rFonts w:eastAsia="Times New Roman" w:cstheme="minorHAnsi"/>
          <w:color w:val="222222"/>
        </w:rPr>
      </w:pPr>
    </w:p>
    <w:p w14:paraId="5A565F27" w14:textId="170B9D8C" w:rsidR="00500378" w:rsidRPr="00500378" w:rsidRDefault="00500378" w:rsidP="00500378">
      <w:pPr>
        <w:rPr>
          <w:rFonts w:eastAsia="Times New Roman" w:cstheme="minorHAnsi"/>
          <w:b/>
          <w:color w:val="222222"/>
        </w:rPr>
      </w:pPr>
      <w:r w:rsidRPr="00500378">
        <w:rPr>
          <w:rFonts w:eastAsia="Times New Roman" w:cstheme="minorHAnsi"/>
          <w:b/>
          <w:color w:val="222222"/>
        </w:rPr>
        <w:t xml:space="preserve">Yes, we report significant calcium-cholesterol associations in both HFHS and NCD fed mice of both sexes.  </w:t>
      </w:r>
      <w:r w:rsidR="00F220C1">
        <w:rPr>
          <w:rFonts w:eastAsia="Times New Roman" w:cstheme="minorHAnsi"/>
          <w:b/>
          <w:color w:val="222222"/>
        </w:rPr>
        <w:t xml:space="preserve">That being said, we don’t think that HFHS necessarily represents a disease condition for all mice.  </w:t>
      </w:r>
      <w:r w:rsidRPr="00500378">
        <w:rPr>
          <w:rFonts w:eastAsia="Times New Roman" w:cstheme="minorHAnsi"/>
          <w:b/>
          <w:color w:val="222222"/>
        </w:rPr>
        <w:t>This is now reported on lines 144-14</w:t>
      </w:r>
      <w:r w:rsidR="00F764A3">
        <w:rPr>
          <w:rFonts w:eastAsia="Times New Roman" w:cstheme="minorHAnsi"/>
          <w:b/>
          <w:color w:val="222222"/>
        </w:rPr>
        <w:t>6</w:t>
      </w:r>
      <w:r w:rsidRPr="00500378">
        <w:rPr>
          <w:rFonts w:eastAsia="Times New Roman" w:cstheme="minorHAnsi"/>
          <w:b/>
          <w:color w:val="222222"/>
        </w:rPr>
        <w:t xml:space="preserve"> of the revised manuscript</w:t>
      </w:r>
    </w:p>
    <w:p w14:paraId="5545DDE1" w14:textId="745DF732" w:rsidR="00500378" w:rsidRPr="00500378" w:rsidRDefault="00500378" w:rsidP="00500378">
      <w:pPr>
        <w:rPr>
          <w:rFonts w:eastAsia="Times New Roman" w:cstheme="minorHAnsi"/>
          <w:b/>
          <w:color w:val="222222"/>
        </w:rPr>
      </w:pPr>
    </w:p>
    <w:p w14:paraId="53E14009" w14:textId="03627150" w:rsidR="00500378" w:rsidRPr="00500378" w:rsidRDefault="00500378" w:rsidP="00500378">
      <w:pPr>
        <w:ind w:left="720"/>
        <w:rPr>
          <w:rFonts w:eastAsia="Times New Roman" w:cstheme="minorHAnsi"/>
          <w:b/>
          <w:color w:val="FF0000"/>
        </w:rPr>
      </w:pPr>
      <w:r w:rsidRPr="00500378">
        <w:rPr>
          <w:b/>
          <w:color w:val="FF0000"/>
        </w:rPr>
        <w:t>We performed sub-group analyses and found that each diet-sex combination had broadly similar estimates for Spearman’s rho (ranging from 0.39 for HFHS females to 0.48 for HFHS males), each of which had a p-value of less than 2.2 x 10</w:t>
      </w:r>
      <w:r w:rsidRPr="00500378">
        <w:rPr>
          <w:b/>
          <w:color w:val="FF0000"/>
          <w:vertAlign w:val="superscript"/>
        </w:rPr>
        <w:t>-7</w:t>
      </w:r>
      <w:r w:rsidRPr="00500378">
        <w:rPr>
          <w:b/>
          <w:color w:val="FF0000"/>
        </w:rPr>
        <w:t>.</w:t>
      </w:r>
    </w:p>
    <w:p w14:paraId="4466AC7B"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rPr>
        <w:lastRenderedPageBreak/>
        <w:br/>
      </w:r>
      <w:r w:rsidRPr="008C6B55">
        <w:rPr>
          <w:rFonts w:eastAsia="Times New Roman" w:cstheme="minorHAnsi"/>
          <w:color w:val="222222"/>
          <w:shd w:val="clear" w:color="auto" w:fill="FFFFFF"/>
        </w:rPr>
        <w:t>3.      Aging is also thought to be an important factor in elevated calcium and/or cholesterol levels. Do the authors’ findings apply to both young and old?</w:t>
      </w:r>
    </w:p>
    <w:p w14:paraId="72733B92" w14:textId="77777777" w:rsidR="00500378" w:rsidRDefault="00500378" w:rsidP="00500378">
      <w:pPr>
        <w:rPr>
          <w:rFonts w:eastAsia="Times New Roman" w:cstheme="minorHAnsi"/>
          <w:color w:val="222222"/>
        </w:rPr>
      </w:pPr>
    </w:p>
    <w:p w14:paraId="5411640E" w14:textId="767994A6" w:rsidR="00500378" w:rsidRDefault="00500378" w:rsidP="00500378">
      <w:pPr>
        <w:rPr>
          <w:rFonts w:eastAsia="Times New Roman" w:cstheme="minorHAnsi"/>
          <w:b/>
          <w:color w:val="222222"/>
        </w:rPr>
      </w:pPr>
      <w:r w:rsidRPr="00500378">
        <w:rPr>
          <w:rFonts w:eastAsia="Times New Roman" w:cstheme="minorHAnsi"/>
          <w:b/>
          <w:color w:val="222222"/>
        </w:rPr>
        <w:t>The oldest mice in our study were only 19 weeks old</w:t>
      </w:r>
      <w:r w:rsidR="00F220C1">
        <w:rPr>
          <w:rFonts w:eastAsia="Times New Roman" w:cstheme="minorHAnsi"/>
          <w:b/>
          <w:color w:val="222222"/>
        </w:rPr>
        <w:t xml:space="preserve"> at time of cholesterol and calcium assessment</w:t>
      </w:r>
      <w:r w:rsidRPr="00500378">
        <w:rPr>
          <w:rFonts w:eastAsia="Times New Roman" w:cstheme="minorHAnsi"/>
          <w:b/>
          <w:color w:val="222222"/>
        </w:rPr>
        <w:t>, which relative to the average lifespan of a mouse (48-72 weeks) is quite young, so we did not test whether these effects hold true for older mice</w:t>
      </w:r>
      <w:r w:rsidR="00F220C1">
        <w:rPr>
          <w:rFonts w:eastAsia="Times New Roman" w:cstheme="minorHAnsi"/>
          <w:b/>
          <w:color w:val="222222"/>
        </w:rPr>
        <w:t xml:space="preserve"> in this study</w:t>
      </w:r>
      <w:r w:rsidRPr="00500378">
        <w:rPr>
          <w:rFonts w:eastAsia="Times New Roman" w:cstheme="minorHAnsi"/>
          <w:b/>
          <w:color w:val="222222"/>
        </w:rPr>
        <w:t>.  This is a fascinating question that we hope to answer in future studies.</w:t>
      </w:r>
      <w:r w:rsidR="009F72F9">
        <w:rPr>
          <w:rFonts w:eastAsia="Times New Roman" w:cstheme="minorHAnsi"/>
          <w:b/>
          <w:color w:val="222222"/>
        </w:rPr>
        <w:t xml:space="preserve">  Noted in the limitations section on lines 237-241:</w:t>
      </w:r>
    </w:p>
    <w:p w14:paraId="34DB9CE3" w14:textId="681E764C" w:rsidR="009F72F9" w:rsidRDefault="009F72F9" w:rsidP="00500378">
      <w:pPr>
        <w:rPr>
          <w:rFonts w:eastAsia="Times New Roman" w:cstheme="minorHAnsi"/>
          <w:b/>
          <w:color w:val="222222"/>
        </w:rPr>
      </w:pPr>
    </w:p>
    <w:p w14:paraId="73AD2689" w14:textId="704405D7" w:rsidR="009F72F9" w:rsidRPr="009F72F9" w:rsidRDefault="009F72F9" w:rsidP="009F72F9">
      <w:pPr>
        <w:ind w:left="720"/>
        <w:rPr>
          <w:rFonts w:eastAsia="Times New Roman" w:cstheme="minorHAnsi"/>
          <w:b/>
          <w:color w:val="222222"/>
        </w:rPr>
      </w:pPr>
      <w:r w:rsidRPr="009F72F9">
        <w:rPr>
          <w:b/>
          <w:color w:val="FF0000"/>
        </w:rPr>
        <w:t xml:space="preserve">While there were multiple measurements of calcium and cholesterol in this dataset (at week 8 and week 19, after 5 and 16 weeks of HFHS/NCD respectively), cholesterol levels were stable through at these points.   Therefore, it was possible to effectively evaluate the longitudinal association between cholesterol and calcium, nor the effects of advanced age in modifying this relationship.  </w:t>
      </w:r>
    </w:p>
    <w:p w14:paraId="233A90BA" w14:textId="77777777" w:rsidR="009F72F9" w:rsidRPr="00500378" w:rsidRDefault="009F72F9" w:rsidP="00500378">
      <w:pPr>
        <w:rPr>
          <w:rFonts w:eastAsia="Times New Roman" w:cstheme="minorHAnsi"/>
          <w:b/>
          <w:color w:val="222222"/>
        </w:rPr>
      </w:pPr>
    </w:p>
    <w:p w14:paraId="393C4F65" w14:textId="77777777" w:rsidR="00433298" w:rsidRPr="008C6B55"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3ED7FCC7" w:rsidR="00433298"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r w:rsidR="0020149A">
        <w:rPr>
          <w:rFonts w:eastAsia="Times New Roman" w:cstheme="minorHAnsi"/>
          <w:b/>
          <w:color w:val="222222"/>
        </w:rPr>
        <w:t xml:space="preserve"> The relevance of the absence of CETP is noted in the revised limitations section:</w:t>
      </w:r>
    </w:p>
    <w:p w14:paraId="7ABDCF78" w14:textId="5ECD2D4C" w:rsidR="0020149A" w:rsidRDefault="0020149A" w:rsidP="00072AB6">
      <w:pPr>
        <w:rPr>
          <w:rFonts w:eastAsia="Times New Roman" w:cstheme="minorHAnsi"/>
          <w:b/>
          <w:color w:val="222222"/>
        </w:rPr>
      </w:pPr>
    </w:p>
    <w:p w14:paraId="004F9C72" w14:textId="0931811B" w:rsidR="0020149A" w:rsidRPr="0020149A" w:rsidRDefault="0020149A" w:rsidP="0020149A">
      <w:pPr>
        <w:ind w:left="720"/>
        <w:rPr>
          <w:rFonts w:eastAsia="Times New Roman" w:cstheme="minorHAnsi"/>
          <w:b/>
          <w:color w:val="FF0000"/>
        </w:rPr>
      </w:pPr>
      <w:r w:rsidRPr="0020149A">
        <w:rPr>
          <w:b/>
          <w:color w:val="FF0000"/>
        </w:rPr>
        <w:t xml:space="preserve">Another limitation is that cholesterol homeostasis is substantially different in mice and humans, especially in the fraction of cholesterol present in the HDL versus LDL fractions, due to the absence of CETP in mice.  </w:t>
      </w:r>
    </w:p>
    <w:p w14:paraId="6F707141" w14:textId="77777777" w:rsidR="00433298" w:rsidRPr="008C6B55" w:rsidRDefault="00433298" w:rsidP="00072AB6">
      <w:pPr>
        <w:rPr>
          <w:rFonts w:eastAsia="Times New Roman" w:cstheme="minorHAnsi"/>
          <w:color w:val="222222"/>
        </w:rPr>
      </w:pPr>
    </w:p>
    <w:p w14:paraId="0E9EA1C6" w14:textId="77777777" w:rsidR="0095151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p>
    <w:p w14:paraId="781309D3" w14:textId="77777777" w:rsidR="00951515" w:rsidRDefault="00951515" w:rsidP="00072AB6">
      <w:pPr>
        <w:rPr>
          <w:rFonts w:eastAsia="Times New Roman" w:cstheme="minorHAnsi"/>
          <w:color w:val="222222"/>
        </w:rPr>
      </w:pPr>
    </w:p>
    <w:p w14:paraId="23220870" w14:textId="2423C495" w:rsidR="00BF6D7A" w:rsidRDefault="00951515" w:rsidP="00BF6D7A">
      <w:pPr>
        <w:rPr>
          <w:rFonts w:eastAsia="Times New Roman" w:cstheme="minorHAnsi"/>
          <w:b/>
          <w:color w:val="000000" w:themeColor="text1"/>
        </w:rPr>
      </w:pPr>
      <w:r w:rsidRPr="00951515">
        <w:rPr>
          <w:rFonts w:eastAsia="Times New Roman" w:cstheme="minorHAnsi"/>
          <w:b/>
          <w:color w:val="000000" w:themeColor="text1"/>
        </w:rPr>
        <w:t>Yes, as noted above in the response to reviewer #1 the associations between calcium and cholesterol as well as between calcium and cardiovascular disease have been reported previously in humans</w:t>
      </w:r>
      <w:r w:rsidR="00BF6D7A">
        <w:rPr>
          <w:rFonts w:eastAsia="Times New Roman" w:cstheme="minorHAnsi"/>
          <w:b/>
          <w:color w:val="000000" w:themeColor="text1"/>
        </w:rPr>
        <w:t>.  This is now described in the revised discussion on lines 197-200:</w:t>
      </w:r>
    </w:p>
    <w:p w14:paraId="3F716332" w14:textId="5FA39F45" w:rsidR="00921307" w:rsidRDefault="00BF6D7A" w:rsidP="00BF6D7A">
      <w:pPr>
        <w:ind w:left="720"/>
        <w:rPr>
          <w:rFonts w:eastAsia="Times New Roman" w:cstheme="minorHAnsi"/>
          <w:color w:val="222222"/>
          <w:shd w:val="clear" w:color="auto" w:fill="FFFFFF"/>
        </w:rPr>
      </w:pPr>
      <w:r>
        <w:rPr>
          <w:rFonts w:eastAsia="Times New Roman" w:cstheme="minorHAnsi"/>
          <w:b/>
          <w:color w:val="000000" w:themeColor="text1"/>
        </w:rPr>
        <w:br/>
      </w:r>
      <w:r w:rsidRPr="00892729">
        <w:rPr>
          <w:b/>
          <w:color w:val="FF0000"/>
        </w:rPr>
        <w:t xml:space="preserve">In addition, calcium is also a longitudinal predictor of cardiovascular events in humans independent of BMI or blood pressure </w:t>
      </w:r>
      <w:r w:rsidRPr="00892729">
        <w:rPr>
          <w:b/>
          <w:color w:val="FF0000"/>
        </w:rPr>
        <w:fldChar w:fldCharType="begin"/>
      </w:r>
      <w:r>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Pr>
          <w:b/>
          <w:noProof/>
          <w:color w:val="FF0000"/>
        </w:rPr>
        <w:t>[13]</w:t>
      </w:r>
      <w:r w:rsidRPr="00892729">
        <w:rPr>
          <w:b/>
          <w:color w:val="FF0000"/>
        </w:rPr>
        <w:fldChar w:fldCharType="end"/>
      </w:r>
      <w:r w:rsidRPr="00892729">
        <w:rPr>
          <w:b/>
          <w:color w:val="FF0000"/>
        </w:rPr>
        <w:t xml:space="preserve">.  </w: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lastRenderedPageBreak/>
        <w:t>Minor points: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1.      There is no citation in texts and figure legend in Figure 1C. Please add.</w:t>
      </w:r>
    </w:p>
    <w:p w14:paraId="569C64B2" w14:textId="77777777" w:rsidR="00921307" w:rsidRDefault="00921307" w:rsidP="00072AB6">
      <w:pPr>
        <w:rPr>
          <w:rFonts w:eastAsia="Times New Roman" w:cstheme="minorHAnsi"/>
          <w:color w:val="222222"/>
        </w:rPr>
      </w:pPr>
    </w:p>
    <w:p w14:paraId="37098CD4" w14:textId="0ECD505A" w:rsidR="00921307" w:rsidRPr="00921307" w:rsidRDefault="00653D58" w:rsidP="00072AB6">
      <w:pPr>
        <w:rPr>
          <w:rFonts w:eastAsia="Times New Roman" w:cstheme="minorHAnsi"/>
          <w:b/>
          <w:color w:val="222222"/>
        </w:rPr>
      </w:pPr>
      <w:r>
        <w:rPr>
          <w:rFonts w:eastAsia="Times New Roman" w:cstheme="minorHAnsi"/>
          <w:b/>
          <w:color w:val="222222"/>
        </w:rPr>
        <w:t>Thank you for noting this oversight, this is now r</w:t>
      </w:r>
      <w:r w:rsidR="00921307" w:rsidRPr="00921307">
        <w:rPr>
          <w:rFonts w:eastAsia="Times New Roman" w:cstheme="minorHAnsi"/>
          <w:b/>
          <w:color w:val="222222"/>
        </w:rPr>
        <w:t>eferenced in lines 125-127</w:t>
      </w:r>
      <w:r>
        <w:rPr>
          <w:rFonts w:eastAsia="Times New Roman" w:cstheme="minorHAnsi"/>
          <w:b/>
          <w:color w:val="222222"/>
        </w:rPr>
        <w:t xml:space="preserve"> and the figure legend updated.</w:t>
      </w:r>
      <w:bookmarkStart w:id="0" w:name="_GoBack"/>
      <w:bookmarkEnd w:id="0"/>
    </w:p>
    <w:p w14:paraId="4FD49F30" w14:textId="77777777" w:rsidR="00921307" w:rsidRPr="00921307" w:rsidRDefault="00921307" w:rsidP="00072AB6">
      <w:pPr>
        <w:rPr>
          <w:rFonts w:eastAsia="Times New Roman" w:cstheme="minorHAnsi"/>
          <w:b/>
          <w:color w:val="222222"/>
        </w:rPr>
      </w:pPr>
    </w:p>
    <w:p w14:paraId="2AEBD83E" w14:textId="77777777" w:rsidR="00921307" w:rsidRPr="00921307" w:rsidRDefault="00921307" w:rsidP="00921307">
      <w:pPr>
        <w:ind w:left="720"/>
        <w:rPr>
          <w:b/>
          <w:color w:val="FF0000"/>
        </w:rPr>
      </w:pPr>
      <w:r w:rsidRPr="00921307">
        <w:rPr>
          <w:b/>
          <w:color w:val="FF0000"/>
        </w:rPr>
        <w:t>Serum calcium measured at 19 weeks was the third phenotype that associated with cholesterol levels, and body weight measured at 19 weeks was the fourth (Figure 1C).</w:t>
      </w:r>
    </w:p>
    <w:p w14:paraId="563DCE9C" w14:textId="34D39A44" w:rsidR="00072AB6"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34D1F114" w14:textId="751A65F4" w:rsidR="00921307" w:rsidRDefault="00921307" w:rsidP="00072AB6">
      <w:pPr>
        <w:rPr>
          <w:rFonts w:eastAsia="Times New Roman" w:cstheme="minorHAnsi"/>
        </w:rPr>
      </w:pPr>
    </w:p>
    <w:p w14:paraId="10C62BBE" w14:textId="56DA1729" w:rsidR="00921307" w:rsidRPr="00921307" w:rsidRDefault="00921307" w:rsidP="00072AB6">
      <w:pPr>
        <w:rPr>
          <w:rFonts w:eastAsia="Times New Roman" w:cstheme="minorHAnsi"/>
          <w:b/>
        </w:rPr>
      </w:pPr>
      <w:r w:rsidRPr="00921307">
        <w:rPr>
          <w:rFonts w:eastAsia="Times New Roman" w:cstheme="minorHAnsi"/>
          <w:b/>
        </w:rPr>
        <w:t>Fixed</w:t>
      </w:r>
      <w:r w:rsidR="00CE346C">
        <w:rPr>
          <w:rFonts w:eastAsia="Times New Roman" w:cstheme="minorHAnsi"/>
          <w:b/>
        </w:rPr>
        <w:t>, making the HFHS points substantially darker in all plots</w:t>
      </w:r>
    </w:p>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t>References</w:t>
      </w:r>
    </w:p>
    <w:p w14:paraId="40A192D3" w14:textId="118A815F" w:rsidR="001C79A3" w:rsidRDefault="001C79A3">
      <w:pPr>
        <w:rPr>
          <w:rFonts w:cstheme="minorHAnsi"/>
        </w:rPr>
      </w:pPr>
    </w:p>
    <w:p w14:paraId="0991CF64" w14:textId="1E48F114" w:rsidR="001C79A3" w:rsidRPr="001C79A3" w:rsidRDefault="001C79A3">
      <w:pPr>
        <w:rPr>
          <w:rFonts w:cstheme="minorHAnsi"/>
          <w:b/>
        </w:rPr>
      </w:pPr>
      <w:r w:rsidRPr="001C79A3">
        <w:rPr>
          <w:rFonts w:cstheme="minorHAnsi"/>
          <w:b/>
        </w:rPr>
        <w:t xml:space="preserve">NB: These references are numbered according to this document, </w:t>
      </w:r>
      <w:r w:rsidR="00951515">
        <w:rPr>
          <w:rFonts w:cstheme="minorHAnsi"/>
          <w:b/>
        </w:rPr>
        <w:t>and are not the numbers used in</w:t>
      </w:r>
      <w:r w:rsidRPr="001C79A3">
        <w:rPr>
          <w:rFonts w:cstheme="minorHAnsi"/>
          <w:b/>
        </w:rPr>
        <w:t xml:space="preserve">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Saltevo J, Niskanen L, Kautiainen H, Teittinen J, Oksa H, Korpi-Hyövälti E, Sundvall J, Männistö S, Peltonen M, Mäntyselkä P &amp; Vanhala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Rohrmann S, Garmo H, Malmström H, Hammar N, Jungner I, Walldius G &amp; Van Hemelrijck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Sabanayagam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study.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t xml:space="preserve">6 Jorde R, Sundsfjord J, Fitzgerald P &amp; Bønaa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Skarfors E, Berglund L, Lithell H &amp; Ljunghall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t xml:space="preserve">8 Foley RN, Collins AJ, Ishani A &amp; Kalra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lastRenderedPageBreak/>
        <w:t xml:space="preserve">9 Slinin Y, Blackwell T, Ishani A, Cummings SR, Ensrud KE, &amp; MORE Investigators (2011) Serum calcium, phosphorus and cardiovascular events in post-menopausal women. </w:t>
      </w:r>
      <w:r w:rsidRPr="00FD1C3A">
        <w:rPr>
          <w:rFonts w:ascii="Calibri" w:cs="Calibri"/>
          <w:i/>
          <w:iCs/>
        </w:rPr>
        <w:t>Int J Cardiol</w:t>
      </w:r>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FD1C3A">
        <w:rPr>
          <w:rFonts w:ascii="Calibri" w:cs="Calibri"/>
          <w:i/>
          <w:iCs/>
        </w:rPr>
        <w:t>Eur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Divitini ML &amp; Knuiman MW (2013) Plasma calcium as a predictor of cardiovascular disease in a community-based cohort. </w:t>
      </w:r>
      <w:r w:rsidRPr="00FD1C3A">
        <w:rPr>
          <w:rFonts w:ascii="Calibri" w:cs="Calibri"/>
          <w:i/>
          <w:iCs/>
        </w:rPr>
        <w:t>Clin Endocrinol (Oxf)</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Tsauo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Bolland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t xml:space="preserve">14 Bolland MJ, Avenell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Lithell H, Wengle B &amp; Ljunghall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Vasdev S, Randell E, Xie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Faniello MC, Canino G, Tripolino C, Gnasso A, Cuda G, Costanzo FS &amp; Irace C (2016) Serum Calcium Increase Correlates With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t xml:space="preserve">19 De Bacquer D, De Henauw S, De Backer G &amp; Kornitzer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Jucha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Jin Y, Chang W, Li J, Chen Y, Song X, Tang H, Ding L, Guo D &amp; Yao Y (2014) Total Serum Calcium Level May Have Adverse Effects on Serum Cholesterol and Triglycerides Among Female University Faculty and Staffs. </w:t>
      </w:r>
      <w:r w:rsidRPr="00FD1C3A">
        <w:rPr>
          <w:rFonts w:ascii="Calibri" w:cs="Calibri"/>
          <w:i/>
          <w:iCs/>
        </w:rPr>
        <w:t>Biol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43199"/>
    <w:rsid w:val="00072AB6"/>
    <w:rsid w:val="000C06E4"/>
    <w:rsid w:val="000C566C"/>
    <w:rsid w:val="000D7FDF"/>
    <w:rsid w:val="000F6086"/>
    <w:rsid w:val="00143D60"/>
    <w:rsid w:val="001C79A3"/>
    <w:rsid w:val="0020149A"/>
    <w:rsid w:val="00245663"/>
    <w:rsid w:val="00292456"/>
    <w:rsid w:val="003478A0"/>
    <w:rsid w:val="003F540E"/>
    <w:rsid w:val="004013A7"/>
    <w:rsid w:val="00433298"/>
    <w:rsid w:val="004512DB"/>
    <w:rsid w:val="00454B0C"/>
    <w:rsid w:val="0049078C"/>
    <w:rsid w:val="0049284E"/>
    <w:rsid w:val="00500378"/>
    <w:rsid w:val="00505800"/>
    <w:rsid w:val="005144E4"/>
    <w:rsid w:val="00551935"/>
    <w:rsid w:val="00587FC4"/>
    <w:rsid w:val="005A68E9"/>
    <w:rsid w:val="00653D58"/>
    <w:rsid w:val="00674333"/>
    <w:rsid w:val="006A0643"/>
    <w:rsid w:val="006A2913"/>
    <w:rsid w:val="006B12FE"/>
    <w:rsid w:val="006F7363"/>
    <w:rsid w:val="007902E6"/>
    <w:rsid w:val="00794551"/>
    <w:rsid w:val="007C210F"/>
    <w:rsid w:val="00823DBC"/>
    <w:rsid w:val="00892729"/>
    <w:rsid w:val="008927D7"/>
    <w:rsid w:val="00892D93"/>
    <w:rsid w:val="008C6B55"/>
    <w:rsid w:val="00913778"/>
    <w:rsid w:val="00921307"/>
    <w:rsid w:val="00951515"/>
    <w:rsid w:val="009A2808"/>
    <w:rsid w:val="009F72F9"/>
    <w:rsid w:val="00A0057A"/>
    <w:rsid w:val="00AD2F62"/>
    <w:rsid w:val="00B1643E"/>
    <w:rsid w:val="00B674FD"/>
    <w:rsid w:val="00B9020B"/>
    <w:rsid w:val="00BB0FEB"/>
    <w:rsid w:val="00BF0463"/>
    <w:rsid w:val="00BF6D7A"/>
    <w:rsid w:val="00C253E4"/>
    <w:rsid w:val="00CE346C"/>
    <w:rsid w:val="00D11A2A"/>
    <w:rsid w:val="00D423AC"/>
    <w:rsid w:val="00DD69BB"/>
    <w:rsid w:val="00E6094B"/>
    <w:rsid w:val="00ED5930"/>
    <w:rsid w:val="00F220C1"/>
    <w:rsid w:val="00F53F67"/>
    <w:rsid w:val="00F60BDD"/>
    <w:rsid w:val="00F764A3"/>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 w:type="table" w:styleId="TableGrid">
    <w:name w:val="Table Grid"/>
    <w:basedOn w:val="TableNormal"/>
    <w:uiPriority w:val="39"/>
    <w:rsid w:val="00D1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5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0.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19444</Words>
  <Characters>110837</Characters>
  <Application>Microsoft Office Word</Application>
  <DocSecurity>0</DocSecurity>
  <Lines>923</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40</cp:revision>
  <dcterms:created xsi:type="dcterms:W3CDTF">2023-10-24T14:38:00Z</dcterms:created>
  <dcterms:modified xsi:type="dcterms:W3CDTF">2023-11-06T16:32:00Z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