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C54765" w14:textId="373DE0B2" w:rsidR="006834E1" w:rsidRDefault="006834E1" w:rsidP="006834E1">
      <w:pPr>
        <w:pStyle w:val="Title"/>
        <w:rPr>
          <w:shd w:val="clear" w:color="auto" w:fill="FEFEFE"/>
        </w:rPr>
      </w:pPr>
      <w:r>
        <w:rPr>
          <w:shd w:val="clear" w:color="auto" w:fill="FEFEFE"/>
        </w:rPr>
        <w:t>Response to Reviewer Comments</w:t>
      </w:r>
    </w:p>
    <w:p w14:paraId="36A00D5A" w14:textId="2472F312" w:rsidR="006834E1" w:rsidRDefault="006834E1" w:rsidP="007B0B93">
      <w:pPr>
        <w:rPr>
          <w:rFonts w:ascii="Arial" w:hAnsi="Arial" w:cs="Arial"/>
          <w:color w:val="0A0A0A"/>
          <w:sz w:val="20"/>
          <w:szCs w:val="20"/>
          <w:shd w:val="clear" w:color="auto" w:fill="FEFEFE"/>
        </w:rPr>
      </w:pPr>
    </w:p>
    <w:p w14:paraId="1BBCD7D3" w14:textId="317CDB2F" w:rsidR="006834E1" w:rsidRDefault="006834E1" w:rsidP="006834E1">
      <w:pPr>
        <w:pStyle w:val="Heading1"/>
        <w:rPr>
          <w:shd w:val="clear" w:color="auto" w:fill="FEFEFE"/>
        </w:rPr>
      </w:pPr>
      <w:r>
        <w:rPr>
          <w:shd w:val="clear" w:color="auto" w:fill="FEFEFE"/>
        </w:rPr>
        <w:t>Reviewer 1</w:t>
      </w:r>
    </w:p>
    <w:p w14:paraId="3F57724F" w14:textId="418F8C0F" w:rsidR="006834E1" w:rsidRPr="006834E1" w:rsidRDefault="008331E6" w:rsidP="006834E1">
      <w:pPr>
        <w:pStyle w:val="NormalWeb"/>
        <w:shd w:val="clear" w:color="auto" w:fill="FEFEFE"/>
        <w:rPr>
          <w:rStyle w:val="rynqvb"/>
          <w:rFonts w:ascii="Arial" w:hAnsi="Arial" w:cs="Arial"/>
          <w:color w:val="0A0A0A"/>
          <w:sz w:val="20"/>
          <w:szCs w:val="20"/>
        </w:rPr>
      </w:pPr>
      <w:r>
        <w:rPr>
          <w:rFonts w:ascii="Arial" w:hAnsi="Arial" w:cs="Arial"/>
          <w:noProof/>
          <w:color w:val="FF0000"/>
          <w:sz w:val="20"/>
          <w:szCs w:val="20"/>
          <w14:ligatures w14:val="standardContextual"/>
        </w:rPr>
        <mc:AlternateContent>
          <mc:Choice Requires="wps">
            <w:drawing>
              <wp:anchor distT="0" distB="0" distL="114300" distR="114300" simplePos="0" relativeHeight="251659264" behindDoc="1" locked="0" layoutInCell="1" allowOverlap="1" wp14:anchorId="7BD8FC74" wp14:editId="6C6E146A">
                <wp:simplePos x="0" y="0"/>
                <wp:positionH relativeFrom="column">
                  <wp:posOffset>1489710</wp:posOffset>
                </wp:positionH>
                <wp:positionV relativeFrom="paragraph">
                  <wp:posOffset>1767205</wp:posOffset>
                </wp:positionV>
                <wp:extent cx="4853940" cy="5046134"/>
                <wp:effectExtent l="0" t="0" r="0" b="0"/>
                <wp:wrapTight wrapText="bothSides">
                  <wp:wrapPolygon edited="0">
                    <wp:start x="0" y="0"/>
                    <wp:lineTo x="0" y="21529"/>
                    <wp:lineTo x="21532" y="21529"/>
                    <wp:lineTo x="21532"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4853940" cy="5046134"/>
                        </a:xfrm>
                        <a:prstGeom prst="rect">
                          <a:avLst/>
                        </a:prstGeom>
                        <a:solidFill>
                          <a:schemeClr val="lt1"/>
                        </a:solidFill>
                        <a:ln w="6350">
                          <a:noFill/>
                        </a:ln>
                      </wps:spPr>
                      <wps:txbx>
                        <w:txbxContent>
                          <w:p w14:paraId="49F1781F" w14:textId="3CB9EFCB" w:rsidR="006834E1" w:rsidRPr="008331E6" w:rsidRDefault="008331E6">
                            <w:r>
                              <w:rPr>
                                <w:b/>
                                <w:noProof/>
                                <w14:ligatures w14:val="standardContextual"/>
                              </w:rPr>
                              <w:drawing>
                                <wp:inline distT="0" distB="0" distL="0" distR="0" wp14:anchorId="6CF40E93" wp14:editId="5DF27228">
                                  <wp:extent cx="4820062" cy="344311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chol-meta-1.pdf"/>
                                          <pic:cNvPicPr/>
                                        </pic:nvPicPr>
                                        <pic:blipFill>
                                          <a:blip r:embed="rId4">
                                            <a:extLst>
                                              <a:ext uri="{28A0092B-C50C-407E-A947-70E740481C1C}">
                                                <a14:useLocalDpi xmlns:a14="http://schemas.microsoft.com/office/drawing/2010/main" val="0"/>
                                              </a:ext>
                                            </a:extLst>
                                          </a:blip>
                                          <a:stretch>
                                            <a:fillRect/>
                                          </a:stretch>
                                        </pic:blipFill>
                                        <pic:spPr>
                                          <a:xfrm>
                                            <a:off x="0" y="0"/>
                                            <a:ext cx="4831155" cy="3451035"/>
                                          </a:xfrm>
                                          <a:prstGeom prst="rect">
                                            <a:avLst/>
                                          </a:prstGeom>
                                        </pic:spPr>
                                      </pic:pic>
                                    </a:graphicData>
                                  </a:graphic>
                                </wp:inline>
                              </w:drawing>
                            </w:r>
                            <w:r w:rsidRPr="008331E6">
                              <w:rPr>
                                <w:b/>
                              </w:rPr>
                              <w:t>Response Figure 1: Forrest plot of the associations between cholesterol and calcium in human epidemiological data.</w:t>
                            </w:r>
                            <w:r>
                              <w:rPr>
                                <w:b/>
                              </w:rPr>
                              <w:t xml:space="preserve">  </w:t>
                            </w:r>
                            <w:r>
                              <w:t xml:space="preserve">A meta-analysis was performed on studies that evaluated the associations between calcium and cholesterol </w:t>
                            </w:r>
                            <w:proofErr w:type="gramStart"/>
                            <w:r>
                              <w:t>in  a</w:t>
                            </w:r>
                            <w:proofErr w:type="gramEnd"/>
                            <w:r>
                              <w:t xml:space="preserve"> total of 88939</w:t>
                            </w:r>
                            <w:r w:rsidR="00104CE7">
                              <w:t xml:space="preserve"> </w:t>
                            </w:r>
                            <w:r>
                              <w:t>human subjects.  In the case of several of these studies data was only presented stratified by subgroups so these are denoted with m, f, f-pm (post-menopausal), or m20-39/m40-69 (males sub</w:t>
                            </w:r>
                            <w:r w:rsidR="00104CE7">
                              <w:t>-</w:t>
                            </w:r>
                            <w:r>
                              <w:t>grouped by age).  Random effects modelling shows a significant association between calcium and cholesterol with an estimated correlation of r=0.17 (95% CI 0.13-0.20)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D8FC74" id="_x0000_t202" coordsize="21600,21600" o:spt="202" path="m,l,21600r21600,l21600,xe">
                <v:stroke joinstyle="miter"/>
                <v:path gradientshapeok="t" o:connecttype="rect"/>
              </v:shapetype>
              <v:shape id="Text Box 1" o:spid="_x0000_s1026" type="#_x0000_t202" style="position:absolute;margin-left:117.3pt;margin-top:139.15pt;width:382.2pt;height:397.3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" fillcolor="white [3201]" stroked="f" strokeweight=".5pt">
                <v:textbox>
                  <w:txbxContent>
                    <w:p w14:paraId="49F1781F" w14:textId="3CB9EFCB" w:rsidR="006834E1" w:rsidRPr="008331E6" w:rsidRDefault="008331E6">
                      <w:r>
                        <w:rPr>
                          <w:b/>
                          <w:noProof/>
                          <w14:ligatures w14:val="standardContextual"/>
                        </w:rPr>
                        <w:drawing>
                          <wp:inline distT="0" distB="0" distL="0" distR="0" wp14:anchorId="6CF40E93" wp14:editId="5DF27228">
                            <wp:extent cx="4820062" cy="344311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chol-meta-1.pdf"/>
                                    <pic:cNvPicPr/>
                                  </pic:nvPicPr>
                                  <pic:blipFill>
                                    <a:blip r:embed="rId4">
                                      <a:extLst>
                                        <a:ext uri="{28A0092B-C50C-407E-A947-70E740481C1C}">
                                          <a14:useLocalDpi xmlns:a14="http://schemas.microsoft.com/office/drawing/2010/main" val="0"/>
                                        </a:ext>
                                      </a:extLst>
                                    </a:blip>
                                    <a:stretch>
                                      <a:fillRect/>
                                    </a:stretch>
                                  </pic:blipFill>
                                  <pic:spPr>
                                    <a:xfrm>
                                      <a:off x="0" y="0"/>
                                      <a:ext cx="4831155" cy="3451035"/>
                                    </a:xfrm>
                                    <a:prstGeom prst="rect">
                                      <a:avLst/>
                                    </a:prstGeom>
                                  </pic:spPr>
                                </pic:pic>
                              </a:graphicData>
                            </a:graphic>
                          </wp:inline>
                        </w:drawing>
                      </w:r>
                      <w:r w:rsidRPr="008331E6">
                        <w:rPr>
                          <w:b/>
                        </w:rPr>
                        <w:t>Response Figure 1: Forrest plot of the associations between cholesterol and calcium in human epidemiological data.</w:t>
                      </w:r>
                      <w:r>
                        <w:rPr>
                          <w:b/>
                        </w:rPr>
                        <w:t xml:space="preserve">  </w:t>
                      </w:r>
                      <w:r>
                        <w:t xml:space="preserve">A meta-analysis was performed on studies that evaluated the associations between calcium and cholesterol </w:t>
                      </w:r>
                      <w:proofErr w:type="gramStart"/>
                      <w:r>
                        <w:t>in  a</w:t>
                      </w:r>
                      <w:proofErr w:type="gramEnd"/>
                      <w:r>
                        <w:t xml:space="preserve"> total of 88939</w:t>
                      </w:r>
                      <w:r w:rsidR="00104CE7">
                        <w:t xml:space="preserve"> </w:t>
                      </w:r>
                      <w:r>
                        <w:t>human subjects.  In the case of several of these studies data was only presented stratified by subgroups so these are denoted with m, f, f-pm (post-menopausal), or m20-39/m40-69 (males sub</w:t>
                      </w:r>
                      <w:r w:rsidR="00104CE7">
                        <w:t>-</w:t>
                      </w:r>
                      <w:r>
                        <w:t>grouped by age).  Random effects modelling shows a significant association between calcium and cholesterol with an estimated correlation of r=0.17 (95% CI 0.13-0.20)</w:t>
                      </w:r>
                    </w:p>
                  </w:txbxContent>
                </v:textbox>
                <w10:wrap type="tight"/>
              </v:shape>
            </w:pict>
          </mc:Fallback>
        </mc:AlternateContent>
      </w:r>
      <w:r w:rsidR="006834E1">
        <w:rPr>
          <w:rFonts w:ascii="Arial" w:hAnsi="Arial" w:cs="Arial"/>
          <w:color w:val="0A0A0A"/>
          <w:sz w:val="20"/>
          <w:szCs w:val="20"/>
          <w:lang w:val="en"/>
        </w:rPr>
        <w:br/>
      </w:r>
      <w:r w:rsidR="006834E1">
        <w:rPr>
          <w:rStyle w:val="rynqvb"/>
          <w:rFonts w:ascii="Arial" w:hAnsi="Arial" w:cs="Arial"/>
          <w:color w:val="0A0A0A"/>
          <w:sz w:val="20"/>
          <w:szCs w:val="20"/>
          <w:lang w:val="en"/>
        </w:rPr>
        <w:t>The article is devoted to the study of the role of the association of cholesterol and calcium in the blood in the development of cardiovascular diseases</w:t>
      </w:r>
      <w:r w:rsidR="006834E1">
        <w:rPr>
          <w:rStyle w:val="rynqvb"/>
          <w:rFonts w:ascii="Arial" w:hAnsi="Arial" w:cs="Arial"/>
          <w:color w:val="0A0A0A"/>
          <w:sz w:val="20"/>
          <w:szCs w:val="20"/>
          <w:lang w:val="en"/>
        </w:rPr>
        <w:t xml:space="preserve">. </w:t>
      </w:r>
      <w:r w:rsidR="006834E1">
        <w:rPr>
          <w:rStyle w:val="rynqvb"/>
          <w:rFonts w:ascii="Arial" w:hAnsi="Arial" w:cs="Arial"/>
          <w:color w:val="0A0A0A"/>
          <w:sz w:val="20"/>
          <w:szCs w:val="20"/>
          <w:lang w:val="en"/>
        </w:rPr>
        <w:t>The article made a strange impression on me.</w:t>
      </w:r>
      <w:r w:rsidR="006834E1">
        <w:rPr>
          <w:rFonts w:ascii="Arial" w:hAnsi="Arial" w:cs="Arial"/>
          <w:color w:val="0A0A0A"/>
          <w:sz w:val="20"/>
          <w:szCs w:val="20"/>
        </w:rPr>
        <w:t xml:space="preserve">  </w:t>
      </w:r>
      <w:r w:rsidR="006834E1">
        <w:rPr>
          <w:rStyle w:val="rynqvb"/>
          <w:rFonts w:ascii="Arial" w:hAnsi="Arial" w:cs="Arial"/>
          <w:color w:val="0A0A0A"/>
          <w:sz w:val="20"/>
          <w:szCs w:val="20"/>
          <w:lang w:val="en"/>
        </w:rPr>
        <w:t>The authors analyzed data obtained on mice, including those on a high-fat diet.</w:t>
      </w:r>
      <w:r w:rsidR="006834E1">
        <w:rPr>
          <w:rStyle w:val="hwtze"/>
          <w:rFonts w:ascii="Arial" w:hAnsi="Arial" w:cs="Arial"/>
          <w:color w:val="0A0A0A"/>
          <w:sz w:val="20"/>
          <w:szCs w:val="20"/>
          <w:lang w:val="en"/>
        </w:rPr>
        <w:t> </w:t>
      </w:r>
      <w:r w:rsidR="006834E1">
        <w:rPr>
          <w:rStyle w:val="rynqvb"/>
          <w:rFonts w:ascii="Arial" w:hAnsi="Arial" w:cs="Arial"/>
          <w:color w:val="0A0A0A"/>
          <w:sz w:val="20"/>
          <w:szCs w:val="20"/>
          <w:lang w:val="en"/>
        </w:rPr>
        <w:t>The authors compared data obtained in mice with data obtained in humans.</w:t>
      </w:r>
      <w:r w:rsidR="006834E1">
        <w:rPr>
          <w:rStyle w:val="rynqvb"/>
          <w:rFonts w:ascii="Arial" w:hAnsi="Arial" w:cs="Arial"/>
          <w:color w:val="0A0A0A"/>
          <w:sz w:val="20"/>
          <w:szCs w:val="20"/>
          <w:lang w:val="en"/>
        </w:rPr>
        <w:t xml:space="preserve">  </w:t>
      </w:r>
      <w:r w:rsidR="006834E1">
        <w:rPr>
          <w:rStyle w:val="rynqvb"/>
          <w:rFonts w:ascii="Arial" w:hAnsi="Arial" w:cs="Arial"/>
          <w:color w:val="0A0A0A"/>
          <w:sz w:val="20"/>
          <w:szCs w:val="20"/>
          <w:lang w:val="en"/>
        </w:rPr>
        <w:t>Already in the Summary, as well as in the Discussion (for some reason, the authors called this section Conclusion), the authors themselves indicate that the results they obtained on mice fully correspond to the results obtained in many multicenter cohort studies on humans.</w:t>
      </w:r>
      <w:r w:rsidR="006834E1">
        <w:rPr>
          <w:rFonts w:ascii="Arial" w:hAnsi="Arial" w:cs="Arial"/>
          <w:color w:val="0A0A0A"/>
          <w:sz w:val="20"/>
          <w:szCs w:val="20"/>
        </w:rPr>
        <w:t xml:space="preserve">  </w:t>
      </w:r>
      <w:r w:rsidR="006834E1">
        <w:rPr>
          <w:rStyle w:val="rynqvb"/>
          <w:rFonts w:ascii="Arial" w:hAnsi="Arial" w:cs="Arial"/>
          <w:color w:val="0A0A0A"/>
          <w:sz w:val="20"/>
          <w:szCs w:val="20"/>
          <w:lang w:val="en"/>
        </w:rPr>
        <w:t>It is known that cohort studies in humans are, today, the standard for obtaining results on risk factors and predictors of various diseases.</w:t>
      </w:r>
      <w:r w:rsidR="006834E1">
        <w:rPr>
          <w:rFonts w:ascii="Arial" w:hAnsi="Arial" w:cs="Arial"/>
          <w:color w:val="0A0A0A"/>
          <w:sz w:val="20"/>
          <w:szCs w:val="20"/>
        </w:rPr>
        <w:t xml:space="preserve">  </w:t>
      </w:r>
      <w:r w:rsidR="006834E1">
        <w:rPr>
          <w:rStyle w:val="rynqvb"/>
          <w:rFonts w:ascii="Arial" w:hAnsi="Arial" w:cs="Arial"/>
          <w:color w:val="0A0A0A"/>
          <w:sz w:val="20"/>
          <w:szCs w:val="20"/>
          <w:lang w:val="en"/>
        </w:rPr>
        <w:t>At the same time, the results of animal studies help to understand the mechanisms of disease development.</w:t>
      </w:r>
      <w:r w:rsidR="002F28A6">
        <w:rPr>
          <w:rStyle w:val="rynqvb"/>
          <w:rFonts w:ascii="Arial" w:hAnsi="Arial" w:cs="Arial"/>
          <w:color w:val="0A0A0A"/>
          <w:sz w:val="20"/>
          <w:szCs w:val="20"/>
          <w:lang w:val="en"/>
        </w:rPr>
        <w:t xml:space="preserve">  </w:t>
      </w:r>
      <w:r w:rsidR="002F28A6">
        <w:rPr>
          <w:rStyle w:val="rynqvb"/>
          <w:rFonts w:ascii="Arial" w:hAnsi="Arial" w:cs="Arial"/>
          <w:color w:val="0A0A0A"/>
          <w:sz w:val="20"/>
          <w:szCs w:val="20"/>
          <w:lang w:val="en"/>
        </w:rPr>
        <w:t xml:space="preserve">The authors do not talk about the mechanisms of development of cardiovascular diseases in their </w:t>
      </w:r>
      <w:proofErr w:type="spellStart"/>
      <w:proofErr w:type="gramStart"/>
      <w:r w:rsidR="002F28A6">
        <w:rPr>
          <w:rStyle w:val="rynqvb"/>
          <w:rFonts w:ascii="Arial" w:hAnsi="Arial" w:cs="Arial"/>
          <w:color w:val="0A0A0A"/>
          <w:sz w:val="20"/>
          <w:szCs w:val="20"/>
          <w:lang w:val="en"/>
        </w:rPr>
        <w:t>results.Then</w:t>
      </w:r>
      <w:proofErr w:type="spellEnd"/>
      <w:proofErr w:type="gramEnd"/>
      <w:r w:rsidR="002F28A6">
        <w:rPr>
          <w:rStyle w:val="rynqvb"/>
          <w:rFonts w:ascii="Arial" w:hAnsi="Arial" w:cs="Arial"/>
          <w:color w:val="0A0A0A"/>
          <w:sz w:val="20"/>
          <w:szCs w:val="20"/>
          <w:lang w:val="en"/>
        </w:rPr>
        <w:t xml:space="preserve"> why did they do this research?</w:t>
      </w:r>
      <w:r w:rsidR="002F28A6">
        <w:rPr>
          <w:rStyle w:val="hwtze"/>
          <w:rFonts w:ascii="Arial" w:hAnsi="Arial" w:cs="Arial"/>
          <w:color w:val="0A0A0A"/>
          <w:sz w:val="20"/>
          <w:szCs w:val="20"/>
          <w:lang w:val="en"/>
        </w:rPr>
        <w:t> </w:t>
      </w:r>
      <w:r w:rsidR="002F28A6">
        <w:rPr>
          <w:rStyle w:val="rynqvb"/>
          <w:rFonts w:ascii="Arial" w:hAnsi="Arial" w:cs="Arial"/>
          <w:color w:val="0A0A0A"/>
          <w:sz w:val="20"/>
          <w:szCs w:val="20"/>
          <w:lang w:val="en"/>
        </w:rPr>
        <w:t>To validate data from human cohort studies?</w:t>
      </w:r>
      <w:r w:rsidR="002F28A6">
        <w:rPr>
          <w:rStyle w:val="hwtze"/>
          <w:rFonts w:ascii="Arial" w:hAnsi="Arial" w:cs="Arial"/>
          <w:color w:val="0A0A0A"/>
          <w:sz w:val="20"/>
          <w:szCs w:val="20"/>
          <w:lang w:val="en"/>
        </w:rPr>
        <w:t> </w:t>
      </w:r>
      <w:r w:rsidR="002F28A6">
        <w:rPr>
          <w:rStyle w:val="rynqvb"/>
          <w:rFonts w:ascii="Arial" w:hAnsi="Arial" w:cs="Arial"/>
          <w:color w:val="0A0A0A"/>
          <w:sz w:val="20"/>
          <w:szCs w:val="20"/>
          <w:lang w:val="en"/>
        </w:rPr>
        <w:t>It is very strange.</w:t>
      </w:r>
      <w:r w:rsidR="002F28A6">
        <w:rPr>
          <w:rStyle w:val="rynqvb"/>
          <w:rFonts w:ascii="Arial" w:hAnsi="Arial" w:cs="Arial"/>
          <w:color w:val="0A0A0A"/>
          <w:sz w:val="20"/>
          <w:szCs w:val="20"/>
          <w:lang w:val="en"/>
        </w:rPr>
        <w:t xml:space="preserve"> </w:t>
      </w:r>
      <w:r w:rsidR="002F28A6">
        <w:rPr>
          <w:rStyle w:val="rynqvb"/>
          <w:rFonts w:ascii="Arial" w:hAnsi="Arial" w:cs="Arial"/>
          <w:color w:val="0A0A0A"/>
          <w:sz w:val="20"/>
          <w:szCs w:val="20"/>
          <w:lang w:val="en"/>
        </w:rPr>
        <w:t>I believe that the article and the purpose of the study need to be deeply rethought, to formulate the purpose in a different way, to recalculate and rewrite in a different non-scientific key.</w:t>
      </w:r>
    </w:p>
    <w:p w14:paraId="3D3ECAFD" w14:textId="6B9F36B6" w:rsidR="006834E1" w:rsidRPr="00104CE7" w:rsidRDefault="006834E1" w:rsidP="00104CE7">
      <w:pPr>
        <w:rPr>
          <w:color w:val="FF0000"/>
        </w:rPr>
      </w:pPr>
      <w:r w:rsidRPr="00104CE7">
        <w:rPr>
          <w:color w:val="FF0000"/>
        </w:rPr>
        <w:t xml:space="preserve">We thank the reviewer for their thought-provoking comments about the premise of this research.  While the reviewer is correct to point out that our results correspond with the human data, these human data are a) not appreciated in the literature and b) less rigorous in design than our mouse data. </w:t>
      </w:r>
    </w:p>
    <w:p w14:paraId="5AF42E1E" w14:textId="00BB79E0" w:rsidR="006834E1" w:rsidRPr="00104CE7" w:rsidRDefault="006834E1" w:rsidP="00104CE7">
      <w:pPr>
        <w:rPr>
          <w:color w:val="FF0000"/>
        </w:rPr>
      </w:pPr>
      <w:r w:rsidRPr="00104CE7">
        <w:rPr>
          <w:color w:val="FF0000"/>
        </w:rPr>
        <w:t xml:space="preserve">To the first point, while many human epidemiological studies have suggested an association between cholesterol and calcium in blood, to our knowledge there is both not well appreciated in the field of </w:t>
      </w:r>
      <w:r w:rsidRPr="00104CE7">
        <w:rPr>
          <w:color w:val="FF0000"/>
        </w:rPr>
        <w:lastRenderedPageBreak/>
        <w:t xml:space="preserve">lipidology.  Our manuscript </w:t>
      </w:r>
      <w:r w:rsidR="00104CE7" w:rsidRPr="00104CE7">
        <w:rPr>
          <w:color w:val="FF0000"/>
        </w:rPr>
        <w:t>is the first to rigorously bring</w:t>
      </w:r>
      <w:r w:rsidRPr="00104CE7">
        <w:rPr>
          <w:color w:val="FF0000"/>
        </w:rPr>
        <w:t xml:space="preserve"> together these often-ignored findings and generalizes them not just to humans but also to experimental animals, reducing the potentiality of residual confounding.  To our knowledge, while there have been no systematic reviews or meta-analyses of these human findings. To demonstrate the variability in the human data, and to clarify this point, we performed our own meta-analysis of these associations (Figure 1 of this response)</w:t>
      </w:r>
      <w:r w:rsidR="008331E6" w:rsidRPr="00104CE7">
        <w:rPr>
          <w:color w:val="FF0000"/>
        </w:rPr>
        <w:t xml:space="preserve">, summarizing studies that tested this association </w:t>
      </w:r>
      <w:r w:rsidR="008331E6" w:rsidRPr="00104CE7">
        <w:rPr>
          <w:color w:val="FF0000"/>
        </w:rPr>
        <w:fldChar w:fldCharType="begin"/>
      </w:r>
      <w:r w:rsidR="008331E6" w:rsidRPr="00104CE7">
        <w:rPr>
          <w:color w:val="FF0000"/>
        </w:rPr>
        <w:instrText xml:space="preserve"> ADDIN ZOTERO_ITEM CSL_CITATION {"citationID":"ddNjUPog","properties":{"formattedCitation":"[1\\uc0\\u8211{}9]","plainCitation":"[1–9]","noteIndex":0},"citationItems":[{"id":10728,"uris":["http://zotero.org/users/7317906/items/EM6VB6LZ"],"itemData":{"id":10728,"type":"article-journal","abstract":"Background: Primary hyperparathyroidism (HPT) is a disease characterized by hypercalcemia, and associated with an increased mortality in cardiovascular diseases. However, serum calcium levels within the normal range have not been evaluated as a prospective cardiovascular risk factor. Methods: A cohort of males aged 50 (n = 2183) were investigated in 1970–1973 for serum calcium and known cardiovascular risk factors. They were then followed up over the next 18 years. Results: During the follow-up period, 180 subjects experienced a myocardial infarction (MI). The serum calcium levels were significantly elevated at the baseline (2.37 ± 0.09 SD versus 2.35 ± 0.09 mmol/1, p &lt; 0.03) in the subjects who developed a MI when compared with the rest of the cohort. Also blood pressure, body mass index (BMI), fasting insulin, serum cholesterol, serum triglycerides, and the atherogenic index were significantly elevated in the MI group (p &lt; 0.01), while HDL-cholesterol was lower at the baseline investigation (p &lt; 0.01). Cox's proportional hazard analysis showed that only serum calcium (p &lt; 0.01), BMI (p &lt; 0.0003), diastolic blood pressure (p &lt; 0.0009), and the atherogenic index (p &lt; 0.002) were significantly independent risk factors for MI. The range of serum calcium levels from the mean value, −2 SDs to the mean value + 2 SDs corresponds to a variation in estimated risk for MI ranging from 0.06 to 0.15. Conclusions: Serum calcium was found to be an independent, prospective risk factor for MI in middle-aged males suggesting a role for extracellular calcium levels in the atherosclerotic process.","container-title":"Journal of Clinical Epidemiology","DOI":"10.1016/S0895-4356(97)00104-2","ISSN":"0895-4356","issue":"8","journalAbbreviation":"Journal of Clinical Epidemiology","language":"en","page":"967-973","source":"ScienceDirect","title":"Serum calcium: A new, independent, prospective risk factor for myocardial infarction in middle-aged men followed for 18 years","title-short":"Serum calcium","volume":"50","author":[{"family":"Lind","given":"Lars"},{"family":"Skarfors","given":"Einar"},{"family":"Berglund","given":"Lars"},{"family":"Lithell","given":"Hans"},{"family":"Ljunghall","given":"Sverker"}],"issued":{"date-parts":[["1997",8,1]]},"citation-key":"lindSerumCalciumNew1997"}},{"id":10682,"uris":["http://zotero.org/users/7317906/items/QEPT6GA5"],"itemData":{"id":10682,"type":"article-journal","abstract":"Background: The high levels of serum calcium and cholesterol are the important risk factors of cardiovascular disease (CVD), which frequently influence each other during the development of CVD. However, few studies have examined their temporal relationship to confirm the precursor, and it is still largely unknown whether and how their temporal relationship would influence the development of CVD. This study aimed to establish the temporal relationship between the changes in serum calcium and cholesterol using the longitudinal cohort data, and examine whether this temporal relationship influenced the arterial elasticity indicated by brachial-ankle pulse wave velocity (baPWV).Methods: This is a cohort study with a sample of 3,292 Chinese participants (aged 20–74 years) with 5.7 years follow-up. Serum calcium and cholesterol were measured at baseline and follow-up survey. The cross-lagged path analysis was used to examine their temporal relationship, and mediation analysis was performed to evaluate the potential mediating effect.Results: The cross-lagged path coefficients (β2 values) from baseline serum calcium to follow-up cholesterol was significantly greater than the path coefficients (β1 values) from baseline cholesterol to follow-up serum calcium (β2 = 0.110 vs. β1 = 0.047; P = 0.010) after adjusting for the multiple covariates. The path coefficients from baseline serum calcium to follow-up cholesterol in the participants with high baPWV was significantly greater than the participants with low baPWV (β2 = 0.155 for high baPWV and β2 = 0.077 for low baPWV, P = 0.028 for the difference between the β2 values). Moreover, cholesterol partially mediated the association between the higher serum calcium and greater subsequent baPWV values, the percentage of the total effect mediated by cholesterol was estimated at 21.7%.Conclusion: Our findings indicate that increased serum calcium precedes increased in serum cholesterol, and this temporal relationship may contribute to the development of higher baPWV levels.","container-title":"Frontiers in Nutrition","ISSN":"2296-861X","source":"Frontiers","title":"Temporal Relationship Between Changes in Serum Calcium and Hypercholesteremia and Its Impact on Future Brachial-Ankle Pulse Wave Velocity Levels","URL":"https://www.frontiersin.org/articles/10.3389/fnut.2021.754358","volume":"8","author":[{"family":"Meng","given":"Xing"},{"family":"Han","given":"Tianshu"},{"family":"Jiang","given":"Wenbo"},{"family":"Dong","given":"Fengli"},{"family":"Sun","given":"Hongxue"},{"family":"Wei","given":"Wei"},{"family":"Yan","given":"Yageng"}],"accessed":{"date-parts":[["2022",12,5]]},"issued":{"date-parts":[["2021"]]},"citation-key":"mengTemporalRelationshipChanges2021"}},{"id":10684,"uris":["http://zotero.org/users/7317906/items/PPSCBETR"],"itemData":{"id":10684,"type":"article-journal","abstract":"—Total serum calcium levels were measured in 12 865 men and 14 293 women, between the ages of 25 and 97 years, in the Tromsø Study during 1994 and 1995. With the use of a sex-specific multiple linear regression model with age, calcium, body mass index, cholesterol, HDL cholesterol, triglycerides, systolic and diastolic blood pressure, and pulse as possible covariates, serum calcium was significantly (P&lt;0.001) and positively associated with systolic and diastolic blood pressure, serum cholesterol, and HDL cholesterol in both sexes. A similar but weaker association was observed between serum calcium and triglycerides in men (P&lt;0.01). In all age groups, serum calcium levels were higher in men with a history of myocardial infarction than in those without, and the difference was significant (P&lt;0.0001) in a linear regression analysis adjusted for age. When all the other variables were also included in a logistic regression model, serum calcium was a highly significant (P&lt;0.0001) predictor of myocardial infarction in men, with an odds ratio of 1.2 per 0.1 mmol/L increase in serum calcium. In women, a nonsignificant trend was again seen. Because the free or ionized form of calcium is the physiologically important form and serum calcium was not corrected for serum albumin in our study, the results must be interpreted with caution. However, it appears likely that serum calcium is a predictor of cardiovascular disease in men.","container-title":"Hypertension","DOI":"10.1161/01.HYP.34.3.484","issue":"3","note":"publisher: American Heart Association","page":"484-490","source":"ahajournals.org (Atypon)","title":"Serum Calcium and Cardiovascular Risk Factors and Diseases","volume":"34","author":[{"family":"Jorde","given":"Rolf"},{"family":"Sundsfjord","given":"Johan"},{"family":"Fitzgerald","given":"Patrick"},{"family":"Bønaa","given":"Kaare H."}],"issued":{"date-parts":[["1999",9]]},"citation-key":"jordeSerumCalciumCardiovascular1999"}},{"id":10686,"uris":["http://zotero.org/users/7317906/items/PNCI3UN4"],"itemData":{"id":10686,"type":"article-journal","abstract":"Background\nCalcium-phosphate levels, linked to vascular dysfunction in chronic kidney disease, may represent novel risk factors for coronary heart disease, stroke, and death in community-dwelling adults.\nMethods\nWe tested this hypothesis over 12.6 years of follow-up in the prospective, community-based Atherosclerosis Risk in Communities Study (n = 15,732).\nResults\nAt baseline, mean (SD) values were 9.8 (0.4) mg/dL for serum calcium, 3.4 (0.5) mg/dL for serum phosphate, 33.6 (5.3) mg2/dL2 for calcium-phosphate product, 54.2 (5.7) years for age, and 93.1 (21.5) mL/min per 1.73 m2 for glomerular filtration rate (GFR). Shared associations of calcium, phosphate, and calcium-phosphate product included older age, female sex, African American race, cigarette-years, current cigarette smoking, low body mass index, low-density lipoprotein cholesterol, high-density lipoprotein cholesterol, triglycerides, low serum albumin, low GFR, low caloric intake, and phosphorus intake. With adjustment for age, demographic characteristics, comorbid conditions, albumin, and GFR, calcium-associated hazards ratios for coronary heart disease, stroke, and death were, respectively, 1.01 (95% confidence interval 0.96-1.06), 1.16 (1.07-1.26, P = .0005), and 1.03 (0.98-1.08); phosphate-associated hazards ratios were 1.03 (0.98-1.08), 1.11 (1.02-1.21, P = .0219), and 1.14 (1.09-1.20, P &lt; .0001); calcium-phosphate product-associated hazards ratios were 1.03 (0.98-1.08), 1.15 (1.05-1.26, P = .0017), and 1.15 (1.09-1.20, P &lt; .0001).\nConclusions\nAlthough calcium, phosphate, and calcium-phosphate product levels exhibit complex associations with traditional cardiovascular risk factors and outcomes, they may be potentially modifiable risk factors for stroke and death in community-dwelling adults.","container-title":"American Heart Journal","DOI":"10.1016/j.ahj.2008.05.016","ISSN":"0002-8703","issue":"3","journalAbbreviation":"American Heart Journal","language":"en","page":"556-563","source":"ScienceDirect","title":"Calcium-phosphate levels and cardiovascular disease in community-dwelling adults: The Atherosclerosis Risk in Communities (ARIC) Study","title-short":"Calcium-phosphate levels and cardiovascular disease in community-dwelling adults","volume":"156","author":[{"family":"Foley","given":"Robert N."},{"family":"Collins","given":"Allan J."},{"family":"Ishani","given":"Areef"},{"family":"Kalra","given":"Philip A."}],"issued":{"date-parts":[["2008",9,1]]},"citation-key":"foleyCalciumphosphateLevelsCardiovascular2008"}},{"id":10705,"uris":["http://zotero.org/users/7317906/items/XKPS2AC7"],"itemData":{"id":10705,"type":"article-journal","abstract":"Some epidemiological evidence shows a link between abnormality of lipid profiles and variations in serum calcium. However, it is unknown whether this association resulted from confounding factors. The present study was designed to investigate the relationship between serum lipids and calcium. Serum calcium was corrected for albumin. Major confounding factors including age, gender, medications, menopause, parathyroid hormone (PTH) and 25-OH-vitamin D status were controlled in analyses. A total of 1907 adult subjects from the province of Newfoundland and Labrador (NL), Canada participated in the study. Significant positive correlations were detected between serum total cholesterol and high density lipoprotein-cholesterol (HDL-c) with variations of serum Ca++ in both genders (p &lt; 0.05?0.0001). Significant positive correlations were additionally detected between triglycerides (TG) and low density lipoprotein-cholesterol (LDL-c) with Ca++ in women only (p &lt; 0.0001) in partial correlation analyses. Similar significant results were detected in both females and males not taking any medication. Analyses were performed based on menopausal status as well. Significant correlations were seen in both pre- and post-menopausal women but higher correlation coefficients were observed in pre-menopausal women as compared to post-menopausal women. Subjects with low calcium levels had the lowest concentration of total cholesterol, TG, HDL-c and LDL-c, while subjects with high calcium levels had the highest concentration of all four markers in women. The significant associations between cholesterol, TG and LDL-c and serum Ca++ remained after calcium was adjusted for 25-OH-vitamin D and PTH. Our results indicate that the abnormality of serum lipid profiles are significantly correlated with altered serum Ca++ levels independent of age, obesity status, medication, phosphorus, magnesium, 25-OH-vitamin D and PTH.","container-title":"Clinical medicine. Endocrinology and diabetes","DOI":"10.4137/CMED.S2974","ISSN":"1178-1173","language":"en","note":"publisher: SAGE Publications","page":"CMED.S2974","source":"SAGE Journals","title":"Clinical Medicine: Endocrinology and Diabetes: Abnormality of Serum Lipids are Independently Associated with Increased Serum Calcium Level in the Adult Newfoundland Population","title-short":"Clinical Medicine","volume":"2","author":[{"family":"Kennedy","given":"Aaron"},{"family":"Vasdev","given":"Sudesh"},{"family":"Randell","given":"Edward"},{"family":"Xie","given":"Ya-Gang"},{"family":"Green","given":"Kristian"},{"family":"Zhang","given":"Hongwei"},{"family":"Sun","given":"Guang"}],"issued":{"date-parts":[["2009",1,1]]},"citation-key":"kennedyClinicalMedicineEndocrinology2009"}},{"id":10699,"uris":["http://zotero.org/users/7317906/items/Z6H2D948"],"itemData":{"id":10699,"type":"article-journal","abstract":"Despite the well-documented role of calcium in cell metabolism, its role in the development of cardiovascular disease is still under heavy debate. Several studies suggest that calcium supplementation might be associated with an increased risk of coronary heart disease, whereas others underline a significant effect on lowering high blood pressure and hyperlipidemia. The purpose of this study was to investigate, in a large nonselected cohort from South Italy, if serum calcium levels correlate with lipid values and can therefore be linked to higher individual cardiovascular risk., Eight-thousand-six-hundred-ten outpatients addressed to the Laboratory of Clinical Biochemistry, University of Magna Græcia, Catanzaro, Italy from January 2012 to December 2013 for routine blood tests, were enrolled in the study. Total HDL-, LDL- and non-HDL colesterol, triglycerides, and calcium were determined with standard methods., We observed a significant association between total cholesterol, LDL-cholesterol, HDL-cholesterol, non-HDL cholesterol, triglycerides, and serum calcium in men and postmenopause women. Interestingly, in premenopause women, we only found a direct correlation between serum calcium, total cholesterol, and HDL-cholesterol. Calcium significantly increased while increasing total cholesterol and triglycerides in men and postmenopause women., Our results confirm that progressive increase of serum calcium level correlates with worsening of lipid profile in our study population. Therefore, we suggest that a greater caution should be used in calcium supplement prescription particularly in men and women undergoing menopause, in which an increase of serum lipids is already known to be associated with a higher cardiovascular risk.","container-title":"Medicine","DOI":"10.1097/MD.0000000000002774","ISSN":"0025-7974","issue":"8","journalAbbreviation":"Medicine (Baltimore)","note":"PMID: 26937904\nPMCID: PMC4779001","page":"e2774","source":"PubMed Central","title":"Serum Calcium Increase Correlates With Worsening of Lipid Profile","volume":"95","author":[{"family":"Gallo","given":"Luigia"},{"family":"Faniello","given":"Maria C."},{"family":"Canino","given":"Giovanni"},{"family":"Tripolino","given":"Cesare"},{"family":"Gnasso","given":"Agostino"},{"family":"Cuda","given":"Giovanni"},{"family":"Costanzo","given":"Francesco S."},{"family":"Irace","given":"Concetta"}],"issued":{"date-parts":[["2016",3,3]]},"citation-key":"galloSerumCalciumIncrease2016"}},{"id":10395,"uris":["http://zotero.org/users/7317906/items/P89YLSCG"],"itemData":{"id":10395,"type":"article-journal","abstract":"Our previous studies showed that serum calcium level may have influence in the blood pressure to older male subjects, but the relationship between serum calcium level and blood lipids is unclear. The aim of this study was to evaluate the relationship between total serum calcium level and blood lipids. In our study, total serum calcium level and blood lipids were measured among 1,075 subjects, with age range of 30–60 years, who were recruited for the routine health screening in 2006. The results showed that serum calcium level was positively correlated with triglyceride and total cholesterol weight, but not HDL-cholesterol and LDL-cholesterol in female subjects (P&lt;0.05). No correlation was found between total serum calcium level and blood lipids in male subjects (P&gt;0.05). These findings suggest that a higher total serum calcium level may have a adverse effects on serum cholesterol and triglycerides among female subjects.","container-title":"Biological Trace Element Research","DOI":"10.1007/s12011-014-9895-9","ISSN":"0163-4984, 1559-0720","issue":"3","journalAbbreviation":"Biol Trace Elem Res","language":"en","page":"191-194","source":"DOI.org (Crossref)","title":"Total Serum Calcium Level May Have Adverse Effects on Serum Cholesterol and Triglycerides Among Female University Faculty and Staffs","volume":"157","author":[{"family":"He","given":"Lianping"},{"family":"Qian","given":"Yifan"},{"family":"Ren","given":"Xiaohua"},{"family":"Jin","given":"Yuelong"},{"family":"Chang","given":"Weiwei"},{"family":"Li","given":"Jie"},{"family":"Chen","given":"Yan"},{"family":"Song","given":"Xiuli"},{"family":"Tang","given":"Hui"},{"family":"Ding","given":"Lingling"},{"family":"Guo","given":"Daoxia"},{"family":"Yao","given":"Yingshui"}],"issued":{"date-parts":[["2014",3]]},"citation-key":"heTotalSerumCalcium2014"}},{"id":10694,"uris":["http://zotero.org/users/7317906/items/3K3SR4LH"],"itemData":{"id":10694,"type":"article-journal","abstract":"To study the association between serum calcium and serum lipids, data from 5394 men and 4800 women in the Belgian Interuniversity Research on Nutrition and Health (25–74 years) were used. By visual inspection of the data a linear increase of both total and HDL cholesterol with serum calcium levels was observed, consistently over all age groups and both sexes. In order to adjust the measured serum calcium concentrations for total serum protein, statistical analyses were performed using Parfitt's correction formula. Multivariate analysis showed in both sexes a highly significant positive association between corrected calcium and total cholesterol independent of age, systolic blood pressure, body mass index, serum uric acid, P/S ratio of diet, cholesterol intake, smoking, educational level and geographical area. The adjusted differences in total cholesterol between the lowest and highest quartile range of the calcium distribution were about 13 mg/dl for both men and women. Protein-corrected calcium was among the strongest correlates with total cholesterol. The analysis of the relation with HDL cholesterol revealed an effect modification by gender. For men no statistically significant correlation between calcium and HDL cholesterol was observed while for women a strong increase of HDL with protein-corrected calcium was found resulting in an adjusted difference of 2.5 mg/dl between the lowest and highest calcium quartile range.","container-title":"Atherosclerosis","DOI":"10.1016/0021-9150(94)90114-7","ISSN":"0021-9150","issue":"2","journalAbbreviation":"Atherosclerosis","language":"en","page":"193-200","source":"ScienceDirect","title":"Epidemiological evidence for an association between serum calcium and serum lipids","volume":"108","author":[{"family":"De Bacquer","given":"D."},{"family":"De Henauw","given":"S."},{"family":"De Backer","given":"G."},{"family":"Kornitzer","given":"M."}],"issued":{"date-parts":[["1994",8,1]]},"citation-key":"debacquerEpidemiologicalEvidenceAssociation1994"}},{"id":10718,"uris":["http://zotero.org/users/7317906/items/PNBU4WL7"],"itemData":{"id":10718,"type":"article-journal","abstract":"The association of serum calcium with blood pressure (BP), was examined in a group of 727 male industrial workers aged 20–69 in Israel, who underwent screening for risk factors for cardiovascular disease. Serum calcium was found to be significantly correlated with systolic BP (r=0.18, p&amp;lt;0.001) only among those under the age of 40. This association persisted after adjustment for age and serum albumin levels but was not statistically significant after further adjustment for serum cholesterol. These findings contribute to the evidence implicating calcium as a key factor in the control of blood pressure. However, the fact that adjustment for serum cholesterol levels eliminated the significance of the association between BP and serum calcium suggests that this association may not be direct.","container-title":"International Journal of Epidemiology","DOI":"10.1093/ije/16.4.532","ISSN":"0300-5771","issue":"4","journalAbbreviation":"International Journal of Epidemiology","page":"532-536","source":"Silverchair","title":"Interrelationships between Blood Pressure, Serum Calcium and Other Biochemical Variables","volume":"16","author":[{"family":"Green","given":"Manfred A."},{"family":"Jucha","given":"Eliezer"}],"issued":{"date-parts":[["1987",12,1]]},"citation-key":"greenInterrelationshipsBloodPressure1987"}}],"schema":"https://github.com/citation-style-language/schema/raw/master/csl-citation.json"} </w:instrText>
      </w:r>
      <w:r w:rsidR="008331E6" w:rsidRPr="00104CE7">
        <w:rPr>
          <w:color w:val="FF0000"/>
        </w:rPr>
        <w:fldChar w:fldCharType="separate"/>
      </w:r>
      <w:r w:rsidR="008331E6" w:rsidRPr="00104CE7">
        <w:rPr>
          <w:color w:val="FF0000"/>
        </w:rPr>
        <w:t>[1–9]</w:t>
      </w:r>
      <w:r w:rsidR="008331E6" w:rsidRPr="00104CE7">
        <w:rPr>
          <w:color w:val="FF0000"/>
        </w:rPr>
        <w:fldChar w:fldCharType="end"/>
      </w:r>
      <w:r w:rsidR="008331E6" w:rsidRPr="00104CE7">
        <w:rPr>
          <w:color w:val="FF0000"/>
        </w:rPr>
        <w:t xml:space="preserve">.  Note that several other studies demonstrated significant positive associations, but were analyzed by </w:t>
      </w:r>
      <w:r w:rsidR="00104CE7" w:rsidRPr="00104CE7">
        <w:rPr>
          <w:color w:val="FF0000"/>
        </w:rPr>
        <w:t>quantile</w:t>
      </w:r>
      <w:r w:rsidR="008331E6" w:rsidRPr="00104CE7">
        <w:rPr>
          <w:color w:val="FF0000"/>
        </w:rPr>
        <w:t xml:space="preserve"> regression </w:t>
      </w:r>
      <w:r w:rsidR="00104CE7" w:rsidRPr="00104CE7">
        <w:rPr>
          <w:color w:val="FF0000"/>
        </w:rPr>
        <w:fldChar w:fldCharType="begin"/>
      </w:r>
      <w:r w:rsidR="00104CE7" w:rsidRPr="00104CE7">
        <w:rPr>
          <w:color w:val="FF0000"/>
        </w:rPr>
        <w:instrText xml:space="preserve"> ADDIN ZOTERO_ITEM CSL_CITATION {"citationID":"l812e6RS","properties":{"formattedCitation":"[10\\uc0\\u8211{}13]","plainCitation":"[10–13]","noteIndex":0},"citationItems":[{"id":10703,"uris":["http://zotero.org/users/7317906/items/9EASLSSW"],"itemData":{"id":10703,"type":"article-journal","abstract":"The aim of this cross-sectional study was to examine the association between serum calcium and the components of metabolic syndrome (MetS).As a part of the national prevention program of diabetes in Finland (FIN-D2D), a randomly selected study population of 4500 middle-aged men and women were recruited from three central hospital district areas. Anthropometric measurements were performed by a trained nurse. An oral glucose tolerance test was performed and serum calcium and lipids were measured. We assessed current medications, physical activity, smoking, alcohol consumption, calcium intake, and vitamin D intake. The MetS was defined according to the criteria of the updated National Education Program. The study population consisted of 2896 individuals: 1396 men (62% of invited individuals) and 1500 women (66.7% of invited individuals).The mean age was 60.3±8.3 years in men and 59.8±8.5 years in women. The prevalence of MetS was 50.7% in women and 55.8% in men. The prevalence of MetS and its components, except high-density lipoprotein (HDL)-cholesterol, increased linearly with increasing serum calcium (P&amp;lt;0.001), even after adjustment for age, physical activity, alcohol, vitamin D intake, calcium intake, and smoking. The threshold value for serum calcium for MetS was 2.50 mmol/l in this population. The association of MetS with total serum calcium was similar even after exclusion of patients treated with hypertensive drugs. The drug treatments for hypertension, dyslipidemia, and diabetes increased in a similar pattern.Serum calcium level is associated with MetS and its components, except HDL-cholesterol.","container-title":"European Journal of Endocrinology","DOI":"10.1530/EJE-11-0066","ISSN":"0804-4643","issue":"3","journalAbbreviation":"European Journal of Endocrinology","page":"429-434","source":"Silverchair","title":"Serum calcium level is associated with metabolic syndrome in the general population: FIN-D2D study","title-short":"Serum calcium level is associated with metabolic syndrome in the general population","volume":"165","author":[{"family":"Saltevo","given":"J"},{"family":"Niskanen","given":"Leo"},{"family":"Kautiainen","given":"Hannu"},{"family":"Teittinen","given":"Jorma"},{"family":"Oksa","given":"Heikki"},{"family":"Korpi-Hyövälti","given":"Eeva"},{"family":"Sundvall","given":"Jouko"},{"family":"Männistö","given":"Satu"},{"family":"Peltonen","given":"Markku"},{"family":"Mäntyselkä","given":"Pekka"},{"family":"Vanhala","given":"Mauno"}],"issued":{"date-parts":[["2011",9,1]]},"citation-key":"saltevoSerumCalciumLevel2011"}},{"id":10722,"uris":["http://zotero.org/users/7317906/items/MNI3YHSI"],"itemData":{"id":10722,"type":"article-journal","abstract":"Background and aims\nPrevious epidemiological studies have shown positive associations between serum calcium concentration and risk of cardiovascular disease (CVD), but results differ by definition of CVD. We examined the association of circulating calcium with incident and fatal CVD, myocardial infarction (MI), and stroke in the Swedish AMORIS cohort.\nMethods\nWe included 441,738 participants of the AMORIS database linked for follow-up information on morbidity and mortality. Concentrations of total calcium were fully automated measured using a colorimetric method; concentrations of albumin were measured with a bromocresol green method between 1985 and 1995. The association of albumin-corrected calcium concentration and risk of incident and fatal CVD, MI, and stroke, respectively, was assessed with multivariable adjusted Cox proportional hazards models.\nResults\nUntil December 31, 2011, during a median follow-up time of 21 years, 90,866 incident cases of CVD, 21,271 of MI, and 25,810 of stroke were identified. High serum calcium concentrations were associated with increased risk of non-fatal CVD (Hazard ratio [HR] = 1.12, 95% CI 1.10–1.14, top [≥2.40 nmol/L] vs. bottom [≤2–25 nmol/L] quintile), MI (1.19, 1.14–1.25), and stroke (1.11, 1.06–1.15) and fatal disease (CVD: 1.41, 1.35–1.47; MI: 1.41, 1.31–1.51; stroke: 1.30, 1.20–1.41). Effect modification by sex was observed for incident disease such that associations were stronger among women than men. Serum calcium was positively associated with both incident and fatal ischemic stroke and with fatal hemorrhagic stroke, but not with incident hemorrhagic stroke. In a sub-groups analysis, the results remained significant after adjustment for smoking.\nConclusions\nThe results support a modest positive association between serum calcium and risk of CVD, but the underlying mineral metabolism and the exact mechanisms are currently unclear.","container-title":"Atherosclerosis","DOI":"10.1016/j.atherosclerosis.2016.06.004","ISSN":"0021-9150","journalAbbreviation":"Atherosclerosis","language":"en","page":"85-93","source":"ScienceDirect","title":"Association between serum calcium concentration and risk of incident and fatal cardiovascular disease in the prospective AMORIS study","volume":"251","author":[{"family":"Rohrmann","given":"Sabine"},{"family":"Garmo","given":"Hans"},{"family":"Malmström","given":"Håkan"},{"family":"Hammar","given":"Niklas"},{"family":"Jungner","given":"Ingmar"},{"family":"Walldius","given":"Göran"},{"family":"Van Hemelrijck","given":"Mieke"}],"issued":{"date-parts":[["2016",8,1]]},"citation-key":"rohrmannAssociationSerumCalcium2016"}},{"id":10713,"uris":["http://zotero.org/users/7317906/items/JWEETBYU"],"itemData":{"id":10713,"type":"article-journal","abstract":"Serum calcium, although only comprising 1% of total body calcium, is involved in intracellular signal pathways, vascular dilatation/constriction, and muscle contraction, which are crucial for insulin secretion, cholesterol catabolism, and blood pressure regulation. As far as we know, research on the relationship between serum calcium level and metabolic syndrome (MetS), diabetes, and hypertension in one longitudinal study is rare. Owing to the crucial role of serum calcium in human cardiometabolic physiology and lack of related study so far, this study aims to describe the relationship between serum calcium level and the incidence of MetS, diabetes, and hypertension. During the period 2010–2016, there are two parts to our study: cross-sectional analysis and longitudinal analysis. Logistic regression was applied for cross-sectional analysis of the association between serum calcium level or albumin-corrected calcium (ACCA) and the prevalence of MetS, diabetes, or hypertension. Receiver operating characteristic (ROC) curve analysis was used for calculating of optimal cut-off value of serum calcium and ACCA. Cox proportional regression for development of MetS, diabetes, and hypertension according to different cut-off values of serum calcium level and ACCA were conducted. At baseline, there were 27,364 participants in our study. Serum calcium level had positive association with diabetes in the total population, male, and female. ACCA level had positive association with diabetes in the total population, male, and female. In unadjusted and multivariate Cox proportional hazard models, serum calcium level was associated with increased risk of incident MetS in the total population and male. ACCA was associated with increased risk of incident MetS in the total population and male. ACCA was associated with increased risk of incident diabetes in the total population and male participants. This study describes the relationship between serum calcium level and the incidence of MetS, diabetes, and hypertension. Higher serum calcium level is associated with increased risk of MetS, diabetes, and hypertension.","container-title":"Scientific Reports","DOI":"10.1038/s41598-020-60209-w","ISSN":"2045-2322","issue":"1","journalAbbreviation":"Sci Rep","language":"en","license":"2020 The Author(s)","note":"number: 1\npublisher: Nature Publishing Group","page":"3192","source":"www.nature.com","title":"Association between Serum Calcium and Risk of Cardiometabolic Disease among Community-dwelling Adults in Taiwan","volume":"10","author":[{"family":"Chou","given":"Cheng-Wai"},{"family":"Fang","given":"Wen-Hui"},{"family":"Chen","given":"Yuan-Yuei"},{"family":"Wang","given":"Chung-Ching"},{"family":"Kao","given":"Tung-Wei"},{"family":"Wu","given":"Chen-Jung"},{"family":"Chen","given":"Wei-Liang"}],"issued":{"date-parts":[["2020",2,21]]},"citation-key":"chouAssociationSerumCalcium2020"}},{"id":10715,"uris":["http://zotero.org/users/7317906/items/EPSLCLWP"],"itemData":{"id":10715,"type":"article-journal","abstract":"J Clin Hypertens (Greenwich). 2011;13:716–721. ©2011 Wiley Periodicals, Inc. Serum calcium levels have been shown to be associated with cardiovascular disease (CVD); however, it is not clear whether serum calcium levels are related to hypertension, a risk factor for CVD. The authors examined the association between serum calcium and hypertension in a representative sample of US adults. A cross-sectional study of 12,405 third National Health and Nutrition Examination Survey participants 20 years and older was conducted. Serum total and ionized calcium levels were analyzed as quartiles. The main outcome of interest was hypertension (n=3437), defined as self-reported use of antihypertensive medication and/or systolic blood pressure ≥140 mm Hg or diastolic blood pressure ≥90 mm Hg. Elevated serum total calcium levels were positively associated with hypertension, independent of potential confounders including C-reactive protein, estimated glomerular filtration rate, serum albumin, 25(OH)D, and phosphorous. Compared with the lowest quartile of serum total calcium (referent category), the multivariable odds ratio (95% confidence interval) of hypertension was 1.49 (1.15–1.93) for the highest quartile (P=.005). This association persisted in subgroup analyses stratified by sex, age, and race-ethnicity. In contrast, serum ionized calcium levels were not associated with hypertension. Higher serum total calcium levels are positively associated with hypertension in a representative sample of US adults.","container-title":"The Journal of Clinical Hypertension","DOI":"10.1111/j.1751-7176.2011.00503.x","ISSN":"1751-7176","issue":"10","language":"en","note":"_eprint: https://onlinelibrary.wiley.com/doi/pdf/10.1111/j.1751-7176.2011.00503.x","page":"716-721","source":"Wiley Online Library","title":"Serum Calcium Levels and Hypertension Among US Adults","volume":"13","author":[{"family":"Sabanayagam","given":"Charumathi"},{"family":"Shankar","given":"Anoop"}],"issued":{"date-parts":[["2011"]]},"citation-key":"sabanayagamSerumCalciumLevels2011"}}],"schema":"https://github.com/citation-style-language/schema/raw/master/csl-citation.json"} </w:instrText>
      </w:r>
      <w:r w:rsidR="00104CE7" w:rsidRPr="00104CE7">
        <w:rPr>
          <w:color w:val="FF0000"/>
        </w:rPr>
        <w:fldChar w:fldCharType="separate"/>
      </w:r>
      <w:r w:rsidR="00104CE7" w:rsidRPr="00104CE7">
        <w:rPr>
          <w:color w:val="FF0000"/>
        </w:rPr>
        <w:t>[10–13]</w:t>
      </w:r>
      <w:r w:rsidR="00104CE7" w:rsidRPr="00104CE7">
        <w:rPr>
          <w:color w:val="FF0000"/>
        </w:rPr>
        <w:fldChar w:fldCharType="end"/>
      </w:r>
      <w:r w:rsidR="00104CE7" w:rsidRPr="00104CE7">
        <w:rPr>
          <w:color w:val="FF0000"/>
        </w:rPr>
        <w:t xml:space="preserve"> or only reported LDL-C not cholesterol </w:t>
      </w:r>
      <w:r w:rsidR="00104CE7" w:rsidRPr="00104CE7">
        <w:rPr>
          <w:color w:val="FF0000"/>
        </w:rPr>
        <w:fldChar w:fldCharType="begin"/>
      </w:r>
      <w:r w:rsidR="00104CE7" w:rsidRPr="00104CE7">
        <w:rPr>
          <w:color w:val="FF0000"/>
        </w:rPr>
        <w:instrText xml:space="preserve"> ADDIN ZOTERO_ITEM CSL_CITATION {"citationID":"wmZgFYxU","properties":{"formattedCitation":"[14]","plainCitation":"[14]","noteIndex":0},"citationItems":[{"id":10690,"uris":["http://zotero.org/users/7317906/items/F6VNJ6GQ"],"itemData":{"id":10690,"type":"article-journal","abstract":"Lipoprotein cholesterol determinations in 6328 individuals aged 20 to 79 years in the Framingham Heart Study Cohort and Offspring were related by multiple regression analysis to reported cigarette smoking, alcohol intake, and Quetelet Index (wt/ht2). Cigarette smoking was found to be strongly associated with \"atherogenic\" lipoprotein cholesterol profiles in young adults, and particularly in women. The associations for alcohol intake were mostly uniform across age groups and lipoprotein cholesterol fractions, while coefficients for Quetelet Index varied considerably. Blood chemistry associations were studied in participants under 50 years, after controlling for smoking, Quetelet Index, and alcohol intake. Significant associations for high density lipoprotein cholesterol (HDL-C) were seen for both sexes with alkaline phosphatase, serum calcium, serum u ric acid, and leucocyte count. Low density lipoprotein cholesterol (LDL-C) associations were observed with calcium, hematocrit, lactate dehydrogenase, and leucocyte count in men and women, while very low density lipoprotein cholesterol (VLDL-C) associations occurred with alkaline phosphatase, glucose, uric acid, and leucocyte count in both sexes. A 1 mg/dl higher calcium corresponded to an HDL-C approximately 4 mg/dl greater and a LDL-C typically 6 mg/dl greater after controlling for 12 other variables. A 1000/ml increase in leucocyte count was typically associated with a decrease in HDL-C by 1 mg/dl and an increase in LDL-C and VLDL-C of 1 mg/dl each.","container-title":"Arteriosclerosis: An Official Journal of the American Heart Association, Inc.","DOI":"10.1161/01.ATV.3.3.273","issue":"3","note":"publisher: American Heart Association","page":"273-281","source":"ahajournals.org (Atypon)","title":"Factors associated with lipoprotein cholesterol levels. The Framingham study.","volume":"3","author":[{"family":"Wilson","given":"P W"},{"family":"Garrison","given":"R J"},{"family":"Abbott","given":"R D"},{"family":"Castelli","given":"W P"}],"issued":{"date-parts":[["1983",5]]},"citation-key":"wilsonFactorsAssociatedLipoprotein1983"}}],"schema":"https://github.com/citation-style-language/schema/raw/master/csl-citation.json"} </w:instrText>
      </w:r>
      <w:r w:rsidR="00104CE7" w:rsidRPr="00104CE7">
        <w:rPr>
          <w:color w:val="FF0000"/>
        </w:rPr>
        <w:fldChar w:fldCharType="separate"/>
      </w:r>
      <w:r w:rsidR="00104CE7" w:rsidRPr="00104CE7">
        <w:rPr>
          <w:noProof/>
          <w:color w:val="FF0000"/>
        </w:rPr>
        <w:t>[14]</w:t>
      </w:r>
      <w:r w:rsidR="00104CE7" w:rsidRPr="00104CE7">
        <w:rPr>
          <w:color w:val="FF0000"/>
        </w:rPr>
        <w:fldChar w:fldCharType="end"/>
      </w:r>
      <w:r w:rsidR="00104CE7" w:rsidRPr="00104CE7">
        <w:rPr>
          <w:color w:val="FF0000"/>
        </w:rPr>
        <w:t xml:space="preserve"> so could not be integrated in this meta-analysis.  We feel that the work reported in this manuscript in experimental animals is strongly supportive of this human data and we look forward to publishing this meta-analysis of the human associations separately.</w:t>
      </w:r>
    </w:p>
    <w:p w14:paraId="50C5B4F4" w14:textId="49CCE445" w:rsidR="00104CE7" w:rsidRPr="00104CE7" w:rsidRDefault="006834E1" w:rsidP="00104CE7">
      <w:pPr>
        <w:rPr>
          <w:color w:val="FF0000"/>
        </w:rPr>
      </w:pPr>
      <w:r w:rsidRPr="00104CE7">
        <w:rPr>
          <w:color w:val="FF0000"/>
        </w:rPr>
        <w:t>In terms of experimental rigor</w:t>
      </w:r>
      <w:r w:rsidR="00104CE7" w:rsidRPr="00104CE7">
        <w:rPr>
          <w:color w:val="FF0000"/>
        </w:rPr>
        <w:t>, our approach has several advantages over the human observational studies including known and controlled diets, and environmental conditions.  This is noted in the discussion on lines 188-191:</w:t>
      </w:r>
    </w:p>
    <w:p w14:paraId="01097E0C" w14:textId="545E00EF" w:rsidR="00104CE7" w:rsidRDefault="00104CE7" w:rsidP="00104CE7">
      <w:pPr>
        <w:ind w:left="720"/>
        <w:rPr>
          <w:b/>
          <w:color w:val="FF0000"/>
        </w:rPr>
      </w:pPr>
      <w:r w:rsidRPr="00104CE7">
        <w:rPr>
          <w:b/>
          <w:color w:val="FF0000"/>
        </w:rPr>
        <w:t>We present data on a large number of mice roughly equally divided between sexes and two diets and find consistent results across all groups. We have exceptional control of confounders such as diets, environment, activity levels, and other exposures that could affect the interpretation of the human studies</w:t>
      </w:r>
    </w:p>
    <w:p w14:paraId="2C43F963" w14:textId="4470FE7D" w:rsidR="00104CE7" w:rsidRDefault="00104CE7" w:rsidP="00104CE7">
      <w:pPr>
        <w:rPr>
          <w:color w:val="FF0000"/>
        </w:rPr>
      </w:pPr>
      <w:r w:rsidRPr="00104CE7">
        <w:rPr>
          <w:color w:val="FF0000"/>
        </w:rPr>
        <w:t>As an example, calcium and lipid intake varies widely among humans, and diets high in calcium and lipid foods could result in confounded human data.  This is noted as a limitation in most of the human studies.  This is not a concern in our studies where the diets are entirely controlled.  This reduces variability and increases the rigor of the association between calcium and cholesterol.  To demonstrate this, the estimated association in humans is r=0.17 (Response Figure 1), but in mice it is 0.39-.048.  We believe that this is due to the increased dietary and environmental control, and therefore the reduced variability in the mouse studies.</w:t>
      </w:r>
      <w:r>
        <w:rPr>
          <w:color w:val="FF0000"/>
        </w:rPr>
        <w:t xml:space="preserve">  As such this increases the confidence of the generalizability of our findings.  </w:t>
      </w:r>
      <w:bookmarkStart w:id="0" w:name="_GoBack"/>
      <w:bookmarkEnd w:id="0"/>
    </w:p>
    <w:p w14:paraId="45679E5F" w14:textId="04C0E1D4" w:rsidR="00104CE7" w:rsidRPr="00104CE7" w:rsidRDefault="002F28A6" w:rsidP="00104CE7">
      <w:pPr>
        <w:rPr>
          <w:color w:val="FF0000"/>
        </w:rPr>
      </w:pPr>
      <w:r>
        <w:rPr>
          <w:color w:val="FF0000"/>
        </w:rPr>
        <w:t>Finally,</w:t>
      </w:r>
      <w:r w:rsidR="00104CE7">
        <w:rPr>
          <w:color w:val="FF0000"/>
        </w:rPr>
        <w:t xml:space="preserve"> the extension of these associations to experimental </w:t>
      </w:r>
      <w:r>
        <w:rPr>
          <w:color w:val="FF0000"/>
        </w:rPr>
        <w:t xml:space="preserve">mouse </w:t>
      </w:r>
      <w:r w:rsidR="00104CE7">
        <w:rPr>
          <w:color w:val="FF0000"/>
        </w:rPr>
        <w:t>systems</w:t>
      </w:r>
      <w:r>
        <w:rPr>
          <w:color w:val="FF0000"/>
        </w:rPr>
        <w:t xml:space="preserve"> (</w:t>
      </w:r>
      <w:r w:rsidR="00104CE7">
        <w:rPr>
          <w:color w:val="FF0000"/>
        </w:rPr>
        <w:t>which this study is the first demonstration</w:t>
      </w:r>
      <w:r>
        <w:rPr>
          <w:color w:val="FF0000"/>
        </w:rPr>
        <w:t>)</w:t>
      </w:r>
      <w:r w:rsidR="00104CE7">
        <w:rPr>
          <w:color w:val="FF0000"/>
        </w:rPr>
        <w:t xml:space="preserve"> enables </w:t>
      </w:r>
      <w:r>
        <w:rPr>
          <w:color w:val="FF0000"/>
        </w:rPr>
        <w:t xml:space="preserve">dissection of the causal mechanisms that both our team and the reviewer are eager to delineate.  Without the knowledge that cholesterol and calcium levels are associated in mice, it would be premature to test how calcium regulates cholesterol (and </w:t>
      </w:r>
      <w:r w:rsidR="007A4906">
        <w:rPr>
          <w:color w:val="FF0000"/>
        </w:rPr>
        <w:t>vice</w:t>
      </w:r>
      <w:r>
        <w:rPr>
          <w:color w:val="FF0000"/>
        </w:rPr>
        <w:t xml:space="preserve"> versa), so these data are critical to those efforts. </w:t>
      </w:r>
    </w:p>
    <w:p w14:paraId="1DF179C3" w14:textId="0D9309DB" w:rsidR="006834E1" w:rsidRDefault="002F28A6" w:rsidP="007B0B93">
      <w:pPr>
        <w:rPr>
          <w:rFonts w:ascii="Arial" w:hAnsi="Arial" w:cs="Arial"/>
          <w:color w:val="FF0000"/>
          <w:sz w:val="20"/>
          <w:szCs w:val="20"/>
          <w:shd w:val="clear" w:color="auto" w:fill="FEFEFE"/>
        </w:rPr>
      </w:pPr>
      <w:r w:rsidRPr="002F28A6">
        <w:rPr>
          <w:rFonts w:ascii="Arial" w:hAnsi="Arial" w:cs="Arial"/>
          <w:color w:val="FF0000"/>
          <w:sz w:val="20"/>
          <w:szCs w:val="20"/>
          <w:shd w:val="clear" w:color="auto" w:fill="FEFEFE"/>
        </w:rPr>
        <w:t>We decided not to over-reach and extend our findings to discussions of cardiovascular disease, as this was not observed in our animal models.</w:t>
      </w:r>
      <w:r w:rsidR="007A4906">
        <w:rPr>
          <w:rFonts w:ascii="Arial" w:hAnsi="Arial" w:cs="Arial"/>
          <w:color w:val="FF0000"/>
          <w:sz w:val="20"/>
          <w:szCs w:val="20"/>
          <w:shd w:val="clear" w:color="auto" w:fill="FEFEFE"/>
        </w:rPr>
        <w:t xml:space="preserve">  This is added as a limitation on line 211-212</w:t>
      </w:r>
    </w:p>
    <w:p w14:paraId="5CEDD69F" w14:textId="2DE2286E" w:rsidR="007A4906" w:rsidRPr="007A4906" w:rsidRDefault="007A4906" w:rsidP="007A4906">
      <w:pPr>
        <w:ind w:left="720"/>
        <w:rPr>
          <w:rFonts w:ascii="Arial" w:hAnsi="Arial" w:cs="Arial"/>
          <w:b/>
          <w:color w:val="FF0000"/>
          <w:sz w:val="20"/>
          <w:szCs w:val="20"/>
          <w:shd w:val="clear" w:color="auto" w:fill="FEFEFE"/>
        </w:rPr>
      </w:pPr>
      <w:r w:rsidRPr="007A4906">
        <w:rPr>
          <w:rFonts w:ascii="Arial" w:hAnsi="Arial" w:cs="Arial"/>
          <w:b/>
          <w:color w:val="FF0000"/>
          <w:sz w:val="20"/>
          <w:szCs w:val="20"/>
          <w:shd w:val="clear" w:color="auto" w:fill="FEFEFE"/>
        </w:rPr>
        <w:t>Finally, as cardiovascular disease is extremely rare in mice of this age and these strains we did not assess cardiovascular disease as an endpoint in this study.</w:t>
      </w:r>
    </w:p>
    <w:p w14:paraId="26F4C7B5" w14:textId="352D08F1" w:rsidR="006834E1" w:rsidRDefault="006834E1" w:rsidP="006834E1">
      <w:pPr>
        <w:pStyle w:val="Heading1"/>
        <w:rPr>
          <w:shd w:val="clear" w:color="auto" w:fill="FEFEFE"/>
        </w:rPr>
      </w:pPr>
      <w:r>
        <w:rPr>
          <w:shd w:val="clear" w:color="auto" w:fill="FEFEFE"/>
        </w:rPr>
        <w:t>Reviewer 2</w:t>
      </w:r>
    </w:p>
    <w:p w14:paraId="67F9B1FE" w14:textId="3B50D47E" w:rsidR="007B0B93" w:rsidRDefault="007B0B93" w:rsidP="007B0B93">
      <w:pPr>
        <w:rPr>
          <w:rFonts w:ascii="Arial" w:hAnsi="Arial" w:cs="Arial"/>
          <w:color w:val="0A0A0A"/>
          <w:sz w:val="20"/>
          <w:szCs w:val="20"/>
          <w:shd w:val="clear" w:color="auto" w:fill="FEFEFE"/>
        </w:rPr>
      </w:pPr>
      <w:r>
        <w:rPr>
          <w:rFonts w:ascii="Arial" w:hAnsi="Arial" w:cs="Arial"/>
          <w:color w:val="0A0A0A"/>
          <w:sz w:val="20"/>
          <w:szCs w:val="20"/>
          <w:shd w:val="clear" w:color="auto" w:fill="FEFEFE"/>
        </w:rPr>
        <w:t xml:space="preserve">Thank you for your careful reading of our manuscript.  We have added the additional information as noted below, and present in the revised manuscript (verbatim text in </w:t>
      </w:r>
      <w:r>
        <w:rPr>
          <w:rFonts w:ascii="Arial" w:hAnsi="Arial" w:cs="Arial"/>
          <w:b/>
          <w:color w:val="FF0000"/>
          <w:sz w:val="20"/>
          <w:szCs w:val="20"/>
          <w:shd w:val="clear" w:color="auto" w:fill="FEFEFE"/>
        </w:rPr>
        <w:t>red</w:t>
      </w:r>
      <w:r>
        <w:rPr>
          <w:rFonts w:ascii="Arial" w:hAnsi="Arial" w:cs="Arial"/>
          <w:color w:val="0A0A0A"/>
          <w:sz w:val="20"/>
          <w:szCs w:val="20"/>
          <w:shd w:val="clear" w:color="auto" w:fill="FEFEFE"/>
        </w:rPr>
        <w:t>).</w:t>
      </w:r>
    </w:p>
    <w:p w14:paraId="24F37F71" w14:textId="77777777" w:rsidR="007B0B93" w:rsidRDefault="007B0B93" w:rsidP="007B0B93">
      <w:pPr>
        <w:rPr>
          <w:rFonts w:ascii="Arial" w:hAnsi="Arial" w:cs="Arial"/>
          <w:color w:val="0A0A0A"/>
          <w:sz w:val="20"/>
          <w:szCs w:val="20"/>
          <w:shd w:val="clear" w:color="auto" w:fill="FEFEFE"/>
        </w:rPr>
      </w:pPr>
    </w:p>
    <w:p w14:paraId="5BE9A49F" w14:textId="2C6CC754" w:rsidR="007B0B93" w:rsidRPr="008C3995" w:rsidRDefault="007B0B93">
      <w:pPr>
        <w:rPr>
          <w:rFonts w:ascii="Arial" w:hAnsi="Arial" w:cs="Arial"/>
          <w:color w:val="0A0A0A"/>
          <w:sz w:val="20"/>
          <w:szCs w:val="20"/>
          <w:shd w:val="clear" w:color="auto" w:fill="FEFEFE"/>
        </w:rPr>
      </w:pPr>
      <w:r w:rsidRPr="008C3995">
        <w:rPr>
          <w:rFonts w:ascii="Arial" w:hAnsi="Arial" w:cs="Arial"/>
          <w:color w:val="0A0A0A"/>
          <w:sz w:val="20"/>
          <w:szCs w:val="20"/>
          <w:shd w:val="clear" w:color="auto" w:fill="FEFEFE"/>
        </w:rPr>
        <w:t xml:space="preserve">Line 63: it is not clear which details are included in the previous publication. Please </w:t>
      </w:r>
      <w:proofErr w:type="spellStart"/>
      <w:r w:rsidRPr="008C3995">
        <w:rPr>
          <w:rFonts w:ascii="Arial" w:hAnsi="Arial" w:cs="Arial"/>
          <w:color w:val="0A0A0A"/>
          <w:sz w:val="20"/>
          <w:szCs w:val="20"/>
          <w:shd w:val="clear" w:color="auto" w:fill="FEFEFE"/>
        </w:rPr>
        <w:t>specifiy</w:t>
      </w:r>
      <w:proofErr w:type="spellEnd"/>
      <w:r w:rsidRPr="008C3995">
        <w:rPr>
          <w:rFonts w:ascii="Arial" w:hAnsi="Arial" w:cs="Arial"/>
          <w:color w:val="0A0A0A"/>
          <w:sz w:val="20"/>
          <w:szCs w:val="20"/>
          <w:shd w:val="clear" w:color="auto" w:fill="FEFEFE"/>
        </w:rPr>
        <w:t xml:space="preserve">: </w:t>
      </w:r>
    </w:p>
    <w:p w14:paraId="5D67D814" w14:textId="77777777" w:rsidR="008C3995" w:rsidRDefault="007B0B93" w:rsidP="008C3995">
      <w:pPr>
        <w:rPr>
          <w:rFonts w:ascii="Arial" w:hAnsi="Arial" w:cs="Arial"/>
          <w:b/>
          <w:bCs/>
          <w:color w:val="0A0A0A"/>
          <w:sz w:val="20"/>
          <w:szCs w:val="20"/>
          <w:shd w:val="clear" w:color="auto" w:fill="FEFEFE"/>
        </w:rPr>
      </w:pPr>
      <w:r w:rsidRPr="008C3995">
        <w:rPr>
          <w:rFonts w:ascii="Arial" w:hAnsi="Arial" w:cs="Arial"/>
          <w:color w:val="0A0A0A"/>
          <w:sz w:val="20"/>
          <w:szCs w:val="20"/>
          <w:shd w:val="clear" w:color="auto" w:fill="FEFEFE"/>
        </w:rPr>
        <w:t>Some typos or grammar errors are present all along the text</w:t>
      </w:r>
      <w:r>
        <w:rPr>
          <w:rFonts w:ascii="Arial" w:hAnsi="Arial" w:cs="Arial"/>
          <w:b/>
          <w:bCs/>
          <w:color w:val="0A0A0A"/>
          <w:sz w:val="20"/>
          <w:szCs w:val="20"/>
          <w:shd w:val="clear" w:color="auto" w:fill="FEFEFE"/>
        </w:rPr>
        <w:t xml:space="preserve">: </w:t>
      </w:r>
    </w:p>
    <w:p w14:paraId="546D8BA7" w14:textId="56D25085" w:rsidR="007B0B93" w:rsidRPr="006834E1" w:rsidRDefault="007B0B93" w:rsidP="008C3995">
      <w:pPr>
        <w:ind w:left="720"/>
        <w:rPr>
          <w:rFonts w:ascii="Arial" w:hAnsi="Arial" w:cs="Arial"/>
          <w:b/>
          <w:bCs/>
          <w:color w:val="FF0000"/>
          <w:sz w:val="20"/>
          <w:szCs w:val="20"/>
          <w:shd w:val="clear" w:color="auto" w:fill="FEFEFE"/>
        </w:rPr>
      </w:pPr>
      <w:r w:rsidRPr="006834E1">
        <w:rPr>
          <w:rFonts w:ascii="Arial" w:hAnsi="Arial" w:cs="Arial"/>
          <w:b/>
          <w:bCs/>
          <w:color w:val="FF0000"/>
          <w:sz w:val="20"/>
          <w:szCs w:val="20"/>
          <w:shd w:val="clear" w:color="auto" w:fill="FEFEFE"/>
        </w:rPr>
        <w:lastRenderedPageBreak/>
        <w:t>The manuscript has now been gone through and typos and grammatical errors have been identified and corrected.</w:t>
      </w:r>
    </w:p>
    <w:p w14:paraId="5804E76A" w14:textId="6F7E4B91" w:rsidR="007B0B93" w:rsidRPr="008C3995" w:rsidRDefault="007B0B93">
      <w:pPr>
        <w:rPr>
          <w:rFonts w:ascii="Arial" w:hAnsi="Arial" w:cs="Arial"/>
          <w:color w:val="0A0A0A"/>
          <w:sz w:val="20"/>
          <w:szCs w:val="20"/>
          <w:shd w:val="clear" w:color="auto" w:fill="FEFEFE"/>
        </w:rPr>
      </w:pPr>
      <w:r w:rsidRPr="008C3995">
        <w:rPr>
          <w:rFonts w:ascii="Arial" w:hAnsi="Arial" w:cs="Arial"/>
          <w:color w:val="0A0A0A"/>
          <w:sz w:val="20"/>
          <w:szCs w:val="20"/>
          <w:shd w:val="clear" w:color="auto" w:fill="FEFEFE"/>
        </w:rPr>
        <w:t>Data have to be reported as mean and standard deviation. Standard error is not the correct way to express the variability within the groups:</w:t>
      </w:r>
    </w:p>
    <w:p w14:paraId="76846263" w14:textId="77777777" w:rsidR="008C3995" w:rsidRPr="008C3995" w:rsidRDefault="007B0B93">
      <w:pPr>
        <w:rPr>
          <w:rFonts w:ascii="Arial" w:hAnsi="Arial" w:cs="Arial"/>
          <w:color w:val="0A0A0A"/>
          <w:sz w:val="20"/>
          <w:szCs w:val="20"/>
          <w:shd w:val="clear" w:color="auto" w:fill="FEFEFE"/>
        </w:rPr>
      </w:pPr>
      <w:r w:rsidRPr="008C3995">
        <w:rPr>
          <w:rFonts w:ascii="Arial" w:hAnsi="Arial" w:cs="Arial"/>
          <w:color w:val="0A0A0A"/>
          <w:sz w:val="20"/>
          <w:szCs w:val="20"/>
          <w:shd w:val="clear" w:color="auto" w:fill="FEFEFE"/>
        </w:rPr>
        <w:t xml:space="preserve">Figure 1: the sum of reported n in the box is 818 and not 822 as stated in the legend. I could not find any information on the body weight: </w:t>
      </w:r>
    </w:p>
    <w:p w14:paraId="5B6B98FF" w14:textId="76A42E5F" w:rsidR="007B0B93" w:rsidRDefault="007B0B93" w:rsidP="008C3995">
      <w:pPr>
        <w:ind w:left="720"/>
        <w:rPr>
          <w:rFonts w:ascii="Arial" w:hAnsi="Arial" w:cs="Arial"/>
          <w:b/>
          <w:bCs/>
          <w:color w:val="FF0000"/>
          <w:sz w:val="20"/>
          <w:szCs w:val="20"/>
          <w:shd w:val="clear" w:color="auto" w:fill="FEFEFE"/>
        </w:rPr>
      </w:pPr>
      <w:r w:rsidRPr="006834E1">
        <w:rPr>
          <w:rFonts w:ascii="Arial" w:hAnsi="Arial" w:cs="Arial"/>
          <w:b/>
          <w:bCs/>
          <w:color w:val="FF0000"/>
          <w:sz w:val="20"/>
          <w:szCs w:val="20"/>
          <w:shd w:val="clear" w:color="auto" w:fill="FEFEFE"/>
        </w:rPr>
        <w:t>The n of 822 was from a previous version of the dataset, where the n of 818 is from the updated dataset. Thank you for noticing this and we have corrected the number stated in the legend.</w:t>
      </w:r>
    </w:p>
    <w:p w14:paraId="1393E0BC" w14:textId="2B214744" w:rsidR="007A4906" w:rsidRDefault="007A4906" w:rsidP="008C3995">
      <w:pPr>
        <w:ind w:left="720"/>
        <w:rPr>
          <w:rFonts w:ascii="Arial" w:hAnsi="Arial" w:cs="Arial"/>
          <w:b/>
          <w:bCs/>
          <w:color w:val="FF0000"/>
          <w:sz w:val="20"/>
          <w:szCs w:val="20"/>
          <w:shd w:val="clear" w:color="auto" w:fill="FEFEFE"/>
        </w:rPr>
      </w:pPr>
    </w:p>
    <w:p w14:paraId="36B7D3AB" w14:textId="45402A67" w:rsidR="007A4906" w:rsidRDefault="007A4906" w:rsidP="008C3995">
      <w:pPr>
        <w:ind w:left="720"/>
        <w:rPr>
          <w:rFonts w:ascii="Arial" w:hAnsi="Arial" w:cs="Arial"/>
          <w:b/>
          <w:bCs/>
          <w:color w:val="FF0000"/>
          <w:sz w:val="20"/>
          <w:szCs w:val="20"/>
          <w:shd w:val="clear" w:color="auto" w:fill="FEFEFE"/>
        </w:rPr>
      </w:pPr>
    </w:p>
    <w:p w14:paraId="49A77EBE" w14:textId="109C8AE0" w:rsidR="007A4906" w:rsidRPr="007A4906" w:rsidRDefault="007A4906" w:rsidP="007A4906">
      <w:pPr>
        <w:pStyle w:val="Heading1"/>
        <w:rPr>
          <w:shd w:val="clear" w:color="auto" w:fill="FEFEFE"/>
        </w:rPr>
      </w:pPr>
      <w:r w:rsidRPr="007A4906">
        <w:rPr>
          <w:shd w:val="clear" w:color="auto" w:fill="FEFEFE"/>
        </w:rPr>
        <w:t xml:space="preserve">References </w:t>
      </w:r>
    </w:p>
    <w:p w14:paraId="6088650D" w14:textId="0D78A802" w:rsidR="007A4906" w:rsidRDefault="007A4906" w:rsidP="007A4906">
      <w:pPr>
        <w:rPr>
          <w:shd w:val="clear" w:color="auto" w:fill="FEFEFE"/>
        </w:rPr>
      </w:pPr>
      <w:r w:rsidRPr="007A4906">
        <w:rPr>
          <w:shd w:val="clear" w:color="auto" w:fill="FEFEFE"/>
        </w:rPr>
        <w:t>Numbering is for the response document only.</w:t>
      </w:r>
      <w:r>
        <w:rPr>
          <w:shd w:val="clear" w:color="auto" w:fill="FEFEFE"/>
        </w:rPr>
        <w:t xml:space="preserve">  These numbers are different in the main manuscript file.</w:t>
      </w:r>
    </w:p>
    <w:p w14:paraId="68D2165D" w14:textId="5EB0CC1E" w:rsidR="007A4906" w:rsidRDefault="007A4906" w:rsidP="007A4906">
      <w:pPr>
        <w:rPr>
          <w:shd w:val="clear" w:color="auto" w:fill="FEFEFE"/>
        </w:rPr>
      </w:pPr>
    </w:p>
    <w:p w14:paraId="67393BE0" w14:textId="77777777" w:rsidR="007A4906" w:rsidRPr="007A4906" w:rsidRDefault="007A4906" w:rsidP="007A4906">
      <w:pPr>
        <w:pStyle w:val="Bibliography"/>
        <w:rPr>
          <w:rFonts w:ascii="Calibri" w:cs="Calibri"/>
        </w:rPr>
      </w:pPr>
      <w:r>
        <w:rPr>
          <w:shd w:val="clear" w:color="auto" w:fill="FEFEFE"/>
        </w:rPr>
        <w:fldChar w:fldCharType="begin"/>
      </w:r>
      <w:r>
        <w:rPr>
          <w:shd w:val="clear" w:color="auto" w:fill="FEFEFE"/>
        </w:rPr>
        <w:instrText xml:space="preserve"> ADDIN ZOTERO_BIBL {"uncited":[],"omitted":[],"custom":[]} CSL_BIBLIOGRAPHY </w:instrText>
      </w:r>
      <w:r>
        <w:rPr>
          <w:shd w:val="clear" w:color="auto" w:fill="FEFEFE"/>
        </w:rPr>
        <w:fldChar w:fldCharType="separate"/>
      </w:r>
      <w:r w:rsidRPr="007A4906">
        <w:rPr>
          <w:rFonts w:ascii="Calibri" w:cs="Calibri"/>
        </w:rPr>
        <w:t xml:space="preserve">1. </w:t>
      </w:r>
      <w:r w:rsidRPr="007A4906">
        <w:rPr>
          <w:rFonts w:ascii="Calibri" w:cs="Calibri"/>
        </w:rPr>
        <w:tab/>
        <w:t xml:space="preserve">Lind, L.; </w:t>
      </w:r>
      <w:proofErr w:type="spellStart"/>
      <w:r w:rsidRPr="007A4906">
        <w:rPr>
          <w:rFonts w:ascii="Calibri" w:cs="Calibri"/>
        </w:rPr>
        <w:t>Skarfors</w:t>
      </w:r>
      <w:proofErr w:type="spellEnd"/>
      <w:r w:rsidRPr="007A4906">
        <w:rPr>
          <w:rFonts w:ascii="Calibri" w:cs="Calibri"/>
        </w:rPr>
        <w:t xml:space="preserve">, E.; Berglund, L.; </w:t>
      </w:r>
      <w:proofErr w:type="spellStart"/>
      <w:r w:rsidRPr="007A4906">
        <w:rPr>
          <w:rFonts w:ascii="Calibri" w:cs="Calibri"/>
        </w:rPr>
        <w:t>Lithell</w:t>
      </w:r>
      <w:proofErr w:type="spellEnd"/>
      <w:r w:rsidRPr="007A4906">
        <w:rPr>
          <w:rFonts w:ascii="Calibri" w:cs="Calibri"/>
        </w:rPr>
        <w:t xml:space="preserve">, H.; </w:t>
      </w:r>
      <w:proofErr w:type="spellStart"/>
      <w:r w:rsidRPr="007A4906">
        <w:rPr>
          <w:rFonts w:ascii="Calibri" w:cs="Calibri"/>
        </w:rPr>
        <w:t>Ljunghall</w:t>
      </w:r>
      <w:proofErr w:type="spellEnd"/>
      <w:r w:rsidRPr="007A4906">
        <w:rPr>
          <w:rFonts w:ascii="Calibri" w:cs="Calibri"/>
        </w:rPr>
        <w:t xml:space="preserve">, S. Serum Calcium: A New, Independent, Prospective Risk Factor for Myocardial Infarction in Middle-Aged Men Followed for 18 Years. </w:t>
      </w:r>
      <w:r w:rsidRPr="007A4906">
        <w:rPr>
          <w:rFonts w:ascii="Calibri" w:cs="Calibri"/>
          <w:i/>
          <w:iCs/>
        </w:rPr>
        <w:t>Journal of Clinical Epidemiology</w:t>
      </w:r>
      <w:r w:rsidRPr="007A4906">
        <w:rPr>
          <w:rFonts w:ascii="Calibri" w:cs="Calibri"/>
        </w:rPr>
        <w:t xml:space="preserve"> </w:t>
      </w:r>
      <w:r w:rsidRPr="007A4906">
        <w:rPr>
          <w:rFonts w:ascii="Calibri" w:cs="Calibri"/>
          <w:b/>
          <w:bCs/>
        </w:rPr>
        <w:t>1997</w:t>
      </w:r>
      <w:r w:rsidRPr="007A4906">
        <w:rPr>
          <w:rFonts w:ascii="Calibri" w:cs="Calibri"/>
        </w:rPr>
        <w:t xml:space="preserve">, </w:t>
      </w:r>
      <w:r w:rsidRPr="007A4906">
        <w:rPr>
          <w:rFonts w:ascii="Calibri" w:cs="Calibri"/>
          <w:i/>
          <w:iCs/>
        </w:rPr>
        <w:t>50</w:t>
      </w:r>
      <w:r w:rsidRPr="007A4906">
        <w:rPr>
          <w:rFonts w:ascii="Calibri" w:cs="Calibri"/>
        </w:rPr>
        <w:t>, 967–973, doi:10.1016/S0895-4356(97)00104-2.</w:t>
      </w:r>
    </w:p>
    <w:p w14:paraId="19BAEBE6" w14:textId="77777777" w:rsidR="007A4906" w:rsidRPr="007A4906" w:rsidRDefault="007A4906" w:rsidP="007A4906">
      <w:pPr>
        <w:pStyle w:val="Bibliography"/>
        <w:rPr>
          <w:rFonts w:ascii="Calibri" w:cs="Calibri"/>
        </w:rPr>
      </w:pPr>
      <w:r w:rsidRPr="007A4906">
        <w:rPr>
          <w:rFonts w:ascii="Calibri" w:cs="Calibri"/>
        </w:rPr>
        <w:t xml:space="preserve">2. </w:t>
      </w:r>
      <w:r w:rsidRPr="007A4906">
        <w:rPr>
          <w:rFonts w:ascii="Calibri" w:cs="Calibri"/>
        </w:rPr>
        <w:tab/>
        <w:t xml:space="preserve">Meng, X.; Han, T.; Jiang, W.; Dong, F.; Sun, H.; Wei, W.; Yan, Y. Temporal Relationship Between Changes in Serum Calcium and Hypercholesteremia and Its Impact on Future Brachial-Ankle Pulse Wave Velocity Levels. </w:t>
      </w:r>
      <w:r w:rsidRPr="007A4906">
        <w:rPr>
          <w:rFonts w:ascii="Calibri" w:cs="Calibri"/>
          <w:i/>
          <w:iCs/>
        </w:rPr>
        <w:t>Frontiers in Nutrition</w:t>
      </w:r>
      <w:r w:rsidRPr="007A4906">
        <w:rPr>
          <w:rFonts w:ascii="Calibri" w:cs="Calibri"/>
        </w:rPr>
        <w:t xml:space="preserve"> </w:t>
      </w:r>
      <w:r w:rsidRPr="007A4906">
        <w:rPr>
          <w:rFonts w:ascii="Calibri" w:cs="Calibri"/>
          <w:b/>
          <w:bCs/>
        </w:rPr>
        <w:t>2021</w:t>
      </w:r>
      <w:r w:rsidRPr="007A4906">
        <w:rPr>
          <w:rFonts w:ascii="Calibri" w:cs="Calibri"/>
        </w:rPr>
        <w:t xml:space="preserve">, </w:t>
      </w:r>
      <w:r w:rsidRPr="007A4906">
        <w:rPr>
          <w:rFonts w:ascii="Calibri" w:cs="Calibri"/>
          <w:i/>
          <w:iCs/>
        </w:rPr>
        <w:t>8</w:t>
      </w:r>
      <w:r w:rsidRPr="007A4906">
        <w:rPr>
          <w:rFonts w:ascii="Calibri" w:cs="Calibri"/>
        </w:rPr>
        <w:t>.</w:t>
      </w:r>
    </w:p>
    <w:p w14:paraId="32F8A322" w14:textId="77777777" w:rsidR="007A4906" w:rsidRPr="007A4906" w:rsidRDefault="007A4906" w:rsidP="007A4906">
      <w:pPr>
        <w:pStyle w:val="Bibliography"/>
        <w:rPr>
          <w:rFonts w:ascii="Calibri" w:cs="Calibri"/>
        </w:rPr>
      </w:pPr>
      <w:r w:rsidRPr="007A4906">
        <w:rPr>
          <w:rFonts w:ascii="Calibri" w:cs="Calibri"/>
        </w:rPr>
        <w:t xml:space="preserve">3. </w:t>
      </w:r>
      <w:r w:rsidRPr="007A4906">
        <w:rPr>
          <w:rFonts w:ascii="Calibri" w:cs="Calibri"/>
        </w:rPr>
        <w:tab/>
      </w:r>
      <w:proofErr w:type="spellStart"/>
      <w:r w:rsidRPr="007A4906">
        <w:rPr>
          <w:rFonts w:ascii="Calibri" w:cs="Calibri"/>
        </w:rPr>
        <w:t>Jorde</w:t>
      </w:r>
      <w:proofErr w:type="spellEnd"/>
      <w:r w:rsidRPr="007A4906">
        <w:rPr>
          <w:rFonts w:ascii="Calibri" w:cs="Calibri"/>
        </w:rPr>
        <w:t xml:space="preserve">, R.; </w:t>
      </w:r>
      <w:proofErr w:type="spellStart"/>
      <w:r w:rsidRPr="007A4906">
        <w:rPr>
          <w:rFonts w:ascii="Calibri" w:cs="Calibri"/>
        </w:rPr>
        <w:t>Sundsfjord</w:t>
      </w:r>
      <w:proofErr w:type="spellEnd"/>
      <w:r w:rsidRPr="007A4906">
        <w:rPr>
          <w:rFonts w:ascii="Calibri" w:cs="Calibri"/>
        </w:rPr>
        <w:t xml:space="preserve">, J.; Fitzgerald, P.; </w:t>
      </w:r>
      <w:proofErr w:type="spellStart"/>
      <w:r w:rsidRPr="007A4906">
        <w:rPr>
          <w:rFonts w:ascii="Calibri" w:cs="Calibri"/>
        </w:rPr>
        <w:t>Bønaa</w:t>
      </w:r>
      <w:proofErr w:type="spellEnd"/>
      <w:r w:rsidRPr="007A4906">
        <w:rPr>
          <w:rFonts w:ascii="Calibri" w:cs="Calibri"/>
        </w:rPr>
        <w:t xml:space="preserve">, K.H. Serum Calcium and Cardiovascular Risk Factors and Diseases. </w:t>
      </w:r>
      <w:r w:rsidRPr="007A4906">
        <w:rPr>
          <w:rFonts w:ascii="Calibri" w:cs="Calibri"/>
          <w:i/>
          <w:iCs/>
        </w:rPr>
        <w:t>Hypertension</w:t>
      </w:r>
      <w:r w:rsidRPr="007A4906">
        <w:rPr>
          <w:rFonts w:ascii="Calibri" w:cs="Calibri"/>
        </w:rPr>
        <w:t xml:space="preserve"> </w:t>
      </w:r>
      <w:r w:rsidRPr="007A4906">
        <w:rPr>
          <w:rFonts w:ascii="Calibri" w:cs="Calibri"/>
          <w:b/>
          <w:bCs/>
        </w:rPr>
        <w:t>1999</w:t>
      </w:r>
      <w:r w:rsidRPr="007A4906">
        <w:rPr>
          <w:rFonts w:ascii="Calibri" w:cs="Calibri"/>
        </w:rPr>
        <w:t xml:space="preserve">, </w:t>
      </w:r>
      <w:r w:rsidRPr="007A4906">
        <w:rPr>
          <w:rFonts w:ascii="Calibri" w:cs="Calibri"/>
          <w:i/>
          <w:iCs/>
        </w:rPr>
        <w:t>34</w:t>
      </w:r>
      <w:r w:rsidRPr="007A4906">
        <w:rPr>
          <w:rFonts w:ascii="Calibri" w:cs="Calibri"/>
        </w:rPr>
        <w:t xml:space="preserve">, 484–490, </w:t>
      </w:r>
      <w:proofErr w:type="gramStart"/>
      <w:r w:rsidRPr="007A4906">
        <w:rPr>
          <w:rFonts w:ascii="Calibri" w:cs="Calibri"/>
        </w:rPr>
        <w:t>doi:10.1161/01.HYP</w:t>
      </w:r>
      <w:proofErr w:type="gramEnd"/>
      <w:r w:rsidRPr="007A4906">
        <w:rPr>
          <w:rFonts w:ascii="Calibri" w:cs="Calibri"/>
        </w:rPr>
        <w:t>.34.3.484.</w:t>
      </w:r>
    </w:p>
    <w:p w14:paraId="07971B42" w14:textId="77777777" w:rsidR="007A4906" w:rsidRPr="007A4906" w:rsidRDefault="007A4906" w:rsidP="007A4906">
      <w:pPr>
        <w:pStyle w:val="Bibliography"/>
        <w:rPr>
          <w:rFonts w:ascii="Calibri" w:cs="Calibri"/>
        </w:rPr>
      </w:pPr>
      <w:r w:rsidRPr="007A4906">
        <w:rPr>
          <w:rFonts w:ascii="Calibri" w:cs="Calibri"/>
        </w:rPr>
        <w:t xml:space="preserve">4. </w:t>
      </w:r>
      <w:r w:rsidRPr="007A4906">
        <w:rPr>
          <w:rFonts w:ascii="Calibri" w:cs="Calibri"/>
        </w:rPr>
        <w:tab/>
        <w:t xml:space="preserve">Foley, R.N.; Collins, A.J.; </w:t>
      </w:r>
      <w:proofErr w:type="spellStart"/>
      <w:r w:rsidRPr="007A4906">
        <w:rPr>
          <w:rFonts w:ascii="Calibri" w:cs="Calibri"/>
        </w:rPr>
        <w:t>Ishani</w:t>
      </w:r>
      <w:proofErr w:type="spellEnd"/>
      <w:r w:rsidRPr="007A4906">
        <w:rPr>
          <w:rFonts w:ascii="Calibri" w:cs="Calibri"/>
        </w:rPr>
        <w:t xml:space="preserve">, A.; </w:t>
      </w:r>
      <w:proofErr w:type="spellStart"/>
      <w:r w:rsidRPr="007A4906">
        <w:rPr>
          <w:rFonts w:ascii="Calibri" w:cs="Calibri"/>
        </w:rPr>
        <w:t>Kalra</w:t>
      </w:r>
      <w:proofErr w:type="spellEnd"/>
      <w:r w:rsidRPr="007A4906">
        <w:rPr>
          <w:rFonts w:ascii="Calibri" w:cs="Calibri"/>
        </w:rPr>
        <w:t xml:space="preserve">, P.A. Calcium-Phosphate Levels and Cardiovascular Disease in Community-Dwelling Adults: The Atherosclerosis Risk in Communities (ARIC) Study. </w:t>
      </w:r>
      <w:r w:rsidRPr="007A4906">
        <w:rPr>
          <w:rFonts w:ascii="Calibri" w:cs="Calibri"/>
          <w:i/>
          <w:iCs/>
        </w:rPr>
        <w:t>American Heart Journal</w:t>
      </w:r>
      <w:r w:rsidRPr="007A4906">
        <w:rPr>
          <w:rFonts w:ascii="Calibri" w:cs="Calibri"/>
        </w:rPr>
        <w:t xml:space="preserve"> </w:t>
      </w:r>
      <w:r w:rsidRPr="007A4906">
        <w:rPr>
          <w:rFonts w:ascii="Calibri" w:cs="Calibri"/>
          <w:b/>
          <w:bCs/>
        </w:rPr>
        <w:t>2008</w:t>
      </w:r>
      <w:r w:rsidRPr="007A4906">
        <w:rPr>
          <w:rFonts w:ascii="Calibri" w:cs="Calibri"/>
        </w:rPr>
        <w:t xml:space="preserve">, </w:t>
      </w:r>
      <w:r w:rsidRPr="007A4906">
        <w:rPr>
          <w:rFonts w:ascii="Calibri" w:cs="Calibri"/>
          <w:i/>
          <w:iCs/>
        </w:rPr>
        <w:t>156</w:t>
      </w:r>
      <w:r w:rsidRPr="007A4906">
        <w:rPr>
          <w:rFonts w:ascii="Calibri" w:cs="Calibri"/>
        </w:rPr>
        <w:t xml:space="preserve">, 556–563, </w:t>
      </w:r>
      <w:proofErr w:type="gramStart"/>
      <w:r w:rsidRPr="007A4906">
        <w:rPr>
          <w:rFonts w:ascii="Calibri" w:cs="Calibri"/>
        </w:rPr>
        <w:t>doi:10.1016/j.ahj</w:t>
      </w:r>
      <w:proofErr w:type="gramEnd"/>
      <w:r w:rsidRPr="007A4906">
        <w:rPr>
          <w:rFonts w:ascii="Calibri" w:cs="Calibri"/>
        </w:rPr>
        <w:t>.2008.05.016.</w:t>
      </w:r>
    </w:p>
    <w:p w14:paraId="4AFD6687" w14:textId="77777777" w:rsidR="007A4906" w:rsidRPr="007A4906" w:rsidRDefault="007A4906" w:rsidP="007A4906">
      <w:pPr>
        <w:pStyle w:val="Bibliography"/>
        <w:rPr>
          <w:rFonts w:ascii="Calibri" w:cs="Calibri"/>
        </w:rPr>
      </w:pPr>
      <w:r w:rsidRPr="007A4906">
        <w:rPr>
          <w:rFonts w:ascii="Calibri" w:cs="Calibri"/>
        </w:rPr>
        <w:t xml:space="preserve">5. </w:t>
      </w:r>
      <w:r w:rsidRPr="007A4906">
        <w:rPr>
          <w:rFonts w:ascii="Calibri" w:cs="Calibri"/>
        </w:rPr>
        <w:tab/>
        <w:t xml:space="preserve">Kennedy, A.; </w:t>
      </w:r>
      <w:proofErr w:type="spellStart"/>
      <w:r w:rsidRPr="007A4906">
        <w:rPr>
          <w:rFonts w:ascii="Calibri" w:cs="Calibri"/>
        </w:rPr>
        <w:t>Vasdev</w:t>
      </w:r>
      <w:proofErr w:type="spellEnd"/>
      <w:r w:rsidRPr="007A4906">
        <w:rPr>
          <w:rFonts w:ascii="Calibri" w:cs="Calibri"/>
        </w:rPr>
        <w:t xml:space="preserve">, S.; Randell, E.; </w:t>
      </w:r>
      <w:proofErr w:type="spellStart"/>
      <w:r w:rsidRPr="007A4906">
        <w:rPr>
          <w:rFonts w:ascii="Calibri" w:cs="Calibri"/>
        </w:rPr>
        <w:t>Xie</w:t>
      </w:r>
      <w:proofErr w:type="spellEnd"/>
      <w:r w:rsidRPr="007A4906">
        <w:rPr>
          <w:rFonts w:ascii="Calibri" w:cs="Calibri"/>
        </w:rPr>
        <w:t xml:space="preserve">, Y.-G.; Green, K.; Zhang, H.; Sun, G. Clinical Medicine: Endocrinology and Diabetes: Abnormality of Serum Lipids Are Independently Associated with Increased Serum Calcium Level in the Adult Newfoundland Population. </w:t>
      </w:r>
      <w:r w:rsidRPr="007A4906">
        <w:rPr>
          <w:rFonts w:ascii="Calibri" w:cs="Calibri"/>
          <w:i/>
          <w:iCs/>
        </w:rPr>
        <w:t>Clinical medicine. Endocrinology and diabetes</w:t>
      </w:r>
      <w:r w:rsidRPr="007A4906">
        <w:rPr>
          <w:rFonts w:ascii="Calibri" w:cs="Calibri"/>
        </w:rPr>
        <w:t xml:space="preserve"> </w:t>
      </w:r>
      <w:r w:rsidRPr="007A4906">
        <w:rPr>
          <w:rFonts w:ascii="Calibri" w:cs="Calibri"/>
          <w:b/>
          <w:bCs/>
        </w:rPr>
        <w:t>2009</w:t>
      </w:r>
      <w:r w:rsidRPr="007A4906">
        <w:rPr>
          <w:rFonts w:ascii="Calibri" w:cs="Calibri"/>
        </w:rPr>
        <w:t xml:space="preserve">, </w:t>
      </w:r>
      <w:r w:rsidRPr="007A4906">
        <w:rPr>
          <w:rFonts w:ascii="Calibri" w:cs="Calibri"/>
          <w:i/>
          <w:iCs/>
        </w:rPr>
        <w:t>2</w:t>
      </w:r>
      <w:r w:rsidRPr="007A4906">
        <w:rPr>
          <w:rFonts w:ascii="Calibri" w:cs="Calibri"/>
        </w:rPr>
        <w:t>, CMED.S2974, doi:10.4137/CMED.S2974.</w:t>
      </w:r>
    </w:p>
    <w:p w14:paraId="765321AE" w14:textId="77777777" w:rsidR="007A4906" w:rsidRPr="007A4906" w:rsidRDefault="007A4906" w:rsidP="007A4906">
      <w:pPr>
        <w:pStyle w:val="Bibliography"/>
        <w:rPr>
          <w:rFonts w:ascii="Calibri" w:cs="Calibri"/>
        </w:rPr>
      </w:pPr>
      <w:r w:rsidRPr="007A4906">
        <w:rPr>
          <w:rFonts w:ascii="Calibri" w:cs="Calibri"/>
        </w:rPr>
        <w:t xml:space="preserve">6. </w:t>
      </w:r>
      <w:r w:rsidRPr="007A4906">
        <w:rPr>
          <w:rFonts w:ascii="Calibri" w:cs="Calibri"/>
        </w:rPr>
        <w:tab/>
        <w:t xml:space="preserve">Gallo, L.; </w:t>
      </w:r>
      <w:proofErr w:type="spellStart"/>
      <w:r w:rsidRPr="007A4906">
        <w:rPr>
          <w:rFonts w:ascii="Calibri" w:cs="Calibri"/>
        </w:rPr>
        <w:t>Faniello</w:t>
      </w:r>
      <w:proofErr w:type="spellEnd"/>
      <w:r w:rsidRPr="007A4906">
        <w:rPr>
          <w:rFonts w:ascii="Calibri" w:cs="Calibri"/>
        </w:rPr>
        <w:t xml:space="preserve">, M.C.; </w:t>
      </w:r>
      <w:proofErr w:type="spellStart"/>
      <w:r w:rsidRPr="007A4906">
        <w:rPr>
          <w:rFonts w:ascii="Calibri" w:cs="Calibri"/>
        </w:rPr>
        <w:t>Canino</w:t>
      </w:r>
      <w:proofErr w:type="spellEnd"/>
      <w:r w:rsidRPr="007A4906">
        <w:rPr>
          <w:rFonts w:ascii="Calibri" w:cs="Calibri"/>
        </w:rPr>
        <w:t xml:space="preserve">, G.; </w:t>
      </w:r>
      <w:proofErr w:type="spellStart"/>
      <w:r w:rsidRPr="007A4906">
        <w:rPr>
          <w:rFonts w:ascii="Calibri" w:cs="Calibri"/>
        </w:rPr>
        <w:t>Tripolino</w:t>
      </w:r>
      <w:proofErr w:type="spellEnd"/>
      <w:r w:rsidRPr="007A4906">
        <w:rPr>
          <w:rFonts w:ascii="Calibri" w:cs="Calibri"/>
        </w:rPr>
        <w:t xml:space="preserve">, C.; </w:t>
      </w:r>
      <w:proofErr w:type="spellStart"/>
      <w:r w:rsidRPr="007A4906">
        <w:rPr>
          <w:rFonts w:ascii="Calibri" w:cs="Calibri"/>
        </w:rPr>
        <w:t>Gnasso</w:t>
      </w:r>
      <w:proofErr w:type="spellEnd"/>
      <w:r w:rsidRPr="007A4906">
        <w:rPr>
          <w:rFonts w:ascii="Calibri" w:cs="Calibri"/>
        </w:rPr>
        <w:t xml:space="preserve">, A.; </w:t>
      </w:r>
      <w:proofErr w:type="spellStart"/>
      <w:r w:rsidRPr="007A4906">
        <w:rPr>
          <w:rFonts w:ascii="Calibri" w:cs="Calibri"/>
        </w:rPr>
        <w:t>Cuda</w:t>
      </w:r>
      <w:proofErr w:type="spellEnd"/>
      <w:r w:rsidRPr="007A4906">
        <w:rPr>
          <w:rFonts w:ascii="Calibri" w:cs="Calibri"/>
        </w:rPr>
        <w:t xml:space="preserve">, G.; Costanzo, F.S.; </w:t>
      </w:r>
      <w:proofErr w:type="spellStart"/>
      <w:r w:rsidRPr="007A4906">
        <w:rPr>
          <w:rFonts w:ascii="Calibri" w:cs="Calibri"/>
        </w:rPr>
        <w:t>Irace</w:t>
      </w:r>
      <w:proofErr w:type="spellEnd"/>
      <w:r w:rsidRPr="007A4906">
        <w:rPr>
          <w:rFonts w:ascii="Calibri" w:cs="Calibri"/>
        </w:rPr>
        <w:t xml:space="preserve">, C. Serum Calcium Increase Correlates </w:t>
      </w:r>
      <w:proofErr w:type="gramStart"/>
      <w:r w:rsidRPr="007A4906">
        <w:rPr>
          <w:rFonts w:ascii="Calibri" w:cs="Calibri"/>
        </w:rPr>
        <w:t>With</w:t>
      </w:r>
      <w:proofErr w:type="gramEnd"/>
      <w:r w:rsidRPr="007A4906">
        <w:rPr>
          <w:rFonts w:ascii="Calibri" w:cs="Calibri"/>
        </w:rPr>
        <w:t xml:space="preserve"> Worsening of Lipid Profile. </w:t>
      </w:r>
      <w:r w:rsidRPr="007A4906">
        <w:rPr>
          <w:rFonts w:ascii="Calibri" w:cs="Calibri"/>
          <w:i/>
          <w:iCs/>
        </w:rPr>
        <w:t>Medicine (Baltimore)</w:t>
      </w:r>
      <w:r w:rsidRPr="007A4906">
        <w:rPr>
          <w:rFonts w:ascii="Calibri" w:cs="Calibri"/>
        </w:rPr>
        <w:t xml:space="preserve"> </w:t>
      </w:r>
      <w:r w:rsidRPr="007A4906">
        <w:rPr>
          <w:rFonts w:ascii="Calibri" w:cs="Calibri"/>
          <w:b/>
          <w:bCs/>
        </w:rPr>
        <w:t>2016</w:t>
      </w:r>
      <w:r w:rsidRPr="007A4906">
        <w:rPr>
          <w:rFonts w:ascii="Calibri" w:cs="Calibri"/>
        </w:rPr>
        <w:t xml:space="preserve">, </w:t>
      </w:r>
      <w:r w:rsidRPr="007A4906">
        <w:rPr>
          <w:rFonts w:ascii="Calibri" w:cs="Calibri"/>
          <w:i/>
          <w:iCs/>
        </w:rPr>
        <w:t>95</w:t>
      </w:r>
      <w:r w:rsidRPr="007A4906">
        <w:rPr>
          <w:rFonts w:ascii="Calibri" w:cs="Calibri"/>
        </w:rPr>
        <w:t>, e2774, doi:10.1097/MD.0000000000002774.</w:t>
      </w:r>
    </w:p>
    <w:p w14:paraId="6E400BD7" w14:textId="77777777" w:rsidR="007A4906" w:rsidRPr="007A4906" w:rsidRDefault="007A4906" w:rsidP="007A4906">
      <w:pPr>
        <w:pStyle w:val="Bibliography"/>
        <w:rPr>
          <w:rFonts w:ascii="Calibri" w:cs="Calibri"/>
        </w:rPr>
      </w:pPr>
      <w:r w:rsidRPr="007A4906">
        <w:rPr>
          <w:rFonts w:ascii="Calibri" w:cs="Calibri"/>
        </w:rPr>
        <w:t xml:space="preserve">7. </w:t>
      </w:r>
      <w:r w:rsidRPr="007A4906">
        <w:rPr>
          <w:rFonts w:ascii="Calibri" w:cs="Calibri"/>
        </w:rPr>
        <w:tab/>
        <w:t xml:space="preserve">He, L.; Qian, Y.; Ren, X.; </w:t>
      </w:r>
      <w:proofErr w:type="spellStart"/>
      <w:r w:rsidRPr="007A4906">
        <w:rPr>
          <w:rFonts w:ascii="Calibri" w:cs="Calibri"/>
        </w:rPr>
        <w:t>Jin</w:t>
      </w:r>
      <w:proofErr w:type="spellEnd"/>
      <w:r w:rsidRPr="007A4906">
        <w:rPr>
          <w:rFonts w:ascii="Calibri" w:cs="Calibri"/>
        </w:rPr>
        <w:t xml:space="preserve">, Y.; Chang, W.; Li, J.; Chen, Y.; Song, X.; Tang, H.; Ding, L.; et al. Total Serum Calcium Level May Have Adverse Effects on Serum Cholesterol and Triglycerides Among Female University Faculty and Staffs. </w:t>
      </w:r>
      <w:proofErr w:type="spellStart"/>
      <w:r w:rsidRPr="007A4906">
        <w:rPr>
          <w:rFonts w:ascii="Calibri" w:cs="Calibri"/>
          <w:i/>
          <w:iCs/>
        </w:rPr>
        <w:t>Biol</w:t>
      </w:r>
      <w:proofErr w:type="spellEnd"/>
      <w:r w:rsidRPr="007A4906">
        <w:rPr>
          <w:rFonts w:ascii="Calibri" w:cs="Calibri"/>
          <w:i/>
          <w:iCs/>
        </w:rPr>
        <w:t xml:space="preserve"> Trace Elem Res</w:t>
      </w:r>
      <w:r w:rsidRPr="007A4906">
        <w:rPr>
          <w:rFonts w:ascii="Calibri" w:cs="Calibri"/>
        </w:rPr>
        <w:t xml:space="preserve"> </w:t>
      </w:r>
      <w:r w:rsidRPr="007A4906">
        <w:rPr>
          <w:rFonts w:ascii="Calibri" w:cs="Calibri"/>
          <w:b/>
          <w:bCs/>
        </w:rPr>
        <w:t>2014</w:t>
      </w:r>
      <w:r w:rsidRPr="007A4906">
        <w:rPr>
          <w:rFonts w:ascii="Calibri" w:cs="Calibri"/>
        </w:rPr>
        <w:t xml:space="preserve">, </w:t>
      </w:r>
      <w:r w:rsidRPr="007A4906">
        <w:rPr>
          <w:rFonts w:ascii="Calibri" w:cs="Calibri"/>
          <w:i/>
          <w:iCs/>
        </w:rPr>
        <w:t>157</w:t>
      </w:r>
      <w:r w:rsidRPr="007A4906">
        <w:rPr>
          <w:rFonts w:ascii="Calibri" w:cs="Calibri"/>
        </w:rPr>
        <w:t>, 191–194, doi:10.1007/s12011-014-9895-9.</w:t>
      </w:r>
    </w:p>
    <w:p w14:paraId="2A132C38" w14:textId="77777777" w:rsidR="007A4906" w:rsidRPr="007A4906" w:rsidRDefault="007A4906" w:rsidP="007A4906">
      <w:pPr>
        <w:pStyle w:val="Bibliography"/>
        <w:rPr>
          <w:rFonts w:ascii="Calibri" w:cs="Calibri"/>
        </w:rPr>
      </w:pPr>
      <w:r w:rsidRPr="007A4906">
        <w:rPr>
          <w:rFonts w:ascii="Calibri" w:cs="Calibri"/>
        </w:rPr>
        <w:t xml:space="preserve">8. </w:t>
      </w:r>
      <w:r w:rsidRPr="007A4906">
        <w:rPr>
          <w:rFonts w:ascii="Calibri" w:cs="Calibri"/>
        </w:rPr>
        <w:tab/>
        <w:t xml:space="preserve">De </w:t>
      </w:r>
      <w:proofErr w:type="spellStart"/>
      <w:r w:rsidRPr="007A4906">
        <w:rPr>
          <w:rFonts w:ascii="Calibri" w:cs="Calibri"/>
        </w:rPr>
        <w:t>Bacquer</w:t>
      </w:r>
      <w:proofErr w:type="spellEnd"/>
      <w:r w:rsidRPr="007A4906">
        <w:rPr>
          <w:rFonts w:ascii="Calibri" w:cs="Calibri"/>
        </w:rPr>
        <w:t xml:space="preserve">, D.; De </w:t>
      </w:r>
      <w:proofErr w:type="spellStart"/>
      <w:r w:rsidRPr="007A4906">
        <w:rPr>
          <w:rFonts w:ascii="Calibri" w:cs="Calibri"/>
        </w:rPr>
        <w:t>Henauw</w:t>
      </w:r>
      <w:proofErr w:type="spellEnd"/>
      <w:r w:rsidRPr="007A4906">
        <w:rPr>
          <w:rFonts w:ascii="Calibri" w:cs="Calibri"/>
        </w:rPr>
        <w:t xml:space="preserve">, S.; De Backer, G.; </w:t>
      </w:r>
      <w:proofErr w:type="spellStart"/>
      <w:r w:rsidRPr="007A4906">
        <w:rPr>
          <w:rFonts w:ascii="Calibri" w:cs="Calibri"/>
        </w:rPr>
        <w:t>Kornitzer</w:t>
      </w:r>
      <w:proofErr w:type="spellEnd"/>
      <w:r w:rsidRPr="007A4906">
        <w:rPr>
          <w:rFonts w:ascii="Calibri" w:cs="Calibri"/>
        </w:rPr>
        <w:t xml:space="preserve">, M. Epidemiological Evidence for an Association between Serum Calcium and Serum Lipids. </w:t>
      </w:r>
      <w:r w:rsidRPr="007A4906">
        <w:rPr>
          <w:rFonts w:ascii="Calibri" w:cs="Calibri"/>
          <w:i/>
          <w:iCs/>
        </w:rPr>
        <w:t>Atherosclerosis</w:t>
      </w:r>
      <w:r w:rsidRPr="007A4906">
        <w:rPr>
          <w:rFonts w:ascii="Calibri" w:cs="Calibri"/>
        </w:rPr>
        <w:t xml:space="preserve"> </w:t>
      </w:r>
      <w:r w:rsidRPr="007A4906">
        <w:rPr>
          <w:rFonts w:ascii="Calibri" w:cs="Calibri"/>
          <w:b/>
          <w:bCs/>
        </w:rPr>
        <w:t>1994</w:t>
      </w:r>
      <w:r w:rsidRPr="007A4906">
        <w:rPr>
          <w:rFonts w:ascii="Calibri" w:cs="Calibri"/>
        </w:rPr>
        <w:t xml:space="preserve">, </w:t>
      </w:r>
      <w:r w:rsidRPr="007A4906">
        <w:rPr>
          <w:rFonts w:ascii="Calibri" w:cs="Calibri"/>
          <w:i/>
          <w:iCs/>
        </w:rPr>
        <w:t>108</w:t>
      </w:r>
      <w:r w:rsidRPr="007A4906">
        <w:rPr>
          <w:rFonts w:ascii="Calibri" w:cs="Calibri"/>
        </w:rPr>
        <w:t>, 193–200, doi:10.1016/0021-9150(94)90114-7.</w:t>
      </w:r>
    </w:p>
    <w:p w14:paraId="3C943696" w14:textId="77777777" w:rsidR="007A4906" w:rsidRPr="007A4906" w:rsidRDefault="007A4906" w:rsidP="007A4906">
      <w:pPr>
        <w:pStyle w:val="Bibliography"/>
        <w:rPr>
          <w:rFonts w:ascii="Calibri" w:cs="Calibri"/>
        </w:rPr>
      </w:pPr>
      <w:r w:rsidRPr="007A4906">
        <w:rPr>
          <w:rFonts w:ascii="Calibri" w:cs="Calibri"/>
        </w:rPr>
        <w:t xml:space="preserve">9. </w:t>
      </w:r>
      <w:r w:rsidRPr="007A4906">
        <w:rPr>
          <w:rFonts w:ascii="Calibri" w:cs="Calibri"/>
        </w:rPr>
        <w:tab/>
        <w:t xml:space="preserve">Green, M.A.; </w:t>
      </w:r>
      <w:proofErr w:type="spellStart"/>
      <w:r w:rsidRPr="007A4906">
        <w:rPr>
          <w:rFonts w:ascii="Calibri" w:cs="Calibri"/>
        </w:rPr>
        <w:t>Jucha</w:t>
      </w:r>
      <w:proofErr w:type="spellEnd"/>
      <w:r w:rsidRPr="007A4906">
        <w:rPr>
          <w:rFonts w:ascii="Calibri" w:cs="Calibri"/>
        </w:rPr>
        <w:t xml:space="preserve">, E. Interrelationships between Blood Pressure, Serum Calcium and Other Biochemical Variables. </w:t>
      </w:r>
      <w:r w:rsidRPr="007A4906">
        <w:rPr>
          <w:rFonts w:ascii="Calibri" w:cs="Calibri"/>
          <w:i/>
          <w:iCs/>
        </w:rPr>
        <w:t>International Journal of Epidemiology</w:t>
      </w:r>
      <w:r w:rsidRPr="007A4906">
        <w:rPr>
          <w:rFonts w:ascii="Calibri" w:cs="Calibri"/>
        </w:rPr>
        <w:t xml:space="preserve"> </w:t>
      </w:r>
      <w:r w:rsidRPr="007A4906">
        <w:rPr>
          <w:rFonts w:ascii="Calibri" w:cs="Calibri"/>
          <w:b/>
          <w:bCs/>
        </w:rPr>
        <w:t>1987</w:t>
      </w:r>
      <w:r w:rsidRPr="007A4906">
        <w:rPr>
          <w:rFonts w:ascii="Calibri" w:cs="Calibri"/>
        </w:rPr>
        <w:t xml:space="preserve">, </w:t>
      </w:r>
      <w:r w:rsidRPr="007A4906">
        <w:rPr>
          <w:rFonts w:ascii="Calibri" w:cs="Calibri"/>
          <w:i/>
          <w:iCs/>
        </w:rPr>
        <w:t>16</w:t>
      </w:r>
      <w:r w:rsidRPr="007A4906">
        <w:rPr>
          <w:rFonts w:ascii="Calibri" w:cs="Calibri"/>
        </w:rPr>
        <w:t>, 532–536, doi:10.1093/</w:t>
      </w:r>
      <w:proofErr w:type="spellStart"/>
      <w:r w:rsidRPr="007A4906">
        <w:rPr>
          <w:rFonts w:ascii="Calibri" w:cs="Calibri"/>
        </w:rPr>
        <w:t>ije</w:t>
      </w:r>
      <w:proofErr w:type="spellEnd"/>
      <w:r w:rsidRPr="007A4906">
        <w:rPr>
          <w:rFonts w:ascii="Calibri" w:cs="Calibri"/>
        </w:rPr>
        <w:t>/16.4.532.</w:t>
      </w:r>
    </w:p>
    <w:p w14:paraId="1CFEF4F5" w14:textId="77777777" w:rsidR="007A4906" w:rsidRPr="007A4906" w:rsidRDefault="007A4906" w:rsidP="007A4906">
      <w:pPr>
        <w:pStyle w:val="Bibliography"/>
        <w:rPr>
          <w:rFonts w:ascii="Calibri" w:cs="Calibri"/>
        </w:rPr>
      </w:pPr>
      <w:r w:rsidRPr="007A4906">
        <w:rPr>
          <w:rFonts w:ascii="Calibri" w:cs="Calibri"/>
        </w:rPr>
        <w:lastRenderedPageBreak/>
        <w:t xml:space="preserve">10. </w:t>
      </w:r>
      <w:r w:rsidRPr="007A4906">
        <w:rPr>
          <w:rFonts w:ascii="Calibri" w:cs="Calibri"/>
        </w:rPr>
        <w:tab/>
      </w:r>
      <w:proofErr w:type="spellStart"/>
      <w:r w:rsidRPr="007A4906">
        <w:rPr>
          <w:rFonts w:ascii="Calibri" w:cs="Calibri"/>
        </w:rPr>
        <w:t>Saltevo</w:t>
      </w:r>
      <w:proofErr w:type="spellEnd"/>
      <w:r w:rsidRPr="007A4906">
        <w:rPr>
          <w:rFonts w:ascii="Calibri" w:cs="Calibri"/>
        </w:rPr>
        <w:t xml:space="preserve">, J.; </w:t>
      </w:r>
      <w:proofErr w:type="spellStart"/>
      <w:r w:rsidRPr="007A4906">
        <w:rPr>
          <w:rFonts w:ascii="Calibri" w:cs="Calibri"/>
        </w:rPr>
        <w:t>Niskanen</w:t>
      </w:r>
      <w:proofErr w:type="spellEnd"/>
      <w:r w:rsidRPr="007A4906">
        <w:rPr>
          <w:rFonts w:ascii="Calibri" w:cs="Calibri"/>
        </w:rPr>
        <w:t xml:space="preserve">, L.; </w:t>
      </w:r>
      <w:proofErr w:type="spellStart"/>
      <w:r w:rsidRPr="007A4906">
        <w:rPr>
          <w:rFonts w:ascii="Calibri" w:cs="Calibri"/>
        </w:rPr>
        <w:t>Kautiainen</w:t>
      </w:r>
      <w:proofErr w:type="spellEnd"/>
      <w:r w:rsidRPr="007A4906">
        <w:rPr>
          <w:rFonts w:ascii="Calibri" w:cs="Calibri"/>
        </w:rPr>
        <w:t xml:space="preserve">, H.; </w:t>
      </w:r>
      <w:proofErr w:type="spellStart"/>
      <w:r w:rsidRPr="007A4906">
        <w:rPr>
          <w:rFonts w:ascii="Calibri" w:cs="Calibri"/>
        </w:rPr>
        <w:t>Teittinen</w:t>
      </w:r>
      <w:proofErr w:type="spellEnd"/>
      <w:r w:rsidRPr="007A4906">
        <w:rPr>
          <w:rFonts w:ascii="Calibri" w:cs="Calibri"/>
        </w:rPr>
        <w:t xml:space="preserve">, J.; </w:t>
      </w:r>
      <w:proofErr w:type="spellStart"/>
      <w:r w:rsidRPr="007A4906">
        <w:rPr>
          <w:rFonts w:ascii="Calibri" w:cs="Calibri"/>
        </w:rPr>
        <w:t>Oksa</w:t>
      </w:r>
      <w:proofErr w:type="spellEnd"/>
      <w:r w:rsidRPr="007A4906">
        <w:rPr>
          <w:rFonts w:ascii="Calibri" w:cs="Calibri"/>
        </w:rPr>
        <w:t xml:space="preserve">, H.; </w:t>
      </w:r>
      <w:proofErr w:type="spellStart"/>
      <w:r w:rsidRPr="007A4906">
        <w:rPr>
          <w:rFonts w:ascii="Calibri" w:cs="Calibri"/>
        </w:rPr>
        <w:t>Korpi-Hyövälti</w:t>
      </w:r>
      <w:proofErr w:type="spellEnd"/>
      <w:r w:rsidRPr="007A4906">
        <w:rPr>
          <w:rFonts w:ascii="Calibri" w:cs="Calibri"/>
        </w:rPr>
        <w:t xml:space="preserve">, E.; </w:t>
      </w:r>
      <w:proofErr w:type="spellStart"/>
      <w:r w:rsidRPr="007A4906">
        <w:rPr>
          <w:rFonts w:ascii="Calibri" w:cs="Calibri"/>
        </w:rPr>
        <w:t>Sundvall</w:t>
      </w:r>
      <w:proofErr w:type="spellEnd"/>
      <w:r w:rsidRPr="007A4906">
        <w:rPr>
          <w:rFonts w:ascii="Calibri" w:cs="Calibri"/>
        </w:rPr>
        <w:t xml:space="preserve">, J.; </w:t>
      </w:r>
      <w:proofErr w:type="spellStart"/>
      <w:r w:rsidRPr="007A4906">
        <w:rPr>
          <w:rFonts w:ascii="Calibri" w:cs="Calibri"/>
        </w:rPr>
        <w:t>Männistö</w:t>
      </w:r>
      <w:proofErr w:type="spellEnd"/>
      <w:r w:rsidRPr="007A4906">
        <w:rPr>
          <w:rFonts w:ascii="Calibri" w:cs="Calibri"/>
        </w:rPr>
        <w:t xml:space="preserve">, S.; </w:t>
      </w:r>
      <w:proofErr w:type="spellStart"/>
      <w:r w:rsidRPr="007A4906">
        <w:rPr>
          <w:rFonts w:ascii="Calibri" w:cs="Calibri"/>
        </w:rPr>
        <w:t>Peltonen</w:t>
      </w:r>
      <w:proofErr w:type="spellEnd"/>
      <w:r w:rsidRPr="007A4906">
        <w:rPr>
          <w:rFonts w:ascii="Calibri" w:cs="Calibri"/>
        </w:rPr>
        <w:t xml:space="preserve">, M.; </w:t>
      </w:r>
      <w:proofErr w:type="spellStart"/>
      <w:r w:rsidRPr="007A4906">
        <w:rPr>
          <w:rFonts w:ascii="Calibri" w:cs="Calibri"/>
        </w:rPr>
        <w:t>Mäntyselkä</w:t>
      </w:r>
      <w:proofErr w:type="spellEnd"/>
      <w:r w:rsidRPr="007A4906">
        <w:rPr>
          <w:rFonts w:ascii="Calibri" w:cs="Calibri"/>
        </w:rPr>
        <w:t xml:space="preserve">, P.; et al. Serum Calcium Level Is Associated with Metabolic Syndrome in the General Population: FIN-D2D Study. </w:t>
      </w:r>
      <w:r w:rsidRPr="007A4906">
        <w:rPr>
          <w:rFonts w:ascii="Calibri" w:cs="Calibri"/>
          <w:i/>
          <w:iCs/>
        </w:rPr>
        <w:t>European Journal of Endocrinology</w:t>
      </w:r>
      <w:r w:rsidRPr="007A4906">
        <w:rPr>
          <w:rFonts w:ascii="Calibri" w:cs="Calibri"/>
        </w:rPr>
        <w:t xml:space="preserve"> </w:t>
      </w:r>
      <w:r w:rsidRPr="007A4906">
        <w:rPr>
          <w:rFonts w:ascii="Calibri" w:cs="Calibri"/>
          <w:b/>
          <w:bCs/>
        </w:rPr>
        <w:t>2011</w:t>
      </w:r>
      <w:r w:rsidRPr="007A4906">
        <w:rPr>
          <w:rFonts w:ascii="Calibri" w:cs="Calibri"/>
        </w:rPr>
        <w:t xml:space="preserve">, </w:t>
      </w:r>
      <w:r w:rsidRPr="007A4906">
        <w:rPr>
          <w:rFonts w:ascii="Calibri" w:cs="Calibri"/>
          <w:i/>
          <w:iCs/>
        </w:rPr>
        <w:t>165</w:t>
      </w:r>
      <w:r w:rsidRPr="007A4906">
        <w:rPr>
          <w:rFonts w:ascii="Calibri" w:cs="Calibri"/>
        </w:rPr>
        <w:t>, 429–434, doi:10.1530/EJE-11-0066.</w:t>
      </w:r>
    </w:p>
    <w:p w14:paraId="7C081405" w14:textId="77777777" w:rsidR="007A4906" w:rsidRPr="007A4906" w:rsidRDefault="007A4906" w:rsidP="007A4906">
      <w:pPr>
        <w:pStyle w:val="Bibliography"/>
        <w:rPr>
          <w:rFonts w:ascii="Calibri" w:cs="Calibri"/>
        </w:rPr>
      </w:pPr>
      <w:r w:rsidRPr="007A4906">
        <w:rPr>
          <w:rFonts w:ascii="Calibri" w:cs="Calibri"/>
        </w:rPr>
        <w:t xml:space="preserve">11. </w:t>
      </w:r>
      <w:r w:rsidRPr="007A4906">
        <w:rPr>
          <w:rFonts w:ascii="Calibri" w:cs="Calibri"/>
        </w:rPr>
        <w:tab/>
      </w:r>
      <w:proofErr w:type="spellStart"/>
      <w:r w:rsidRPr="007A4906">
        <w:rPr>
          <w:rFonts w:ascii="Calibri" w:cs="Calibri"/>
        </w:rPr>
        <w:t>Rohrmann</w:t>
      </w:r>
      <w:proofErr w:type="spellEnd"/>
      <w:r w:rsidRPr="007A4906">
        <w:rPr>
          <w:rFonts w:ascii="Calibri" w:cs="Calibri"/>
        </w:rPr>
        <w:t xml:space="preserve">, S.; </w:t>
      </w:r>
      <w:proofErr w:type="spellStart"/>
      <w:r w:rsidRPr="007A4906">
        <w:rPr>
          <w:rFonts w:ascii="Calibri" w:cs="Calibri"/>
        </w:rPr>
        <w:t>Garmo</w:t>
      </w:r>
      <w:proofErr w:type="spellEnd"/>
      <w:r w:rsidRPr="007A4906">
        <w:rPr>
          <w:rFonts w:ascii="Calibri" w:cs="Calibri"/>
        </w:rPr>
        <w:t xml:space="preserve">, H.; Malmström, H.; </w:t>
      </w:r>
      <w:proofErr w:type="spellStart"/>
      <w:r w:rsidRPr="007A4906">
        <w:rPr>
          <w:rFonts w:ascii="Calibri" w:cs="Calibri"/>
        </w:rPr>
        <w:t>Hammar</w:t>
      </w:r>
      <w:proofErr w:type="spellEnd"/>
      <w:r w:rsidRPr="007A4906">
        <w:rPr>
          <w:rFonts w:ascii="Calibri" w:cs="Calibri"/>
        </w:rPr>
        <w:t xml:space="preserve">, N.; </w:t>
      </w:r>
      <w:proofErr w:type="spellStart"/>
      <w:r w:rsidRPr="007A4906">
        <w:rPr>
          <w:rFonts w:ascii="Calibri" w:cs="Calibri"/>
        </w:rPr>
        <w:t>Jungner</w:t>
      </w:r>
      <w:proofErr w:type="spellEnd"/>
      <w:r w:rsidRPr="007A4906">
        <w:rPr>
          <w:rFonts w:ascii="Calibri" w:cs="Calibri"/>
        </w:rPr>
        <w:t xml:space="preserve">, I.; </w:t>
      </w:r>
      <w:proofErr w:type="spellStart"/>
      <w:r w:rsidRPr="007A4906">
        <w:rPr>
          <w:rFonts w:ascii="Calibri" w:cs="Calibri"/>
        </w:rPr>
        <w:t>Walldius</w:t>
      </w:r>
      <w:proofErr w:type="spellEnd"/>
      <w:r w:rsidRPr="007A4906">
        <w:rPr>
          <w:rFonts w:ascii="Calibri" w:cs="Calibri"/>
        </w:rPr>
        <w:t xml:space="preserve">, G.; Van </w:t>
      </w:r>
      <w:proofErr w:type="spellStart"/>
      <w:r w:rsidRPr="007A4906">
        <w:rPr>
          <w:rFonts w:ascii="Calibri" w:cs="Calibri"/>
        </w:rPr>
        <w:t>Hemelrijck</w:t>
      </w:r>
      <w:proofErr w:type="spellEnd"/>
      <w:r w:rsidRPr="007A4906">
        <w:rPr>
          <w:rFonts w:ascii="Calibri" w:cs="Calibri"/>
        </w:rPr>
        <w:t xml:space="preserve">, M. Association between Serum Calcium Concentration and Risk of Incident and Fatal Cardiovascular Disease in the Prospective AMORIS Study. </w:t>
      </w:r>
      <w:r w:rsidRPr="007A4906">
        <w:rPr>
          <w:rFonts w:ascii="Calibri" w:cs="Calibri"/>
          <w:i/>
          <w:iCs/>
        </w:rPr>
        <w:t>Atherosclerosis</w:t>
      </w:r>
      <w:r w:rsidRPr="007A4906">
        <w:rPr>
          <w:rFonts w:ascii="Calibri" w:cs="Calibri"/>
        </w:rPr>
        <w:t xml:space="preserve"> </w:t>
      </w:r>
      <w:r w:rsidRPr="007A4906">
        <w:rPr>
          <w:rFonts w:ascii="Calibri" w:cs="Calibri"/>
          <w:b/>
          <w:bCs/>
        </w:rPr>
        <w:t>2016</w:t>
      </w:r>
      <w:r w:rsidRPr="007A4906">
        <w:rPr>
          <w:rFonts w:ascii="Calibri" w:cs="Calibri"/>
        </w:rPr>
        <w:t xml:space="preserve">, </w:t>
      </w:r>
      <w:r w:rsidRPr="007A4906">
        <w:rPr>
          <w:rFonts w:ascii="Calibri" w:cs="Calibri"/>
          <w:i/>
          <w:iCs/>
        </w:rPr>
        <w:t>251</w:t>
      </w:r>
      <w:r w:rsidRPr="007A4906">
        <w:rPr>
          <w:rFonts w:ascii="Calibri" w:cs="Calibri"/>
        </w:rPr>
        <w:t xml:space="preserve">, 85–93, </w:t>
      </w:r>
      <w:proofErr w:type="gramStart"/>
      <w:r w:rsidRPr="007A4906">
        <w:rPr>
          <w:rFonts w:ascii="Calibri" w:cs="Calibri"/>
        </w:rPr>
        <w:t>doi:10.1016/j.atherosclerosis</w:t>
      </w:r>
      <w:proofErr w:type="gramEnd"/>
      <w:r w:rsidRPr="007A4906">
        <w:rPr>
          <w:rFonts w:ascii="Calibri" w:cs="Calibri"/>
        </w:rPr>
        <w:t>.2016.06.004.</w:t>
      </w:r>
    </w:p>
    <w:p w14:paraId="5CF50CC9" w14:textId="77777777" w:rsidR="007A4906" w:rsidRPr="007A4906" w:rsidRDefault="007A4906" w:rsidP="007A4906">
      <w:pPr>
        <w:pStyle w:val="Bibliography"/>
        <w:rPr>
          <w:rFonts w:ascii="Calibri" w:cs="Calibri"/>
        </w:rPr>
      </w:pPr>
      <w:r w:rsidRPr="007A4906">
        <w:rPr>
          <w:rFonts w:ascii="Calibri" w:cs="Calibri"/>
        </w:rPr>
        <w:t xml:space="preserve">12. </w:t>
      </w:r>
      <w:r w:rsidRPr="007A4906">
        <w:rPr>
          <w:rFonts w:ascii="Calibri" w:cs="Calibri"/>
        </w:rPr>
        <w:tab/>
        <w:t xml:space="preserve">Chou, C.-W.; Fang, W.-H.; Chen, Y.-Y.; Wang, C.-C.; Kao, T.-W.; Wu, C.-J.; Chen, W.-L. Association between Serum Calcium and Risk of Cardiometabolic Disease among Community-Dwelling Adults in Taiwan. </w:t>
      </w:r>
      <w:r w:rsidRPr="007A4906">
        <w:rPr>
          <w:rFonts w:ascii="Calibri" w:cs="Calibri"/>
          <w:i/>
          <w:iCs/>
        </w:rPr>
        <w:t>Sci Rep</w:t>
      </w:r>
      <w:r w:rsidRPr="007A4906">
        <w:rPr>
          <w:rFonts w:ascii="Calibri" w:cs="Calibri"/>
        </w:rPr>
        <w:t xml:space="preserve"> </w:t>
      </w:r>
      <w:r w:rsidRPr="007A4906">
        <w:rPr>
          <w:rFonts w:ascii="Calibri" w:cs="Calibri"/>
          <w:b/>
          <w:bCs/>
        </w:rPr>
        <w:t>2020</w:t>
      </w:r>
      <w:r w:rsidRPr="007A4906">
        <w:rPr>
          <w:rFonts w:ascii="Calibri" w:cs="Calibri"/>
        </w:rPr>
        <w:t xml:space="preserve">, </w:t>
      </w:r>
      <w:r w:rsidRPr="007A4906">
        <w:rPr>
          <w:rFonts w:ascii="Calibri" w:cs="Calibri"/>
          <w:i/>
          <w:iCs/>
        </w:rPr>
        <w:t>10</w:t>
      </w:r>
      <w:r w:rsidRPr="007A4906">
        <w:rPr>
          <w:rFonts w:ascii="Calibri" w:cs="Calibri"/>
        </w:rPr>
        <w:t>, 3192, doi:10.1038/s41598-020-60209-w.</w:t>
      </w:r>
    </w:p>
    <w:p w14:paraId="3FF8565C" w14:textId="77777777" w:rsidR="007A4906" w:rsidRPr="007A4906" w:rsidRDefault="007A4906" w:rsidP="007A4906">
      <w:pPr>
        <w:pStyle w:val="Bibliography"/>
        <w:rPr>
          <w:rFonts w:ascii="Calibri" w:cs="Calibri"/>
        </w:rPr>
      </w:pPr>
      <w:r w:rsidRPr="007A4906">
        <w:rPr>
          <w:rFonts w:ascii="Calibri" w:cs="Calibri"/>
        </w:rPr>
        <w:t xml:space="preserve">13. </w:t>
      </w:r>
      <w:r w:rsidRPr="007A4906">
        <w:rPr>
          <w:rFonts w:ascii="Calibri" w:cs="Calibri"/>
        </w:rPr>
        <w:tab/>
      </w:r>
      <w:proofErr w:type="spellStart"/>
      <w:r w:rsidRPr="007A4906">
        <w:rPr>
          <w:rFonts w:ascii="Calibri" w:cs="Calibri"/>
        </w:rPr>
        <w:t>Sabanayagam</w:t>
      </w:r>
      <w:proofErr w:type="spellEnd"/>
      <w:r w:rsidRPr="007A4906">
        <w:rPr>
          <w:rFonts w:ascii="Calibri" w:cs="Calibri"/>
        </w:rPr>
        <w:t xml:space="preserve">, C.; Shankar, A. Serum Calcium Levels and Hypertension Among US Adults. </w:t>
      </w:r>
      <w:r w:rsidRPr="007A4906">
        <w:rPr>
          <w:rFonts w:ascii="Calibri" w:cs="Calibri"/>
          <w:i/>
          <w:iCs/>
        </w:rPr>
        <w:t>The Journal of Clinical Hypertension</w:t>
      </w:r>
      <w:r w:rsidRPr="007A4906">
        <w:rPr>
          <w:rFonts w:ascii="Calibri" w:cs="Calibri"/>
        </w:rPr>
        <w:t xml:space="preserve"> </w:t>
      </w:r>
      <w:r w:rsidRPr="007A4906">
        <w:rPr>
          <w:rFonts w:ascii="Calibri" w:cs="Calibri"/>
          <w:b/>
          <w:bCs/>
        </w:rPr>
        <w:t>2011</w:t>
      </w:r>
      <w:r w:rsidRPr="007A4906">
        <w:rPr>
          <w:rFonts w:ascii="Calibri" w:cs="Calibri"/>
        </w:rPr>
        <w:t xml:space="preserve">, </w:t>
      </w:r>
      <w:r w:rsidRPr="007A4906">
        <w:rPr>
          <w:rFonts w:ascii="Calibri" w:cs="Calibri"/>
          <w:i/>
          <w:iCs/>
        </w:rPr>
        <w:t>13</w:t>
      </w:r>
      <w:r w:rsidRPr="007A4906">
        <w:rPr>
          <w:rFonts w:ascii="Calibri" w:cs="Calibri"/>
        </w:rPr>
        <w:t>, 716–721, doi:10.1111/j.1751-7176.2011.</w:t>
      </w:r>
      <w:proofErr w:type="gramStart"/>
      <w:r w:rsidRPr="007A4906">
        <w:rPr>
          <w:rFonts w:ascii="Calibri" w:cs="Calibri"/>
        </w:rPr>
        <w:t>00503.x.</w:t>
      </w:r>
      <w:proofErr w:type="gramEnd"/>
    </w:p>
    <w:p w14:paraId="3515CB02" w14:textId="77777777" w:rsidR="007A4906" w:rsidRPr="007A4906" w:rsidRDefault="007A4906" w:rsidP="007A4906">
      <w:pPr>
        <w:pStyle w:val="Bibliography"/>
        <w:rPr>
          <w:rFonts w:ascii="Calibri" w:cs="Calibri"/>
        </w:rPr>
      </w:pPr>
      <w:r w:rsidRPr="007A4906">
        <w:rPr>
          <w:rFonts w:ascii="Calibri" w:cs="Calibri"/>
        </w:rPr>
        <w:t xml:space="preserve">14. </w:t>
      </w:r>
      <w:r w:rsidRPr="007A4906">
        <w:rPr>
          <w:rFonts w:ascii="Calibri" w:cs="Calibri"/>
        </w:rPr>
        <w:tab/>
        <w:t xml:space="preserve">Wilson, P.W.; Garrison, R.J.; Abbott, R.D.; Castelli, W.P. Factors Associated with Lipoprotein Cholesterol Levels. The Framingham Study. </w:t>
      </w:r>
      <w:r w:rsidRPr="007A4906">
        <w:rPr>
          <w:rFonts w:ascii="Calibri" w:cs="Calibri"/>
          <w:i/>
          <w:iCs/>
        </w:rPr>
        <w:t>Arteriosclerosis: An Official Journal of the American Heart Association, Inc.</w:t>
      </w:r>
      <w:r w:rsidRPr="007A4906">
        <w:rPr>
          <w:rFonts w:ascii="Calibri" w:cs="Calibri"/>
        </w:rPr>
        <w:t xml:space="preserve"> </w:t>
      </w:r>
      <w:r w:rsidRPr="007A4906">
        <w:rPr>
          <w:rFonts w:ascii="Calibri" w:cs="Calibri"/>
          <w:b/>
          <w:bCs/>
        </w:rPr>
        <w:t>1983</w:t>
      </w:r>
      <w:r w:rsidRPr="007A4906">
        <w:rPr>
          <w:rFonts w:ascii="Calibri" w:cs="Calibri"/>
        </w:rPr>
        <w:t xml:space="preserve">, </w:t>
      </w:r>
      <w:r w:rsidRPr="007A4906">
        <w:rPr>
          <w:rFonts w:ascii="Calibri" w:cs="Calibri"/>
          <w:i/>
          <w:iCs/>
        </w:rPr>
        <w:t>3</w:t>
      </w:r>
      <w:r w:rsidRPr="007A4906">
        <w:rPr>
          <w:rFonts w:ascii="Calibri" w:cs="Calibri"/>
        </w:rPr>
        <w:t xml:space="preserve">, 273–281, </w:t>
      </w:r>
      <w:proofErr w:type="gramStart"/>
      <w:r w:rsidRPr="007A4906">
        <w:rPr>
          <w:rFonts w:ascii="Calibri" w:cs="Calibri"/>
        </w:rPr>
        <w:t>doi:10.1161/01.ATV</w:t>
      </w:r>
      <w:proofErr w:type="gramEnd"/>
      <w:r w:rsidRPr="007A4906">
        <w:rPr>
          <w:rFonts w:ascii="Calibri" w:cs="Calibri"/>
        </w:rPr>
        <w:t>.3.3.273.</w:t>
      </w:r>
    </w:p>
    <w:p w14:paraId="3F938F0A" w14:textId="33F114F8" w:rsidR="007A4906" w:rsidRPr="007A4906" w:rsidRDefault="007A4906" w:rsidP="007A4906">
      <w:pPr>
        <w:rPr>
          <w:shd w:val="clear" w:color="auto" w:fill="FEFEFE"/>
        </w:rPr>
      </w:pPr>
      <w:r>
        <w:rPr>
          <w:shd w:val="clear" w:color="auto" w:fill="FEFEFE"/>
        </w:rPr>
        <w:fldChar w:fldCharType="end"/>
      </w:r>
    </w:p>
    <w:sectPr w:rsidR="007A4906" w:rsidRPr="007A49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B93"/>
    <w:rsid w:val="00104CE7"/>
    <w:rsid w:val="002F28A6"/>
    <w:rsid w:val="0036088E"/>
    <w:rsid w:val="006834E1"/>
    <w:rsid w:val="006F633A"/>
    <w:rsid w:val="007A4906"/>
    <w:rsid w:val="007B0B93"/>
    <w:rsid w:val="008331E6"/>
    <w:rsid w:val="008C3995"/>
    <w:rsid w:val="00BD50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B146F"/>
  <w15:chartTrackingRefBased/>
  <w15:docId w15:val="{BCDC1252-4997-4B24-ABEB-0F7D4F266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B0B93"/>
    <w:pPr>
      <w:spacing w:line="256" w:lineRule="auto"/>
    </w:pPr>
    <w:rPr>
      <w:kern w:val="0"/>
      <w14:ligatures w14:val="none"/>
    </w:rPr>
  </w:style>
  <w:style w:type="paragraph" w:styleId="Heading1">
    <w:name w:val="heading 1"/>
    <w:basedOn w:val="Normal"/>
    <w:next w:val="Normal"/>
    <w:link w:val="Heading1Char"/>
    <w:uiPriority w:val="9"/>
    <w:qFormat/>
    <w:rsid w:val="006834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834E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wtze">
    <w:name w:val="hwtze"/>
    <w:basedOn w:val="DefaultParagraphFont"/>
    <w:rsid w:val="006834E1"/>
  </w:style>
  <w:style w:type="character" w:customStyle="1" w:styleId="rynqvb">
    <w:name w:val="rynqvb"/>
    <w:basedOn w:val="DefaultParagraphFont"/>
    <w:rsid w:val="006834E1"/>
  </w:style>
  <w:style w:type="character" w:customStyle="1" w:styleId="Heading1Char">
    <w:name w:val="Heading 1 Char"/>
    <w:basedOn w:val="DefaultParagraphFont"/>
    <w:link w:val="Heading1"/>
    <w:uiPriority w:val="9"/>
    <w:rsid w:val="006834E1"/>
    <w:rPr>
      <w:rFonts w:asciiTheme="majorHAnsi" w:eastAsiaTheme="majorEastAsia" w:hAnsiTheme="majorHAnsi" w:cstheme="majorBidi"/>
      <w:color w:val="2F5496" w:themeColor="accent1" w:themeShade="BF"/>
      <w:kern w:val="0"/>
      <w:sz w:val="32"/>
      <w:szCs w:val="32"/>
      <w14:ligatures w14:val="none"/>
    </w:rPr>
  </w:style>
  <w:style w:type="paragraph" w:styleId="Title">
    <w:name w:val="Title"/>
    <w:basedOn w:val="Normal"/>
    <w:next w:val="Normal"/>
    <w:link w:val="TitleChar"/>
    <w:uiPriority w:val="10"/>
    <w:qFormat/>
    <w:rsid w:val="006834E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34E1"/>
    <w:rPr>
      <w:rFonts w:asciiTheme="majorHAnsi" w:eastAsiaTheme="majorEastAsia" w:hAnsiTheme="majorHAnsi" w:cstheme="majorBidi"/>
      <w:spacing w:val="-10"/>
      <w:kern w:val="28"/>
      <w:sz w:val="56"/>
      <w:szCs w:val="56"/>
      <w14:ligatures w14:val="none"/>
    </w:rPr>
  </w:style>
  <w:style w:type="paragraph" w:styleId="Bibliography">
    <w:name w:val="Bibliography"/>
    <w:basedOn w:val="Normal"/>
    <w:next w:val="Normal"/>
    <w:uiPriority w:val="37"/>
    <w:unhideWhenUsed/>
    <w:rsid w:val="007A4906"/>
    <w:pPr>
      <w:tabs>
        <w:tab w:val="left" w:pos="500"/>
      </w:tabs>
      <w:spacing w:after="0" w:line="240" w:lineRule="auto"/>
      <w:ind w:left="504" w:hanging="50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868557">
      <w:bodyDiv w:val="1"/>
      <w:marLeft w:val="0"/>
      <w:marRight w:val="0"/>
      <w:marTop w:val="0"/>
      <w:marBottom w:val="0"/>
      <w:divBdr>
        <w:top w:val="none" w:sz="0" w:space="0" w:color="auto"/>
        <w:left w:val="none" w:sz="0" w:space="0" w:color="auto"/>
        <w:bottom w:val="none" w:sz="0" w:space="0" w:color="auto"/>
        <w:right w:val="none" w:sz="0" w:space="0" w:color="auto"/>
      </w:divBdr>
    </w:div>
    <w:div w:id="391582651">
      <w:bodyDiv w:val="1"/>
      <w:marLeft w:val="0"/>
      <w:marRight w:val="0"/>
      <w:marTop w:val="0"/>
      <w:marBottom w:val="0"/>
      <w:divBdr>
        <w:top w:val="none" w:sz="0" w:space="0" w:color="auto"/>
        <w:left w:val="none" w:sz="0" w:space="0" w:color="auto"/>
        <w:bottom w:val="none" w:sz="0" w:space="0" w:color="auto"/>
        <w:right w:val="none" w:sz="0" w:space="0" w:color="auto"/>
      </w:divBdr>
    </w:div>
    <w:div w:id="512381075">
      <w:bodyDiv w:val="1"/>
      <w:marLeft w:val="0"/>
      <w:marRight w:val="0"/>
      <w:marTop w:val="0"/>
      <w:marBottom w:val="0"/>
      <w:divBdr>
        <w:top w:val="none" w:sz="0" w:space="0" w:color="auto"/>
        <w:left w:val="none" w:sz="0" w:space="0" w:color="auto"/>
        <w:bottom w:val="none" w:sz="0" w:space="0" w:color="auto"/>
        <w:right w:val="none" w:sz="0" w:space="0" w:color="auto"/>
      </w:divBdr>
    </w:div>
    <w:div w:id="691566458">
      <w:bodyDiv w:val="1"/>
      <w:marLeft w:val="0"/>
      <w:marRight w:val="0"/>
      <w:marTop w:val="0"/>
      <w:marBottom w:val="0"/>
      <w:divBdr>
        <w:top w:val="none" w:sz="0" w:space="0" w:color="auto"/>
        <w:left w:val="none" w:sz="0" w:space="0" w:color="auto"/>
        <w:bottom w:val="none" w:sz="0" w:space="0" w:color="auto"/>
        <w:right w:val="none" w:sz="0" w:space="0" w:color="auto"/>
      </w:divBdr>
    </w:div>
    <w:div w:id="2036271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4</Pages>
  <Words>6636</Words>
  <Characters>37828</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 Cousineau</dc:creator>
  <cp:keywords/>
  <dc:description/>
  <cp:lastModifiedBy>Dave Bridges</cp:lastModifiedBy>
  <cp:revision>4</cp:revision>
  <dcterms:created xsi:type="dcterms:W3CDTF">2023-04-18T18:21:00Z</dcterms:created>
  <dcterms:modified xsi:type="dcterms:W3CDTF">2023-04-20T13:39:00Z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zotero-version="6.0.25"&gt;&lt;session id="sEMgAht9"/&gt;&lt;style id="http://www.zotero.org/styles/nutrients" hasBibliography="1" bibliographyStyleHasBeenSet="1"/&gt;&lt;prefs&gt;&lt;pref name="fieldType" value="Field"/&gt;&lt;/prefs&gt;&lt;/data&gt;</vt:lpwstr>
  </property>
</Properties>
</file>