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A74A" w14:textId="4D25A5B3" w:rsidR="00F27678" w:rsidRPr="00810119" w:rsidRDefault="00F27678" w:rsidP="00F27678">
      <w:r>
        <w:rPr>
          <w:b/>
        </w:rPr>
        <w:t xml:space="preserve">Supplementary </w:t>
      </w:r>
      <w:r w:rsidRPr="00A35CFB">
        <w:rPr>
          <w:b/>
        </w:rPr>
        <w:t xml:space="preserve">Figure </w:t>
      </w:r>
      <w:r>
        <w:rPr>
          <w:b/>
        </w:rPr>
        <w:t>1:</w:t>
      </w:r>
      <w:r w:rsidRPr="00A35CFB">
        <w:rPr>
          <w:b/>
        </w:rPr>
        <w:t xml:space="preserve"> </w:t>
      </w:r>
      <w:r>
        <w:rPr>
          <w:b/>
        </w:rPr>
        <w:t>Cholesterol levels are stable across time in diversity outbred mice</w:t>
      </w:r>
      <w:r w:rsidRPr="00A35CFB">
        <w:rPr>
          <w:b/>
        </w:rPr>
        <w:t>.</w:t>
      </w:r>
      <w:r>
        <w:t xml:space="preserve">  Average cholesterol levels, and levels measured at 8 and 19 weeks, stratified by sex and diet.</w:t>
      </w:r>
      <w:r w:rsidR="00362ABB">
        <w:t xml:space="preserve">  Error bars indicate standard deviation with n=193-225 mice/group.</w:t>
      </w:r>
      <w:bookmarkStart w:id="0" w:name="_GoBack"/>
      <w:bookmarkEnd w:id="0"/>
    </w:p>
    <w:p w14:paraId="57CBB618" w14:textId="77777777" w:rsidR="00F27678" w:rsidRDefault="00F27678" w:rsidP="00F27678">
      <w:pPr>
        <w:rPr>
          <w:b/>
        </w:rPr>
      </w:pPr>
    </w:p>
    <w:p w14:paraId="3D15AC6E" w14:textId="1E344BA1" w:rsidR="00F27678" w:rsidRDefault="00F27678" w:rsidP="00F27678">
      <w:r>
        <w:rPr>
          <w:b/>
        </w:rPr>
        <w:t xml:space="preserve">Supplementary </w:t>
      </w:r>
      <w:r w:rsidRPr="00A35CFB">
        <w:rPr>
          <w:b/>
        </w:rPr>
        <w:t xml:space="preserve">Figure </w:t>
      </w:r>
      <w:r>
        <w:rPr>
          <w:b/>
        </w:rPr>
        <w:t>2:</w:t>
      </w:r>
      <w:r w:rsidRPr="00A35CFB">
        <w:rPr>
          <w:b/>
        </w:rPr>
        <w:t xml:space="preserve"> </w:t>
      </w:r>
      <w:r>
        <w:rPr>
          <w:b/>
        </w:rPr>
        <w:t>Calcium is not strongly associated with diet, sex or bone mass/density in diversity outbred mice</w:t>
      </w:r>
      <w:r w:rsidRPr="00A35CFB">
        <w:rPr>
          <w:b/>
        </w:rPr>
        <w:t>.</w:t>
      </w:r>
      <w:r>
        <w:t xml:space="preserve">  A) Violin plot of calcium levels at 19 weeks across diets and sex. </w:t>
      </w:r>
      <w:r w:rsidR="001D334C">
        <w:t xml:space="preserve">Sex and diet stratified scatter plots showing the relationship between calcium at 19 weeks and both (B) HDL Cholesterol and (C) non-HDL Cholesterol.  </w:t>
      </w:r>
      <w:r>
        <w:t>Sex and diet stratified scatter plots of the relationships between bone mineral content (</w:t>
      </w:r>
      <w:r w:rsidR="001D334C">
        <w:t>D</w:t>
      </w:r>
      <w:r>
        <w:t>) and bone density (</w:t>
      </w:r>
      <w:r w:rsidR="001D334C">
        <w:t>E</w:t>
      </w:r>
      <w:r>
        <w:t>) via DEXA scan and their relationships with cholesterol levels at 19 weeks.  For A, the p</w:t>
      </w:r>
      <w:r w:rsidR="00BE77FF">
        <w:t>-</w:t>
      </w:r>
      <w:r>
        <w:t>values represent the significance of diet and sex from a multivariate linear model.  For B</w:t>
      </w:r>
      <w:r w:rsidR="001D334C">
        <w:t>-E</w:t>
      </w:r>
      <w:r>
        <w:t>, p</w:t>
      </w:r>
      <w:r w:rsidR="00BE77FF">
        <w:t>-</w:t>
      </w:r>
      <w:r>
        <w:t xml:space="preserve">values indicate the significance for the diet and sex adjusted relationship between cholesterol and </w:t>
      </w:r>
      <w:r w:rsidR="001D334C">
        <w:t>the predictor</w:t>
      </w:r>
      <w:r>
        <w:t xml:space="preserve"> from a multivariate linear model.</w:t>
      </w:r>
    </w:p>
    <w:p w14:paraId="54EF8C8B" w14:textId="04EF9B93" w:rsidR="004F001F" w:rsidRDefault="004F001F" w:rsidP="00F27678"/>
    <w:p w14:paraId="772FF92B" w14:textId="058C7608" w:rsidR="004F001F" w:rsidRPr="004F001F" w:rsidRDefault="004F001F" w:rsidP="00F27678">
      <w:r w:rsidRPr="004F001F">
        <w:rPr>
          <w:b/>
        </w:rPr>
        <w:t>Supplementary Table</w:t>
      </w:r>
      <w:r w:rsidR="00D676FD">
        <w:rPr>
          <w:b/>
        </w:rPr>
        <w:t xml:space="preserve"> S1</w:t>
      </w:r>
      <w:r w:rsidRPr="004F001F">
        <w:rPr>
          <w:b/>
        </w:rPr>
        <w:t>: Association between cholesterol at 19 weeks and other measured parameters.</w:t>
      </w:r>
      <w:r>
        <w:t xml:space="preserve">  </w:t>
      </w:r>
      <w:proofErr w:type="spellStart"/>
      <w:r>
        <w:t>Spearmans’s</w:t>
      </w:r>
      <w:proofErr w:type="spellEnd"/>
      <w:r>
        <w:t xml:space="preserve"> correlation coefficients were calculated for each comparison with the number of mice (n), Spearman’s Rho (estimate) and p-value (</w:t>
      </w:r>
      <w:proofErr w:type="spellStart"/>
      <w:r>
        <w:t>cor.p.value</w:t>
      </w:r>
      <w:proofErr w:type="spellEnd"/>
      <w:r>
        <w:t>) calculated</w:t>
      </w:r>
      <w:r w:rsidR="001D334C">
        <w:t xml:space="preserve"> for each term</w:t>
      </w:r>
      <w:r>
        <w:t>.  Linear models were then constructed adjusting for both sex and diet for each comparison with cholesterol at 19 weeks</w:t>
      </w:r>
      <w:r w:rsidR="001D334C">
        <w:t xml:space="preserve">.  For this analysis we </w:t>
      </w:r>
      <w:r>
        <w:t>report the beta coefficient (beta), standard error (se), and p-value (</w:t>
      </w:r>
      <w:proofErr w:type="spellStart"/>
      <w:r>
        <w:t>lm.p.value</w:t>
      </w:r>
      <w:proofErr w:type="spellEnd"/>
      <w:r>
        <w:t xml:space="preserve">). Both sets of p-values were adjusted for multiple </w:t>
      </w:r>
      <w:r w:rsidR="006A7B61">
        <w:t>comparisons</w:t>
      </w:r>
      <w:r>
        <w:t xml:space="preserve"> by the method of </w:t>
      </w:r>
      <w:proofErr w:type="spellStart"/>
      <w:r>
        <w:t>Benjamini</w:t>
      </w:r>
      <w:proofErr w:type="spellEnd"/>
      <w:r>
        <w:t xml:space="preserve"> and Hochberg and reported as </w:t>
      </w:r>
      <w:proofErr w:type="spellStart"/>
      <w:r>
        <w:t>cor.p.adj</w:t>
      </w:r>
      <w:proofErr w:type="spellEnd"/>
      <w:r>
        <w:t xml:space="preserve"> and </w:t>
      </w:r>
      <w:proofErr w:type="spellStart"/>
      <w:r>
        <w:t>lm.p.adj</w:t>
      </w:r>
      <w:proofErr w:type="spellEnd"/>
      <w:r>
        <w:t xml:space="preserve"> respectively.  Some parameters (albumin to creatine ratio, adiponectin at 8 weeks) were not measured for all groups, so only Spearman’s Rho was estimated.</w:t>
      </w:r>
      <w:r w:rsidR="008528A8">
        <w:t xml:space="preserve">  Data are arranged in descending order by the absolute value of the correlation coefficient.</w:t>
      </w:r>
    </w:p>
    <w:p w14:paraId="1EFF3B67" w14:textId="77777777" w:rsidR="000C06E4" w:rsidRDefault="000C06E4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78"/>
    <w:rsid w:val="000C06E4"/>
    <w:rsid w:val="00143D60"/>
    <w:rsid w:val="001D334C"/>
    <w:rsid w:val="00362ABB"/>
    <w:rsid w:val="004013A7"/>
    <w:rsid w:val="004A0F31"/>
    <w:rsid w:val="004F001F"/>
    <w:rsid w:val="006A7B61"/>
    <w:rsid w:val="006B12FE"/>
    <w:rsid w:val="008528A8"/>
    <w:rsid w:val="00984665"/>
    <w:rsid w:val="00AD2F62"/>
    <w:rsid w:val="00BE77FF"/>
    <w:rsid w:val="00D514D2"/>
    <w:rsid w:val="00D676FD"/>
    <w:rsid w:val="00F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43F6"/>
  <w14:defaultImageDpi w14:val="32767"/>
  <w15:chartTrackingRefBased/>
  <w15:docId w15:val="{B3F25B24-045B-CB47-B17C-377D918D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6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10</cp:revision>
  <dcterms:created xsi:type="dcterms:W3CDTF">2023-02-04T16:25:00Z</dcterms:created>
  <dcterms:modified xsi:type="dcterms:W3CDTF">2023-12-11T18:21:00Z</dcterms:modified>
</cp:coreProperties>
</file>