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ED107" w14:textId="3A0575C5" w:rsidR="00824978" w:rsidRDefault="002B35C8" w:rsidP="00824978">
      <w:pPr>
        <w:pStyle w:val="Heading1"/>
      </w:pPr>
      <w:r>
        <w:t>Methods</w:t>
      </w:r>
    </w:p>
    <w:p w14:paraId="1CA6F4E2" w14:textId="19192797" w:rsidR="002B35C8" w:rsidRDefault="00421B63" w:rsidP="00FF1D3C">
      <w:pPr>
        <w:pStyle w:val="Heading2"/>
      </w:pPr>
      <w:r>
        <w:t>SNP</w:t>
      </w:r>
      <w:r w:rsidR="002B35C8">
        <w:t xml:space="preserve"> Instrument Selection</w:t>
      </w:r>
    </w:p>
    <w:p w14:paraId="6C11CA6A" w14:textId="4313525A" w:rsidR="002B35C8" w:rsidRDefault="002B35C8" w:rsidP="002820CC">
      <w:pPr>
        <w:rPr>
          <w:rFonts w:cs="Cambria Math"/>
        </w:rPr>
      </w:pPr>
      <w:r w:rsidRPr="002820CC">
        <w:t>For each of our exposures we selected variants associated with that exposure from UK Biobank summary statistics</w:t>
      </w:r>
      <w:r w:rsidR="00B46D8E" w:rsidRPr="002820CC">
        <w:t xml:space="preserve"> (RRID:SCR_026189; </w:t>
      </w:r>
      <w:r w:rsidR="00532FC4" w:rsidRPr="002820CC">
        <w:fldChar w:fldCharType="begin"/>
      </w:r>
      <w:r w:rsidR="00532FC4" w:rsidRPr="002820CC">
        <w:instrText xml:space="preserve"> ADDIN ZOTERO_ITEM CSL_CITATION {"citationID":"reOoRbeU","properties":{"formattedCitation":"[1]","plainCitation":"[1]","noteIndex":0},"citationItems":[{"id":27087,"uris":["http://zotero.org/users/7317906/items/D75P3HJ8"],"itemData":{"id":27087,"type":"article-journal","abstract":"The UK Biobank project is a prospective cohort study with deep genetic and phenotypic data collected on approximately 500,000 individuals from across the United Kingdom, aged between 40 and 69 at recruitment. The open resource is unique in its size and scope. A rich variety of phenotypic and health-related information is available on each participant, including biological measurements, lifestyle indicators, biomarkers in blood and urine, and imaging of the body and brain. Follow-up information is provided by linking health and medical records. Genome-wide genotype data have been collected on all participants, providing many opportunities for the discovery of new genetic associations and the genetic bases of complex traits. Here we describe the centralized analysis of the genetic data, including genotype quality, properties of population structure and relatedness of the genetic data, and efficient phasing and genotype imputation that increases the number of testable variants to around 96 million. Classical allelic variation at 11 human leukocyte antigen genes was imputed, resulting in the recovery of signals with known associations between human leukocyte antigen alleles and many diseases.","container-title":"Nature","DOI":"10.1038/s41586-018-0579-z","ISSN":"1476-4687","issue":"7726","journalAbbreviation":"Nature","language":"eng","note":"PMID: 30305743\nPMCID: PMC6786975","page":"203-209","source":"PubMed","title":"The UK Biobank resource with deep phenotyping and genomic data","volume":"562","author":[{"family":"Bycroft","given":"Clare"},{"family":"Freeman","given":"Colin"},{"family":"Petkova","given":"Desislava"},{"family":"Band","given":"Gavin"},{"family":"Elliott","given":"Lloyd T."},{"family":"Sharp","given":"Kevin"},{"family":"Motyer","given":"Allan"},{"family":"Vukcevic","given":"Damjan"},{"family":"Delaneau","given":"Olivier"},{"family":"O'Connell","given":"Jared"},{"family":"Cortes","given":"Adrian"},{"family":"Welsh","given":"Samantha"},{"family":"Young","given":"Alan"},{"family":"Effingham","given":"Mark"},{"family":"McVean","given":"Gil"},{"family":"Leslie","given":"Stephen"},{"family":"Allen","given":"Naomi"},{"family":"Donnelly","given":"Peter"},{"family":"Marchini","given":"Jonathan"}],"issued":{"date-parts":[["2018",10]]},"citation-key":"bycroftUKBiobankResource2018"}}],"schema":"https://github.com/citation-style-language/schema/raw/master/csl-citation.json"} </w:instrText>
      </w:r>
      <w:r w:rsidR="00532FC4" w:rsidRPr="002820CC">
        <w:fldChar w:fldCharType="separate"/>
      </w:r>
      <w:r w:rsidR="00532FC4" w:rsidRPr="002820CC">
        <w:rPr>
          <w:noProof/>
        </w:rPr>
        <w:t>[1]</w:t>
      </w:r>
      <w:r w:rsidR="00532FC4" w:rsidRPr="002820CC">
        <w:fldChar w:fldCharType="end"/>
      </w:r>
      <w:r w:rsidR="00B46D8E" w:rsidRPr="002820CC">
        <w:t>)</w:t>
      </w:r>
      <w:r w:rsidRPr="002820CC">
        <w:t xml:space="preserve">.  </w:t>
      </w:r>
      <w:r w:rsidR="00FF1D3C" w:rsidRPr="002820CC">
        <w:t>These included</w:t>
      </w:r>
      <w:r w:rsidRPr="002820CC">
        <w:t xml:space="preserve"> total cholesterol (trait 30690; 420</w:t>
      </w:r>
      <w:r w:rsidR="00111879">
        <w:t xml:space="preserve"> </w:t>
      </w:r>
      <w:r w:rsidRPr="002820CC">
        <w:t>607 cases), for LDL cholesterol (trait 30780; 419</w:t>
      </w:r>
      <w:r w:rsidR="00111879">
        <w:t xml:space="preserve"> </w:t>
      </w:r>
      <w:r w:rsidRPr="002820CC">
        <w:t>831 cases)</w:t>
      </w:r>
      <w:r w:rsidR="00FF1D3C" w:rsidRPr="002820CC">
        <w:t>,</w:t>
      </w:r>
      <w:r w:rsidRPr="002820CC">
        <w:t xml:space="preserve"> and serum calcium (trait 30680; 385</w:t>
      </w:r>
      <w:r w:rsidR="00111879">
        <w:t xml:space="preserve"> </w:t>
      </w:r>
      <w:r w:rsidRPr="002820CC">
        <w:t xml:space="preserve">066 cases).  </w:t>
      </w:r>
      <w:r w:rsidR="00824978" w:rsidRPr="002820CC">
        <w:t xml:space="preserve">Instruments were filtered based on linkage disequilibrium (LD) clumping, then removing variants with &lt;1% or &gt;99% allele frequencies, were not present in our outcome summary statistics, </w:t>
      </w:r>
      <w:r w:rsidR="00532FC4" w:rsidRPr="002820CC">
        <w:t xml:space="preserve">or variants that   were either palindromic (A/T or C/G) with intermediate allele frequencies or had strand inconsistencies that prevented confident harmonization using the </w:t>
      </w:r>
      <w:proofErr w:type="spellStart"/>
      <w:r w:rsidR="00532FC4" w:rsidRPr="002820CC">
        <w:t>TwoSampleMR</w:t>
      </w:r>
      <w:proofErr w:type="spellEnd"/>
      <w:r w:rsidR="00532FC4" w:rsidRPr="002820CC">
        <w:t xml:space="preserve"> package (v. 0.6.22; )</w:t>
      </w:r>
      <w:r w:rsidR="00532FC4" w:rsidRPr="002820CC">
        <w:fldChar w:fldCharType="begin"/>
      </w:r>
      <w:r w:rsidR="00532FC4" w:rsidRPr="002820CC">
        <w:instrText xml:space="preserve"> ADDIN ZOTERO_ITEM CSL_CITATION {"citationID":"oWqrPTAU","properties":{"formattedCitation":"[2]","plainCitation":"[2]","noteIndex":0},"citationItems":[{"id":27090,"uris":["http://zotero.org/users/7317906/items/6LJFBWLQ"],"itemData":{"id":27090,"type":"article-journal","abstract":"Results from genome-wide association studies (GWAS) can be used to infer causal relationships between phenotypes, using a strategy known as 2-sample Mendelian randomization (2SMR) and bypassing the need for individual-level data. However, 2SMR methods are evolving rapidly and GWAS results are often insufficiently curated, undermining efficient implementation of the approach. We therefore developed MR-Base (http://www.mrbase.org): a platform that integrates a curated database of complete GWAS results (no restrictions according to statistical significance) with an application programming interface, web app and R packages that automate 2SMR. The software includes several sensitivity analyses for assessing the impact of horizontal pleiotropy and other violations of assumptions. The database currently comprises 11 billion single nucleotide polymorphism-trait associations from 1673 GWAS and is updated on a regular basis. Integrating data with software ensures more rigorous application of hypothesis-driven analyses and allows millions of potential causal relationships to be efficiently evaluated in phenome-wide association studies.","container-title":"eLife","DOI":"10.7554/eLife.34408","ISSN":"2050-084X","note":"publisher: eLife Sciences Publications, Ltd","page":"e34408","source":"eLife","title":"The MR-Base platform supports systematic causal inference across the human phenome","volume":"7","author":[{"family":"Hemani","given":"Gibran"},{"family":"Zheng","given":"Jie"},{"family":"Elsworth","given":"Benjamin"},{"family":"Wade","given":"Kaitlin H"},{"family":"Haberland","given":"Valeriia"},{"family":"Baird","given":"Denis"},{"family":"Laurin","given":"Charles"},{"family":"Burgess","given":"Stephen"},{"family":"Bowden","given":"Jack"},{"family":"Langdon","given":"Ryan"},{"family":"Tan","given":"Vanessa Y"},{"family":"Yarmolinsky","given":"James"},{"family":"Shihab","given":"Hashem A"},{"family":"Timpson","given":"Nicholas J"},{"family":"Evans","given":"David M"},{"family":"Relton","given":"Caroline"},{"family":"Martin","given":"Richard M"},{"family":"Davey Smith","given":"George"},{"family":"Gaunt","given":"Tom R"},{"family":"Haycock","given":"Philip C"}],"editor":[{"family":"Loos","given":"Ruth"}],"issued":{"date-parts":[["2018",5,30]]},"citation-key":"hemaniMRBasePlatformSupports2018"}}],"schema":"https://github.com/citation-style-language/schema/raw/master/csl-citation.json"} </w:instrText>
      </w:r>
      <w:r w:rsidR="00532FC4" w:rsidRPr="002820CC">
        <w:fldChar w:fldCharType="separate"/>
      </w:r>
      <w:r w:rsidR="00532FC4" w:rsidRPr="002820CC">
        <w:rPr>
          <w:noProof/>
        </w:rPr>
        <w:t>[2]</w:t>
      </w:r>
      <w:r w:rsidR="00532FC4" w:rsidRPr="002820CC">
        <w:fldChar w:fldCharType="end"/>
      </w:r>
      <w:r w:rsidR="00532FC4" w:rsidRPr="002820CC">
        <w:t>)</w:t>
      </w:r>
      <w:r w:rsidR="00824978" w:rsidRPr="002820CC">
        <w:t>.  We retained palindromic SNPs</w:t>
      </w:r>
      <w:r w:rsidR="00532FC4" w:rsidRPr="002820CC">
        <w:t xml:space="preserve"> in downstream analyses</w:t>
      </w:r>
      <w:r w:rsidR="00824978" w:rsidRPr="002820CC">
        <w:t xml:space="preserve">.  LD clumping was </w:t>
      </w:r>
      <w:r w:rsidR="00532FC4" w:rsidRPr="002820CC">
        <w:t xml:space="preserve">performed using Plink2 (v 2.00a5.12; RRID:SCR_001757;  </w:t>
      </w:r>
      <w:r w:rsidR="00532FC4" w:rsidRPr="002820CC">
        <w:fldChar w:fldCharType="begin"/>
      </w:r>
      <w:r w:rsidR="00532FC4" w:rsidRPr="002820CC">
        <w:instrText xml:space="preserve"> ADDIN ZOTERO_ITEM CSL_CITATION {"citationID":"V8Jh24X5","properties":{"formattedCitation":"[3]","plainCitation":"[3]","noteIndex":0},"citationItems":[{"id":27095,"uris":["http://zotero.org/users/7317906/items/CATHGFDV"],"itemData":{"id":27095,"type":"article-journal","abstract":"BACKGROUND: 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format.\nFINDINGS: To address these issues, we are developing a second-generation codebase for PLINK. The first major release from this codebase, PLINK 1.9, introduces extensive use of bit-level parallelism, [Formula: see text]-time/constant-space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2.0).\nCONCLUSIONS: 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use.","container-title":"GigaScience","DOI":"10.1186/s13742-015-0047-8","ISSN":"2047-217X","journalAbbreviation":"Gigascience","language":"eng","note":"PMID: 25722852\nPMCID: PMC4342193","page":"7","source":"PubMed","title":"Second-generation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J."}],"issued":{"date-parts":[["2015"]]},"citation-key":"changSecondgenerationPLINKRising2015"}}],"schema":"https://github.com/citation-style-language/schema/raw/master/csl-citation.json"} </w:instrText>
      </w:r>
      <w:r w:rsidR="00532FC4" w:rsidRPr="002820CC">
        <w:fldChar w:fldCharType="separate"/>
      </w:r>
      <w:r w:rsidR="00532FC4" w:rsidRPr="002820CC">
        <w:rPr>
          <w:noProof/>
        </w:rPr>
        <w:t>[3]</w:t>
      </w:r>
      <w:r w:rsidR="00532FC4" w:rsidRPr="002820CC">
        <w:fldChar w:fldCharType="end"/>
      </w:r>
      <w:r w:rsidR="00532FC4" w:rsidRPr="002820CC">
        <w:t xml:space="preserve">) </w:t>
      </w:r>
      <w:r w:rsidR="00824978" w:rsidRPr="002820CC">
        <w:t xml:space="preserve">based on genomes of European ancestry provided by 1000 </w:t>
      </w:r>
      <w:r w:rsidR="00532FC4" w:rsidRPr="002820CC">
        <w:t>G</w:t>
      </w:r>
      <w:r w:rsidR="00824978" w:rsidRPr="002820CC">
        <w:t>enomes</w:t>
      </w:r>
      <w:r w:rsidR="00532FC4" w:rsidRPr="002820CC">
        <w:t xml:space="preserve"> (RRID:SCR_006828; </w:t>
      </w:r>
      <w:r w:rsidR="00532FC4" w:rsidRPr="002820CC">
        <w:fldChar w:fldCharType="begin"/>
      </w:r>
      <w:r w:rsidR="00532FC4" w:rsidRPr="002820CC">
        <w:instrText xml:space="preserve"> ADDIN ZOTERO_ITEM CSL_CITATION {"citationID":"cWNO4sOE","properties":{"formattedCitation":"[4]","plainCitation":"[4]","noteIndex":0},"citationItems":[{"id":27092,"uris":["http://zotero.org/users/7317906/items/P8JP332H"],"itemData":{"id":27092,"type":"article-journal","abstract":"The 1000 Genomes Project set out to provide a comprehensive description of common human genetic variation by applying whole-genome sequencing to a diverse set of individuals from multiple populations. Here we report completion of the project, having reconstructed the genomes of 2,504 individuals from 26 populations using a combination of low-coverage whole-genome sequencing, deep exome sequencing, and dense microarray genotyping. We characterized a broad spectrum of genetic variation, in total over 88 million variants (84.7 million single nucleotide polymorphisms (SNPs), 3.6 million short insertions/deletions (indels), and 60,000 structural variants), all phased onto high-quality haplotypes. This resource includes &gt;99% of SNP variants with a frequency of &gt;1% for a variety of ancestries. We describe the distribution of genetic variation across the global sample, and discuss the implications for common disease studies.","container-title":"Nature","DOI":"10.1038/nature15393","ISSN":"1476-4687","issue":"7571","journalAbbreviation":"Nature","language":"eng","note":"PMID: 26432245\nPMCID: PMC4750478","page":"68-74","source":"PubMed","title":"A global reference for human genetic variation","volume":"526","author":[{"literal":"1000 Genomes Project Consortium"},{"family":"Auton","given":"Adam"},{"family":"Brooks","given":"Lisa D."},{"family":"Durbin","given":"Richard M."},{"family":"Garrison","given":"Erik P."},{"family":"Kang","given":"Hyun Min"},{"family":"Korbel","given":"Jan O."},{"family":"Marchini","given":"Jonathan L."},{"family":"McCarthy","given":"Shane"},{"family":"McVean","given":"Gil A."},{"family":"Abecasis","given":"Gonçalo R."}],"issued":{"date-parts":[["2015",10,1]]},"citation-key":"1000genomesprojectconsortiumGlobalReferenceHuman2015"}}],"schema":"https://github.com/citation-style-language/schema/raw/master/csl-citation.json"} </w:instrText>
      </w:r>
      <w:r w:rsidR="00532FC4" w:rsidRPr="002820CC">
        <w:fldChar w:fldCharType="separate"/>
      </w:r>
      <w:r w:rsidR="00532FC4" w:rsidRPr="002820CC">
        <w:rPr>
          <w:noProof/>
        </w:rPr>
        <w:t>[4]</w:t>
      </w:r>
      <w:r w:rsidR="00532FC4" w:rsidRPr="002820CC">
        <w:fldChar w:fldCharType="end"/>
      </w:r>
      <w:r w:rsidR="00532FC4" w:rsidRPr="002820CC">
        <w:t>)</w:t>
      </w:r>
      <w:r w:rsidR="00824978" w:rsidRPr="002820CC">
        <w:t>.</w:t>
      </w:r>
      <w:r w:rsidR="00532FC4" w:rsidRPr="002820CC">
        <w:t xml:space="preserve">   Clumping parameters were a lead SNP threshold of p ≤ 5×10</w:t>
      </w:r>
      <w:r w:rsidR="002820CC" w:rsidRPr="002820CC">
        <w:rPr>
          <w:rFonts w:cs="Cambria Math"/>
          <w:vertAlign w:val="superscript"/>
        </w:rPr>
        <w:t>-6</w:t>
      </w:r>
      <w:r w:rsidR="00532FC4" w:rsidRPr="002820CC">
        <w:t xml:space="preserve">, </w:t>
      </w:r>
      <w:r w:rsidR="002820CC" w:rsidRPr="002820CC">
        <w:t>a secondary threshold of p ≤ 1×10</w:t>
      </w:r>
      <w:r w:rsidR="002820CC" w:rsidRPr="002820CC">
        <w:rPr>
          <w:rFonts w:ascii="Cambria Math" w:hAnsi="Cambria Math" w:cs="Cambria Math"/>
        </w:rPr>
        <w:t>⁻</w:t>
      </w:r>
      <w:r w:rsidR="002820CC" w:rsidRPr="002820CC">
        <w:rPr>
          <w:rFonts w:cs="Cambria Math"/>
          <w:vertAlign w:val="superscript"/>
        </w:rPr>
        <w:t>6</w:t>
      </w:r>
      <w:r w:rsidR="002820CC" w:rsidRPr="002820CC">
        <w:rPr>
          <w:rFonts w:cs="Cambria Math"/>
        </w:rPr>
        <w:t>, and LD threshold of r</w:t>
      </w:r>
      <w:r w:rsidR="002820CC" w:rsidRPr="002820CC">
        <w:rPr>
          <w:rFonts w:cs="Cambria Math"/>
          <w:vertAlign w:val="superscript"/>
        </w:rPr>
        <w:t>2</w:t>
      </w:r>
      <w:r w:rsidR="002820CC" w:rsidRPr="002820CC">
        <w:rPr>
          <w:rFonts w:cs="Cambria Math"/>
        </w:rPr>
        <w:t xml:space="preserve"> &gt; 1% and a 10 Mb genomic window.</w:t>
      </w:r>
      <w:r w:rsidR="002820CC">
        <w:rPr>
          <w:rFonts w:cs="Cambria Math"/>
        </w:rPr>
        <w:t xml:space="preserve">  </w:t>
      </w:r>
      <w:r w:rsidR="00F00934">
        <w:rPr>
          <w:rFonts w:cs="Cambria Math"/>
        </w:rPr>
        <w:t xml:space="preserve">Steiger filtering was then performed to ensure all instrument SNPs had a stronger effect on the exposure than the outcome.  </w:t>
      </w:r>
      <w:r w:rsidR="002820CC">
        <w:rPr>
          <w:rFonts w:cs="Cambria Math"/>
        </w:rPr>
        <w:t>SNP filtering</w:t>
      </w:r>
      <w:r w:rsidR="003A12D2">
        <w:rPr>
          <w:rFonts w:cs="Cambria Math"/>
        </w:rPr>
        <w:t xml:space="preserve"> for each outcome</w:t>
      </w:r>
      <w:r w:rsidR="002820CC">
        <w:rPr>
          <w:rFonts w:cs="Cambria Math"/>
        </w:rPr>
        <w:t xml:space="preserve"> is </w:t>
      </w:r>
      <w:r w:rsidR="003A12D2">
        <w:rPr>
          <w:rFonts w:cs="Cambria Math"/>
        </w:rPr>
        <w:t>summarized</w:t>
      </w:r>
      <w:r w:rsidR="002820CC">
        <w:rPr>
          <w:rFonts w:cs="Cambria Math"/>
        </w:rPr>
        <w:t xml:space="preserve"> in Supplementary Figure 1</w:t>
      </w:r>
      <w:r w:rsidR="002220E7">
        <w:rPr>
          <w:rFonts w:cs="Cambria Math"/>
        </w:rPr>
        <w:t xml:space="preserve">, with all instruments used for downstream analyses </w:t>
      </w:r>
      <w:r w:rsidR="00813302">
        <w:rPr>
          <w:rFonts w:cs="Cambria Math"/>
        </w:rPr>
        <w:t xml:space="preserve">listed </w:t>
      </w:r>
      <w:r w:rsidR="002220E7">
        <w:rPr>
          <w:rFonts w:cs="Cambria Math"/>
        </w:rPr>
        <w:t>in Supplementary Table 1</w:t>
      </w:r>
      <w:r w:rsidR="002820CC">
        <w:rPr>
          <w:rFonts w:cs="Cambria Math"/>
        </w:rPr>
        <w:t>.</w:t>
      </w:r>
    </w:p>
    <w:p w14:paraId="25A0EF93" w14:textId="1DD1E13D" w:rsidR="007D3CC9" w:rsidRDefault="007D3CC9" w:rsidP="007D3CC9">
      <w:pPr>
        <w:pStyle w:val="Heading2"/>
      </w:pPr>
      <w:r>
        <w:t>Two Samp</w:t>
      </w:r>
      <w:r w:rsidR="00CA30B0">
        <w:t>l</w:t>
      </w:r>
      <w:r>
        <w:t>e MR Analyses</w:t>
      </w:r>
    </w:p>
    <w:p w14:paraId="08600996" w14:textId="0F141C06" w:rsidR="007D3CC9" w:rsidRPr="002820CC" w:rsidRDefault="007D3CC9" w:rsidP="002820CC">
      <w:r>
        <w:rPr>
          <w:rFonts w:cs="Cambria Math"/>
        </w:rPr>
        <w:t>Our outcomes were assessed from the MGI-</w:t>
      </w:r>
      <w:proofErr w:type="spellStart"/>
      <w:r>
        <w:rPr>
          <w:rFonts w:cs="Cambria Math"/>
        </w:rPr>
        <w:t>BioVU</w:t>
      </w:r>
      <w:proofErr w:type="spellEnd"/>
      <w:r>
        <w:rPr>
          <w:rFonts w:cs="Cambria Math"/>
        </w:rPr>
        <w:t xml:space="preserve"> </w:t>
      </w:r>
      <w:proofErr w:type="spellStart"/>
      <w:r>
        <w:rPr>
          <w:rFonts w:cs="Cambria Math"/>
        </w:rPr>
        <w:t>LabWAS</w:t>
      </w:r>
      <w:proofErr w:type="spellEnd"/>
      <w:r w:rsidR="00B3420F">
        <w:rPr>
          <w:rFonts w:cs="Cambria Math"/>
        </w:rPr>
        <w:t xml:space="preserve"> </w:t>
      </w:r>
      <w:r w:rsidR="005821FA">
        <w:rPr>
          <w:rFonts w:cs="Cambria Math"/>
        </w:rPr>
        <w:fldChar w:fldCharType="begin"/>
      </w:r>
      <w:r w:rsidR="005821FA">
        <w:rPr>
          <w:rFonts w:cs="Cambria Math"/>
        </w:rPr>
        <w:instrText xml:space="preserve"> ADDIN ZOTERO_ITEM CSL_CITATION {"citationID":"dzENltIW","properties":{"formattedCitation":"[5]","plainCitation":"[5]","noteIndex":0},"citationItems":[{"id":27098,"uris":["http://zotero.org/users/7317906/items/HBLP22LW"],"itemData":{"id":27098,"type":"article-journal","abstract":"Phenotypes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rsidR="005821FA">
        <w:rPr>
          <w:rFonts w:cs="Cambria Math"/>
        </w:rPr>
        <w:fldChar w:fldCharType="separate"/>
      </w:r>
      <w:r w:rsidR="005821FA">
        <w:rPr>
          <w:rFonts w:cs="Cambria Math"/>
          <w:noProof/>
        </w:rPr>
        <w:t>[5]</w:t>
      </w:r>
      <w:r w:rsidR="005821FA">
        <w:rPr>
          <w:rFonts w:cs="Cambria Math"/>
        </w:rPr>
        <w:fldChar w:fldCharType="end"/>
      </w:r>
      <w:r w:rsidR="005821FA">
        <w:rPr>
          <w:rFonts w:cs="Cambria Math"/>
        </w:rPr>
        <w:t xml:space="preserve"> </w:t>
      </w:r>
      <w:r w:rsidR="00B3420F">
        <w:rPr>
          <w:rFonts w:cs="Cambria Math"/>
        </w:rPr>
        <w:t xml:space="preserve">summary statistics using the </w:t>
      </w:r>
      <w:proofErr w:type="spellStart"/>
      <w:r w:rsidR="00B3420F">
        <w:rPr>
          <w:rFonts w:cs="Cambria Math"/>
        </w:rPr>
        <w:t>TwoSampleMR</w:t>
      </w:r>
      <w:proofErr w:type="spellEnd"/>
      <w:r w:rsidR="00B3420F">
        <w:rPr>
          <w:rFonts w:cs="Cambria Math"/>
        </w:rPr>
        <w:t xml:space="preserve"> package.</w:t>
      </w:r>
      <w:r w:rsidR="007277E3">
        <w:rPr>
          <w:rFonts w:cs="Cambria Math"/>
        </w:rPr>
        <w:t xml:space="preserve">  </w:t>
      </w:r>
      <w:commentRangeStart w:id="0"/>
      <w:r w:rsidR="007277E3">
        <w:rPr>
          <w:rFonts w:cs="Cambria Math"/>
        </w:rPr>
        <w:t xml:space="preserve">For each exposure-outcome pair </w:t>
      </w:r>
      <w:r w:rsidR="00796C46">
        <w:rPr>
          <w:rFonts w:cs="Cambria Math"/>
        </w:rPr>
        <w:t xml:space="preserve">our primary outcome was </w:t>
      </w:r>
      <w:proofErr w:type="gramStart"/>
      <w:r w:rsidR="00796C46">
        <w:rPr>
          <w:rFonts w:cs="Cambria Math"/>
        </w:rPr>
        <w:t xml:space="preserve">using </w:t>
      </w:r>
      <w:r w:rsidR="007277E3">
        <w:rPr>
          <w:rFonts w:cs="Cambria Math"/>
        </w:rPr>
        <w:t xml:space="preserve"> inverse</w:t>
      </w:r>
      <w:proofErr w:type="gramEnd"/>
      <w:r w:rsidR="007277E3">
        <w:rPr>
          <w:rFonts w:cs="Cambria Math"/>
        </w:rPr>
        <w:t xml:space="preserve"> variance weighted (IVW) </w:t>
      </w:r>
      <w:r w:rsidR="00796C46">
        <w:rPr>
          <w:rFonts w:cs="Cambria Math"/>
        </w:rPr>
        <w:t xml:space="preserve">means but as sensitivity </w:t>
      </w:r>
      <w:proofErr w:type="gramStart"/>
      <w:r w:rsidR="00796C46">
        <w:rPr>
          <w:rFonts w:cs="Cambria Math"/>
        </w:rPr>
        <w:t>analyses</w:t>
      </w:r>
      <w:proofErr w:type="gramEnd"/>
      <w:r w:rsidR="00796C46">
        <w:rPr>
          <w:rFonts w:cs="Cambria Math"/>
        </w:rPr>
        <w:t xml:space="preserve"> we also performed analyses using</w:t>
      </w:r>
      <w:r w:rsidR="007277E3">
        <w:rPr>
          <w:rFonts w:cs="Cambria Math"/>
        </w:rPr>
        <w:t xml:space="preserve"> MR-Egger, weighted mean and weighted mode methods.  To test for </w:t>
      </w:r>
      <w:proofErr w:type="gramStart"/>
      <w:r w:rsidR="007277E3">
        <w:rPr>
          <w:rFonts w:cs="Cambria Math"/>
        </w:rPr>
        <w:t>pleiotropy</w:t>
      </w:r>
      <w:proofErr w:type="gramEnd"/>
      <w:r w:rsidR="007277E3">
        <w:rPr>
          <w:rFonts w:cs="Cambria Math"/>
        </w:rPr>
        <w:t xml:space="preserve"> we evaluated whether the Egger intercept was different from zero, and we estimated heterogeneity via Q statistics.  We also tested whether associations were driven by influential SNPs by re-analyzing the data using IVW methods sequentially removing each instrument one at a time.</w:t>
      </w:r>
      <w:commentRangeEnd w:id="0"/>
      <w:r w:rsidR="00796C46">
        <w:rPr>
          <w:rStyle w:val="CommentReference"/>
        </w:rPr>
        <w:commentReference w:id="0"/>
      </w:r>
    </w:p>
    <w:p w14:paraId="601943BB" w14:textId="77777777" w:rsidR="002B35C8" w:rsidRDefault="002B35C8"/>
    <w:p w14:paraId="7BB23034" w14:textId="4EEC738A" w:rsidR="006F63F4" w:rsidRDefault="002B35C8" w:rsidP="00FF1D3C">
      <w:pPr>
        <w:pStyle w:val="Heading2"/>
      </w:pPr>
      <w:r>
        <w:t>Results</w:t>
      </w:r>
    </w:p>
    <w:p w14:paraId="2EF24EE8" w14:textId="77777777" w:rsidR="00D05C4D" w:rsidRDefault="00D05C4D"/>
    <w:p w14:paraId="7CF50E75" w14:textId="47EE46C2" w:rsidR="00D05C4D" w:rsidRDefault="00D05C4D" w:rsidP="00D05C4D">
      <w:pPr>
        <w:pStyle w:val="Heading2"/>
      </w:pPr>
      <w:r>
        <w:lastRenderedPageBreak/>
        <w:t>Selection and Evaluation of Instruments</w:t>
      </w:r>
    </w:p>
    <w:p w14:paraId="0236EA4D" w14:textId="20C9E8CF" w:rsidR="00B3420F" w:rsidRDefault="007D3CC9">
      <w:r>
        <w:t>To understand the causal relationships between calcium and cholesterol in humans, we performed a two-sample Mendelian Randomization study nominating instrumental SNPs associated with calcium or cholesterol from UK Biobank and then evaluating them using summary statistics from MGI-</w:t>
      </w:r>
      <w:proofErr w:type="spellStart"/>
      <w:r>
        <w:t>BioVU</w:t>
      </w:r>
      <w:proofErr w:type="spellEnd"/>
      <w:r>
        <w:t xml:space="preserve"> </w:t>
      </w:r>
      <w:proofErr w:type="spellStart"/>
      <w:r>
        <w:t>LabWAS</w:t>
      </w:r>
      <w:proofErr w:type="spellEnd"/>
      <w:r>
        <w:t xml:space="preserve"> </w:t>
      </w:r>
      <w:r>
        <w:fldChar w:fldCharType="begin"/>
      </w:r>
      <w:r>
        <w:instrText xml:space="preserve"> ADDIN ZOTERO_ITEM CSL_CITATION {"citationID":"GJg3TBhy","properties":{"formattedCitation":"[5,6]","plainCitation":"[5,6]","noteIndex":0},"citationItems":[{"id":9537,"uris":["http://zotero.org/users/7317906/items/H4A3P2LK"],"itemData":{"id":9537,"type":"article-journal","container-title":"Cell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fldChar w:fldCharType="separate"/>
      </w:r>
      <w:r>
        <w:rPr>
          <w:noProof/>
        </w:rPr>
        <w:t>[5,6]</w:t>
      </w:r>
      <w:r>
        <w:fldChar w:fldCharType="end"/>
      </w:r>
      <w:r>
        <w:t>.  UK Biobank is a population-based cohort of primarily White British individuals aged 40-69 recruited between 2006 and 2010.  MGI-BioVU are hospital-based cohorts of individuals primarily of European ancestry recruited between 2012 and 2025.</w:t>
      </w:r>
      <w:r w:rsidR="005821FA">
        <w:t xml:space="preserve">  SNP instruments were filtered by LD clumping</w:t>
      </w:r>
      <w:r w:rsidR="00D47381">
        <w:t>, excluding rare alleles, and by harmonization with MGI-BioVU genetic data</w:t>
      </w:r>
      <w:r w:rsidR="008002BF">
        <w:t xml:space="preserve"> (summarized in Supplementary Figure 1</w:t>
      </w:r>
      <w:r w:rsidR="00A67A5F">
        <w:t>, full instrument lists are in Supplementary Table 1</w:t>
      </w:r>
      <w:r w:rsidR="008002BF">
        <w:t>)</w:t>
      </w:r>
      <w:r w:rsidR="00D47381">
        <w:t xml:space="preserve">.  These instruments are summarized in </w:t>
      </w:r>
      <w:r w:rsidR="004C095B">
        <w:t>Table 1 (post-</w:t>
      </w:r>
      <w:r w:rsidR="003B74B2">
        <w:t>harmonization</w:t>
      </w:r>
      <w:r w:rsidR="004C095B">
        <w:t xml:space="preserve"> instruments used for downstream analyses) </w:t>
      </w:r>
      <w:r w:rsidR="00A67A5F">
        <w:t xml:space="preserve">and </w:t>
      </w:r>
      <w:r w:rsidR="004C095B">
        <w:t xml:space="preserve">Supplementary Table </w:t>
      </w:r>
      <w:r w:rsidR="00A67A5F">
        <w:t>2</w:t>
      </w:r>
      <w:r w:rsidR="004C095B">
        <w:t xml:space="preserve"> (pre-</w:t>
      </w:r>
      <w:r w:rsidR="003B74B2">
        <w:t>harmonization</w:t>
      </w:r>
      <w:r w:rsidR="004C095B">
        <w:t>).</w:t>
      </w:r>
      <w:r w:rsidR="00D26E8A">
        <w:t xml:space="preserve">  </w:t>
      </w:r>
      <w:commentRangeStart w:id="1"/>
      <w:r w:rsidR="00D26E8A">
        <w:t>These instruments have very strong per-instrument power (typical SNP F-statistics are much greater than 10, with medians of 47-49) and the overall F-statistic ranging from 85-136. These are also well represented in the population (allele frequencies range from 30-35%).  This minimizes the risks of weak or rare instrument bias in our analyses.</w:t>
      </w:r>
      <w:commentRangeEnd w:id="1"/>
      <w:r w:rsidR="006B660D">
        <w:rPr>
          <w:rStyle w:val="CommentReference"/>
        </w:rPr>
        <w:commentReference w:id="1"/>
      </w:r>
    </w:p>
    <w:p w14:paraId="7BCB350D" w14:textId="66D30518" w:rsidR="00162FEC" w:rsidRDefault="00162FEC" w:rsidP="00162FEC">
      <w:r>
        <w:t xml:space="preserve">To confirm that </w:t>
      </w:r>
      <w:proofErr w:type="gramStart"/>
      <w:r>
        <w:t>these instrument</w:t>
      </w:r>
      <w:proofErr w:type="gramEnd"/>
      <w:r>
        <w:t xml:space="preserve"> are valid we performed a positive control analysis where genetically predicted serum Calcium from UK Biobank was used as the exposure and </w:t>
      </w:r>
      <w:proofErr w:type="spellStart"/>
      <w:r>
        <w:t>LabWAS</w:t>
      </w:r>
      <w:proofErr w:type="spellEnd"/>
      <w:r>
        <w:t xml:space="preserve"> serum Calcium was used as the outcome.  </w:t>
      </w:r>
      <w:r w:rsidR="00F44630">
        <w:t>We</w:t>
      </w:r>
      <w:r>
        <w:t xml:space="preserve"> found </w:t>
      </w:r>
      <w:r w:rsidR="00BE5F89">
        <w:t>a</w:t>
      </w:r>
      <w:r>
        <w:t xml:space="preserve"> 0.54 +/- 0.02 unit increase in calcium (</w:t>
      </w:r>
      <w:proofErr w:type="spellStart"/>
      <w:r w:rsidR="00BE5F89">
        <w:t>Lab</w:t>
      </w:r>
      <w:r>
        <w:t>GWAS</w:t>
      </w:r>
      <w:proofErr w:type="spellEnd"/>
      <w:r>
        <w:t>) per 1 unit increase in calcium (UK Biobank)</w:t>
      </w:r>
      <w:r w:rsidR="00BE5F89">
        <w:t xml:space="preserve"> via the IVW method</w:t>
      </w:r>
      <w:r w:rsidR="00F44630">
        <w:t xml:space="preserve"> (Supplementary Figure 2A).</w:t>
      </w:r>
      <w:r>
        <w:t xml:space="preserve"> This is statistically significant with a p-value of 6.2 x 10</w:t>
      </w:r>
      <w:r w:rsidRPr="00162FEC">
        <w:rPr>
          <w:vertAlign w:val="superscript"/>
        </w:rPr>
        <w:t>-119</w:t>
      </w:r>
      <w:r w:rsidR="006302AB">
        <w:rPr>
          <w:vertAlign w:val="superscript"/>
        </w:rPr>
        <w:t xml:space="preserve"> </w:t>
      </w:r>
      <w:r>
        <w:t xml:space="preserve">All four MR methods (IVW, weighted median, weighted mode, MR-Egger) gave consistent, significant causal estimates, confirming instrument validity and </w:t>
      </w:r>
      <w:r w:rsidR="006302AB">
        <w:t>harmonization (Supplementary Figure 2B)</w:t>
      </w:r>
      <w:r>
        <w:t>.  We found small but significant negative pleiotropy (egger intercept = 0.0040 +/- 0.0012; p = 0.0015)</w:t>
      </w:r>
      <w:r w:rsidR="00F81C7E">
        <w:t xml:space="preserve"> and SNP heterogeneity (Q=449; p=1.1 x 10 </w:t>
      </w:r>
      <w:r w:rsidR="00F81C7E" w:rsidRPr="00F81C7E">
        <w:rPr>
          <w:vertAlign w:val="superscript"/>
        </w:rPr>
        <w:t>-10</w:t>
      </w:r>
      <w:r w:rsidR="00F81C7E">
        <w:t xml:space="preserve">) as expected for a polygenic trait.  A leave-one-out analysis showed that IVW methods </w:t>
      </w:r>
      <w:r w:rsidR="00AA5F56">
        <w:t>was</w:t>
      </w:r>
      <w:r w:rsidR="00F81C7E">
        <w:t xml:space="preserve"> robust to influential SNPs.</w:t>
      </w:r>
    </w:p>
    <w:p w14:paraId="30355525" w14:textId="5315EABF" w:rsidR="00121C5B" w:rsidRDefault="00121C5B" w:rsidP="00121C5B">
      <w:pPr>
        <w:pStyle w:val="Heading2"/>
      </w:pPr>
      <w:r>
        <w:t>Evidence for a Calcium -&gt; Cholesterol Causal Effect</w:t>
      </w:r>
    </w:p>
    <w:p w14:paraId="1FAD4F9A" w14:textId="77777777" w:rsidR="00871606" w:rsidRDefault="00871606" w:rsidP="00121C5B">
      <w:pPr>
        <w:pStyle w:val="Heading2"/>
      </w:pPr>
    </w:p>
    <w:p w14:paraId="4DBDE2E2" w14:textId="2B7740E8" w:rsidR="00121C5B" w:rsidRDefault="00121C5B" w:rsidP="00121C5B">
      <w:pPr>
        <w:pStyle w:val="Heading2"/>
      </w:pPr>
      <w:r>
        <w:t>Evidence for a Cholesterol -&gt; Calcium Causal Effect</w:t>
      </w:r>
    </w:p>
    <w:p w14:paraId="4F3F62CB" w14:textId="77777777" w:rsidR="00121C5B" w:rsidRDefault="00121C5B"/>
    <w:p w14:paraId="0B76829D" w14:textId="62A04EEF" w:rsidR="00871606" w:rsidRDefault="00871606"/>
    <w:p w14:paraId="3B9204CB" w14:textId="77777777" w:rsidR="00B3420F" w:rsidRDefault="00B3420F">
      <w:r>
        <w:br w:type="page"/>
      </w:r>
    </w:p>
    <w:p w14:paraId="7A786C21" w14:textId="15E8D7C5" w:rsidR="00871606" w:rsidRDefault="00B3420F" w:rsidP="009B3059">
      <w:pPr>
        <w:pStyle w:val="Heading1"/>
      </w:pPr>
      <w:r>
        <w:lastRenderedPageBreak/>
        <w:t>References</w:t>
      </w:r>
    </w:p>
    <w:p w14:paraId="20AA6B59" w14:textId="77777777" w:rsidR="00871606" w:rsidRDefault="00871606">
      <w:r>
        <w:br w:type="page"/>
      </w:r>
    </w:p>
    <w:p w14:paraId="3908CE4E" w14:textId="555293DA" w:rsidR="00871606" w:rsidRDefault="00871606" w:rsidP="002310F5">
      <w:pPr>
        <w:pStyle w:val="Heading1"/>
      </w:pPr>
      <w:r>
        <w:lastRenderedPageBreak/>
        <w:t>Figure and Table Legends</w:t>
      </w:r>
    </w:p>
    <w:p w14:paraId="46BDB0D8" w14:textId="77777777" w:rsidR="00EF283B" w:rsidRDefault="00EF283B"/>
    <w:p w14:paraId="168FD20E" w14:textId="3CAD232E" w:rsidR="00EF283B" w:rsidRPr="00EF283B" w:rsidRDefault="00EF283B">
      <w:pPr>
        <w:rPr>
          <w:b/>
          <w:bCs/>
        </w:rPr>
      </w:pPr>
      <w:r w:rsidRPr="00EF283B">
        <w:rPr>
          <w:b/>
          <w:bCs/>
        </w:rPr>
        <w:t>Table 1: Instrument summary statistics for each exposure.</w:t>
      </w:r>
    </w:p>
    <w:p w14:paraId="5BFEF22D" w14:textId="77777777" w:rsidR="00871606" w:rsidRDefault="00871606">
      <w:r>
        <w:br w:type="page"/>
      </w:r>
    </w:p>
    <w:p w14:paraId="283D5E2C" w14:textId="7AC71C1E" w:rsidR="00871606" w:rsidRDefault="00871606" w:rsidP="002310F5">
      <w:pPr>
        <w:pStyle w:val="Heading1"/>
      </w:pPr>
      <w:r>
        <w:lastRenderedPageBreak/>
        <w:t>Supplementary Figure and Table Legends</w:t>
      </w:r>
    </w:p>
    <w:p w14:paraId="550D01C2" w14:textId="77777777" w:rsidR="00871606" w:rsidRDefault="00871606"/>
    <w:p w14:paraId="5370CD09" w14:textId="32FCABE1" w:rsidR="00871606" w:rsidRDefault="00871606">
      <w:r w:rsidRPr="00871606">
        <w:rPr>
          <w:b/>
          <w:bCs/>
        </w:rPr>
        <w:t>Supplementary Figure 1: Instrument selection summary.</w:t>
      </w:r>
      <w:r>
        <w:t xml:space="preserve">  SNP instruments were selected from UK Biobank for each exposure via filtering for association, LD clumping, MAF filtering and then harmonization with data from MGI-</w:t>
      </w:r>
      <w:proofErr w:type="spellStart"/>
      <w:r>
        <w:t>BioVU</w:t>
      </w:r>
      <w:proofErr w:type="spellEnd"/>
      <w:r>
        <w:t xml:space="preserve"> </w:t>
      </w:r>
      <w:proofErr w:type="spellStart"/>
      <w:r>
        <w:t>LabWAS</w:t>
      </w:r>
      <w:proofErr w:type="spellEnd"/>
      <w:r w:rsidR="004E4264">
        <w:t>.</w:t>
      </w:r>
    </w:p>
    <w:p w14:paraId="4F5CFE4D" w14:textId="55F4C2C5" w:rsidR="00C463BB" w:rsidRDefault="00B87D3D">
      <w:r w:rsidRPr="00B87D3D">
        <w:rPr>
          <w:b/>
          <w:bCs/>
        </w:rPr>
        <w:t xml:space="preserve">Supplementary Figure 2: Positive control analysis of the </w:t>
      </w:r>
      <w:r>
        <w:rPr>
          <w:b/>
          <w:bCs/>
        </w:rPr>
        <w:t>concordance</w:t>
      </w:r>
      <w:r w:rsidRPr="00B87D3D">
        <w:rPr>
          <w:b/>
          <w:bCs/>
        </w:rPr>
        <w:t xml:space="preserve"> between UK Biobank vs MGI-</w:t>
      </w:r>
      <w:proofErr w:type="spellStart"/>
      <w:r w:rsidRPr="00B87D3D">
        <w:rPr>
          <w:b/>
          <w:bCs/>
        </w:rPr>
        <w:t>BioVU</w:t>
      </w:r>
      <w:proofErr w:type="spellEnd"/>
      <w:r w:rsidRPr="00B87D3D">
        <w:rPr>
          <w:b/>
          <w:bCs/>
        </w:rPr>
        <w:t xml:space="preserve"> </w:t>
      </w:r>
      <w:proofErr w:type="spellStart"/>
      <w:r w:rsidRPr="00B87D3D">
        <w:rPr>
          <w:b/>
          <w:bCs/>
        </w:rPr>
        <w:t>LabWAS</w:t>
      </w:r>
      <w:proofErr w:type="spellEnd"/>
      <w:r>
        <w:rPr>
          <w:b/>
          <w:bCs/>
        </w:rPr>
        <w:t xml:space="preserve"> for serum Calcium</w:t>
      </w:r>
      <w:r w:rsidRPr="00B87D3D">
        <w:rPr>
          <w:b/>
          <w:bCs/>
        </w:rPr>
        <w:t>.</w:t>
      </w:r>
      <w:r>
        <w:t xml:space="preserve">  A) Effect sizes for each instrument in the exposure (UK Biobank) and outcome (</w:t>
      </w:r>
      <w:proofErr w:type="spellStart"/>
      <w:r>
        <w:t>LabWAS</w:t>
      </w:r>
      <w:proofErr w:type="spellEnd"/>
      <w:r>
        <w:t>).  B) Effect estimates from different MR methods, with the dashed line indicating no effect.</w:t>
      </w:r>
      <w:r w:rsidR="00283D08">
        <w:t xml:space="preserve"> C)</w:t>
      </w:r>
      <w:r w:rsidR="00050E3C">
        <w:t xml:space="preserve"> Leave-one-out analysis using IVW methodology.  </w:t>
      </w:r>
      <w:r w:rsidR="00B2640E">
        <w:t xml:space="preserve">D) Funnel plot, with the IVW estimate in orange, and 95% pseudo-confidence </w:t>
      </w:r>
      <w:r w:rsidR="00953D98">
        <w:t>boundaries</w:t>
      </w:r>
      <w:r w:rsidR="00B2640E">
        <w:t xml:space="preserve"> as dashed lines.</w:t>
      </w:r>
    </w:p>
    <w:p w14:paraId="0C5755D3" w14:textId="3E7E1839" w:rsidR="00C463BB" w:rsidRDefault="00C463BB">
      <w:r w:rsidRPr="00F95B9E">
        <w:rPr>
          <w:b/>
          <w:bCs/>
        </w:rPr>
        <w:t xml:space="preserve">Supplementary Table 1: </w:t>
      </w:r>
      <w:r w:rsidR="00F95B9E" w:rsidRPr="00F95B9E">
        <w:rPr>
          <w:b/>
          <w:bCs/>
        </w:rPr>
        <w:t>Full instrument list</w:t>
      </w:r>
      <w:r w:rsidR="00F95B9E">
        <w:t>.  Instruments used for each exposure after filtering and harmonization.  The alleles</w:t>
      </w:r>
      <w:r w:rsidR="00610487">
        <w:t>, beta coefficients</w:t>
      </w:r>
      <w:r w:rsidR="00F53B39">
        <w:t xml:space="preserve">, </w:t>
      </w:r>
      <w:r w:rsidR="00610487">
        <w:t>p-values</w:t>
      </w:r>
      <w:r w:rsidR="00F53B39">
        <w:t>, and estimated allele frequencies (</w:t>
      </w:r>
      <w:proofErr w:type="spellStart"/>
      <w:r w:rsidR="00F53B39">
        <w:t>eaf</w:t>
      </w:r>
      <w:proofErr w:type="spellEnd"/>
      <w:r w:rsidR="00F53B39">
        <w:t xml:space="preserve">), as well as the </w:t>
      </w:r>
      <w:r w:rsidR="00F53B39" w:rsidRPr="00F53B39">
        <w:rPr>
          <w:i/>
          <w:iCs/>
        </w:rPr>
        <w:t>F</w:t>
      </w:r>
      <w:r w:rsidR="00F53B39">
        <w:t xml:space="preserve"> statistic and R</w:t>
      </w:r>
      <w:r w:rsidR="00F53B39" w:rsidRPr="00F53B39">
        <w:rPr>
          <w:vertAlign w:val="superscript"/>
        </w:rPr>
        <w:t>2</w:t>
      </w:r>
      <w:r w:rsidR="00610487">
        <w:t xml:space="preserve"> </w:t>
      </w:r>
      <w:r w:rsidR="00F95B9E">
        <w:t>are reported</w:t>
      </w:r>
      <w:r w:rsidR="00610487">
        <w:t xml:space="preserve"> </w:t>
      </w:r>
      <w:r w:rsidR="00F53B39">
        <w:t>with respect to</w:t>
      </w:r>
      <w:r w:rsidR="00610487">
        <w:t xml:space="preserve"> the exposure data</w:t>
      </w:r>
      <w:r w:rsidR="007722E7">
        <w:t xml:space="preserve"> (UK Biobank)</w:t>
      </w:r>
      <w:r w:rsidR="00610487">
        <w:t>.</w:t>
      </w:r>
    </w:p>
    <w:p w14:paraId="1AF4F8F8" w14:textId="02607304" w:rsidR="006A57E2" w:rsidRPr="00EF283B" w:rsidRDefault="006A57E2">
      <w:r w:rsidRPr="006A57E2">
        <w:rPr>
          <w:b/>
          <w:bCs/>
        </w:rPr>
        <w:t>Supplementary Table 2: Summary statistics for</w:t>
      </w:r>
      <w:r w:rsidR="00A854F3">
        <w:rPr>
          <w:b/>
          <w:bCs/>
        </w:rPr>
        <w:t xml:space="preserve"> SNP</w:t>
      </w:r>
      <w:r w:rsidRPr="006A57E2">
        <w:rPr>
          <w:b/>
          <w:bCs/>
        </w:rPr>
        <w:t xml:space="preserve"> instruments prior to harmonization.  </w:t>
      </w:r>
      <w:r w:rsidR="00EF283B">
        <w:t>Post-harmonization summary statistics are provided in Table 1</w:t>
      </w:r>
    </w:p>
    <w:p w14:paraId="3D3C6CCB" w14:textId="530FD9CF" w:rsidR="002B35C8" w:rsidRDefault="002B35C8"/>
    <w:sectPr w:rsidR="002B35C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10-17T10:31:00Z" w:initials="DB">
    <w:p w14:paraId="6C243783" w14:textId="77777777" w:rsidR="00796C46" w:rsidRDefault="00796C46" w:rsidP="00796C46">
      <w:r>
        <w:rPr>
          <w:rStyle w:val="CommentReference"/>
        </w:rPr>
        <w:annotationRef/>
      </w:r>
      <w:r>
        <w:rPr>
          <w:sz w:val="20"/>
          <w:szCs w:val="20"/>
        </w:rPr>
        <w:t>Articulate rationale for secondary methods</w:t>
      </w:r>
    </w:p>
  </w:comment>
  <w:comment w:id="1" w:author="Dave Bridges" w:date="2025-10-10T14:33:00Z" w:initials="DB">
    <w:p w14:paraId="536C441F" w14:textId="131699D9" w:rsidR="006B660D" w:rsidRDefault="006B660D" w:rsidP="006B660D">
      <w:r>
        <w:rPr>
          <w:rStyle w:val="CommentReference"/>
        </w:rPr>
        <w:annotationRef/>
      </w:r>
      <w:r>
        <w:rPr>
          <w:sz w:val="20"/>
          <w:szCs w:val="20"/>
        </w:rPr>
        <w:t>Update with post-harmonisation statistics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243783" w15:done="0"/>
  <w15:commentEx w15:paraId="536C44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7DA5DD" w16cex:dateUtc="2025-10-17T14:31:00Z"/>
  <w16cex:commentExtensible w16cex:durableId="7BFE3B51" w16cex:dateUtc="2025-10-10T18: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243783" w16cid:durableId="327DA5DD"/>
  <w16cid:commentId w16cid:paraId="536C441F" w16cid:durableId="7BFE3B5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E6"/>
    <w:rsid w:val="00001178"/>
    <w:rsid w:val="00011DCF"/>
    <w:rsid w:val="00013D09"/>
    <w:rsid w:val="000211F7"/>
    <w:rsid w:val="00050E3C"/>
    <w:rsid w:val="0006637A"/>
    <w:rsid w:val="000725D7"/>
    <w:rsid w:val="00072D8C"/>
    <w:rsid w:val="0008602F"/>
    <w:rsid w:val="00087B01"/>
    <w:rsid w:val="00091D69"/>
    <w:rsid w:val="0009550C"/>
    <w:rsid w:val="000A3109"/>
    <w:rsid w:val="000A32E7"/>
    <w:rsid w:val="000B5661"/>
    <w:rsid w:val="000C7A6D"/>
    <w:rsid w:val="000D0655"/>
    <w:rsid w:val="000D3297"/>
    <w:rsid w:val="000D6A57"/>
    <w:rsid w:val="000E1126"/>
    <w:rsid w:val="000E114C"/>
    <w:rsid w:val="000E431E"/>
    <w:rsid w:val="00111879"/>
    <w:rsid w:val="00115D9B"/>
    <w:rsid w:val="00117948"/>
    <w:rsid w:val="00121C5B"/>
    <w:rsid w:val="00141C21"/>
    <w:rsid w:val="00146173"/>
    <w:rsid w:val="001515AD"/>
    <w:rsid w:val="00162FEC"/>
    <w:rsid w:val="00165647"/>
    <w:rsid w:val="001C5750"/>
    <w:rsid w:val="001C657B"/>
    <w:rsid w:val="001D2B81"/>
    <w:rsid w:val="001D4725"/>
    <w:rsid w:val="001E1D57"/>
    <w:rsid w:val="001E3F4F"/>
    <w:rsid w:val="001E5F79"/>
    <w:rsid w:val="001F149F"/>
    <w:rsid w:val="001F2A30"/>
    <w:rsid w:val="001F2B27"/>
    <w:rsid w:val="001F3717"/>
    <w:rsid w:val="001F37CB"/>
    <w:rsid w:val="00211C64"/>
    <w:rsid w:val="002220E7"/>
    <w:rsid w:val="0022433B"/>
    <w:rsid w:val="002310F5"/>
    <w:rsid w:val="00244F96"/>
    <w:rsid w:val="00250B3C"/>
    <w:rsid w:val="00251095"/>
    <w:rsid w:val="00251B10"/>
    <w:rsid w:val="0025516C"/>
    <w:rsid w:val="00257105"/>
    <w:rsid w:val="00263D7A"/>
    <w:rsid w:val="0028006B"/>
    <w:rsid w:val="002820CC"/>
    <w:rsid w:val="002827EA"/>
    <w:rsid w:val="00283D08"/>
    <w:rsid w:val="00293D99"/>
    <w:rsid w:val="002964F2"/>
    <w:rsid w:val="002A005D"/>
    <w:rsid w:val="002B35C8"/>
    <w:rsid w:val="002C45CD"/>
    <w:rsid w:val="002D19E7"/>
    <w:rsid w:val="002D2E10"/>
    <w:rsid w:val="002D4286"/>
    <w:rsid w:val="002D4F83"/>
    <w:rsid w:val="002E3F3F"/>
    <w:rsid w:val="002F3DB8"/>
    <w:rsid w:val="002F563D"/>
    <w:rsid w:val="00300DA1"/>
    <w:rsid w:val="00327582"/>
    <w:rsid w:val="00330AF2"/>
    <w:rsid w:val="003376C5"/>
    <w:rsid w:val="00347044"/>
    <w:rsid w:val="00357A9C"/>
    <w:rsid w:val="00357D5C"/>
    <w:rsid w:val="00364B2E"/>
    <w:rsid w:val="00366F5C"/>
    <w:rsid w:val="003734AC"/>
    <w:rsid w:val="00382FE3"/>
    <w:rsid w:val="00392C7F"/>
    <w:rsid w:val="00392FE2"/>
    <w:rsid w:val="00395991"/>
    <w:rsid w:val="00397C62"/>
    <w:rsid w:val="003A12D2"/>
    <w:rsid w:val="003B3419"/>
    <w:rsid w:val="003B74B2"/>
    <w:rsid w:val="003C031C"/>
    <w:rsid w:val="003C0A11"/>
    <w:rsid w:val="003D16DC"/>
    <w:rsid w:val="003E5857"/>
    <w:rsid w:val="003F09D7"/>
    <w:rsid w:val="003F6B95"/>
    <w:rsid w:val="003F6EB0"/>
    <w:rsid w:val="00406C2E"/>
    <w:rsid w:val="00421B63"/>
    <w:rsid w:val="00465D5F"/>
    <w:rsid w:val="004709DD"/>
    <w:rsid w:val="004777E7"/>
    <w:rsid w:val="00484144"/>
    <w:rsid w:val="00484410"/>
    <w:rsid w:val="004A23A7"/>
    <w:rsid w:val="004B19B0"/>
    <w:rsid w:val="004C095B"/>
    <w:rsid w:val="004C2F28"/>
    <w:rsid w:val="004C6219"/>
    <w:rsid w:val="004D346F"/>
    <w:rsid w:val="004E3BB2"/>
    <w:rsid w:val="004E4264"/>
    <w:rsid w:val="004F6EB4"/>
    <w:rsid w:val="0050389F"/>
    <w:rsid w:val="00506077"/>
    <w:rsid w:val="005100C2"/>
    <w:rsid w:val="005123D2"/>
    <w:rsid w:val="00512484"/>
    <w:rsid w:val="00513628"/>
    <w:rsid w:val="005175C1"/>
    <w:rsid w:val="00523070"/>
    <w:rsid w:val="005245FA"/>
    <w:rsid w:val="00531147"/>
    <w:rsid w:val="00532FC4"/>
    <w:rsid w:val="00535314"/>
    <w:rsid w:val="00537BCF"/>
    <w:rsid w:val="00544AC6"/>
    <w:rsid w:val="00556C78"/>
    <w:rsid w:val="00576DB5"/>
    <w:rsid w:val="005821FA"/>
    <w:rsid w:val="00590023"/>
    <w:rsid w:val="00590933"/>
    <w:rsid w:val="005B517E"/>
    <w:rsid w:val="005B5A17"/>
    <w:rsid w:val="005C51F7"/>
    <w:rsid w:val="005C6416"/>
    <w:rsid w:val="005C770F"/>
    <w:rsid w:val="005D20D7"/>
    <w:rsid w:val="005D2153"/>
    <w:rsid w:val="005E1842"/>
    <w:rsid w:val="005E1BF2"/>
    <w:rsid w:val="005E5E64"/>
    <w:rsid w:val="005F2A7E"/>
    <w:rsid w:val="00607605"/>
    <w:rsid w:val="00610487"/>
    <w:rsid w:val="00610F74"/>
    <w:rsid w:val="0061406A"/>
    <w:rsid w:val="00623FB0"/>
    <w:rsid w:val="00624300"/>
    <w:rsid w:val="00624349"/>
    <w:rsid w:val="006302AB"/>
    <w:rsid w:val="00630F22"/>
    <w:rsid w:val="00637BDD"/>
    <w:rsid w:val="006474D9"/>
    <w:rsid w:val="006532F6"/>
    <w:rsid w:val="0067322A"/>
    <w:rsid w:val="0069411B"/>
    <w:rsid w:val="006A5655"/>
    <w:rsid w:val="006A57E2"/>
    <w:rsid w:val="006B660D"/>
    <w:rsid w:val="006D3471"/>
    <w:rsid w:val="006D6F09"/>
    <w:rsid w:val="006E3BB1"/>
    <w:rsid w:val="006E63C3"/>
    <w:rsid w:val="006F63F4"/>
    <w:rsid w:val="006F745F"/>
    <w:rsid w:val="00701106"/>
    <w:rsid w:val="007067B2"/>
    <w:rsid w:val="00707168"/>
    <w:rsid w:val="007277E3"/>
    <w:rsid w:val="00745F22"/>
    <w:rsid w:val="007513E1"/>
    <w:rsid w:val="0075342D"/>
    <w:rsid w:val="007563ED"/>
    <w:rsid w:val="00757F8B"/>
    <w:rsid w:val="00760470"/>
    <w:rsid w:val="00762DC2"/>
    <w:rsid w:val="00766990"/>
    <w:rsid w:val="0076763C"/>
    <w:rsid w:val="007722E7"/>
    <w:rsid w:val="0077268E"/>
    <w:rsid w:val="007762DE"/>
    <w:rsid w:val="007778CD"/>
    <w:rsid w:val="0078085F"/>
    <w:rsid w:val="00796C46"/>
    <w:rsid w:val="007A68CC"/>
    <w:rsid w:val="007B483A"/>
    <w:rsid w:val="007C359B"/>
    <w:rsid w:val="007C7FAA"/>
    <w:rsid w:val="007D3CC9"/>
    <w:rsid w:val="007F1332"/>
    <w:rsid w:val="007F7E35"/>
    <w:rsid w:val="008002BF"/>
    <w:rsid w:val="00813302"/>
    <w:rsid w:val="008174BE"/>
    <w:rsid w:val="00823B54"/>
    <w:rsid w:val="00824978"/>
    <w:rsid w:val="008263E3"/>
    <w:rsid w:val="00833E08"/>
    <w:rsid w:val="008461E9"/>
    <w:rsid w:val="00856B5B"/>
    <w:rsid w:val="00862CD1"/>
    <w:rsid w:val="0087149B"/>
    <w:rsid w:val="00871606"/>
    <w:rsid w:val="00871AD9"/>
    <w:rsid w:val="00877754"/>
    <w:rsid w:val="008778C4"/>
    <w:rsid w:val="0088544C"/>
    <w:rsid w:val="008A2BDA"/>
    <w:rsid w:val="008A349D"/>
    <w:rsid w:val="008C3302"/>
    <w:rsid w:val="008E0C96"/>
    <w:rsid w:val="008E3845"/>
    <w:rsid w:val="008F4A4D"/>
    <w:rsid w:val="008F5172"/>
    <w:rsid w:val="008F5461"/>
    <w:rsid w:val="008F74D5"/>
    <w:rsid w:val="009030CE"/>
    <w:rsid w:val="00906A0F"/>
    <w:rsid w:val="00907AA6"/>
    <w:rsid w:val="00926BC0"/>
    <w:rsid w:val="00945DFB"/>
    <w:rsid w:val="0095035A"/>
    <w:rsid w:val="00951FF9"/>
    <w:rsid w:val="0095308E"/>
    <w:rsid w:val="00953D98"/>
    <w:rsid w:val="0095434B"/>
    <w:rsid w:val="00967922"/>
    <w:rsid w:val="0097297D"/>
    <w:rsid w:val="00973DF3"/>
    <w:rsid w:val="0097647B"/>
    <w:rsid w:val="00976AD7"/>
    <w:rsid w:val="00980D41"/>
    <w:rsid w:val="00990A8A"/>
    <w:rsid w:val="00992B19"/>
    <w:rsid w:val="0099707F"/>
    <w:rsid w:val="009A1E34"/>
    <w:rsid w:val="009A5656"/>
    <w:rsid w:val="009B3059"/>
    <w:rsid w:val="009B7D61"/>
    <w:rsid w:val="009D20E5"/>
    <w:rsid w:val="009D5C66"/>
    <w:rsid w:val="009D7F38"/>
    <w:rsid w:val="009E4E77"/>
    <w:rsid w:val="009F2F1E"/>
    <w:rsid w:val="00A01365"/>
    <w:rsid w:val="00A066E7"/>
    <w:rsid w:val="00A12A68"/>
    <w:rsid w:val="00A213E8"/>
    <w:rsid w:val="00A30264"/>
    <w:rsid w:val="00A4251B"/>
    <w:rsid w:val="00A458DF"/>
    <w:rsid w:val="00A55A54"/>
    <w:rsid w:val="00A67A5F"/>
    <w:rsid w:val="00A72D3E"/>
    <w:rsid w:val="00A854F3"/>
    <w:rsid w:val="00A95A18"/>
    <w:rsid w:val="00A9666F"/>
    <w:rsid w:val="00AA5F56"/>
    <w:rsid w:val="00AA6407"/>
    <w:rsid w:val="00AC5992"/>
    <w:rsid w:val="00AD3EA3"/>
    <w:rsid w:val="00AE3366"/>
    <w:rsid w:val="00AE722C"/>
    <w:rsid w:val="00AE7A00"/>
    <w:rsid w:val="00AF7C3C"/>
    <w:rsid w:val="00B120BC"/>
    <w:rsid w:val="00B1299C"/>
    <w:rsid w:val="00B13840"/>
    <w:rsid w:val="00B13E52"/>
    <w:rsid w:val="00B25EBD"/>
    <w:rsid w:val="00B2640E"/>
    <w:rsid w:val="00B32E48"/>
    <w:rsid w:val="00B3420F"/>
    <w:rsid w:val="00B46D8E"/>
    <w:rsid w:val="00B5317F"/>
    <w:rsid w:val="00B82286"/>
    <w:rsid w:val="00B83F54"/>
    <w:rsid w:val="00B87D3D"/>
    <w:rsid w:val="00B917E0"/>
    <w:rsid w:val="00BA26CD"/>
    <w:rsid w:val="00BB142D"/>
    <w:rsid w:val="00BE5F89"/>
    <w:rsid w:val="00BF48EC"/>
    <w:rsid w:val="00BF6701"/>
    <w:rsid w:val="00C120C9"/>
    <w:rsid w:val="00C16149"/>
    <w:rsid w:val="00C17174"/>
    <w:rsid w:val="00C17BC9"/>
    <w:rsid w:val="00C363FB"/>
    <w:rsid w:val="00C452F2"/>
    <w:rsid w:val="00C463BB"/>
    <w:rsid w:val="00C47B8B"/>
    <w:rsid w:val="00C530B0"/>
    <w:rsid w:val="00C53982"/>
    <w:rsid w:val="00C56731"/>
    <w:rsid w:val="00C6034C"/>
    <w:rsid w:val="00C60D56"/>
    <w:rsid w:val="00C6526C"/>
    <w:rsid w:val="00C71CFA"/>
    <w:rsid w:val="00C768F8"/>
    <w:rsid w:val="00C77D95"/>
    <w:rsid w:val="00C910F4"/>
    <w:rsid w:val="00CA30B0"/>
    <w:rsid w:val="00CA6AA1"/>
    <w:rsid w:val="00CB1DEF"/>
    <w:rsid w:val="00CB34F2"/>
    <w:rsid w:val="00CC022F"/>
    <w:rsid w:val="00CC183C"/>
    <w:rsid w:val="00CC7459"/>
    <w:rsid w:val="00CD04B1"/>
    <w:rsid w:val="00CD286D"/>
    <w:rsid w:val="00CD5385"/>
    <w:rsid w:val="00CD7E21"/>
    <w:rsid w:val="00CE39F7"/>
    <w:rsid w:val="00CE7389"/>
    <w:rsid w:val="00D04751"/>
    <w:rsid w:val="00D05C4D"/>
    <w:rsid w:val="00D06B2A"/>
    <w:rsid w:val="00D11E7C"/>
    <w:rsid w:val="00D21775"/>
    <w:rsid w:val="00D24A48"/>
    <w:rsid w:val="00D25FD9"/>
    <w:rsid w:val="00D26E8A"/>
    <w:rsid w:val="00D374A8"/>
    <w:rsid w:val="00D37846"/>
    <w:rsid w:val="00D42F34"/>
    <w:rsid w:val="00D47381"/>
    <w:rsid w:val="00D52FF1"/>
    <w:rsid w:val="00D54B93"/>
    <w:rsid w:val="00D61241"/>
    <w:rsid w:val="00D6267F"/>
    <w:rsid w:val="00D63F7D"/>
    <w:rsid w:val="00D64C42"/>
    <w:rsid w:val="00D72666"/>
    <w:rsid w:val="00D808B0"/>
    <w:rsid w:val="00D9027A"/>
    <w:rsid w:val="00D92D6A"/>
    <w:rsid w:val="00D92F6A"/>
    <w:rsid w:val="00D94528"/>
    <w:rsid w:val="00D94DFE"/>
    <w:rsid w:val="00DA5579"/>
    <w:rsid w:val="00DB1E56"/>
    <w:rsid w:val="00DC6771"/>
    <w:rsid w:val="00DC6EFA"/>
    <w:rsid w:val="00DC7DB2"/>
    <w:rsid w:val="00DE29C9"/>
    <w:rsid w:val="00DE3FF2"/>
    <w:rsid w:val="00DE6AEE"/>
    <w:rsid w:val="00E0079E"/>
    <w:rsid w:val="00E00F5E"/>
    <w:rsid w:val="00E17F7E"/>
    <w:rsid w:val="00E26C14"/>
    <w:rsid w:val="00E37E42"/>
    <w:rsid w:val="00E46FD8"/>
    <w:rsid w:val="00E539D6"/>
    <w:rsid w:val="00E644BF"/>
    <w:rsid w:val="00EA6CE9"/>
    <w:rsid w:val="00ED1443"/>
    <w:rsid w:val="00EE4FAC"/>
    <w:rsid w:val="00EF05E6"/>
    <w:rsid w:val="00EF21C3"/>
    <w:rsid w:val="00EF283B"/>
    <w:rsid w:val="00F00934"/>
    <w:rsid w:val="00F01EE3"/>
    <w:rsid w:val="00F02252"/>
    <w:rsid w:val="00F051E9"/>
    <w:rsid w:val="00F153C5"/>
    <w:rsid w:val="00F247B6"/>
    <w:rsid w:val="00F3431B"/>
    <w:rsid w:val="00F41EEB"/>
    <w:rsid w:val="00F44630"/>
    <w:rsid w:val="00F53B39"/>
    <w:rsid w:val="00F541B2"/>
    <w:rsid w:val="00F603A0"/>
    <w:rsid w:val="00F67CDF"/>
    <w:rsid w:val="00F81C7E"/>
    <w:rsid w:val="00F823CE"/>
    <w:rsid w:val="00F93FE3"/>
    <w:rsid w:val="00F95B9E"/>
    <w:rsid w:val="00F97358"/>
    <w:rsid w:val="00FB04DA"/>
    <w:rsid w:val="00FB3A40"/>
    <w:rsid w:val="00FC0A4C"/>
    <w:rsid w:val="00FC7A07"/>
    <w:rsid w:val="00FF1D3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077337"/>
  <w15:chartTrackingRefBased/>
  <w15:docId w15:val="{9169ADE7-4706-4E44-97D7-8FA7E207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05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05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0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5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05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0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5E6"/>
    <w:rPr>
      <w:rFonts w:eastAsiaTheme="majorEastAsia" w:cstheme="majorBidi"/>
      <w:color w:val="272727" w:themeColor="text1" w:themeTint="D8"/>
    </w:rPr>
  </w:style>
  <w:style w:type="paragraph" w:styleId="Title">
    <w:name w:val="Title"/>
    <w:basedOn w:val="Normal"/>
    <w:next w:val="Normal"/>
    <w:link w:val="TitleChar"/>
    <w:uiPriority w:val="10"/>
    <w:qFormat/>
    <w:rsid w:val="00EF0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5E6"/>
    <w:pPr>
      <w:spacing w:before="160"/>
      <w:jc w:val="center"/>
    </w:pPr>
    <w:rPr>
      <w:i/>
      <w:iCs/>
      <w:color w:val="404040" w:themeColor="text1" w:themeTint="BF"/>
    </w:rPr>
  </w:style>
  <w:style w:type="character" w:customStyle="1" w:styleId="QuoteChar">
    <w:name w:val="Quote Char"/>
    <w:basedOn w:val="DefaultParagraphFont"/>
    <w:link w:val="Quote"/>
    <w:uiPriority w:val="29"/>
    <w:rsid w:val="00EF05E6"/>
    <w:rPr>
      <w:i/>
      <w:iCs/>
      <w:color w:val="404040" w:themeColor="text1" w:themeTint="BF"/>
    </w:rPr>
  </w:style>
  <w:style w:type="paragraph" w:styleId="ListParagraph">
    <w:name w:val="List Paragraph"/>
    <w:basedOn w:val="Normal"/>
    <w:uiPriority w:val="34"/>
    <w:qFormat/>
    <w:rsid w:val="00EF05E6"/>
    <w:pPr>
      <w:ind w:left="720"/>
      <w:contextualSpacing/>
    </w:pPr>
  </w:style>
  <w:style w:type="character" w:styleId="IntenseEmphasis">
    <w:name w:val="Intense Emphasis"/>
    <w:basedOn w:val="DefaultParagraphFont"/>
    <w:uiPriority w:val="21"/>
    <w:qFormat/>
    <w:rsid w:val="00EF05E6"/>
    <w:rPr>
      <w:i/>
      <w:iCs/>
      <w:color w:val="0F4761" w:themeColor="accent1" w:themeShade="BF"/>
    </w:rPr>
  </w:style>
  <w:style w:type="paragraph" w:styleId="IntenseQuote">
    <w:name w:val="Intense Quote"/>
    <w:basedOn w:val="Normal"/>
    <w:next w:val="Normal"/>
    <w:link w:val="IntenseQuoteChar"/>
    <w:uiPriority w:val="30"/>
    <w:qFormat/>
    <w:rsid w:val="00EF0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5E6"/>
    <w:rPr>
      <w:i/>
      <w:iCs/>
      <w:color w:val="0F4761" w:themeColor="accent1" w:themeShade="BF"/>
    </w:rPr>
  </w:style>
  <w:style w:type="character" w:styleId="IntenseReference">
    <w:name w:val="Intense Reference"/>
    <w:basedOn w:val="DefaultParagraphFont"/>
    <w:uiPriority w:val="32"/>
    <w:qFormat/>
    <w:rsid w:val="00EF05E6"/>
    <w:rPr>
      <w:b/>
      <w:bCs/>
      <w:smallCaps/>
      <w:color w:val="0F4761" w:themeColor="accent1" w:themeShade="BF"/>
      <w:spacing w:val="5"/>
    </w:rPr>
  </w:style>
  <w:style w:type="paragraph" w:styleId="Bibliography">
    <w:name w:val="Bibliography"/>
    <w:basedOn w:val="Normal"/>
    <w:next w:val="Normal"/>
    <w:uiPriority w:val="37"/>
    <w:semiHidden/>
    <w:unhideWhenUsed/>
    <w:rsid w:val="00B3420F"/>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6B660D"/>
    <w:rPr>
      <w:sz w:val="16"/>
      <w:szCs w:val="16"/>
    </w:rPr>
  </w:style>
  <w:style w:type="paragraph" w:styleId="CommentText">
    <w:name w:val="annotation text"/>
    <w:basedOn w:val="Normal"/>
    <w:link w:val="CommentTextChar"/>
    <w:uiPriority w:val="99"/>
    <w:semiHidden/>
    <w:unhideWhenUsed/>
    <w:rsid w:val="006B660D"/>
    <w:pPr>
      <w:spacing w:line="240" w:lineRule="auto"/>
    </w:pPr>
    <w:rPr>
      <w:sz w:val="20"/>
      <w:szCs w:val="20"/>
    </w:rPr>
  </w:style>
  <w:style w:type="character" w:customStyle="1" w:styleId="CommentTextChar">
    <w:name w:val="Comment Text Char"/>
    <w:basedOn w:val="DefaultParagraphFont"/>
    <w:link w:val="CommentText"/>
    <w:uiPriority w:val="99"/>
    <w:semiHidden/>
    <w:rsid w:val="006B660D"/>
    <w:rPr>
      <w:sz w:val="20"/>
      <w:szCs w:val="20"/>
    </w:rPr>
  </w:style>
  <w:style w:type="paragraph" w:styleId="CommentSubject">
    <w:name w:val="annotation subject"/>
    <w:basedOn w:val="CommentText"/>
    <w:next w:val="CommentText"/>
    <w:link w:val="CommentSubjectChar"/>
    <w:uiPriority w:val="99"/>
    <w:semiHidden/>
    <w:unhideWhenUsed/>
    <w:rsid w:val="006B660D"/>
    <w:rPr>
      <w:b/>
      <w:bCs/>
    </w:rPr>
  </w:style>
  <w:style w:type="character" w:customStyle="1" w:styleId="CommentSubjectChar">
    <w:name w:val="Comment Subject Char"/>
    <w:basedOn w:val="CommentTextChar"/>
    <w:link w:val="CommentSubject"/>
    <w:uiPriority w:val="99"/>
    <w:semiHidden/>
    <w:rsid w:val="006B66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5</Pages>
  <Words>3458</Words>
  <Characters>19716</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51</cp:revision>
  <dcterms:created xsi:type="dcterms:W3CDTF">2025-10-10T14:20:00Z</dcterms:created>
  <dcterms:modified xsi:type="dcterms:W3CDTF">2025-10-17T14:52:00Z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id="XUgPc78y"/&gt;&lt;style id="http://www.zotero.org/styles/nutrients" hasBibliography="1" bibliographyStyleHasBeenSet="1"/&gt;&lt;prefs&gt;&lt;pref name="fieldType" value="Field"/&gt;&lt;pref name="automaticJournalAbbrevi</vt:lpwstr>
  </property>
  <property fmtid="{D5CDD505-2E9C-101B-9397-08002B2CF9AE}" pid="3" name="ZOTERO_PREF_2">
    <vt:lpwstr>ations" value="true"/&gt;&lt;/prefs&gt;&lt;/data&gt;</vt:lpwstr>
  </property>
</Properties>
</file>