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8F536" w14:textId="09B9CF19" w:rsidR="000F3E8F" w:rsidRDefault="000F3E8F" w:rsidP="000F3E8F">
      <w:pPr>
        <w:pStyle w:val="Title"/>
      </w:pPr>
      <w:r>
        <w:t>Genetic Evidence of a Mevalonate-Dependent Bone Demineralization Pathway</w:t>
      </w:r>
    </w:p>
    <w:p w14:paraId="5A579A29" w14:textId="3ADB29A2" w:rsidR="00084F1C" w:rsidRPr="000F3E8F" w:rsidRDefault="002B35C8" w:rsidP="000F3E8F">
      <w:pPr>
        <w:pStyle w:val="Heading1"/>
      </w:pPr>
      <w:r w:rsidRPr="000F3E8F">
        <w:t>Methods</w:t>
      </w:r>
    </w:p>
    <w:p w14:paraId="4AC10A54" w14:textId="6F06A1A9" w:rsidR="00084F1C" w:rsidRPr="00084F1C" w:rsidRDefault="00084F1C" w:rsidP="00084F1C">
      <w:r>
        <w:t xml:space="preserve">The STROBE-MR checklist for this manuscript can be found in Supplementary File 1 </w:t>
      </w:r>
      <w:r>
        <w:fldChar w:fldCharType="begin"/>
      </w:r>
      <w:r w:rsidR="00191994">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practices.","citation-key":"skrivankovaStrengtheningReportingObservational2021a","container-title":"BMJ (Clinical research ed.)","DOI":"10.1136/bmj.n2233","ISSN":"1756-1833","journalAbbreviation":"BMJ","language":"eng","page":"n2233","PMID":"34702754","PMCID":"PMC8546498","source":"PubMed","title":"Strengthening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itation-key":"skrivankovaStrengtheningReportingObservational2021","container-title":"JAMA","DOI":"10.1001/jama.2021.18236","ISSN":"1538-3598","issue":"16","journalAbbreviation":"JAMA","language":"eng","page":"1614-1621","PMID":"34698778","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Brent"}],"issued":{"date-parts":[["2021",10,26]]}}}],"schema":"https://github.com/citation-style-language/schema/raw/master/csl-citation.json"} </w:instrText>
      </w:r>
      <w:r>
        <w:fldChar w:fldCharType="separate"/>
      </w:r>
      <w:r>
        <w:rPr>
          <w:noProof/>
        </w:rPr>
        <w:t>[1,2]</w:t>
      </w:r>
      <w:r>
        <w:fldChar w:fldCharType="end"/>
      </w:r>
      <w:r>
        <w:t xml:space="preserve">. </w:t>
      </w:r>
    </w:p>
    <w:p w14:paraId="1CA6F4E2" w14:textId="5D1005F2" w:rsidR="002B35C8" w:rsidRPr="000F3E8F" w:rsidRDefault="00421B63" w:rsidP="000F3E8F">
      <w:pPr>
        <w:pStyle w:val="Heading2"/>
      </w:pPr>
      <w:r w:rsidRPr="000F3E8F">
        <w:t>SNP</w:t>
      </w:r>
      <w:r w:rsidR="002B35C8" w:rsidRPr="000F3E8F">
        <w:t xml:space="preserve"> Instrument Selection</w:t>
      </w:r>
    </w:p>
    <w:p w14:paraId="6C11CA6A" w14:textId="30B44210"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191994">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itation-key":"bycroftUKBiobankResource2018","container-title":"Nature","DOI":"10.1038/s41586-018-0579-z","ISSN":"1476-4687","issue":"7726","journalAbbreviation":"Nature","language":"eng","page":"203-209","PMID":"30305743","PMCID":"PMC6786975","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or variants that   were either palindromic (A/T or C/G) with intermediate allele frequencies or had strand inconsistencies that prevented confident harmonization using the TwoSampleMR package (v. 0.6.22; )</w:t>
      </w:r>
      <w:r w:rsidR="00532FC4" w:rsidRPr="002820CC">
        <w:fldChar w:fldCharType="begin"/>
      </w:r>
      <w:r w:rsidR="00191994">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studies.","citation-key":"hemaniMRBasePlatformSupports2018","container-title":"eLife","DOI":"10.7554/eLife.34408","ISSN":"2050-084X","page":"e34408","publisher":"eLife Sciences Publications, Ltd","source":"eLife","title":"The MR-Base platform supports systematic causal inference across the human phenome","URL":"https://doi.org/10.7554/eLife.34408","volume":"7","author":[{"family":"Hemani","given":"Gibran"},{"family":"Zheng","given":"Jie"},{"family":"Elsworth","given":"Benjamin"},{"family":"Wade","given":"Kaitlin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C"}],"editor":[{"family":"Loos","given":"Ruth"}],"accessed":{"date-parts":[["2025",10,10]]},"issued":{"date-parts":[["2018",5,30]]}}}],"schema":"https://github.com/citation-style-language/schema/raw/master/csl-citation.json"}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191994">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itation-key":"changSecondgenerationPLINKRising2015","container-title":"GigaScience","DOI":"10.1186/s13742-015-0047-8","ISSN":"2047-217X","journalAbbreviation":"Gigascience","language":"eng","page":"7","PMID":"25722852","PMCID":"PMC4342193","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191994">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itation-key":"1000genomesprojectconsortiumGlobalReferenceHuman2015","container-title":"Nature","DOI":"10.1038/nature15393","ISSN":"1476-4687","issue":"7571","journalAbbreviation":"Nature","language":"eng","page":"68-74","PMID":"26432245","PMCID":"PMC4750478","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0F3E8F">
      <w:pPr>
        <w:pStyle w:val="Heading2"/>
      </w:pPr>
      <w:r>
        <w:t>Two Samp</w:t>
      </w:r>
      <w:r w:rsidR="00CA30B0">
        <w:t>l</w:t>
      </w:r>
      <w:r>
        <w:t>e MR Analyses</w:t>
      </w:r>
    </w:p>
    <w:p w14:paraId="08600996" w14:textId="27D46A69" w:rsidR="007D3CC9" w:rsidRDefault="007D3CC9" w:rsidP="002820CC">
      <w:pPr>
        <w:rPr>
          <w:rFonts w:cs="Cambria Math"/>
        </w:rPr>
      </w:pPr>
      <w:r>
        <w:rPr>
          <w:rFonts w:cs="Cambria Math"/>
        </w:rPr>
        <w:t>Our outcomes were assessed from the MGI-BioVU LabWAS</w:t>
      </w:r>
      <w:r w:rsidR="00B3420F">
        <w:rPr>
          <w:rFonts w:cs="Cambria Math"/>
        </w:rPr>
        <w:t xml:space="preserve"> </w:t>
      </w:r>
      <w:r w:rsidR="005821FA">
        <w:rPr>
          <w:rFonts w:cs="Cambria Math"/>
        </w:rPr>
        <w:fldChar w:fldCharType="begin"/>
      </w:r>
      <w:r w:rsidR="00191994">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traits.","citation-key":"goldsteinLabWASNovelFindings2020","container-title":"PLoS genetics","DOI":"10.1371/journal.pgen.1009077","ISSN":"1553-7404","issue":"11","journalAbbreviation":"PLoS Genet","language":"eng","page":"e1009077","PMID":"33175840","PMCID":"PMC7682892","source":"PubMed","title":"LabWAS: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summary statistics using the TwoSampleMR package.</w:t>
      </w:r>
      <w:r w:rsidR="007277E3">
        <w:rPr>
          <w:rFonts w:cs="Cambria Math"/>
        </w:rPr>
        <w:t xml:space="preserve">  </w:t>
      </w:r>
      <w:r w:rsidR="001F20D2">
        <w:rPr>
          <w:rFonts w:cs="Cambria Math"/>
        </w:rPr>
        <w:t>Due to significant heterogeneity, f</w:t>
      </w:r>
      <w:r w:rsidR="007277E3">
        <w:rPr>
          <w:rFonts w:cs="Cambria Math"/>
        </w:rPr>
        <w:t xml:space="preserve">or each exposure-outcome pair </w:t>
      </w:r>
      <w:r w:rsidR="00796C46">
        <w:rPr>
          <w:rFonts w:cs="Cambria Math"/>
        </w:rPr>
        <w:t xml:space="preserve">our primary </w:t>
      </w:r>
      <w:r w:rsidR="00531FCC">
        <w:rPr>
          <w:rFonts w:cs="Cambria Math"/>
        </w:rPr>
        <w:t>model</w:t>
      </w:r>
      <w:r w:rsidR="00796C46">
        <w:rPr>
          <w:rFonts w:cs="Cambria Math"/>
        </w:rPr>
        <w:t xml:space="preserve"> was </w:t>
      </w:r>
      <w:r w:rsidR="007277E3">
        <w:rPr>
          <w:rFonts w:cs="Cambria Math"/>
        </w:rPr>
        <w:t xml:space="preserve">inverse variance weighted </w:t>
      </w:r>
      <w:r w:rsidR="001F20D2">
        <w:rPr>
          <w:rFonts w:cs="Cambria Math"/>
        </w:rPr>
        <w:t xml:space="preserve">with multiplicative random effects models </w:t>
      </w:r>
      <w:r w:rsidR="007277E3">
        <w:rPr>
          <w:rFonts w:cs="Cambria Math"/>
        </w:rPr>
        <w:t>(IVW</w:t>
      </w:r>
      <w:r w:rsidR="001F20D2">
        <w:rPr>
          <w:rFonts w:cs="Cambria Math"/>
        </w:rPr>
        <w:t>-MRE</w:t>
      </w:r>
      <w:r w:rsidR="007277E3">
        <w:rPr>
          <w:rFonts w:cs="Cambria Math"/>
        </w:rPr>
        <w:t>)</w:t>
      </w:r>
      <w:r w:rsidR="001F20D2">
        <w:rPr>
          <w:rFonts w:cs="Cambria Math"/>
        </w:rPr>
        <w:t>,</w:t>
      </w:r>
      <w:r w:rsidR="007277E3">
        <w:rPr>
          <w:rFonts w:cs="Cambria Math"/>
        </w:rPr>
        <w:t xml:space="preserve"> </w:t>
      </w:r>
      <w:r w:rsidR="001F20D2">
        <w:rPr>
          <w:rFonts w:cs="Cambria Math"/>
        </w:rPr>
        <w:t xml:space="preserve"> </w:t>
      </w:r>
      <w:r w:rsidR="00796C46">
        <w:rPr>
          <w:rFonts w:cs="Cambria Math"/>
        </w:rPr>
        <w:t>but as sensitivity analyses we also performed analyses using</w:t>
      </w:r>
      <w:r w:rsidR="007277E3">
        <w:rPr>
          <w:rFonts w:cs="Cambria Math"/>
        </w:rPr>
        <w:t xml:space="preserve"> </w:t>
      </w:r>
      <w:r w:rsidR="001F20D2">
        <w:rPr>
          <w:rFonts w:cs="Cambria Math"/>
        </w:rPr>
        <w:t xml:space="preserve">MR-PRESSO, </w:t>
      </w:r>
      <w:r w:rsidR="007277E3">
        <w:rPr>
          <w:rFonts w:cs="Cambria Math"/>
        </w:rPr>
        <w:t xml:space="preserve">MR-Egger, </w:t>
      </w:r>
      <w:r w:rsidR="001F20D2">
        <w:rPr>
          <w:rFonts w:cs="Cambria Math"/>
        </w:rPr>
        <w:t xml:space="preserve">MR-CAUSE, </w:t>
      </w:r>
      <w:r w:rsidR="007277E3">
        <w:rPr>
          <w:rFonts w:cs="Cambria Math"/>
        </w:rPr>
        <w:t>weighted mean and weighted mode methods</w:t>
      </w:r>
      <w:r w:rsidR="001F20D2">
        <w:rPr>
          <w:rFonts w:cs="Cambria Math"/>
        </w:rPr>
        <w:t xml:space="preserve"> and present each.  </w:t>
      </w:r>
      <w:r w:rsidR="007277E3">
        <w:rPr>
          <w:rFonts w:cs="Cambria Math"/>
        </w:rPr>
        <w:t xml:space="preserve">To test for </w:t>
      </w:r>
      <w:r w:rsidR="005E6696">
        <w:rPr>
          <w:rFonts w:cs="Cambria Math"/>
        </w:rPr>
        <w:t xml:space="preserve">uncorrelated </w:t>
      </w:r>
      <w:r w:rsidR="008C6483">
        <w:rPr>
          <w:rFonts w:cs="Cambria Math"/>
        </w:rPr>
        <w:t xml:space="preserve">directional </w:t>
      </w:r>
      <w:r w:rsidR="007277E3">
        <w:rPr>
          <w:rFonts w:cs="Cambria Math"/>
        </w:rPr>
        <w:t xml:space="preserve">pleiotropy we evaluated whether the Egger intercept was different from zero, and </w:t>
      </w:r>
      <w:r w:rsidR="005E6696">
        <w:rPr>
          <w:rFonts w:cs="Cambria Math"/>
        </w:rPr>
        <w:t>to</w:t>
      </w:r>
      <w:r w:rsidR="007277E3">
        <w:rPr>
          <w:rFonts w:cs="Cambria Math"/>
        </w:rPr>
        <w:t xml:space="preserve"> estimate</w:t>
      </w:r>
      <w:r w:rsidR="005E6696">
        <w:rPr>
          <w:rFonts w:cs="Cambria Math"/>
        </w:rPr>
        <w:t xml:space="preserve"> </w:t>
      </w:r>
      <w:r w:rsidR="007277E3">
        <w:rPr>
          <w:rFonts w:cs="Cambria Math"/>
        </w:rPr>
        <w:t xml:space="preserve">heterogeneity </w:t>
      </w:r>
      <w:r w:rsidR="005E6696">
        <w:rPr>
          <w:rFonts w:cs="Cambria Math"/>
        </w:rPr>
        <w:t>we calculated</w:t>
      </w:r>
      <w:r w:rsidR="007277E3">
        <w:rPr>
          <w:rFonts w:cs="Cambria Math"/>
        </w:rPr>
        <w:t xml:space="preserve"> Q </w:t>
      </w:r>
      <w:r w:rsidR="001F20D2">
        <w:rPr>
          <w:rFonts w:cs="Cambria Math"/>
        </w:rPr>
        <w:t>and I</w:t>
      </w:r>
      <w:r w:rsidR="001F20D2" w:rsidRPr="001F20D2">
        <w:rPr>
          <w:rFonts w:cs="Cambria Math"/>
          <w:vertAlign w:val="superscript"/>
        </w:rPr>
        <w:t>2</w:t>
      </w:r>
      <w:r w:rsidR="001F20D2">
        <w:rPr>
          <w:rFonts w:cs="Cambria Math"/>
        </w:rPr>
        <w:t xml:space="preserve"> </w:t>
      </w:r>
      <w:r w:rsidR="007277E3">
        <w:rPr>
          <w:rFonts w:cs="Cambria Math"/>
        </w:rPr>
        <w:t>statistics.  We also tested whether associations were driven by influential SNPs by re-</w:t>
      </w:r>
      <w:r w:rsidR="007277E3">
        <w:rPr>
          <w:rFonts w:cs="Cambria Math"/>
        </w:rPr>
        <w:lastRenderedPageBreak/>
        <w:t>analyzing the data using IVW methods sequentially removing each instrument one at a time.</w:t>
      </w:r>
    </w:p>
    <w:p w14:paraId="1BC02562" w14:textId="6028EBD1" w:rsidR="00135110" w:rsidRPr="00135110" w:rsidRDefault="00135110" w:rsidP="00135110">
      <w:pPr>
        <w:rPr>
          <w:rFonts w:cs="Cambria Math"/>
        </w:rPr>
      </w:pPr>
      <w:r w:rsidRPr="00135110">
        <w:rPr>
          <w:rFonts w:cs="Cambria Math"/>
        </w:rPr>
        <w:t xml:space="preserve">For drug-target MR, we repeated the analyses restricting variants to ±500 kb windows around the established cholesterol drug targets </w:t>
      </w:r>
      <w:r w:rsidRPr="00135110">
        <w:rPr>
          <w:rFonts w:cs="Cambria Math"/>
          <w:i/>
          <w:iCs/>
        </w:rPr>
        <w:t>HMGCR</w:t>
      </w:r>
      <w:r w:rsidRPr="00135110">
        <w:rPr>
          <w:rFonts w:cs="Cambria Math"/>
        </w:rPr>
        <w:t xml:space="preserve"> (statins), </w:t>
      </w:r>
      <w:r w:rsidRPr="00135110">
        <w:rPr>
          <w:rFonts w:cs="Cambria Math"/>
          <w:i/>
          <w:iCs/>
        </w:rPr>
        <w:t>PCSK9</w:t>
      </w:r>
      <w:r w:rsidRPr="00135110">
        <w:rPr>
          <w:rFonts w:cs="Cambria Math"/>
        </w:rPr>
        <w:t xml:space="preserve"> (PCSK9 inhibitors), and </w:t>
      </w:r>
      <w:r w:rsidRPr="00135110">
        <w:rPr>
          <w:rFonts w:cs="Cambria Math"/>
          <w:i/>
          <w:iCs/>
        </w:rPr>
        <w:t>NPC1L1</w:t>
      </w:r>
      <w:r w:rsidRPr="00135110">
        <w:rPr>
          <w:rFonts w:cs="Cambria Math"/>
        </w:rPr>
        <w:t xml:space="preserve"> (ezetimibe</w:t>
      </w:r>
      <w:r>
        <w:rPr>
          <w:rFonts w:cs="Cambria Math"/>
        </w:rPr>
        <w:t>)</w:t>
      </w:r>
      <w:r w:rsidRPr="00135110">
        <w:rPr>
          <w:rFonts w:cs="Cambria Math"/>
        </w:rPr>
        <w:t>. Variants associated with each exposure at p &lt; 5×10</w:t>
      </w:r>
      <w:r w:rsidRPr="00135110">
        <w:rPr>
          <w:rFonts w:ascii="Cambria Math" w:hAnsi="Cambria Math" w:cs="Cambria Math"/>
        </w:rPr>
        <w:t>⁻</w:t>
      </w:r>
      <w:r w:rsidRPr="00135110">
        <w:rPr>
          <w:rFonts w:cs="Cambria Math"/>
        </w:rPr>
        <w:t xml:space="preserve">⁸ were retained as instruments. For </w:t>
      </w:r>
      <w:r w:rsidRPr="00135110">
        <w:rPr>
          <w:rFonts w:cs="Cambria Math"/>
          <w:i/>
          <w:iCs/>
        </w:rPr>
        <w:t>PCSK9</w:t>
      </w:r>
      <w:r w:rsidRPr="00135110">
        <w:rPr>
          <w:rFonts w:cs="Cambria Math"/>
        </w:rPr>
        <w:t xml:space="preserve"> and </w:t>
      </w:r>
      <w:r w:rsidRPr="00135110">
        <w:rPr>
          <w:rFonts w:cs="Cambria Math"/>
          <w:i/>
          <w:iCs/>
        </w:rPr>
        <w:t>NPC1L1</w:t>
      </w:r>
      <w:r w:rsidRPr="00135110">
        <w:rPr>
          <w:rFonts w:cs="Cambria Math"/>
        </w:rPr>
        <w:t xml:space="preserve">, conventional independence clumping was applied (r² &lt; 0.001 in 1000 Genomes EUR reference). For </w:t>
      </w:r>
      <w:r w:rsidRPr="00135110">
        <w:rPr>
          <w:rFonts w:cs="Cambria Math"/>
          <w:i/>
          <w:iCs/>
        </w:rPr>
        <w:t>HMGCR</w:t>
      </w:r>
      <w:r w:rsidRPr="00135110">
        <w:rPr>
          <w:rFonts w:cs="Cambria Math"/>
        </w:rPr>
        <w:t>, the high linkage disequilibrium structure of the locus collapsed strict clumping to a single SNP, so a relaxed clumping threshold of r² &lt; 0.30 was used to construct an allele score, following the established statin drug-target MR literature</w:t>
      </w:r>
      <w:r w:rsidR="00191994">
        <w:rPr>
          <w:rFonts w:cs="Cambria Math"/>
        </w:rPr>
        <w:t xml:space="preserve"> </w:t>
      </w:r>
      <w:r w:rsidR="00191994">
        <w:rPr>
          <w:rFonts w:cs="Cambria Math"/>
        </w:rPr>
        <w:fldChar w:fldCharType="begin"/>
      </w:r>
      <w:r w:rsidR="00191994">
        <w:rPr>
          <w:rFonts w:cs="Cambria Math"/>
        </w:rPr>
        <w:instrText xml:space="preserve"> ADDIN ZOTERO_ITEM CSL_CITATION {"citationID":"rw8tMXah","properties":{"unsorted":false,"formattedCitation":"[8,9]","plainCitation":"[8,9]","noteIndex":0},"citationItems":[{"id":27550,"uris":["http://zotero.org/users/7317906/items/VZ2XYHSS"],"itemData":{"id":27550,"type":"article-journal","citation-key":"swerdlowHMGcoenzymeReductaseInhibition2015","container-title":"The Lancet","DOI":"10.1016/S0140-6736(14)61183-1","ISSN":"0140-6736, 1474-547X","issue":"9965","journalAbbreviation":"The Lancet","language":"English","page":"351-361","PMID":"25262344","publisher":"Elsevier","source":"www.thelancet.com","title":"HMG-coenzyme A reductase inhibition, type 2 diabetes, and bodyweight: evidence from genetic analysis and randomised trials","title-short":"HMG-coenzyme A reductase inhibition, type 2 diabetes, and bodyweight","URL":"https://www.thelancet.com/journals/lancet/article/PIIS0140-6736(14)61183-1/fulltext","volume":"385","author":[{"family":"Swerdlow","given":"Daniel I."},{"family":"Preiss","given":"David"},{"family":"Kuchenbaecker","given":"Karoline B."},{"family":"Holmes","given":"Michael V."},{"family":"Engmann","given":"Jorgen E. L."},{"family":"Shah","given":"Tina"},{"family":"Sofat","given":"Reecha"},{"family":"Stender","given":"Stefan"},{"family":"Johnson","given":"Paul C. D."},{"family":"Scott","given":"Robert A."},{"family":"Leusink","given":"Maarten"},{"family":"Verweij","given":"Niek"},{"family":"Sharp","given":"Stephen J."},{"family":"Guo","given":"Yiran"},{"family":"Giambartolomei","given":"Claudia"},{"family":"Chung","given":"Christina"},{"family":"Peasey","given":"Anne"},{"family":"Amuzu","given":"Antoinette"},{"family":"Li","given":"KaWah"},{"family":"Palmen","given":"Jutta"},{"family":"Howard","given":"Philip"},{"family":"Cooper","given":"Jackie A."},{"family":"Drenos","given":"Fotios"},{"family":"Li","given":"Yun R."},{"family":"Lowe","given":"Gordon"},{"family":"Gallacher","given":"John"},{"family":"Stewart","given":"Marlene C. W."},{"family":"Tzoulaki","given":"Ioanna"},{"family":"Buxbaum","given":"Sarah G."},{"family":"A","given":"Daphne L.","dropping-particle":"van der"},{"family":"Forouhi","given":"Nita G."},{"family":"Onland-Moret","given":"N. Charlotte"},{"family":"Schouw","given":"Yvonne T.","dropping-particle":"van der"},{"family":"Schnabel","given":"Renate B."},{"family":"Hubacek","given":"Jaroslav A."},{"family":"Kubinova","given":"Ruzena"},{"family":"Baceviciene","given":"Migle"},{"family":"Tamosiunas","given":"Abdonas"},{"family":"Pajak","given":"Andrzej"},{"family":"Topor-Madry","given":"Romanvan"},{"family":"Stepaniak","given":"Urszula"},{"family":"Malyutina","given":"Sofia"},{"family":"Baldassarre","given":"Damiano"},{"family":"Sennblad","given":"Bengt"},{"family":"Tremoli","given":"Elena"},{"family":"Faire","given":"Ulf","dropping-particle":"de"},{"family":"Veglia","given":"Fabrizio"},{"family":"Ford","given":"Ian"},{"family":"Jukema","given":"J. Wouter"},{"family":"Westendorp","given":"Rudi G. J."},{"family":"Borst","given":"Gert Jan","dropping-particle":"de"},{"family":"Jong","given":"Pim A.","dropping-particle":"de"},{"family":"Algra","given":"Ale"},{"family":"Spiering","given":"Wilko"},{"family":"Zee","given":"Anke H. Maitland-van","dropping-particle":"der"},{"family":"Klungel","given":"Olaf H."},{"family":"Boer","given":"Anthonius","dropping-particle":"de"},{"family":"Doevendans","given":"Pieter A."},{"family":"Eaton","given":"Charles B."},{"family":"Robinson","given":"Jennifer G."},{"family":"Duggan","given":"David"},{"family":"Kjekshus","given":"John"},{"family":"Downs","given":"John R."},{"family":"Gotto","given":"Antonio M."},{"family":"Keech","given":"Anthony C."},{"family":"Marchioli","given":"Roberto"},{"family":"Tognoni","given":"Gianni"},{"family":"Sever","given":"Peter S."},{"family":"Poulter","given":"Neil R."},{"family":"Waters","given":"David D."},{"family":"Pedersen","given":"Terje R."},{"family":"Amarenco","given":"Pierre"},{"family":"Nakamura","given":"Haruo"},{"family":"McMurray","given":"John J. V."},{"family":"Lewsey","given":"James D."},{"family":"Chasman","given":"Daniel I."},{"family":"Ridker","given":"Paul M."},{"family":"Maggioni","given":"Aldo P."},{"family":"Tavazzi","given":"Luigi"},{"family":"Ray","given":"Kausik K."},{"family":"Seshasai","given":"Sreenivasa Rao Kondapally"},{"family":"Manson","given":"JoAnn E."},{"family":"Price","given":"Jackie F."},{"family":"Whincup","given":"Peter H."},{"family":"Morris","given":"Richard W."},{"family":"Lawlor","given":"Debbie A."},{"family":"Smith","given":"George Davey"},{"family":"Ben-Shlomo","given":"Yoav"},{"family":"Schreiner","given":"Pamela J."},{"family":"Fornage","given":"Myriam"},{"family":"Siscovick","given":"David S."},{"family":"Cushman","given":"Mary"},{"family":"Kumari","given":"Meena"},{"family":"Wareham","given":"Nick J."},{"family":"Verschuren","given":"W. M. Monique"},{"family":"Redline","given":"Susan"},{"family":"Patel","given":"Sanjay R."},{"family":"Whittaker","given":"John C."},{"family":"Hamsten","given":"Anders"},{"family":"Delaney","given":"Joseph A."},{"family":"Dale","given":"Caroline"},{"family":"Gaunt","given":"Tom R."},{"family":"Wong","given":"Andrew"},{"family":"Kuh","given":"Diana"},{"family":"Hardy","given":"Rebecca"},{"family":"Kathiresan","given":"Sekar"},{"family":"Castillo","given":"Berta A."},{"family":"Harst","given":"Pim","dropping-particle":"van der"},{"family":"Brunner","given":"Eric J."},{"family":"Tybjaerg-Hansen","given":"Anne"},{"family":"Marmot","given":"Michael G."},{"family":"Krauss","given":"Ronald M."},{"family":"Tsai","given":"Michael"},{"family":"Coresh","given":"Josef"},{"family":"Hoogeveen","given":"Ronald C."},{"family":"Psaty","given":"Bruce M."},{"family":"Lange","given":"Leslie A."},{"family":"Hakonarson","given":"Hakon"},{"family":"Dudbridge","given":"Frank"},{"family":"Humphries","given":"Steve E."},{"family":"Talmud","given":"Philippa J."},{"family":"Kivimäki","given":"Mika"},{"family":"Timpson","given":"Nicholas J."},{"family":"Langenberg","given":"Claudia"},{"family":"Asselbergs","given":"Folkert W."},{"family":"Voevoda","given":"Mikhail"},{"family":"Bobak","given":"Martin"},{"family":"Pikhart","given":"Hynek"},{"family":"Wilson","given":"James G."},{"family":"Reiner","given":"Alex P."},{"family":"Keating","given":"Brendan J."},{"family":"Hingorani","given":"Aroon D."},{"family":"Sattar","given":"Naveed"}],"accessed":{"date-parts":[["2026",4,26]]},"issued":{"date-parts":[["2015",1,24]]}}},{"id":27553,"uris":["http://zotero.org/users/7317906/items/7GY6G584"],"itemData":{"id":27553,"type":"article-journal","citation-key":"ferenceEffectLongTermExposure2012","container-title":"JACC","DOI":"10.1016/j.jacc.2012.09.017","issue":"25","page":"2631-2639","publisher":"American College of Cardiology Foundation","source":"jacc.org (Atypon)","title":"Effect of Long-Term Exposure to Lower Low-Density Lipoprotein Cholesterol Beginning Early in Life on the Risk of Coronary Heart Disease","URL":"https://www.jacc.org/doi/10.1016/j.jacc.2012.09.017","volume":"60","author":[{"family":"Ference","given":"Brian A."},{"family":"Yoo","given":"Wonsuk"},{"family":"Alesh","given":"Issa"},{"family":"Mahajan","given":"Nitin"},{"family":"Mirowska","given":"Karolina K."},{"family":"Mewada","given":"Abhishek"},{"family":"Kahn","given":"Joel"},{"family":"Afonso","given":"Luis"},{"family":"Williams","given":"Kim Allan"},{"family":"Flack","given":"John M."}],"accessed":{"date-parts":[["2026",4,26]]},"issued":{"date-parts":[["2012",12,25]]}}}],"schema":"https://github.com/citation-style-language/schema/raw/master/csl-citation.json"} </w:instrText>
      </w:r>
      <w:r w:rsidR="00191994">
        <w:rPr>
          <w:rFonts w:cs="Cambria Math"/>
        </w:rPr>
        <w:fldChar w:fldCharType="separate"/>
      </w:r>
      <w:r w:rsidR="00191994">
        <w:rPr>
          <w:rFonts w:cs="Cambria Math"/>
          <w:noProof/>
        </w:rPr>
        <w:t>[8,9]</w:t>
      </w:r>
      <w:r w:rsidR="00191994">
        <w:rPr>
          <w:rFonts w:cs="Cambria Math"/>
        </w:rPr>
        <w:fldChar w:fldCharType="end"/>
      </w:r>
      <w:r w:rsidRPr="00135110">
        <w:rPr>
          <w:rFonts w:cs="Cambria Math"/>
        </w:rPr>
        <w:t xml:space="preserve">. Outcomes were assessed in </w:t>
      </w:r>
      <w:r>
        <w:rPr>
          <w:rFonts w:cs="Cambria Math"/>
        </w:rPr>
        <w:t>both</w:t>
      </w:r>
      <w:r w:rsidRPr="00135110">
        <w:rPr>
          <w:rFonts w:cs="Cambria Math"/>
        </w:rPr>
        <w:t xml:space="preserve"> MGI-BioVU LabWAS  and the UK Biobank serum calcium GWAS (</w:t>
      </w:r>
      <w:r w:rsidR="00191994">
        <w:rPr>
          <w:rFonts w:cs="Cambria Math"/>
        </w:rPr>
        <w:fldChar w:fldCharType="begin"/>
      </w:r>
      <w:r w:rsidR="00191994">
        <w:rPr>
          <w:rFonts w:cs="Cambria Math"/>
        </w:rPr>
        <w:instrText xml:space="preserve"> ADDIN ZOTERO_ITEM CSL_CITATION {"citationID":"ifxL20dt","properties":{"unsorted":false,"formattedCitation":"[10]","plainCitation":"[10]","noteIndex":0},"citationItems":[{"id":27556,"uris":["http://zotero.org/users/7317906/items/FQDSSBP8"],"itemData":{"id":27556,"type":"article-journal","abstract":"Exome association studies to date have generally been underpowered to systematically evaluate the phenotypic impact of very rare coding variants. We leveraged extensive haplotype sharing between 49,960 exome-sequenced UK Biobank participants and the remainder of the cohort (total n</w:instrText>
      </w:r>
      <w:r w:rsidR="00191994">
        <w:rPr>
          <w:rFonts w:ascii="Arial" w:hAnsi="Arial" w:cs="Arial"/>
        </w:rPr>
        <w:instrText> </w:instrText>
      </w:r>
      <w:r w:rsidR="00191994">
        <w:rPr>
          <w:rFonts w:cs="Cambria Math"/>
        </w:rPr>
        <w:instrText>≈</w:instrText>
      </w:r>
      <w:r w:rsidR="00191994">
        <w:rPr>
          <w:rFonts w:ascii="Arial" w:hAnsi="Arial" w:cs="Arial"/>
        </w:rPr>
        <w:instrText> </w:instrText>
      </w:r>
      <w:r w:rsidR="00191994">
        <w:rPr>
          <w:rFonts w:cs="Cambria Math"/>
        </w:rPr>
        <w:instrText>500,000) to impute exome-wide variants with accuracy R2</w:instrText>
      </w:r>
      <w:r w:rsidR="00191994">
        <w:rPr>
          <w:rFonts w:ascii="Arial" w:hAnsi="Arial" w:cs="Arial"/>
        </w:rPr>
        <w:instrText> </w:instrText>
      </w:r>
      <w:r w:rsidR="00191994">
        <w:rPr>
          <w:rFonts w:cs="Cambria Math"/>
        </w:rPr>
        <w:instrText>&gt;</w:instrText>
      </w:r>
      <w:r w:rsidR="00191994">
        <w:rPr>
          <w:rFonts w:ascii="Arial" w:hAnsi="Arial" w:cs="Arial"/>
        </w:rPr>
        <w:instrText> </w:instrText>
      </w:r>
      <w:r w:rsidR="00191994">
        <w:rPr>
          <w:rFonts w:cs="Cambria Math"/>
        </w:rPr>
        <w:instrText>0.5 down to minor allele frequency (MAF) ~0.00005. Association and fine-mapping analyses of 54 quantitative traits identified 1,189 significant associations (P</w:instrText>
      </w:r>
      <w:r w:rsidR="00191994">
        <w:rPr>
          <w:rFonts w:ascii="Arial" w:hAnsi="Arial" w:cs="Arial"/>
        </w:rPr>
        <w:instrText> </w:instrText>
      </w:r>
      <w:r w:rsidR="00191994">
        <w:rPr>
          <w:rFonts w:cs="Cambria Math"/>
        </w:rPr>
        <w:instrText>&lt;</w:instrText>
      </w:r>
      <w:r w:rsidR="00191994">
        <w:rPr>
          <w:rFonts w:ascii="Arial" w:hAnsi="Arial" w:cs="Arial"/>
        </w:rPr>
        <w:instrText> </w:instrText>
      </w:r>
      <w:r w:rsidR="00191994">
        <w:rPr>
          <w:rFonts w:cs="Cambria Math"/>
        </w:rPr>
        <w:instrText>5</w:instrText>
      </w:r>
      <w:r w:rsidR="00191994">
        <w:rPr>
          <w:rFonts w:ascii="Arial" w:hAnsi="Arial" w:cs="Arial"/>
        </w:rPr>
        <w:instrText> </w:instrText>
      </w:r>
      <w:r w:rsidR="00191994">
        <w:rPr>
          <w:rFonts w:cs="Cambria Math"/>
        </w:rPr>
        <w:instrText>×</w:instrText>
      </w:r>
      <w:r w:rsidR="00191994">
        <w:rPr>
          <w:rFonts w:ascii="Arial" w:hAnsi="Arial" w:cs="Arial"/>
        </w:rPr>
        <w:instrText> </w:instrText>
      </w:r>
      <w:r w:rsidR="00191994">
        <w:rPr>
          <w:rFonts w:cs="Cambria Math"/>
        </w:rPr>
        <w:instrText>10−8) involving 675 distinct rare protein-altering variants (MAF</w:instrText>
      </w:r>
      <w:r w:rsidR="00191994">
        <w:rPr>
          <w:rFonts w:ascii="Arial" w:hAnsi="Arial" w:cs="Arial"/>
        </w:rPr>
        <w:instrText> </w:instrText>
      </w:r>
      <w:r w:rsidR="00191994">
        <w:rPr>
          <w:rFonts w:cs="Cambria Math"/>
        </w:rPr>
        <w:instrText>&lt;</w:instrText>
      </w:r>
      <w:r w:rsidR="00191994">
        <w:rPr>
          <w:rFonts w:ascii="Arial" w:hAnsi="Arial" w:cs="Arial"/>
        </w:rPr>
        <w:instrText> </w:instrText>
      </w:r>
      <w:r w:rsidR="00191994">
        <w:rPr>
          <w:rFonts w:cs="Cambria Math"/>
        </w:rPr>
        <w:instrText xml:space="preserve">0.01) that passed stringent filters for likely causality. Across all traits, 49% of associations (578/1,189) occurred in genes with two or more hits; follow-up analyses of these genes identified allelic series containing up to 45 distinct ‘likely-causal’ variants. Our results demonstrate the utility of within-cohort imputation in population-scale genome-wide association studies, provide a catalog of likely-causal, large-effect coding variant associations and foreshadow the insights that will be revealed as genetic biobank studies continue to grow.","citation-key":"bartonWholeexomeImputationUK2021","container-title":"Nature Genetics","DOI":"10.1038/s41588-021-00892-1","ISSN":"1546-1718","issue":"8","journalAbbreviation":"Nat Genet","language":"en","license":"2021 The Author(s), under exclusive licence to Springer Nature America, Inc.","page":"1260-1269","publisher":"Nature Publishing Group","source":"www-nature-com.proxy.lib.umich.edu","title":"Whole-exome imputation within UK Biobank powers rare coding variant association and fine-mapping analyses","URL":"https://www.nature.com/articles/s41588-021-00892-1","volume":"53","author":[{"family":"Barton","given":"Alison R."},{"family":"Sherman","given":"Maxwell A."},{"family":"Mukamel","given":"Ronen E."},{"family":"Loh","given":"Po-Ru"}],"accessed":{"date-parts":[["2026",4,26]]},"issued":{"date-parts":[["2021",8]]}}}],"schema":"https://github.com/citation-style-language/schema/raw/master/csl-citation.json"} </w:instrText>
      </w:r>
      <w:r w:rsidR="00191994">
        <w:rPr>
          <w:rFonts w:cs="Cambria Math"/>
        </w:rPr>
        <w:fldChar w:fldCharType="separate"/>
      </w:r>
      <w:r w:rsidR="00191994">
        <w:rPr>
          <w:rFonts w:cs="Cambria Math"/>
          <w:noProof/>
        </w:rPr>
        <w:t>[10]</w:t>
      </w:r>
      <w:r w:rsidR="00191994">
        <w:rPr>
          <w:rFonts w:cs="Cambria Math"/>
        </w:rPr>
        <w:fldChar w:fldCharType="end"/>
      </w:r>
      <w:r w:rsidRPr="00135110">
        <w:rPr>
          <w:rFonts w:cs="Cambria Math"/>
        </w:rPr>
        <w:t>, n = 400,792; OpenGWAS ID ebi-a-GCST90025990). Because the LDL-C exposure GWAS (ieu-b-110) is also UK Biobank-derived, the UK Biobank calcium analyses constitute</w:t>
      </w:r>
      <w:r w:rsidR="00191994">
        <w:rPr>
          <w:rFonts w:cs="Cambria Math"/>
        </w:rPr>
        <w:t xml:space="preserve">s a </w:t>
      </w:r>
      <w:r w:rsidRPr="00135110">
        <w:rPr>
          <w:rFonts w:cs="Cambria Math"/>
        </w:rPr>
        <w:t>one-sample MR</w:t>
      </w:r>
      <w:r w:rsidR="00191994">
        <w:rPr>
          <w:rFonts w:cs="Cambria Math"/>
        </w:rPr>
        <w:t xml:space="preserve"> approach</w:t>
      </w:r>
      <w:r w:rsidRPr="00135110">
        <w:rPr>
          <w:rFonts w:cs="Cambria Math"/>
        </w:rPr>
        <w:t>. The total cholesterol exposure GWAS (OpenGWAS ID</w:t>
      </w:r>
      <w:r>
        <w:rPr>
          <w:rFonts w:cs="Cambria Math"/>
        </w:rPr>
        <w:t xml:space="preserve"> </w:t>
      </w:r>
      <w:r w:rsidRPr="00135110">
        <w:rPr>
          <w:rFonts w:cs="Cambria Math"/>
        </w:rPr>
        <w:t xml:space="preserve">ebi-a-GCST90025953, GLGC meta-analysis) </w:t>
      </w:r>
      <w:r>
        <w:rPr>
          <w:rFonts w:cs="Cambria Math"/>
        </w:rPr>
        <w:t>was</w:t>
      </w:r>
      <w:r w:rsidRPr="00135110">
        <w:rPr>
          <w:rFonts w:cs="Cambria Math"/>
        </w:rPr>
        <w:t xml:space="preserve"> non-overlapping with UK Biobank. After </w:t>
      </w:r>
      <w:r w:rsidR="00191994" w:rsidRPr="00135110">
        <w:rPr>
          <w:rFonts w:cs="Cambria Math"/>
        </w:rPr>
        <w:t>harmonization</w:t>
      </w:r>
      <w:r w:rsidRPr="00135110">
        <w:rPr>
          <w:rFonts w:cs="Cambria Math"/>
        </w:rPr>
        <w:t xml:space="preserve"> requiring concordance of both effect and non-effect alleles, primary estimates were obtained using inverse-variance weighted random-effects (IVW-RE) meta-analysis, with weighted median and MR-Egger as sensitivity analyses where ≥3 instruments were available. Single-SNP analyses used the Wald ratio. For </w:t>
      </w:r>
      <w:r w:rsidRPr="00135110">
        <w:rPr>
          <w:rFonts w:cs="Cambria Math"/>
          <w:i/>
          <w:iCs/>
        </w:rPr>
        <w:t>HMGCR</w:t>
      </w:r>
      <w:r w:rsidRPr="00135110">
        <w:rPr>
          <w:rFonts w:cs="Cambria Math"/>
        </w:rPr>
        <w:t>, leave-one-out IVW analysis was performed to assess robustness of the allele score to any single instrument.</w:t>
      </w:r>
    </w:p>
    <w:p w14:paraId="7BB23034" w14:textId="4EEC738A" w:rsidR="006F63F4" w:rsidRDefault="002B35C8" w:rsidP="000F3E8F">
      <w:pPr>
        <w:pStyle w:val="Heading1"/>
      </w:pPr>
      <w:r>
        <w:t>Results</w:t>
      </w:r>
    </w:p>
    <w:p w14:paraId="2EF24EE8" w14:textId="77777777" w:rsidR="00D05C4D" w:rsidRDefault="00D05C4D"/>
    <w:p w14:paraId="7CF50E75" w14:textId="126F251F" w:rsidR="00D05C4D" w:rsidRDefault="00D05C4D" w:rsidP="000F3E8F">
      <w:pPr>
        <w:pStyle w:val="Heading2"/>
      </w:pPr>
      <w:r>
        <w:t xml:space="preserve">Selection and </w:t>
      </w:r>
      <w:r w:rsidR="008B00C3">
        <w:t>Validation</w:t>
      </w:r>
      <w:r>
        <w:t xml:space="preserve"> of</w:t>
      </w:r>
      <w:r w:rsidR="008B00C3">
        <w:t xml:space="preserve"> Genetic</w:t>
      </w:r>
      <w:r>
        <w:t xml:space="preserve"> Instruments</w:t>
      </w:r>
    </w:p>
    <w:p w14:paraId="0236EA4D" w14:textId="25F288B1"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MGI-BioVU LabWAS </w:t>
      </w:r>
      <w:r>
        <w:fldChar w:fldCharType="begin"/>
      </w:r>
      <w:r w:rsidR="00191994">
        <w:instrText xml:space="preserve"> ADDIN ZOTERO_ITEM CSL_CITATION {"citationID":"GJg3TBhy","properties":{"formattedCitation":"[7,11]","plainCitation":"[7,11]","noteIndex":0},"citationItems":[{"id":9537,"uris":["http://zotero.org/users/7317906/items/H4A3P2LK"],"itemData":{"id":9537,"type":"article-journal","citation-key":"zawistowskiMichiganGenomicsInitiative2023","container-title":"Cell Genomics","DOI":"10.1016/j.xgen.2023.100257","ISSN":"2666-979X","issue":"2","journalAbbreviation":"Cell Genomics","language":"English","page":"100257","publisher":"Elsevier","source":"www.cell.com","title":"The Michigan Genomics Initiative: A biobank linking genotypes and electronic clinical records in Michigan Medicine patients","title-short":"The Michigan Genomics Initiative","URL":"https://www.cell.com/cell-genomics/abstract/S2666-979X(23)00013-7","volume":"3","author":[{"family":"Zawistowski","given":"Matthew"},{"family":"Fritsche","given":"Lars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traits.","citation-key":"goldsteinLabWASNovelFindings2020","container-title":"PLoS genetics","DOI":"10.1371/journal.pgen.1009077","ISSN":"1553-7404","issue":"11","journalAbbreviation":"PLoS Genet","language":"eng","page":"e1009077","PMID":"33175840","PMCID":"PMC7682892","source":"PubMed","title":"LabWAS: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C."},{"family":"Zawistowski","given":"Matthew"}],"issued":{"date-parts":[["2020",11]]}}}],"schema":"https://github.com/citation-style-language/schema/raw/master/csl-citation.json"} </w:instrText>
      </w:r>
      <w:r>
        <w:fldChar w:fldCharType="separate"/>
      </w:r>
      <w:r w:rsidR="00191994">
        <w:rPr>
          <w:noProof/>
        </w:rPr>
        <w:t>[7,11]</w:t>
      </w:r>
      <w:r>
        <w:fldChar w:fldCharType="end"/>
      </w:r>
      <w:r>
        <w:t>.  UK Biobank is a population-based cohort of primarily White British individuals aged 40-69 recruited between 2006 and 2010.  MGI-BioVU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MGI-BioVU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lastRenderedPageBreak/>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191994">
        <w:instrText xml:space="preserve"> ADDIN ZOTERO_ITEM CSL_CITATION {"citationID":"DvbYElWe","properties":{"formattedCitation":"[12]","plainCitation":"[12]","noteIndex":0},"citationItems":[{"id":12020,"uris":["http://zotero.org/users/7317906/items/7ASTWT9P"],"itemData":{"id":12020,"type":"article-journal","abstract":"Background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191994">
        <w:rPr>
          <w:rFonts w:ascii="Arial" w:hAnsi="Arial" w:cs="Arial"/>
        </w:rPr>
        <w:instrText> </w:instrText>
      </w:r>
      <w:r w:rsidR="00191994">
        <w:instrText>=</w:instrText>
      </w:r>
      <w:r w:rsidR="00191994">
        <w:rPr>
          <w:rFonts w:ascii="Arial" w:hAnsi="Arial" w:cs="Arial"/>
        </w:rPr>
        <w:instrText> </w:instrText>
      </w:r>
      <w:r w:rsidR="00191994">
        <w:instrText>0.99) to 0.792 (P</w:instrText>
      </w:r>
      <w:r w:rsidR="00191994">
        <w:rPr>
          <w:rFonts w:ascii="Arial" w:hAnsi="Arial" w:cs="Arial"/>
        </w:rPr>
        <w:instrText> </w:instrText>
      </w:r>
      <w:r w:rsidR="00191994">
        <w:instrText>=</w:instrText>
      </w:r>
      <w:r w:rsidR="00191994">
        <w:rPr>
          <w:rFonts w:ascii="Arial" w:hAnsi="Arial" w:cs="Arial"/>
        </w:rPr>
        <w:instrText> </w:instrText>
      </w:r>
      <w:r w:rsidR="00191994">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191994">
        <w:rPr>
          <w:rFonts w:ascii="Arial" w:hAnsi="Arial" w:cs="Arial"/>
        </w:rPr>
        <w:instrText> </w:instrText>
      </w:r>
      <w:r w:rsidR="00191994">
        <w:instrText>&amp;gt;</w:instrText>
      </w:r>
      <w:r w:rsidR="00191994">
        <w:rPr>
          <w:rFonts w:ascii="Arial" w:hAnsi="Arial" w:cs="Arial"/>
        </w:rPr>
        <w:instrText> </w:instrText>
      </w:r>
      <w:r w:rsidR="00191994">
        <w:instrText xml:space="preserve">10 avoids bias in IV analysis is misleading.","citation-key":"burgessAvoidingBiasWeak2011","container-title":"International Journal of Epidemiology","DOI":"10.1093/ije/dyr036","ISSN":"0300-5771","issue":"3","journalAbbreviation":"International Journal of Epidemiology","page":"755-764","source":"Silverchair","title":"Avoiding bias from weak instruments in Mendelian randomization studies","URL":"https://doi.org/10.1093/ije/dyr036","volume":"40","author":[{"family":"Burgess","given":"Stephen"},{"family":"Thompson","given":"Simon G"},{"literal":"CRP CHD Genetics Collaboration"}],"accessed":{"date-parts":[["2025",6,19]]},"issued":{"date-parts":[["2011",6,1]]}}}],"schema":"https://github.com/citation-style-language/schema/raw/master/csl-citation.json"} </w:instrText>
      </w:r>
      <w:r w:rsidR="00BA1574">
        <w:fldChar w:fldCharType="separate"/>
      </w:r>
      <w:r w:rsidR="00191994">
        <w:rPr>
          <w:noProof/>
        </w:rPr>
        <w:t>[12]</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6CF41285" w:rsidR="00162FEC" w:rsidRDefault="00162FEC" w:rsidP="00162FEC">
      <w:r>
        <w:t>To confirm that these instrument</w:t>
      </w:r>
      <w:r w:rsidR="00E84DBF">
        <w:t>s</w:t>
      </w:r>
      <w:r>
        <w:t xml:space="preserve"> are valid we performed a positive control analysis where genetically predicted serum Calcium from UK Biobank was used as the exposure and LabWAS serum Calcium was used as the outcome.  </w:t>
      </w:r>
      <w:r w:rsidR="00F44630">
        <w:t>We</w:t>
      </w:r>
      <w:r>
        <w:t xml:space="preserve"> found </w:t>
      </w:r>
      <w:r w:rsidR="00BE5F89">
        <w:t>a</w:t>
      </w:r>
      <w:r>
        <w:t xml:space="preserve"> 0.54 +/- 0.02 unit increase in calcium (</w:t>
      </w:r>
      <w:r w:rsidR="00BE5F89">
        <w:t>Lab</w:t>
      </w:r>
      <w:r>
        <w:t>WAS)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xml:space="preserve">.  We found </w:t>
      </w:r>
      <w:r w:rsidR="005E6696">
        <w:t xml:space="preserve">evidence of </w:t>
      </w:r>
      <w:r>
        <w:t xml:space="preserve">small but significant negative </w:t>
      </w:r>
      <w:r w:rsidR="005E6696">
        <w:t xml:space="preserve">uncorrelated </w:t>
      </w:r>
      <w:r>
        <w:t>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6300531D" w:rsidR="00121C5B" w:rsidRDefault="008C6483" w:rsidP="000F3E8F">
      <w:pPr>
        <w:pStyle w:val="Heading2"/>
      </w:pPr>
      <w:r>
        <w:t xml:space="preserve">Lack of </w:t>
      </w:r>
      <w:r w:rsidR="00B57DA3">
        <w:t>evidence that calcium affects cholesterol levels</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151CAF3C" w:rsidR="0015153C" w:rsidRDefault="0015153C" w:rsidP="00D77C00">
      <w:r>
        <w:t>We first evaluated SNP instruments for calcium, asking whether they were associated with cholesterol effects using LabWAS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w:t>
      </w:r>
      <w:r w:rsidR="00385D8D">
        <w:t xml:space="preserve">directional uncorrelated </w:t>
      </w:r>
      <w:r>
        <w:t xml:space="preserve">pleiotropy (Egger intercept </w:t>
      </w:r>
      <w:r w:rsidRPr="0015153C">
        <w:t>0.00058</w:t>
      </w:r>
      <w:r>
        <w:t xml:space="preserve"> +/-</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Leave-one out analyses described in Supplementary Figures 3I and J show four influential SNPs that modestly change the IVW estimate when removed, but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w:t>
      </w:r>
      <w:r w:rsidR="00676B8E">
        <w:lastRenderedPageBreak/>
        <w:t>relationship between genetically predicted serum calcium levels and total or LDL-cholesterol</w:t>
      </w:r>
      <w:r w:rsidR="00A763AC">
        <w:t>.</w:t>
      </w:r>
      <w:r w:rsidR="009E34EA">
        <w:t xml:space="preserve">  This is consistent with a prior MR analysis that also did not demonstrate an association between serum calcium and serum lipid levels </w:t>
      </w:r>
      <w:r w:rsidR="009E34EA">
        <w:fldChar w:fldCharType="begin"/>
      </w:r>
      <w:r w:rsidR="00191994">
        <w:instrText xml:space="preserve"> ADDIN ZOTERO_ITEM CSL_CITATION {"citationID":"BIrENf5i","properties":{"formattedCitation":"[13]","plainCitation":"[13]","noteIndex":0},"citationItems":[{"id":27133,"uris":["http://zotero.org/users/7317906/items/M5V8ZSLF"],"itemData":{"id":27133,"type":"article-journal","abstract":"IMPORTANCE: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61</w:instrText>
      </w:r>
      <w:r w:rsidR="00191994">
        <w:rPr>
          <w:rFonts w:ascii="Arial" w:hAnsi="Arial" w:cs="Arial"/>
        </w:rPr>
        <w:instrText> </w:instrText>
      </w:r>
      <w:r w:rsidR="00191994">
        <w:instrText>079 individuals) and from the Coronary Artery Disease Genome-wide Replication and Meta-analysis Plus the Coronary Artery Disease Genetics (CardiogramplusC4D) consortium's 1000 genomes-based genome-wide association meta-analysis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184</w:instrText>
      </w:r>
      <w:r w:rsidR="00191994">
        <w:rPr>
          <w:rFonts w:ascii="Arial" w:hAnsi="Arial" w:cs="Arial"/>
        </w:rPr>
        <w:instrText> </w:instrText>
      </w:r>
      <w:r w:rsidR="00191994">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191994">
        <w:rPr>
          <w:rFonts w:ascii="Arial" w:hAnsi="Arial" w:cs="Arial"/>
        </w:rPr>
        <w:instrText> </w:instrText>
      </w:r>
      <w:r w:rsidR="00191994">
        <w:instrText>305 individuals (60</w:instrText>
      </w:r>
      <w:r w:rsidR="00191994">
        <w:rPr>
          <w:rFonts w:ascii="Arial" w:hAnsi="Arial" w:cs="Arial"/>
        </w:rPr>
        <w:instrText> </w:instrText>
      </w:r>
      <w:r w:rsidR="00191994">
        <w:instrText>801 CAD cases [approximately 70% with myocardial infarction] and 123</w:instrText>
      </w:r>
      <w:r w:rsidR="00191994">
        <w:rPr>
          <w:rFonts w:ascii="Arial" w:hAnsi="Arial" w:cs="Arial"/>
        </w:rPr>
        <w:instrText> </w:instrText>
      </w:r>
      <w:r w:rsidR="00191994">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191994">
        <w:rPr>
          <w:rFonts w:ascii="Arial" w:hAnsi="Arial" w:cs="Arial"/>
        </w:rPr>
        <w:instrText> </w:instrText>
      </w:r>
      <w:r w:rsidR="00191994">
        <w:instrText>=</w:instrText>
      </w:r>
      <w:r w:rsidR="00191994">
        <w:rPr>
          <w:rFonts w:ascii="Arial" w:hAnsi="Arial" w:cs="Arial"/>
        </w:rPr>
        <w:instrText> </w:instrText>
      </w:r>
      <w:r w:rsidR="00191994">
        <w:instrText>.003) for CAD and 1.24 (95% CI, 1.05-1.46;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itation-key":"larssonAssociationGeneticVariants2017","container-title":"JAMA","DOI":"10.1001/jama.2017.8981","ISSN":"1538-3598","issue":"4","journalAbbreviation":"JAMA","language":"eng","page":"371-380","PMID":"28742912","PMCID":"PMC5817597","source":"PubMed","title":"Association of Genetic Variants Related to Serum Calcium Levels With Coronary Artery Disease and Myocardial Infarction","volume":"318","author":[{"family":"Larsson","given":"Susanna C."},{"family":"Burgess","given":"Stephen"},{"family":"Michaëlsson","given":"Karl"}],"issued":{"date-parts":[["2017",7,25]]}}}],"schema":"https://github.com/citation-style-language/schema/raw/master/csl-citation.json"} </w:instrText>
      </w:r>
      <w:r w:rsidR="009E34EA">
        <w:fldChar w:fldCharType="separate"/>
      </w:r>
      <w:r w:rsidR="00191994">
        <w:rPr>
          <w:noProof/>
        </w:rPr>
        <w:t>[13]</w:t>
      </w:r>
      <w:r w:rsidR="009E34EA">
        <w:fldChar w:fldCharType="end"/>
      </w:r>
      <w:r w:rsidR="009E34EA">
        <w:t>.</w:t>
      </w:r>
    </w:p>
    <w:p w14:paraId="4DBDE2E2" w14:textId="0DDBF496" w:rsidR="00121C5B" w:rsidRDefault="00121C5B" w:rsidP="000F3E8F">
      <w:pPr>
        <w:pStyle w:val="Heading2"/>
      </w:pPr>
      <w:r>
        <w:t xml:space="preserve">Evidence </w:t>
      </w:r>
      <w:r w:rsidR="00102E56">
        <w:t>that</w:t>
      </w:r>
      <w:r>
        <w:t xml:space="preserve"> </w:t>
      </w:r>
      <w:r w:rsidR="00102E56">
        <w:t>c</w:t>
      </w:r>
      <w:r>
        <w:t xml:space="preserve">holesterol </w:t>
      </w:r>
      <w:r w:rsidR="00102E56">
        <w:t>increases</w:t>
      </w:r>
      <w:r w:rsidR="00A10F2B">
        <w:t xml:space="preserve"> serum</w:t>
      </w:r>
      <w:r>
        <w:t xml:space="preserve"> </w:t>
      </w:r>
      <w:r w:rsidR="00102E56">
        <w:t>c</w:t>
      </w:r>
      <w:r>
        <w:t xml:space="preserve">alcium </w:t>
      </w:r>
      <w:r w:rsidR="00A10F2B">
        <w:t>levels</w:t>
      </w:r>
    </w:p>
    <w:p w14:paraId="5DD2060A" w14:textId="77777777" w:rsidR="00763397" w:rsidRDefault="00763397" w:rsidP="00763397">
      <w:r>
        <w:t>We then tested the reverse hypothesis, that genetically predicted cholesterol levels could impact serum calcium levels. As shown in Figures 2C–D and Table 2, IVW analyses show a significant positive relationship between both total cholesterol (0.065 ± 0.019 SD of calcium per SD of cholesterol; p = 0.00058) and LDL-cholesterol (0.053 ± 0.019; p = 0.0059) and calcium levels. Each of the four MR methods used provided similar estimates in the same direction, though the lower-powered MR-Egger estimate did not reach statistical significance (p = 0.21 and 0.08 for total and LDL-cholesterol respectively).</w:t>
      </w:r>
    </w:p>
    <w:p w14:paraId="5D3E9D33" w14:textId="17D33EF3" w:rsidR="00763397" w:rsidRDefault="00763397" w:rsidP="00763397">
      <w:r>
        <w:t xml:space="preserve">As expected for a complex trait, we observed low to moderate significant heterogeneity in SNP effects (Q = 441 and 369 respectively, p &lt; 0.001 for each), likely reflecting biological variation. Scatter plots show that most variants were symmetrically distributed around the best-fit line, suggesting a homogeneous causal signal, with most outliers being low-precision SNPs (Supplementary Figures 3C–D). Funnel plots </w:t>
      </w:r>
      <w:r>
        <w:t>do not support the presence of</w:t>
      </w:r>
      <w:r>
        <w:t xml:space="preserve"> </w:t>
      </w:r>
      <w:r w:rsidRPr="00763397">
        <w:rPr>
          <w:rStyle w:val="Strong"/>
          <w:b w:val="0"/>
          <w:bCs w:val="0"/>
        </w:rPr>
        <w:t>directional horizontal pleiotropy</w:t>
      </w:r>
      <w:r>
        <w:t xml:space="preserve"> (Supplementary Figures 3G and H), confirmed by small and non-significant Egger intercepts for both total (0.0011 ± 0.0009; p = 0.26) and LDL-cholesterol (0.00015 ± 0.0010; p = 0.88). This effect was not driven by any influential SNPs as leave-one-out analyses show that the IVW estimates were robust to individual SNP removal (Supplementary Figures 3K–L). To address the possibility of </w:t>
      </w:r>
      <w:r w:rsidRPr="00763397">
        <w:rPr>
          <w:rStyle w:val="Strong"/>
          <w:b w:val="0"/>
          <w:bCs w:val="0"/>
        </w:rPr>
        <w:t>outlier-driven horizontal pleiotropy</w:t>
      </w:r>
      <w:r>
        <w:t xml:space="preserve"> at SNPs not detected by the leave-one-out analysis, we additionally applied MR-PRESSO; outlier-corrected estimates were essentially unchanged from the IVW-RE results</w:t>
      </w:r>
      <w:r>
        <w:t xml:space="preserve"> (Table 2)</w:t>
      </w:r>
      <w:r>
        <w:t xml:space="preserve">, indicating that pleiotropic outliers do not account for the observed effect. Finally, </w:t>
      </w:r>
      <w:r>
        <w:t xml:space="preserve">we implemented </w:t>
      </w:r>
      <w:r>
        <w:t>MR-CAUSE</w:t>
      </w:r>
      <w:r>
        <w:t xml:space="preserve">, </w:t>
      </w:r>
      <w:r>
        <w:t xml:space="preserve">which evaluates whether the association is better explained by a causal effect or by </w:t>
      </w:r>
      <w:r w:rsidRPr="00763397">
        <w:rPr>
          <w:rStyle w:val="Strong"/>
          <w:b w:val="0"/>
          <w:bCs w:val="0"/>
        </w:rPr>
        <w:t>correlated pleiotropy through a shared genetic confounder</w:t>
      </w:r>
      <w:r>
        <w:rPr>
          <w:rStyle w:val="Strong"/>
          <w:b w:val="0"/>
          <w:bCs w:val="0"/>
        </w:rPr>
        <w:t xml:space="preserve"> </w:t>
      </w:r>
      <w:r>
        <w:rPr>
          <w:rStyle w:val="Strong"/>
          <w:b w:val="0"/>
          <w:bCs w:val="0"/>
        </w:rPr>
        <w:fldChar w:fldCharType="begin"/>
      </w:r>
      <w:r>
        <w:rPr>
          <w:rStyle w:val="Strong"/>
          <w:b w:val="0"/>
          <w:bCs w:val="0"/>
        </w:rPr>
        <w:instrText xml:space="preserve"> ADDIN ZOTERO_ITEM CSL_CITATION {"citationID":"V80iF9rp","properties":{"unsorted":false,"formattedCitation":"[14]","plainCitation":"[14]","noteIndex":0},"citationItems":[{"id":27155,"uris":["http://zotero.org/users/7317906/items/SNZ7RHFR"],"itemData":{"id":27155,"type":"article-journal","abstract":"Mendelian randomization (MR) is a valuable tool for detecting causal effects using genetic variant associations. Opportunities to apply MR are growing rapidly with the number of genome-wide association studies (GWAS). However, existing MR methods rely on strong assumptions that are often violated, leading to false positives. Correlated horizontal pleiotropy, which arises when variants affect both traits through a heritable shared factor, remains a particularly challenging problem. We propose a new MR method, Causal Analysis Using Summary Effect Estimates (CAUSE), that accounts for correlated and uncorrelated horizontal pleiotropic effects. We demonstrate in simulations that CAUSE avoids more false positives induced by correlated horizontal pleiotropy than other methods. Applied to traits studied in recent GWAS, we find that CAUSE detects causal relationships with strong literature support and avoids identifying most unlikely relationships. Our results suggest that shared heritable factors are common and may lead to many false positives using alternative methods.","citation-key":"morrisonMendelianRandomizationAccounting2020","container-title":"Nature genetics","DOI":"10.1038/s41588-020-0631-4","ISSN":"1061-4036","issue":"7","journalAbbreviation":"Nat Genet","page":"740-747","PMID":"32451458","PMCID":"PMC7343608","source":"PubMed Central","title":"Mendelian randomization accounting for correlated and uncorrelated pleiotropic effects using genome-wide summary statistics","URL":"https://pmc.ncbi.nlm.nih.gov/articles/PMC7343608/","volume":"52","author":[{"family":"Morrison","given":"Jean"},{"family":"Knoblauch","given":"Nicholas"},{"family":"Marcus","given":"Joseph H."},{"family":"Stephens","given":"Matthew"},{"family":"He","given":"Xin"}],"accessed":{"date-parts":[["2025",10,30]]},"issued":{"date-parts":[["2020",7]]}}}],"schema":"https://github.com/citation-style-language/schema/raw/master/csl-citation.json"} </w:instrText>
      </w:r>
      <w:r>
        <w:rPr>
          <w:rStyle w:val="Strong"/>
          <w:b w:val="0"/>
          <w:bCs w:val="0"/>
        </w:rPr>
        <w:fldChar w:fldCharType="separate"/>
      </w:r>
      <w:r>
        <w:rPr>
          <w:rStyle w:val="Strong"/>
          <w:b w:val="0"/>
          <w:bCs w:val="0"/>
          <w:noProof/>
        </w:rPr>
        <w:t>[14]</w:t>
      </w:r>
      <w:r>
        <w:rPr>
          <w:rStyle w:val="Strong"/>
          <w:b w:val="0"/>
          <w:bCs w:val="0"/>
        </w:rPr>
        <w:fldChar w:fldCharType="end"/>
      </w:r>
      <w:r>
        <w:rPr>
          <w:rStyle w:val="Strong"/>
          <w:b w:val="0"/>
          <w:bCs w:val="0"/>
        </w:rPr>
        <w:t>.  This</w:t>
      </w:r>
      <w:r>
        <w:t xml:space="preserve"> </w:t>
      </w:r>
      <w:r>
        <w:t xml:space="preserve">produced a positive causal estimate (γ = 0.05, 95% CI 0.01–0.10) with the residual pleiotropy parameter η </w:t>
      </w:r>
      <w:r>
        <w:t>centered</w:t>
      </w:r>
      <w:r>
        <w:t xml:space="preserve"> near zero, and required fewer variants invoked as pleiotropic under the causal model than under the sharing model (q = 0.05 vs 0.11)</w:t>
      </w:r>
      <w:r>
        <w:t xml:space="preserve">, indicating the causal model is more likely.  </w:t>
      </w:r>
      <w:r>
        <w:t xml:space="preserve"> </w:t>
      </w:r>
      <w:r>
        <w:t>However,</w:t>
      </w:r>
      <w:r>
        <w:t xml:space="preserve"> formal ELPD model comparison did not reach statistical significance (z = −0.66, p = 0.25). Overall, these data support a causal effect of cholesterol on calcium with slightly larger and more significant effects for total compared to LDL-cholesterol, robust to all three forms of horizontal pleiotropy considered. These findings suggest that elevated cholesterol could contribute to higher serum calcium concentrations.</w:t>
      </w:r>
    </w:p>
    <w:p w14:paraId="061B1DB1" w14:textId="1EBEDE2A" w:rsidR="0058330D" w:rsidRDefault="0058330D" w:rsidP="000F3E8F">
      <w:pPr>
        <w:pStyle w:val="Heading2"/>
      </w:pPr>
      <w:r>
        <w:lastRenderedPageBreak/>
        <w:t>Drug-</w:t>
      </w:r>
      <w:r w:rsidR="000C7C88">
        <w:t>t</w:t>
      </w:r>
      <w:r>
        <w:t>arget MR</w:t>
      </w:r>
      <w:r w:rsidR="000C7C88">
        <w:t xml:space="preserve"> supports a HMGCR-dependent increase in serum calcium</w:t>
      </w:r>
    </w:p>
    <w:p w14:paraId="3B9204CB" w14:textId="2FA7C817" w:rsidR="00B3420F" w:rsidRDefault="0058330D">
      <w:r>
        <w:t xml:space="preserve">We next repeated our analysis of genetically predicted cholesterol impacting calcium by restricting our exposure SNPs to actionable drug targets, in this case including variants near </w:t>
      </w:r>
      <w:r w:rsidRPr="0058330D">
        <w:rPr>
          <w:i/>
          <w:iCs/>
        </w:rPr>
        <w:t>HMGCR</w:t>
      </w:r>
      <w:r>
        <w:t xml:space="preserve"> (the target of statins), </w:t>
      </w:r>
      <w:r w:rsidRPr="0058330D">
        <w:rPr>
          <w:i/>
          <w:iCs/>
        </w:rPr>
        <w:t>PCSK9</w:t>
      </w:r>
      <w:r>
        <w:t xml:space="preserve">, and </w:t>
      </w:r>
      <w:r w:rsidRPr="0058330D">
        <w:rPr>
          <w:i/>
          <w:iCs/>
        </w:rPr>
        <w:t>NPC1L1</w:t>
      </w:r>
      <w:r>
        <w:t xml:space="preserve"> (the target of </w:t>
      </w:r>
      <w:r w:rsidRPr="0058330D">
        <w:t>ezetimibe</w:t>
      </w:r>
      <w:r>
        <w:t xml:space="preserve">).  </w:t>
      </w:r>
      <w:r w:rsidR="00DF789E">
        <w:t>We first used the MGI-BioVU LabWAS as the outcome GWAS, retaining the two-sample design used above.</w:t>
      </w:r>
      <w:r>
        <w:t xml:space="preserve">  For </w:t>
      </w:r>
      <w:r w:rsidRPr="00B13C95">
        <w:rPr>
          <w:i/>
          <w:iCs/>
        </w:rPr>
        <w:t>HMGCR</w:t>
      </w:r>
      <w:r>
        <w:t xml:space="preserve"> we identified 11 SNPs (explaining </w:t>
      </w:r>
      <w:r w:rsidR="00F50243">
        <w:t>0.37 and 0.32</w:t>
      </w:r>
      <w:r>
        <w:t>% of the exposure variance</w:t>
      </w:r>
      <w:r w:rsidR="00F50243">
        <w:t xml:space="preserve"> for LDL-C and total cholesterol respectively</w:t>
      </w:r>
      <w:r>
        <w:t xml:space="preserve">; </w:t>
      </w:r>
      <w:r w:rsidR="00F50243">
        <w:t>overall</w:t>
      </w:r>
      <w:r>
        <w:t xml:space="preserve"> F-statistic</w:t>
      </w:r>
      <w:r w:rsidR="00F50243">
        <w:t>s of 149 and 351</w:t>
      </w:r>
      <w:r>
        <w:t xml:space="preserve">).  </w:t>
      </w:r>
      <w:r w:rsidR="00F50243">
        <w:t>In this analysis we found</w:t>
      </w:r>
      <w:r>
        <w:t xml:space="preserve"> no strong evidence of directional horizontal pleiotropy (Egger intercept p=</w:t>
      </w:r>
      <w:r w:rsidRPr="0058330D">
        <w:t>0.1795</w:t>
      </w:r>
      <w:r>
        <w:t xml:space="preserve"> and 0.743 for LDL-C and total cholesterol respectively).  In both cases the IVW</w:t>
      </w:r>
      <w:r w:rsidR="00DF789E">
        <w:t xml:space="preserve"> mixed </w:t>
      </w:r>
      <w:r>
        <w:t>random effects modeling showed positive association</w:t>
      </w:r>
      <w:r w:rsidR="00FF0B34">
        <w:t xml:space="preserve">s between </w:t>
      </w:r>
      <w:r w:rsidR="00B13C95">
        <w:t xml:space="preserve">LDL-C </w:t>
      </w:r>
      <w:r w:rsidR="00FF0B34">
        <w:t>(</w:t>
      </w:r>
      <w:r w:rsidR="00B13C95">
        <w:t xml:space="preserve">increase of </w:t>
      </w:r>
      <w:r w:rsidRPr="0058330D">
        <w:t>0.1630</w:t>
      </w:r>
      <w:r w:rsidR="00B13C95">
        <w:t xml:space="preserve"> SD of calcium per SD of LDL-C </w:t>
      </w:r>
      <w:r>
        <w:t>[</w:t>
      </w:r>
      <w:r w:rsidRPr="0058330D">
        <w:t>0.0114–0.3147</w:t>
      </w:r>
      <w:r w:rsidR="00FF0B34">
        <w:t>]</w:t>
      </w:r>
      <w:r w:rsidR="00B13C95">
        <w:t>;</w:t>
      </w:r>
      <w:r>
        <w:t xml:space="preserve"> p=0.035) </w:t>
      </w:r>
      <w:r w:rsidR="00B13C95">
        <w:t>and total cholesterol</w:t>
      </w:r>
      <w:r>
        <w:t xml:space="preserve"> </w:t>
      </w:r>
      <w:r w:rsidR="00B13C95">
        <w:t>(</w:t>
      </w:r>
      <w:r w:rsidRPr="0058330D">
        <w:t>0.1603</w:t>
      </w:r>
      <w:r>
        <w:t xml:space="preserve"> [</w:t>
      </w:r>
      <w:r w:rsidRPr="0058330D">
        <w:t>-0.0047–0.3252</w:t>
      </w:r>
      <w:r w:rsidR="00FF0B34">
        <w:t>]</w:t>
      </w:r>
      <w:r>
        <w:t xml:space="preserve"> p=0.056</w:t>
      </w:r>
      <w:r w:rsidR="00B13C95">
        <w:t xml:space="preserve">).  </w:t>
      </w:r>
      <w:r>
        <w:t>However</w:t>
      </w:r>
      <w:r w:rsidR="00DF789E">
        <w:t>,</w:t>
      </w:r>
      <w:r>
        <w:t xml:space="preserve"> there were no overlapping </w:t>
      </w:r>
      <w:r w:rsidR="0021034F">
        <w:t xml:space="preserve">harmonized </w:t>
      </w:r>
      <w:r>
        <w:t xml:space="preserve">instruments near </w:t>
      </w:r>
      <w:r w:rsidRPr="0058330D">
        <w:rPr>
          <w:i/>
          <w:iCs/>
        </w:rPr>
        <w:t>NPC1L1</w:t>
      </w:r>
      <w:r>
        <w:t xml:space="preserve"> or </w:t>
      </w:r>
      <w:r w:rsidRPr="0058330D">
        <w:rPr>
          <w:i/>
          <w:iCs/>
        </w:rPr>
        <w:t>PCSK9</w:t>
      </w:r>
      <w:r>
        <w:t xml:space="preserve"> in the MGI-BioVU GWAS, precluding their analysis </w:t>
      </w:r>
      <w:r w:rsidR="0021034F">
        <w:t>with</w:t>
      </w:r>
      <w:r>
        <w:t xml:space="preserve"> this approach</w:t>
      </w:r>
      <w:r w:rsidR="0021034F">
        <w:t>.</w:t>
      </w:r>
    </w:p>
    <w:p w14:paraId="7FAAEE21" w14:textId="1EAEEE95" w:rsidR="00806E4C" w:rsidRDefault="00F50243" w:rsidP="00F62283">
      <w:r>
        <w:t>To overcome this limitation</w:t>
      </w:r>
      <w:r w:rsidR="003F64CE">
        <w:t>,</w:t>
      </w:r>
      <w:r>
        <w:t xml:space="preserve"> we repeated the Drug-Target MR analysis using the larger UK-Biobank outcome GWAS.  </w:t>
      </w:r>
      <w:r w:rsidR="00A965D4">
        <w:t xml:space="preserve">After harmonization, this approach yielded 26 and 7 SNPs for total cholesterol and LDL-C respectively for </w:t>
      </w:r>
      <w:r w:rsidR="00A965D4" w:rsidRPr="00BD657E">
        <w:rPr>
          <w:i/>
          <w:iCs/>
        </w:rPr>
        <w:t>HMGCR</w:t>
      </w:r>
      <w:r w:rsidR="00A965D4">
        <w:t xml:space="preserve">, three SNPs for </w:t>
      </w:r>
      <w:r w:rsidR="00A965D4" w:rsidRPr="00BD657E">
        <w:rPr>
          <w:i/>
          <w:iCs/>
        </w:rPr>
        <w:t>PCSK9</w:t>
      </w:r>
      <w:r w:rsidR="00A965D4">
        <w:t xml:space="preserve"> and</w:t>
      </w:r>
      <w:r w:rsidR="0080021B">
        <w:t xml:space="preserve"> total cholesterol, one SNP for PCSK9 and LDL-C, and </w:t>
      </w:r>
      <w:r w:rsidR="00A965D4">
        <w:t xml:space="preserve">one SNP for </w:t>
      </w:r>
      <w:r w:rsidR="00A965D4" w:rsidRPr="00BD657E">
        <w:rPr>
          <w:i/>
          <w:iCs/>
        </w:rPr>
        <w:t>NPC1L1</w:t>
      </w:r>
      <w:r w:rsidR="00A965D4">
        <w:t xml:space="preserve"> </w:t>
      </w:r>
      <w:r w:rsidR="0080021B">
        <w:t xml:space="preserve">for each outcome </w:t>
      </w:r>
      <w:r w:rsidR="00A965D4">
        <w:t xml:space="preserve">(see Table </w:t>
      </w:r>
      <w:r w:rsidR="00BD657E">
        <w:t>1</w:t>
      </w:r>
      <w:r w:rsidR="00A965D4">
        <w:t xml:space="preserve"> for instrument summary statistics, and </w:t>
      </w:r>
      <w:r w:rsidR="00BD657E">
        <w:t>Supplementary Table 1 for list of instruments).  Again</w:t>
      </w:r>
      <w:r w:rsidR="0080021B">
        <w:t>,</w:t>
      </w:r>
      <w:r w:rsidR="00BD657E">
        <w:t xml:space="preserve"> there was limited evidence of directional horizontal pleiotropy (Egger’s intercept p &gt;</w:t>
      </w:r>
      <w:r w:rsidR="00BD657E" w:rsidRPr="00BD657E">
        <w:t xml:space="preserve"> 0.74</w:t>
      </w:r>
      <w:r w:rsidR="00BD657E">
        <w:t xml:space="preserve"> for each analysis where there was multiple SNPs).  Confirming our result with MGI-BioVU LabWAS we found a similar positive beta coefficients for the effects of </w:t>
      </w:r>
      <w:r w:rsidR="00BD657E" w:rsidRPr="00BD657E">
        <w:rPr>
          <w:i/>
          <w:iCs/>
        </w:rPr>
        <w:t>HM</w:t>
      </w:r>
      <w:r w:rsidR="00DF789E">
        <w:rPr>
          <w:i/>
          <w:iCs/>
        </w:rPr>
        <w:t>G</w:t>
      </w:r>
      <w:r w:rsidR="00BD657E" w:rsidRPr="00BD657E">
        <w:rPr>
          <w:i/>
          <w:iCs/>
        </w:rPr>
        <w:t>CR</w:t>
      </w:r>
      <w:r w:rsidR="00BD657E">
        <w:t xml:space="preserve"> variants on serum calcium (</w:t>
      </w:r>
      <w:r w:rsidR="00BD657E" w:rsidRPr="00BD657E">
        <w:t>0.1823</w:t>
      </w:r>
      <w:r w:rsidR="00BD657E">
        <w:t xml:space="preserve"> [</w:t>
      </w:r>
      <w:r w:rsidR="00BD657E" w:rsidRPr="00BD657E">
        <w:t>0.1482–0.2164</w:t>
      </w:r>
      <w:r w:rsidR="00BD657E">
        <w:t xml:space="preserve">] for </w:t>
      </w:r>
      <w:r w:rsidR="007E7B9D">
        <w:t xml:space="preserve">the </w:t>
      </w:r>
      <w:r w:rsidR="00BD657E">
        <w:t xml:space="preserve">total cholesterol </w:t>
      </w:r>
      <w:r w:rsidR="007E7B9D">
        <w:t xml:space="preserve">exposure SNPs </w:t>
      </w:r>
      <w:r w:rsidR="00BD657E">
        <w:t xml:space="preserve">and for </w:t>
      </w:r>
      <w:r w:rsidR="00BD657E" w:rsidRPr="00BD657E">
        <w:t>0.1807</w:t>
      </w:r>
      <w:r w:rsidR="00BD657E">
        <w:t xml:space="preserve"> [</w:t>
      </w:r>
      <w:r w:rsidR="00BD657E" w:rsidRPr="00BD657E">
        <w:t>0.1286–0.2327</w:t>
      </w:r>
      <w:r w:rsidR="00BD657E">
        <w:t xml:space="preserve">] for </w:t>
      </w:r>
      <w:r w:rsidR="007E7B9D">
        <w:t xml:space="preserve">the </w:t>
      </w:r>
      <w:r w:rsidR="00BD657E">
        <w:t>LDL-C</w:t>
      </w:r>
      <w:r w:rsidR="007E7B9D">
        <w:t xml:space="preserve"> exposure SNPs</w:t>
      </w:r>
      <w:r w:rsidR="00BD657E">
        <w:t xml:space="preserve">, both p&lt;0.001 see Table 3).  For </w:t>
      </w:r>
      <w:r w:rsidR="00BD657E" w:rsidRPr="00BD657E">
        <w:rPr>
          <w:i/>
          <w:iCs/>
        </w:rPr>
        <w:t>PCSK9</w:t>
      </w:r>
      <w:r w:rsidR="00BD657E">
        <w:t xml:space="preserve"> and </w:t>
      </w:r>
      <w:r w:rsidR="00BD657E" w:rsidRPr="00BD657E">
        <w:rPr>
          <w:i/>
          <w:iCs/>
        </w:rPr>
        <w:t>NPC1L1</w:t>
      </w:r>
      <w:r w:rsidR="00BD657E">
        <w:t xml:space="preserve"> we found no evidence for a significant association between cholesterol-associated variants near these genes on </w:t>
      </w:r>
      <w:r w:rsidR="007E7B9D">
        <w:t>serum calcium</w:t>
      </w:r>
      <w:r w:rsidR="00BD657E">
        <w:t xml:space="preserve"> (p &gt; 0.6 for all tests).  </w:t>
      </w:r>
      <w:r w:rsidR="004B746B" w:rsidRPr="004B746B">
        <w:rPr>
          <w:rStyle w:val="Emphasis"/>
          <w:i w:val="0"/>
          <w:iCs w:val="0"/>
        </w:rPr>
        <w:t xml:space="preserve">The </w:t>
      </w:r>
      <w:r w:rsidR="004B746B" w:rsidRPr="004B746B">
        <w:rPr>
          <w:rStyle w:val="Emphasis"/>
        </w:rPr>
        <w:t>PCSK9</w:t>
      </w:r>
      <w:r w:rsidR="004B746B" w:rsidRPr="004B746B">
        <w:rPr>
          <w:rStyle w:val="Emphasis"/>
          <w:i w:val="0"/>
          <w:iCs w:val="0"/>
        </w:rPr>
        <w:t xml:space="preserve"> 95% confidence interval (-0.04 to 0.05) excludes effects larger than </w:t>
      </w:r>
      <w:r w:rsidR="003670A9">
        <w:rPr>
          <w:rStyle w:val="Emphasis"/>
          <w:i w:val="0"/>
          <w:iCs w:val="0"/>
        </w:rPr>
        <w:t>about</w:t>
      </w:r>
      <w:r w:rsidR="004B746B" w:rsidRPr="004B746B">
        <w:rPr>
          <w:rStyle w:val="Emphasis"/>
          <w:i w:val="0"/>
          <w:iCs w:val="0"/>
        </w:rPr>
        <w:t xml:space="preserve"> one-quarter of the </w:t>
      </w:r>
      <w:r w:rsidR="004B746B" w:rsidRPr="004B746B">
        <w:rPr>
          <w:rStyle w:val="Emphasis"/>
        </w:rPr>
        <w:t>HMGCR</w:t>
      </w:r>
      <w:r w:rsidR="004B746B" w:rsidRPr="004B746B">
        <w:rPr>
          <w:rStyle w:val="Emphasis"/>
          <w:i w:val="0"/>
          <w:iCs w:val="0"/>
        </w:rPr>
        <w:t xml:space="preserve"> estimate, providing positive evidence that genetically proxied </w:t>
      </w:r>
      <w:r w:rsidR="004B746B" w:rsidRPr="004B746B">
        <w:rPr>
          <w:rStyle w:val="Emphasis"/>
        </w:rPr>
        <w:t>PCSK9</w:t>
      </w:r>
      <w:r w:rsidR="004B746B" w:rsidRPr="004B746B">
        <w:rPr>
          <w:rStyle w:val="Emphasis"/>
          <w:i w:val="0"/>
          <w:iCs w:val="0"/>
        </w:rPr>
        <w:t xml:space="preserve"> inhibition does not affect serum calcium and contrasting </w:t>
      </w:r>
      <w:r w:rsidR="004B746B">
        <w:rPr>
          <w:rStyle w:val="Emphasis"/>
          <w:i w:val="0"/>
          <w:iCs w:val="0"/>
        </w:rPr>
        <w:t xml:space="preserve">it </w:t>
      </w:r>
      <w:r w:rsidR="004B746B" w:rsidRPr="004B746B">
        <w:rPr>
          <w:rStyle w:val="Emphasis"/>
          <w:i w:val="0"/>
          <w:iCs w:val="0"/>
        </w:rPr>
        <w:t xml:space="preserve">with the </w:t>
      </w:r>
      <w:r w:rsidR="004B746B" w:rsidRPr="004B746B">
        <w:rPr>
          <w:rStyle w:val="Emphasis"/>
        </w:rPr>
        <w:t>HMGCR</w:t>
      </w:r>
      <w:r w:rsidR="004B746B" w:rsidRPr="004B746B">
        <w:rPr>
          <w:rStyle w:val="Emphasis"/>
          <w:i w:val="0"/>
          <w:iCs w:val="0"/>
        </w:rPr>
        <w:t xml:space="preserve"> result. The </w:t>
      </w:r>
      <w:r w:rsidR="004B746B" w:rsidRPr="004B746B">
        <w:rPr>
          <w:rStyle w:val="Emphasis"/>
        </w:rPr>
        <w:t>NPC1L1</w:t>
      </w:r>
      <w:r w:rsidR="004B746B" w:rsidRPr="004B746B">
        <w:rPr>
          <w:rStyle w:val="Emphasis"/>
          <w:i w:val="0"/>
          <w:iCs w:val="0"/>
        </w:rPr>
        <w:t xml:space="preserve"> estimates were imprecise (single instrument; 95% CI width &gt;0.3) and </w:t>
      </w:r>
      <w:r w:rsidR="003670A9">
        <w:rPr>
          <w:rStyle w:val="Emphasis"/>
          <w:i w:val="0"/>
          <w:iCs w:val="0"/>
        </w:rPr>
        <w:t xml:space="preserve">therefore </w:t>
      </w:r>
      <w:r w:rsidR="004B746B">
        <w:rPr>
          <w:rStyle w:val="Emphasis"/>
          <w:i w:val="0"/>
          <w:iCs w:val="0"/>
        </w:rPr>
        <w:t xml:space="preserve">are </w:t>
      </w:r>
      <w:r w:rsidR="003670A9">
        <w:rPr>
          <w:rStyle w:val="Emphasis"/>
          <w:i w:val="0"/>
          <w:iCs w:val="0"/>
        </w:rPr>
        <w:t>unable</w:t>
      </w:r>
      <w:r w:rsidR="004B746B">
        <w:rPr>
          <w:rStyle w:val="Emphasis"/>
          <w:i w:val="0"/>
          <w:iCs w:val="0"/>
        </w:rPr>
        <w:t xml:space="preserve"> to </w:t>
      </w:r>
      <w:r w:rsidR="004B746B" w:rsidRPr="004B746B">
        <w:rPr>
          <w:rStyle w:val="Emphasis"/>
          <w:i w:val="0"/>
          <w:iCs w:val="0"/>
        </w:rPr>
        <w:t xml:space="preserve">distinguish a true null from an </w:t>
      </w:r>
      <w:r w:rsidR="004B746B" w:rsidRPr="004B746B">
        <w:rPr>
          <w:rStyle w:val="Emphasis"/>
        </w:rPr>
        <w:t>HMGCR</w:t>
      </w:r>
      <w:r w:rsidR="004B746B" w:rsidRPr="004B746B">
        <w:rPr>
          <w:rStyle w:val="Emphasis"/>
          <w:i w:val="0"/>
          <w:iCs w:val="0"/>
        </w:rPr>
        <w:t>-magnitude effect</w:t>
      </w:r>
      <w:r w:rsidR="004B746B">
        <w:rPr>
          <w:rStyle w:val="Emphasis"/>
          <w:i w:val="0"/>
          <w:iCs w:val="0"/>
        </w:rPr>
        <w:t xml:space="preserve">.  </w:t>
      </w:r>
    </w:p>
    <w:p w14:paraId="53F2963F" w14:textId="67023B6A" w:rsidR="00F62283" w:rsidRDefault="00900C7F" w:rsidP="000F3E8F">
      <w:pPr>
        <w:pStyle w:val="Heading2"/>
      </w:pPr>
      <w:r>
        <w:t>Cholesterol</w:t>
      </w:r>
      <w:r w:rsidR="00755E41">
        <w:t xml:space="preserve">-associated variants </w:t>
      </w:r>
      <w:r>
        <w:t>reduce</w:t>
      </w:r>
      <w:r w:rsidR="00755E41">
        <w:t xml:space="preserve"> bone mineral density</w:t>
      </w:r>
    </w:p>
    <w:p w14:paraId="6EBC3618" w14:textId="77777777" w:rsidR="008E5CAD" w:rsidRDefault="008E5CAD" w:rsidP="008E5CAD">
      <w:pPr>
        <w:pStyle w:val="font-claude-response-body"/>
      </w:pPr>
      <w:r>
        <w:t>Got it. Here's the paragraph, written to parallel the structure and length of your cholesterol-calcium paragraph:</w:t>
      </w:r>
    </w:p>
    <w:p w14:paraId="45742709" w14:textId="77777777" w:rsidR="008E5CAD" w:rsidRDefault="008E5CAD" w:rsidP="008E5CAD">
      <w:pPr>
        <w:pStyle w:val="font-claude-response-body"/>
      </w:pPr>
      <w:r>
        <w:rPr>
          <w:rStyle w:val="Strong"/>
        </w:rPr>
        <w:lastRenderedPageBreak/>
        <w:t>Evidence that cholesterol decreases bone mineral density</w:t>
      </w:r>
    </w:p>
    <w:p w14:paraId="140A68E7" w14:textId="2723DA02" w:rsidR="008E5CAD" w:rsidRDefault="008E5CAD" w:rsidP="008E5CAD">
      <w:r>
        <w:t xml:space="preserve">Given the directional association of LDL- and total cholesterol on calcium we then evaluated two potential mechanisms that could drive this effect. The first hypothesis </w:t>
      </w:r>
      <w:r>
        <w:t xml:space="preserve">(H1) </w:t>
      </w:r>
      <w:r>
        <w:t xml:space="preserve">was that cholesterol causes increases in vitamin D (as measured by genetic proxies of 25-hydroxyvitamin D available in MGI-BioVU LabWAS). The increase in vitamin D would be predicted to increase serum calcium. Alternatively, the second hypothesis </w:t>
      </w:r>
      <w:r>
        <w:t xml:space="preserve">(H2) </w:t>
      </w:r>
      <w:r>
        <w:t xml:space="preserve">is that calcium is released by bone demineralization or lack of calcium incorporation, as proxied by reduced bone mineral density. To distinguish between these </w:t>
      </w:r>
      <w:r>
        <w:t>hypotheses</w:t>
      </w:r>
      <w:r>
        <w:t xml:space="preserve"> we performed separate MR analyses evaluating the effects of total cholesterol on each of these phenotypes.</w:t>
      </w:r>
    </w:p>
    <w:p w14:paraId="6E671738" w14:textId="77777777" w:rsidR="008E5CAD" w:rsidRDefault="008E5CAD" w:rsidP="008E5CAD">
      <w:r>
        <w:t>The vitamin D analysis was directionally inconsistent with H1. The IVW-RE estimate was negative rather than positive (β = −0.063 ± 0.033 SD vitamin D per SD cholesterol; p = 0.054), opposite the direction required for vitamin D to mediate the cholesterol–calcium effect. Robust methods attenuated this estimate further toward zero (weighted median β = −0.005, p = 0.92; weighted mode β = −0.012, p = 0.82), suggesting the modestly negative IVW estimate may itself reflect residual pleiotropy rather than a true effect. The Egger intercept was small and non-significant (0.0003 ± 0.0017; p = 0.87), and leave-one-out analyses confirmed no influential SNPs (Supplementary Figures 4C, 4G, 4K). MR-PRESSO confirmed significant global heterogeneity (p &lt; 0.001) but no individual SNPs met the outlier threshold even at NbDistribution = 50,000, indicating diffuse rather than concentrated pleiotropy and preventing computation of an outlier-corrected estimate.</w:t>
      </w:r>
    </w:p>
    <w:p w14:paraId="03F2AD1E" w14:textId="10C61044" w:rsidR="008E5CAD" w:rsidRDefault="008E5CAD" w:rsidP="008E5CAD">
      <w:r>
        <w:t>In contrast, the heel BMD analysis (</w:t>
      </w:r>
      <w:commentRangeStart w:id="0"/>
      <w:r>
        <w:t xml:space="preserve">Morris 2019, </w:t>
      </w:r>
      <w:commentRangeEnd w:id="0"/>
      <w:r>
        <w:rPr>
          <w:rStyle w:val="CommentReference"/>
          <w:sz w:val="24"/>
          <w:szCs w:val="24"/>
        </w:rPr>
        <w:commentReference w:id="0"/>
      </w:r>
      <w:r>
        <w:t>n = 426,824) provided strong evidence supporting H2. The IVW-RE estimate was negative and highly significant (β = −0.0509 ± 0.0134 SD heel BMD per SD cholesterol; p = 1.4 × 10</w:t>
      </w:r>
      <w:r>
        <w:rPr>
          <w:rFonts w:ascii="Cambria Math" w:hAnsi="Cambria Math" w:cs="Cambria Math"/>
        </w:rPr>
        <w:t>⁻</w:t>
      </w:r>
      <w:r>
        <w:t>⁴), with all six MR methods yielding negative point estimates in the same direction (Figure 3A, Table 3). The Egger intercept was small and non-significant (p = 0.38), arguing against directional horizontal pleiotropy. Leave-one-out analyses confirmed the IVW estimate was robust to individual SNP removal (Supplementary Figures 4D, 4H, 4L). To address the high between-SNP heterogeneity expected for a complex polygenic exposure (Cochran's Q I² = 89.5%), we additionally applied MR-PRESSO to enable high-precision outlier detection; after removing the 52 SNPs flagged as pleiotropic outliers, the corrected estimate was essentially unchanged from the IVW-RE result (β = −0.0485 ± 0.0089; p = 1.28 × 10</w:t>
      </w:r>
      <w:r>
        <w:rPr>
          <w:rFonts w:ascii="Cambria Math" w:hAnsi="Cambria Math" w:cs="Cambria Math"/>
        </w:rPr>
        <w:t>⁻</w:t>
      </w:r>
      <w:r>
        <w:t>⁷), with the standard error decreasing because the heterogeneity contributing to inflated variance was removed. A secondary, lower-powered analysis using DXA-derived femoral neck BMD (</w:t>
      </w:r>
      <w:commentRangeStart w:id="1"/>
      <w:r>
        <w:t>Zheng 2015</w:t>
      </w:r>
      <w:commentRangeEnd w:id="1"/>
      <w:r>
        <w:rPr>
          <w:rStyle w:val="CommentReference"/>
          <w:sz w:val="24"/>
          <w:szCs w:val="24"/>
        </w:rPr>
        <w:commentReference w:id="1"/>
      </w:r>
      <w:r>
        <w:t>, n = 32,735) was null (β = −0.006, p = 0.75; Table 3, Supplementary Figure 4), but the small sample size limits its informativeness relative to Morris 2019.</w:t>
      </w:r>
    </w:p>
    <w:p w14:paraId="0FE80F6C" w14:textId="77777777" w:rsidR="008E5CAD" w:rsidRDefault="008E5CAD" w:rsidP="008E5CAD">
      <w:r>
        <w:lastRenderedPageBreak/>
        <w:t>Bayesian model comparison incorporating both MR estimates strongly supported H2 over H1 (Figure 3B): the joint posterior probability that cholesterol reduces BMD without affecting vitamin D was 97.3%, compared with 2.7% for both effects being present and effectively 0% for vitamin D mediation alone. Together, these analyses indicate that elevated cholesterol causes increases in serum calcium primarily through reduced bone mineral density rather than through increased vitamin D synthesis.</w:t>
      </w:r>
    </w:p>
    <w:p w14:paraId="2FF17C88" w14:textId="430C08AB" w:rsidR="00F62283" w:rsidRDefault="00F62283" w:rsidP="000F3E8F">
      <w:pPr>
        <w:pStyle w:val="Heading1"/>
      </w:pPr>
      <w:r>
        <w:t>Discussion</w:t>
      </w:r>
    </w:p>
    <w:p w14:paraId="5C092266" w14:textId="6DEA36D3" w:rsidR="00D004E7" w:rsidRDefault="00D004E7" w:rsidP="00806E4C">
      <w:r>
        <w:t>MR</w:t>
      </w:r>
      <w:r w:rsidR="00FD2498">
        <w:t xml:space="preserve"> is an epidemiological inferential that relies upon random segregation of SNPs to identify causal associations between traits, while limiting bias from unobserved confounding of that relationship </w:t>
      </w:r>
      <w:r w:rsidR="00FD2498">
        <w:fldChar w:fldCharType="begin"/>
      </w:r>
      <w:r w:rsidR="00763397">
        <w:instrText xml:space="preserve"> ADDIN ZOTERO_ITEM CSL_CITATION {"citationID":"60soaiRK","properties":{"formattedCitation":"[15]","plainCitation":"[15]","noteIndex":0},"citationItems":[{"id":27119,"uris":["http://zotero.org/users/7317906/items/WKT9NGK9"],"itemData":{"id":27119,"type":"article-journal","abstract":"Mendelian randomization (MR) is a term that applies to the use of genetic variation to address causal questions about how modifiable exposures influence different outcomes. The principles of MR are based on Mendel’s laws of inheritance and instrumental variable estimation methods, which enable the inference of causal effects in the presence of unobserved confounding. In this Primer, we outline the principles of MR, the instrumental variable conditions underlying MR estimation and some of the methods used for estimation. We go on to discuss how the assumptions underlying an MR study can be assessed and describe methods of estimation that are robust to certain violations of these assumptions. We give examples of a range of studies in which MR has been applied, the limitations of current methods of analysis and the outlook for MR in the future. The differences between the assumptions required for MR analysis and other forms of epidemiological studies means that MR can be used as part of a triangulation across multiple sources of evidence for causal inference.","citation-key":"sandersonMendelianRandomization2022","container-title":"Nature Reviews Methods Primers","DOI":"10.1038/s43586-021-00092-5","ISSN":"2662-8449","issue":"1","journalAbbreviation":"Nat Rev Methods Primers","language":"en","license":"2022 Springer Nature Limited","page":"6","publisher":"Nature Publishing Group","source":"www.nature.com","title":"Mendelian randomization","URL":"https://www.nature.com/articles/s43586-021-00092-5","volume":"2","author":[{"family":"Sanderson","given":"Eleanor"},{"family":"Glymour","given":"M. Maria"},{"family":"Holmes","given":"Michael V."},{"family":"Kang","given":"Hyunseung"},{"family":"Morrison","given":"Jean"},{"family":"Munafò","given":"Marcus R."},{"family":"Palmer","given":"Tom"},{"family":"Schooling","given":"C. Mary"},{"family":"Wallace","given":"Chris"},{"family":"Zhao","given":"Qingyuan"},{"family":"Davey Smith","given":"George"}],"accessed":{"date-parts":[["2025",10,20]]},"issued":{"date-parts":[["2022",2,10]]}}}],"schema":"https://github.com/citation-style-language/schema/raw/master/csl-citation.json"} </w:instrText>
      </w:r>
      <w:r w:rsidR="00FD2498">
        <w:fldChar w:fldCharType="separate"/>
      </w:r>
      <w:r w:rsidR="00763397">
        <w:rPr>
          <w:noProof/>
        </w:rPr>
        <w:t>[15]</w:t>
      </w:r>
      <w:r w:rsidR="00FD2498">
        <w:fldChar w:fldCharType="end"/>
      </w:r>
      <w:r w:rsidR="00FD2498">
        <w:t>.  The key assumptions of MR include the relevance assumption, independence assumption and exclusion restriction assumptions.</w:t>
      </w:r>
    </w:p>
    <w:p w14:paraId="77283BA0" w14:textId="77777777" w:rsidR="00962054" w:rsidRDefault="00962054" w:rsidP="00962054">
      <w:r>
        <w:t>We have strong evidence for the relevance assumption, or that SNPs are strongly associated with our exposure based both on the strong F-statistics (for each analysis substantially &gt;10; see Table 1) and with our positive control which demonstrates significant positive associations between SNPs in UK Biobank vs MGI-BioVU LabWAS.</w:t>
      </w:r>
    </w:p>
    <w:p w14:paraId="0EAF53A3" w14:textId="77777777" w:rsidR="00962054" w:rsidRDefault="00962054" w:rsidP="00806E4C"/>
    <w:p w14:paraId="19A51CF7" w14:textId="77777777" w:rsidR="00D44BFC" w:rsidRDefault="00D44BFC" w:rsidP="00D44BFC">
      <w:commentRangeStart w:id="2"/>
      <w:commentRangeStart w:id="3"/>
      <w:r>
        <w:t>Independence assumption</w:t>
      </w:r>
      <w:commentRangeEnd w:id="2"/>
      <w:r w:rsidR="00962054">
        <w:rPr>
          <w:rStyle w:val="CommentReference"/>
          <w:sz w:val="24"/>
          <w:szCs w:val="24"/>
        </w:rPr>
        <w:commentReference w:id="2"/>
      </w:r>
      <w:commentRangeEnd w:id="3"/>
      <w:r w:rsidR="00800586">
        <w:rPr>
          <w:rStyle w:val="CommentReference"/>
          <w:sz w:val="24"/>
          <w:szCs w:val="24"/>
        </w:rPr>
        <w:commentReference w:id="3"/>
      </w:r>
    </w:p>
    <w:p w14:paraId="32A5B1DC" w14:textId="38CE110B" w:rsidR="00D44BFC" w:rsidRDefault="00D44BFC" w:rsidP="00806E4C">
      <w:r>
        <w:t>There is little evidence for violation of the exclusion restriction criteria in our analysis given the lack of significant directional uncorrelated horizontal pleiotropy detected in our sensitivity analyses (Eggers intercepts were small and p&gt;0.25 for all analyses).  Furthermore, we found similarity between IVW</w:t>
      </w:r>
      <w:r w:rsidR="00962054">
        <w:t>, MR-CAUSE</w:t>
      </w:r>
      <w:r>
        <w:t xml:space="preserve"> and MR-PRESSO estimates and other methods that are less sensitive to pleiotropy (weighted median, weighted mode and MR-RAPS).  Finally, funnel and scatter plots do not show clear visual evidence of uncorrelated pleiotropy.</w:t>
      </w:r>
    </w:p>
    <w:p w14:paraId="05621932" w14:textId="774F3118" w:rsidR="00D004E7" w:rsidRDefault="00FA4FD0" w:rsidP="00806E4C">
      <w:r>
        <w:t xml:space="preserve">Our data </w:t>
      </w:r>
      <w:r w:rsidR="00CA418E">
        <w:t xml:space="preserve">therefore </w:t>
      </w:r>
      <w:r>
        <w:t xml:space="preserve">support a causal effect of total cholesterol and LDL-C on serum calcium but not the reverse.  </w:t>
      </w:r>
      <w:r w:rsidR="00365EAE">
        <w:t xml:space="preserve">Beyond establishing causality at the biomarker level, </w:t>
      </w:r>
      <w:r w:rsidR="001A2FB9">
        <w:t>our</w:t>
      </w:r>
      <w:r w:rsidR="00365EAE">
        <w:t xml:space="preserve"> drug-target MR approach </w:t>
      </w:r>
      <w:r>
        <w:t xml:space="preserve">also </w:t>
      </w:r>
      <w:r w:rsidR="00365EAE">
        <w:t xml:space="preserve">provides mechanism-specific causal inference by restricting instruments to genetic variants in the gene encoding a drug's molecular target. </w:t>
      </w:r>
      <w:r w:rsidR="00F00219">
        <w:t>In this approach</w:t>
      </w:r>
      <w:r w:rsidR="00365EAE">
        <w:t xml:space="preserve"> horizontal pleiotropy is structurally controlled rather than statistically. </w:t>
      </w:r>
      <w:r w:rsidR="00F00219">
        <w:t>T</w:t>
      </w:r>
      <w:r w:rsidR="00365EAE">
        <w:t xml:space="preserve">his approach allowed us to evaluate two competing mechanistic hypotheses that conventional MR could not distinguish. The genome-wide MR establishes that genetically determined cholesterol levels causally elevate serum calcium levels. The drug-target MR localizes this effect specifically to </w:t>
      </w:r>
      <w:r w:rsidR="00365EAE" w:rsidRPr="00365EAE">
        <w:rPr>
          <w:i/>
          <w:iCs/>
        </w:rPr>
        <w:t>HMGCR</w:t>
      </w:r>
      <w:r w:rsidR="00365EAE">
        <w:t xml:space="preserve"> (the statin target), with a precisely estimated null effect at </w:t>
      </w:r>
      <w:r w:rsidR="00365EAE" w:rsidRPr="00365EAE">
        <w:rPr>
          <w:i/>
          <w:iCs/>
        </w:rPr>
        <w:t>PCSK9</w:t>
      </w:r>
      <w:r w:rsidR="00F00219">
        <w:rPr>
          <w:i/>
          <w:iCs/>
        </w:rPr>
        <w:t>.</w:t>
      </w:r>
      <w:r w:rsidR="00365EAE">
        <w:t xml:space="preserve"> Because PCSK9 inhibition lowers LDL-C through a mechanism that </w:t>
      </w:r>
      <w:r w:rsidR="00365EAE">
        <w:lastRenderedPageBreak/>
        <w:t xml:space="preserve">does not directly involve the mevalonate pathway, the absence of an effect at this locus implies that the calcium signal at HMGCR </w:t>
      </w:r>
      <w:r w:rsidR="00F00219">
        <w:t>could be due to</w:t>
      </w:r>
      <w:r w:rsidR="00365EAE">
        <w:t xml:space="preserve"> mevalonate-pathway intermediates such as the isoprenoids required for protein prenylation, rather than cholesterol or LDL-C reductions. This refines the proposed mechanism and motivates the use of statins </w:t>
      </w:r>
      <w:r w:rsidR="00F00219">
        <w:t>(</w:t>
      </w:r>
      <w:r w:rsidR="00365EAE">
        <w:t>but not PCSK9 inhibitors</w:t>
      </w:r>
      <w:r w:rsidR="00F00219">
        <w:t xml:space="preserve">) </w:t>
      </w:r>
      <w:r w:rsidR="00365EAE">
        <w:t>to reduce bone-decalcification</w:t>
      </w:r>
      <w:r w:rsidR="00FA24A6">
        <w:t xml:space="preserve">.  This hypothessis is supported by several studies showing that statin treatment reduces both fracture risk and increases BMD, consistent with reduced bone-demineralization induced calcium release </w:t>
      </w:r>
      <w:r w:rsidR="00FA24A6">
        <w:fldChar w:fldCharType="begin"/>
      </w:r>
      <w:r w:rsidR="00763397">
        <w:instrText xml:space="preserve"> ADDIN ZOTERO_ITEM CSL_CITATION {"citationID":"mdTcmh0L","properties":{"formattedCitation":"[16\\uc0\\u8211{}18]","plainCitation":"[16–18]","noteIndex":0},"citationItems":[{"id":27342,"uris":["http://zotero.org/users/7317906/items/7TZD8CS8"],"itemData":{"id":27342,"type":"article-journal","abstract":"The lipophilic statin as moderate to high dose of simvastatin had beneficial positive effect to increasing BMD and could be additive use for prevention of bone loss in hyperlipidemia patients.","citation-key":"chuengsamarnEffectsStatinsVs2010","container-title":"Bone","issue":"4","language":"en","page":"1011-5","source":"pubmed.ncbi.nlm.nih.gov","title":"Effects of statins vs. non-statin lipid-lowering therapy on bone formation and bone mineral density biomarkers in patients with hyperlipidemia","URL":"https://pubmed.ncbi.nlm.nih.gov/20045497/","volume":"46","author":[{"family":"Chuengsamarn","given":"S"},{"family":"Rattanamongkoulgul","given":"S"},{"family":"Suwanwalaikorn","given":"S"},{"family":"Wattanasirichaigoon","given":"S"},{"family":"Kaufman","given":"L"}],"accessed":{"date-parts":[["2025",11,25]]},"issued":{"date-parts":[["2010"]]}}},{"id":27344,"uris":["http://zotero.org/users/7317906/items/YERIHVQF"],"itemData":{"id":27344,"type":"article-journal","abstract":"Statins can help maintain or increase bone mass of hypercholesterolemic menopausal women through promoting bone synthesis.","citation-key":"zhaoEffectsStatinsBone2013","container-title":"Zhonghua Yi Xue Za Zhi.","issue":"29","language":"en","page":"2309-11","source":"pubmed.ncbi.nlm.nih.gov","title":"[Effects of statins upon bone mineral density in postmenopausal women with hypercholesterolemia]","URL":"https://pubmed.ncbi.nlm.nih.gov/24300152/","volume":"93","author":[{"family":"Zhao","given":"C"},{"family":"Bi","given":"Q"},{"family":"Hu","given":"J.T."},{"family":"Xia","given":"B."},{"family":"Ying","given":"Q.F."},{"family":"Zhu","given":"D.J."},{"family":"Zhang","given":"S.J."},{"family":"Gu","given":"H.F."},{"family":"Hong","given":"J"},{"family":"Qui","given":"B"},{"family":"Yu","given":"Chen"}],"accessed":{"date-parts":[["2025",11,25]]},"issued":{"date-parts":[["2013"]]}}},{"id":27336,"uris":["http://zotero.org/users/7317906/items/HD5W5LBP"],"itemData":{"id":27336,"type":"article-journal","abstract":"Supplemental Digital Content is available in the text, Although observational studies have identified the protective effect of statins on bone health, the effects remain controversial in randomized controlled trials (RCTs). We conducted a meta-analysis of RCTs to evaluate the effects of statins on bone mineral density (BMD) and fracture risk among adults., We searched electronic databases of Medline, Embase, and the Cochrane Central Register of Controlled Trials (CENTRAL) and conducted a bibliography review to identify articles published until May, 2015., Studies included in this meta-analysis should be randomized controlled trials conducted in adults, using statins in the intervention group. Information on changes in BMD or odds ratio, relative risk or hazard ratio (HR) for fracture risk with the corresponding 95% confidence interval (CI) was provided., Two investigators independently reviewed the title or abstract, further reviewed the full-texts and extracted information on study characteristics and study outcomes. Net change estimates of BMD and pooled HR of fracture risk comparing the intervention group with the control group were estimated across trials using random-effects models., Of the relevant 334 citations, 7 trials (including 27,900 randomized participants in total) meeting the eligibility criteria were included. Of the 7 trials, 5 were conducted to assess the association of statins use with BMD change and 2 with fracture risk. Compared with the control group, statins use was associated with significant increase in BMD of 0.03</w:instrText>
      </w:r>
      <w:r w:rsidR="00763397">
        <w:rPr>
          <w:rFonts w:ascii="Arial" w:hAnsi="Arial" w:cs="Arial"/>
        </w:rPr>
        <w:instrText> </w:instrText>
      </w:r>
      <w:r w:rsidR="00763397">
        <w:instrText>g/cm2 (95% CI: 0.006, 0.053; I2</w:instrText>
      </w:r>
      <w:r w:rsidR="00763397">
        <w:rPr>
          <w:rFonts w:ascii="Arial" w:hAnsi="Arial" w:cs="Arial"/>
        </w:rPr>
        <w:instrText> </w:instrText>
      </w:r>
      <w:r w:rsidR="00763397">
        <w:instrText>=</w:instrText>
      </w:r>
      <w:r w:rsidR="00763397">
        <w:rPr>
          <w:rFonts w:ascii="Arial" w:hAnsi="Arial" w:cs="Arial"/>
        </w:rPr>
        <w:instrText> </w:instrText>
      </w:r>
      <w:r w:rsidR="00763397">
        <w:instrText>99.2%; P</w:instrText>
      </w:r>
      <w:r w:rsidR="00763397">
        <w:rPr>
          <w:rFonts w:ascii="Arial" w:hAnsi="Arial" w:cs="Arial"/>
        </w:rPr>
        <w:instrText> </w:instrText>
      </w:r>
      <w:r w:rsidR="00763397">
        <w:instrText>&lt;</w:instrText>
      </w:r>
      <w:r w:rsidR="00763397">
        <w:rPr>
          <w:rFonts w:ascii="Arial" w:hAnsi="Arial" w:cs="Arial"/>
        </w:rPr>
        <w:instrText> </w:instrText>
      </w:r>
      <w:r w:rsidR="00763397">
        <w:instrText>0.001), but null association with fracture risk, with the pooled HR of 1.00 (95% CI: 0.87, 1.15; I2</w:instrText>
      </w:r>
      <w:r w:rsidR="00763397">
        <w:rPr>
          <w:rFonts w:ascii="Arial" w:hAnsi="Arial" w:cs="Arial"/>
        </w:rPr>
        <w:instrText> </w:instrText>
      </w:r>
      <w:r w:rsidR="00763397">
        <w:instrText>=</w:instrText>
      </w:r>
      <w:r w:rsidR="00763397">
        <w:rPr>
          <w:rFonts w:ascii="Arial" w:hAnsi="Arial" w:cs="Arial"/>
        </w:rPr>
        <w:instrText> </w:instrText>
      </w:r>
      <w:r w:rsidR="00763397">
        <w:instrText>0; P</w:instrText>
      </w:r>
      <w:r w:rsidR="00763397">
        <w:rPr>
          <w:rFonts w:ascii="Arial" w:hAnsi="Arial" w:cs="Arial"/>
        </w:rPr>
        <w:instrText> </w:instrText>
      </w:r>
      <w:r w:rsidR="00763397">
        <w:instrText>=</w:instrText>
      </w:r>
      <w:r w:rsidR="00763397">
        <w:rPr>
          <w:rFonts w:ascii="Arial" w:hAnsi="Arial" w:cs="Arial"/>
        </w:rPr>
        <w:instrText> </w:instrText>
      </w:r>
      <w:r w:rsidR="00763397">
        <w:instrText xml:space="preserve">0.396). Sensitivity analyses revealed that the associations were consistent and robust., The effect of statins use on bone health among subpopulation could not be identified due to limited number of trials., These findings provide evidence that statins could be used to increase BMD other than decreasing fracture risk in participant with dyslipidemia. In addition, further trials with the primary outcome of bone health-related measurements in subpopulation are warranted to ensure the effect of statins use.","citation-key":"wangEffectsStatinsBone2016","container-title":"Medicine","DOI":"10.1097/MD.0000000000003042","ISSN":"0025-7974","issue":"22","journalAbbreviation":"Medicine (Baltimore)","page":"e3042","PMID":"27258488","PMCID":"PMC4900696","source":"PubMed Central","title":"Effects of Statins on Bone Mineral Density and Fracture Risk","URL":"https://pmc.ncbi.nlm.nih.gov/articles/PMC4900696/","volume":"95","author":[{"family":"Wang","given":"Zongze"},{"family":"Li","given":"Ying"},{"family":"Zhou","given":"Fengxin"},{"family":"Piao","given":"Zhe"},{"family":"Hao","given":"Jian"}],"accessed":{"date-parts":[["2025",11,25]]},"issued":{"date-parts":[["2016",6,3]]}}}],"schema":"https://github.com/citation-style-language/schema/raw/master/csl-citation.json"} </w:instrText>
      </w:r>
      <w:r w:rsidR="00FA24A6">
        <w:fldChar w:fldCharType="separate"/>
      </w:r>
      <w:r w:rsidR="00763397" w:rsidRPr="00763397">
        <w:rPr>
          <w:rFonts w:ascii="Aptos" w:cs="Times New Roman"/>
          <w:kern w:val="0"/>
        </w:rPr>
        <w:t>[16–18]</w:t>
      </w:r>
      <w:r w:rsidR="00FA24A6">
        <w:fldChar w:fldCharType="end"/>
      </w:r>
      <w:r w:rsidR="00FA24A6">
        <w:t>.</w:t>
      </w:r>
    </w:p>
    <w:p w14:paraId="3314BFDD" w14:textId="69DF2D0D" w:rsidR="00D004E7" w:rsidRDefault="00DB7C86" w:rsidP="00806E4C">
      <w:r>
        <w:t>Two sample</w:t>
      </w:r>
      <w:r w:rsidR="008E002E">
        <w:t xml:space="preserve"> advantages</w:t>
      </w:r>
    </w:p>
    <w:p w14:paraId="21364377" w14:textId="5DA7F12D" w:rsidR="00D004E7" w:rsidRDefault="00D004E7" w:rsidP="00806E4C">
      <w:r>
        <w:t>White EUR</w:t>
      </w:r>
    </w:p>
    <w:p w14:paraId="2272D5AB" w14:textId="3776532F" w:rsidR="00806E4C" w:rsidRDefault="00806E4C" w:rsidP="00806E4C">
      <w:r>
        <w:t xml:space="preserve">One </w:t>
      </w:r>
      <w:r w:rsidR="00B972C6">
        <w:t xml:space="preserve">modest </w:t>
      </w:r>
      <w:r>
        <w:t xml:space="preserve">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w:t>
      </w:r>
      <w:r w:rsidR="008C55CC">
        <w:t>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21494033" w14:textId="77777777" w:rsidR="009E34EA" w:rsidRDefault="009E34EA" w:rsidP="00806E4C"/>
    <w:p w14:paraId="6DAE8B3F" w14:textId="12B99D49" w:rsidR="009E34EA" w:rsidRDefault="009E34EA" w:rsidP="00806E4C">
      <w:r>
        <w:t xml:space="preserve">While this study found no evidence of a causal association between serum calcium and LDL-C or total cholesterol levels, this relationship is still likely important.  Calcium levels in blood are associated with an increased risk of both arterial calcification and coronary artery disease </w:t>
      </w:r>
      <w:r>
        <w:fldChar w:fldCharType="begin"/>
      </w:r>
      <w:r w:rsidR="00763397">
        <w:instrText xml:space="preserve"> ADDIN ZOTERO_ITEM CSL_CITATION {"citationID":"qfMVi6wV","properties":{"formattedCitation":"[19,20]","plainCitation":"[19,20]","noteIndex":0},"citationItems":[{"id":9407,"uris":["http://zotero.org/users/7317906/items/PNCI3UN4"],"itemData":{"id":9407,"type":"article-journal","abstract":"Background\nCalcium-phosphate levels, linked to vascular dysfunction in chronic kidney disease, may represent novel risk factors for coronary heart disease, stroke, and death in community-dwelling adults.\nMethods\nWe tested this hypothesis over 12.6 years of follow-up in the prospective, community-based Atherosclerosis Risk in Communities Study (n = 15,732).\nResults\nAt baseline, mean (SD) values were 9.8 (0.4) mg/dL for serum calcium, 3.4 (0.5) mg/dL for serum phosphate, 33.6 (5.3) mg2/dL2 for calcium-phosphate product, 54.2 (5.7) years for age, and 93.1 (21.5) mL/min per 1.73 m2 for glomerular filtration rate (GFR). Shared associations of calcium, phosphate, and calcium-phosphate product included older age, female sex, African American race, cigarette-years, current cigarette smoking, low body mass index, low-density lipoprotein cholesterol, high-density lipoprotein cholesterol, triglycerides, low serum albumin, low GFR, low caloric intake, and phosphorus intake. With adjustment for age, demographic characteristics, comorbid conditions, albumin, and GFR, calcium-associated hazards ratios for coronary heart disease, stroke, and death were, respectively, 1.01 (95% confidence interval 0.96-1.06), 1.16 (1.07-1.26, P = .0005), and 1.03 (0.98-1.08); phosphate-associated hazards ratios were 1.03 (0.98-1.08), 1.11 (1.02-1.21, P = .0219), and 1.14 (1.09-1.20, P &lt; .0001); calcium-phosphate product-associated hazards ratios were 1.03 (0.98-1.08), 1.15 (1.05-1.26, P = .0017), and 1.15 (1.09-1.20, P &lt; .0001).\nConclusions\nAlthough calcium, phosphate, and calcium-phosphate product levels exhibit complex associations with traditional cardiovascular risk factors and outcomes, they may be potentially modifiable risk factors for stroke and death in community-dwelling adults.","citation-key":"foleyCalciumphosphateLevelsCardiovascular2008","container-title":"American Heart Journal","DOI":"10.1016/j.ahj.2008.05.016","ISSN":"0002-8703","issue":"3","journalAbbreviation":"American Heart Journal","language":"en","page":"556-563","source":"ScienceDirect","title":"Calcium-phosphate levels and cardiovascular disease in community-dwelling adults: The Atherosclerosis Risk in Communities (ARIC) Study","title-short":"Calcium-phosphate levels and cardiovascular disease in community-dwelling adults","URL":"https://www.sciencedirect.com/science/article/pii/S0002870308003888","volume":"156","author":[{"family":"Foley","given":"Robert N."},{"family":"Collins","given":"Allan J."},{"family":"Ishani","given":"Areef"},{"family":"Kalra","given":"Philip A."}],"accessed":{"date-parts":[["2022",12,5]]},"issued":{"date-parts":[["2008",9,1]]}}},{"id":9408,"uris":["http://zotero.org/users/7317906/items/PPSCBETR"],"itemData":{"id":9408,"type":"article-journal","abstract":"—Total serum calcium levels were measured in 12 865 men and 14 293 women, between the ages of 25 and 97 years, in the Tromsø Study during 1994 and 1995. With the use of a sex-specific multiple linear regression model with age, calcium, body mass index, cholesterol, HDL cholesterol, triglycerides, systolic and diastolic blood pressure, and pulse as possible covariates, serum calcium was significantly (P&lt;0.001) and positively associated with systolic and diastolic blood pressure, serum cholesterol, and HDL cholesterol in both sexes. A similar but weaker association was observed between serum calcium and triglycerides in men (P&lt;0.01). In all age groups, serum calcium levels were higher in men with a history of myocardial infarction than in those without, and the difference was significant (P&lt;0.0001) in a linear regression analysis adjusted for age. When all the other variables were also included in a logistic regression model, serum calcium was a highly significant (P&lt;0.0001) predictor of myocardial infarction in men, with an odds ratio of 1.2 per 0.1 mmol/L increase in serum calcium. In women, a nonsignificant trend was again seen. Because the free or ionized form of calcium is the physiologically important form and serum calcium was not corrected for serum albumin in our study, the results must be interpreted with caution. However, it appears likely that serum calcium is a predictor of cardiovascular disease in men.","citation-key":"jordeSerumCalciumCardiovascular1999","container-title":"Hypertension","DOI":"10.1161/01.HYP.34.3.484","issue":"3","page":"484-490","publisher":"American Heart Association","source":"ahajournals.org (Atypon)","title":"Serum Calcium and Cardiovascular Risk Factors and Diseases","URL":"https://www.ahajournals.org/doi/10.1161/01.hyp.34.3.484","volume":"34","author":[{"family":"Jorde","given":"Rolf"},{"family":"Sundsfjord","given":"Johan"},{"family":"Fitzgerald","given":"Patrick"},{"family":"Bønaa","given":"Kaare H."}],"accessed":{"date-parts":[["2022",12,5]]},"issued":{"date-parts":[["1999",9]]}}}],"schema":"https://github.com/citation-style-language/schema/raw/master/csl-citation.json"} </w:instrText>
      </w:r>
      <w:r>
        <w:fldChar w:fldCharType="separate"/>
      </w:r>
      <w:r w:rsidR="00763397">
        <w:rPr>
          <w:noProof/>
        </w:rPr>
        <w:t>[19,20]</w:t>
      </w:r>
      <w:r>
        <w:fldChar w:fldCharType="end"/>
      </w:r>
      <w:r>
        <w:t xml:space="preserve">.  Furthermore a separate MR analysis demonstrated that a 1 SD increase in serum calcium is associated with a 25% increased risk of coronary artery disease </w:t>
      </w:r>
      <w:r>
        <w:fldChar w:fldCharType="begin"/>
      </w:r>
      <w:r w:rsidR="00191994">
        <w:instrText xml:space="preserve"> ADDIN ZOTERO_ITEM CSL_CITATION {"citationID":"pP9FZDUD","properties":{"formattedCitation":"[13]","plainCitation":"[13]","noteIndex":0},"citationItems":[{"id":27133,"uris":["http://zotero.org/users/7317906/items/M5V8ZSLF"],"itemData":{"id":27133,"type":"article-journal","abstract":"IMPORTANCE: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61</w:instrText>
      </w:r>
      <w:r w:rsidR="00191994">
        <w:rPr>
          <w:rFonts w:ascii="Arial" w:hAnsi="Arial" w:cs="Arial"/>
        </w:rPr>
        <w:instrText> </w:instrText>
      </w:r>
      <w:r w:rsidR="00191994">
        <w:instrText>079 individuals) and from the Coronary Artery Disease Genome-wide Replication and Meta-analysis Plus the Coronary Artery Disease Genetics (CardiogramplusC4D) consortium's 1000 genomes-based genome-wide association meta-analysis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184</w:instrText>
      </w:r>
      <w:r w:rsidR="00191994">
        <w:rPr>
          <w:rFonts w:ascii="Arial" w:hAnsi="Arial" w:cs="Arial"/>
        </w:rPr>
        <w:instrText> </w:instrText>
      </w:r>
      <w:r w:rsidR="00191994">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191994">
        <w:rPr>
          <w:rFonts w:ascii="Arial" w:hAnsi="Arial" w:cs="Arial"/>
        </w:rPr>
        <w:instrText> </w:instrText>
      </w:r>
      <w:r w:rsidR="00191994">
        <w:instrText>305 individuals (60</w:instrText>
      </w:r>
      <w:r w:rsidR="00191994">
        <w:rPr>
          <w:rFonts w:ascii="Arial" w:hAnsi="Arial" w:cs="Arial"/>
        </w:rPr>
        <w:instrText> </w:instrText>
      </w:r>
      <w:r w:rsidR="00191994">
        <w:instrText>801 CAD cases [approximately 70% with myocardial infarction] and 123</w:instrText>
      </w:r>
      <w:r w:rsidR="00191994">
        <w:rPr>
          <w:rFonts w:ascii="Arial" w:hAnsi="Arial" w:cs="Arial"/>
        </w:rPr>
        <w:instrText> </w:instrText>
      </w:r>
      <w:r w:rsidR="00191994">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191994">
        <w:rPr>
          <w:rFonts w:ascii="Arial" w:hAnsi="Arial" w:cs="Arial"/>
        </w:rPr>
        <w:instrText> </w:instrText>
      </w:r>
      <w:r w:rsidR="00191994">
        <w:instrText>=</w:instrText>
      </w:r>
      <w:r w:rsidR="00191994">
        <w:rPr>
          <w:rFonts w:ascii="Arial" w:hAnsi="Arial" w:cs="Arial"/>
        </w:rPr>
        <w:instrText> </w:instrText>
      </w:r>
      <w:r w:rsidR="00191994">
        <w:instrText>.003) for CAD and 1.24 (95% CI, 1.05-1.46;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itation-key":"larssonAssociationGeneticVariants2017","container-title":"JAMA","DOI":"10.1001/jama.2017.8981","ISSN":"1538-3598","issue":"4","journalAbbreviation":"JAMA","language":"eng","page":"371-380","PMID":"28742912","PMCID":"PMC5817597","source":"PubMed","title":"Association of Genetic Variants Related to Serum Calcium Levels With Coronary Artery Disease and Myocardial Infarction","volume":"318","author":[{"family":"Larsson","given":"Susanna C."},{"family":"Burgess","given":"Stephen"},{"family":"Michaëlsson","given":"Karl"}],"issued":{"date-parts":[["2017",7,25]]}}}],"schema":"https://github.com/citation-style-language/schema/raw/master/csl-citation.json"} </w:instrText>
      </w:r>
      <w:r>
        <w:fldChar w:fldCharType="separate"/>
      </w:r>
      <w:r w:rsidR="00191994">
        <w:rPr>
          <w:noProof/>
        </w:rPr>
        <w:t>[13]</w:t>
      </w:r>
      <w:r>
        <w:fldChar w:fldCharType="end"/>
      </w:r>
      <w:r>
        <w:t>.</w:t>
      </w:r>
      <w:r w:rsidR="00587FF2">
        <w:t xml:space="preserve">  We therefore posit a model wherein elevations in serum cholesterol result in increases in serum calcium, and those two factors combine to enhance cardiovascular disease risk.  </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0F3E8F">
      <w:pPr>
        <w:pStyle w:val="Heading1"/>
      </w:pPr>
      <w:r>
        <w:t>References</w:t>
      </w:r>
    </w:p>
    <w:p w14:paraId="302DC938" w14:textId="77777777" w:rsidR="00763397" w:rsidRPr="00763397" w:rsidRDefault="006C0229" w:rsidP="00763397">
      <w:pPr>
        <w:pStyle w:val="Bibliography"/>
        <w:rPr>
          <w:rFonts w:ascii="Aptos"/>
        </w:rPr>
      </w:pPr>
      <w:r>
        <w:fldChar w:fldCharType="begin"/>
      </w:r>
      <w:r>
        <w:instrText xml:space="preserve"> ADDIN ZOTERO_BIBL {"uncited":[],"omitted":[],"custom":[]} CSL_BIBLIOGRAPHY </w:instrText>
      </w:r>
      <w:r>
        <w:fldChar w:fldCharType="separate"/>
      </w:r>
      <w:r w:rsidR="00763397" w:rsidRPr="00763397">
        <w:rPr>
          <w:rFonts w:ascii="Aptos"/>
        </w:rPr>
        <w:t xml:space="preserve">1. </w:t>
      </w:r>
      <w:r w:rsidR="00763397" w:rsidRPr="00763397">
        <w:rPr>
          <w:rFonts w:ascii="Aptos"/>
        </w:rPr>
        <w:tab/>
        <w:t xml:space="preserve">Skrivankova, V.W.; Richmond, R.C.; Woolf, B.A.R.; Davies, N.M.; Swanson, S.A.; VanderWeele, T.J.; Timpson, N.J.; Higgins, J.P.T.; Dimou, N.; Langenberg, C.; et al. Strengthening the Reporting of Observational Studies in Epidemiology Using Mendelian Randomisation (STROBE-MR): Explanation and Elaboration. </w:t>
      </w:r>
      <w:r w:rsidR="00763397" w:rsidRPr="00763397">
        <w:rPr>
          <w:rFonts w:ascii="Aptos"/>
          <w:i/>
          <w:iCs/>
        </w:rPr>
        <w:t>BMJ</w:t>
      </w:r>
      <w:r w:rsidR="00763397" w:rsidRPr="00763397">
        <w:rPr>
          <w:rFonts w:ascii="Aptos"/>
        </w:rPr>
        <w:t xml:space="preserve"> </w:t>
      </w:r>
      <w:r w:rsidR="00763397" w:rsidRPr="00763397">
        <w:rPr>
          <w:rFonts w:ascii="Aptos"/>
          <w:b/>
          <w:bCs/>
        </w:rPr>
        <w:t>2021</w:t>
      </w:r>
      <w:r w:rsidR="00763397" w:rsidRPr="00763397">
        <w:rPr>
          <w:rFonts w:ascii="Aptos"/>
        </w:rPr>
        <w:t xml:space="preserve">, </w:t>
      </w:r>
      <w:r w:rsidR="00763397" w:rsidRPr="00763397">
        <w:rPr>
          <w:rFonts w:ascii="Aptos"/>
          <w:i/>
          <w:iCs/>
        </w:rPr>
        <w:t>375</w:t>
      </w:r>
      <w:r w:rsidR="00763397" w:rsidRPr="00763397">
        <w:rPr>
          <w:rFonts w:ascii="Aptos"/>
        </w:rPr>
        <w:t>, n2233, doi:10.1136/bmj.n2233.</w:t>
      </w:r>
    </w:p>
    <w:p w14:paraId="678D39D1" w14:textId="77777777" w:rsidR="00763397" w:rsidRPr="00763397" w:rsidRDefault="00763397" w:rsidP="00763397">
      <w:pPr>
        <w:pStyle w:val="Bibliography"/>
        <w:rPr>
          <w:rFonts w:ascii="Aptos"/>
        </w:rPr>
      </w:pPr>
      <w:r w:rsidRPr="00763397">
        <w:rPr>
          <w:rFonts w:ascii="Aptos"/>
        </w:rPr>
        <w:t xml:space="preserve">2. </w:t>
      </w:r>
      <w:r w:rsidRPr="00763397">
        <w:rPr>
          <w:rFonts w:ascii="Aptos"/>
        </w:rPr>
        <w:tab/>
        <w:t xml:space="preserve">Skrivankova, V.W.; Richmond, R.C.; Woolf, B.A.R.; Yarmolinsky, J.; Davies, N.M.; Swanson, S.A.; VanderWeele, T.J.; Higgins, J.P.T.; Timpson, N.J.; Dimou, N.; et al. </w:t>
      </w:r>
      <w:r w:rsidRPr="00763397">
        <w:rPr>
          <w:rFonts w:ascii="Aptos"/>
        </w:rPr>
        <w:lastRenderedPageBreak/>
        <w:t xml:space="preserve">Strengthening the Reporting of Observational Studies in Epidemiology Using Mendelian Randomization: The STROBE-MR Statement. </w:t>
      </w:r>
      <w:r w:rsidRPr="00763397">
        <w:rPr>
          <w:rFonts w:ascii="Aptos"/>
          <w:i/>
          <w:iCs/>
        </w:rPr>
        <w:t>JAMA</w:t>
      </w:r>
      <w:r w:rsidRPr="00763397">
        <w:rPr>
          <w:rFonts w:ascii="Aptos"/>
        </w:rPr>
        <w:t xml:space="preserve"> </w:t>
      </w:r>
      <w:r w:rsidRPr="00763397">
        <w:rPr>
          <w:rFonts w:ascii="Aptos"/>
          <w:b/>
          <w:bCs/>
        </w:rPr>
        <w:t>2021</w:t>
      </w:r>
      <w:r w:rsidRPr="00763397">
        <w:rPr>
          <w:rFonts w:ascii="Aptos"/>
        </w:rPr>
        <w:t xml:space="preserve">, </w:t>
      </w:r>
      <w:r w:rsidRPr="00763397">
        <w:rPr>
          <w:rFonts w:ascii="Aptos"/>
          <w:i/>
          <w:iCs/>
        </w:rPr>
        <w:t>326</w:t>
      </w:r>
      <w:r w:rsidRPr="00763397">
        <w:rPr>
          <w:rFonts w:ascii="Aptos"/>
        </w:rPr>
        <w:t>, 1614–1621, doi:10.1001/jama.2021.18236.</w:t>
      </w:r>
    </w:p>
    <w:p w14:paraId="2FEFE3EA" w14:textId="77777777" w:rsidR="00763397" w:rsidRPr="00763397" w:rsidRDefault="00763397" w:rsidP="00763397">
      <w:pPr>
        <w:pStyle w:val="Bibliography"/>
        <w:rPr>
          <w:rFonts w:ascii="Aptos"/>
        </w:rPr>
      </w:pPr>
      <w:r w:rsidRPr="00763397">
        <w:rPr>
          <w:rFonts w:ascii="Aptos"/>
        </w:rPr>
        <w:t xml:space="preserve">3. </w:t>
      </w:r>
      <w:r w:rsidRPr="00763397">
        <w:rPr>
          <w:rFonts w:ascii="Aptos"/>
        </w:rPr>
        <w:tab/>
        <w:t xml:space="preserve">Bycroft, C.; Freeman, C.; Petkova, D.; Band, G.; Elliott, L.T.; Sharp, K.; Motyer, A.; Vukcevic, D.; Delaneau, O.; O’Connell, J.; et al. The UK Biobank Resource with Deep Phenotyping and Genomic Data. </w:t>
      </w:r>
      <w:r w:rsidRPr="00763397">
        <w:rPr>
          <w:rFonts w:ascii="Aptos"/>
          <w:i/>
          <w:iCs/>
        </w:rPr>
        <w:t>Nature</w:t>
      </w:r>
      <w:r w:rsidRPr="00763397">
        <w:rPr>
          <w:rFonts w:ascii="Aptos"/>
        </w:rPr>
        <w:t xml:space="preserve"> </w:t>
      </w:r>
      <w:r w:rsidRPr="00763397">
        <w:rPr>
          <w:rFonts w:ascii="Aptos"/>
          <w:b/>
          <w:bCs/>
        </w:rPr>
        <w:t>2018</w:t>
      </w:r>
      <w:r w:rsidRPr="00763397">
        <w:rPr>
          <w:rFonts w:ascii="Aptos"/>
        </w:rPr>
        <w:t xml:space="preserve">, </w:t>
      </w:r>
      <w:r w:rsidRPr="00763397">
        <w:rPr>
          <w:rFonts w:ascii="Aptos"/>
          <w:i/>
          <w:iCs/>
        </w:rPr>
        <w:t>562</w:t>
      </w:r>
      <w:r w:rsidRPr="00763397">
        <w:rPr>
          <w:rFonts w:ascii="Aptos"/>
        </w:rPr>
        <w:t>, 203–209, doi:10.1038/s41586-018-0579-z.</w:t>
      </w:r>
    </w:p>
    <w:p w14:paraId="21074B72" w14:textId="77777777" w:rsidR="00763397" w:rsidRPr="00763397" w:rsidRDefault="00763397" w:rsidP="00763397">
      <w:pPr>
        <w:pStyle w:val="Bibliography"/>
        <w:rPr>
          <w:rFonts w:ascii="Aptos"/>
        </w:rPr>
      </w:pPr>
      <w:r w:rsidRPr="00763397">
        <w:rPr>
          <w:rFonts w:ascii="Aptos"/>
        </w:rPr>
        <w:t xml:space="preserve">4. </w:t>
      </w:r>
      <w:r w:rsidRPr="00763397">
        <w:rPr>
          <w:rFonts w:ascii="Aptos"/>
        </w:rPr>
        <w:tab/>
        <w:t xml:space="preserve">Hemani, G.; Zheng, J.; Elsworth, B.; Wade, K.H.; Haberland, V.; Baird, D.; Laurin, C.; Burgess, S.; Bowden, J.; Langdon, R.; et al. The MR-Base Platform Supports Systematic Causal Inference across the Human Phenome. </w:t>
      </w:r>
      <w:r w:rsidRPr="00763397">
        <w:rPr>
          <w:rFonts w:ascii="Aptos"/>
          <w:i/>
          <w:iCs/>
        </w:rPr>
        <w:t>eLife</w:t>
      </w:r>
      <w:r w:rsidRPr="00763397">
        <w:rPr>
          <w:rFonts w:ascii="Aptos"/>
        </w:rPr>
        <w:t xml:space="preserve"> </w:t>
      </w:r>
      <w:r w:rsidRPr="00763397">
        <w:rPr>
          <w:rFonts w:ascii="Aptos"/>
          <w:b/>
          <w:bCs/>
        </w:rPr>
        <w:t>2018</w:t>
      </w:r>
      <w:r w:rsidRPr="00763397">
        <w:rPr>
          <w:rFonts w:ascii="Aptos"/>
        </w:rPr>
        <w:t xml:space="preserve">, </w:t>
      </w:r>
      <w:r w:rsidRPr="00763397">
        <w:rPr>
          <w:rFonts w:ascii="Aptos"/>
          <w:i/>
          <w:iCs/>
        </w:rPr>
        <w:t>7</w:t>
      </w:r>
      <w:r w:rsidRPr="00763397">
        <w:rPr>
          <w:rFonts w:ascii="Aptos"/>
        </w:rPr>
        <w:t>, e34408, doi:10.7554/eLife.34408.</w:t>
      </w:r>
    </w:p>
    <w:p w14:paraId="2FE61A2C" w14:textId="77777777" w:rsidR="00763397" w:rsidRPr="00763397" w:rsidRDefault="00763397" w:rsidP="00763397">
      <w:pPr>
        <w:pStyle w:val="Bibliography"/>
        <w:rPr>
          <w:rFonts w:ascii="Aptos"/>
        </w:rPr>
      </w:pPr>
      <w:r w:rsidRPr="00763397">
        <w:rPr>
          <w:rFonts w:ascii="Aptos"/>
        </w:rPr>
        <w:t xml:space="preserve">5. </w:t>
      </w:r>
      <w:r w:rsidRPr="00763397">
        <w:rPr>
          <w:rFonts w:ascii="Aptos"/>
        </w:rPr>
        <w:tab/>
        <w:t xml:space="preserve">Chang, C.C.; Chow, C.C.; Tellier, L.C.; Vattikuti, S.; Purcell, S.M.; Lee, J.J. Second-Generation PLINK: Rising to the Challenge of Larger and Richer Datasets. </w:t>
      </w:r>
      <w:r w:rsidRPr="00763397">
        <w:rPr>
          <w:rFonts w:ascii="Aptos"/>
          <w:i/>
          <w:iCs/>
        </w:rPr>
        <w:t>GigaScience</w:t>
      </w:r>
      <w:r w:rsidRPr="00763397">
        <w:rPr>
          <w:rFonts w:ascii="Aptos"/>
        </w:rPr>
        <w:t xml:space="preserve"> </w:t>
      </w:r>
      <w:r w:rsidRPr="00763397">
        <w:rPr>
          <w:rFonts w:ascii="Aptos"/>
          <w:b/>
          <w:bCs/>
        </w:rPr>
        <w:t>2015</w:t>
      </w:r>
      <w:r w:rsidRPr="00763397">
        <w:rPr>
          <w:rFonts w:ascii="Aptos"/>
        </w:rPr>
        <w:t xml:space="preserve">, </w:t>
      </w:r>
      <w:r w:rsidRPr="00763397">
        <w:rPr>
          <w:rFonts w:ascii="Aptos"/>
          <w:i/>
          <w:iCs/>
        </w:rPr>
        <w:t>4</w:t>
      </w:r>
      <w:r w:rsidRPr="00763397">
        <w:rPr>
          <w:rFonts w:ascii="Aptos"/>
        </w:rPr>
        <w:t>, 7, doi:10.1186/s13742-015-0047-8.</w:t>
      </w:r>
    </w:p>
    <w:p w14:paraId="2986E7F2" w14:textId="77777777" w:rsidR="00763397" w:rsidRPr="00763397" w:rsidRDefault="00763397" w:rsidP="00763397">
      <w:pPr>
        <w:pStyle w:val="Bibliography"/>
        <w:rPr>
          <w:rFonts w:ascii="Aptos"/>
        </w:rPr>
      </w:pPr>
      <w:r w:rsidRPr="00763397">
        <w:rPr>
          <w:rFonts w:ascii="Aptos"/>
        </w:rPr>
        <w:t xml:space="preserve">6. </w:t>
      </w:r>
      <w:r w:rsidRPr="00763397">
        <w:rPr>
          <w:rFonts w:ascii="Aptos"/>
        </w:rPr>
        <w:tab/>
        <w:t xml:space="preserve">1000 Genomes Project Consortium; Auton, A.; Brooks, L.D.; Durbin, R.M.; Garrison, E.P.; Kang, H.M.; Korbel, J.O.; Marchini, J.L.; McCarthy, S.; McVean, G.A.; et al. A Global Reference for Human Genetic Variation. </w:t>
      </w:r>
      <w:r w:rsidRPr="00763397">
        <w:rPr>
          <w:rFonts w:ascii="Aptos"/>
          <w:i/>
          <w:iCs/>
        </w:rPr>
        <w:t>Nature</w:t>
      </w:r>
      <w:r w:rsidRPr="00763397">
        <w:rPr>
          <w:rFonts w:ascii="Aptos"/>
        </w:rPr>
        <w:t xml:space="preserve"> </w:t>
      </w:r>
      <w:r w:rsidRPr="00763397">
        <w:rPr>
          <w:rFonts w:ascii="Aptos"/>
          <w:b/>
          <w:bCs/>
        </w:rPr>
        <w:t>2015</w:t>
      </w:r>
      <w:r w:rsidRPr="00763397">
        <w:rPr>
          <w:rFonts w:ascii="Aptos"/>
        </w:rPr>
        <w:t xml:space="preserve">, </w:t>
      </w:r>
      <w:r w:rsidRPr="00763397">
        <w:rPr>
          <w:rFonts w:ascii="Aptos"/>
          <w:i/>
          <w:iCs/>
        </w:rPr>
        <w:t>526</w:t>
      </w:r>
      <w:r w:rsidRPr="00763397">
        <w:rPr>
          <w:rFonts w:ascii="Aptos"/>
        </w:rPr>
        <w:t>, 68–74, doi:10.1038/nature15393.</w:t>
      </w:r>
    </w:p>
    <w:p w14:paraId="377D0036" w14:textId="77777777" w:rsidR="00763397" w:rsidRPr="00763397" w:rsidRDefault="00763397" w:rsidP="00763397">
      <w:pPr>
        <w:pStyle w:val="Bibliography"/>
        <w:rPr>
          <w:rFonts w:ascii="Aptos"/>
        </w:rPr>
      </w:pPr>
      <w:r w:rsidRPr="00763397">
        <w:rPr>
          <w:rFonts w:ascii="Aptos"/>
        </w:rPr>
        <w:t xml:space="preserve">7. </w:t>
      </w:r>
      <w:r w:rsidRPr="00763397">
        <w:rPr>
          <w:rFonts w:ascii="Aptos"/>
        </w:rPr>
        <w:tab/>
        <w:t xml:space="preserve">Goldstein, J.A.; Weinstock, J.S.; Bastarache, L.A.; Larach, D.B.; Fritsche, L.G.; Schmidt, E.M.; Brummett, C.M.; Kheterpal, S.; Abecasis, G.R.; Denny, J.C.; et al. LabWAS: Novel Findings and Study Design Recommendations from a Meta-Analysis of Clinical Labs in Two Independent Biobanks. </w:t>
      </w:r>
      <w:r w:rsidRPr="00763397">
        <w:rPr>
          <w:rFonts w:ascii="Aptos"/>
          <w:i/>
          <w:iCs/>
        </w:rPr>
        <w:t>PLoS Genet.</w:t>
      </w:r>
      <w:r w:rsidRPr="00763397">
        <w:rPr>
          <w:rFonts w:ascii="Aptos"/>
        </w:rPr>
        <w:t xml:space="preserve"> </w:t>
      </w:r>
      <w:r w:rsidRPr="00763397">
        <w:rPr>
          <w:rFonts w:ascii="Aptos"/>
          <w:b/>
          <w:bCs/>
        </w:rPr>
        <w:t>2020</w:t>
      </w:r>
      <w:r w:rsidRPr="00763397">
        <w:rPr>
          <w:rFonts w:ascii="Aptos"/>
        </w:rPr>
        <w:t xml:space="preserve">, </w:t>
      </w:r>
      <w:r w:rsidRPr="00763397">
        <w:rPr>
          <w:rFonts w:ascii="Aptos"/>
          <w:i/>
          <w:iCs/>
        </w:rPr>
        <w:t>16</w:t>
      </w:r>
      <w:r w:rsidRPr="00763397">
        <w:rPr>
          <w:rFonts w:ascii="Aptos"/>
        </w:rPr>
        <w:t>, e1009077, doi:10.1371/journal.pgen.1009077.</w:t>
      </w:r>
    </w:p>
    <w:p w14:paraId="517DF487" w14:textId="77777777" w:rsidR="00763397" w:rsidRPr="00763397" w:rsidRDefault="00763397" w:rsidP="00763397">
      <w:pPr>
        <w:pStyle w:val="Bibliography"/>
        <w:rPr>
          <w:rFonts w:ascii="Aptos"/>
        </w:rPr>
      </w:pPr>
      <w:r w:rsidRPr="00763397">
        <w:rPr>
          <w:rFonts w:ascii="Aptos"/>
        </w:rPr>
        <w:t xml:space="preserve">8. </w:t>
      </w:r>
      <w:r w:rsidRPr="00763397">
        <w:rPr>
          <w:rFonts w:ascii="Aptos"/>
        </w:rPr>
        <w:tab/>
        <w:t xml:space="preserve">Swerdlow, D.I.; Preiss, D.; Kuchenbaecker, K.B.; Holmes, M.V.; Engmann, J.E.L.; Shah, T.; Sofat, R.; Stender, S.; Johnson, P.C.D.; Scott, R.A.; et al. HMG-Coenzyme A Reductase Inhibition, Type 2 Diabetes, and Bodyweight: Evidence from Genetic Analysis and Randomised Trials. </w:t>
      </w:r>
      <w:r w:rsidRPr="00763397">
        <w:rPr>
          <w:rFonts w:ascii="Aptos"/>
          <w:i/>
          <w:iCs/>
        </w:rPr>
        <w:t>The Lancet</w:t>
      </w:r>
      <w:r w:rsidRPr="00763397">
        <w:rPr>
          <w:rFonts w:ascii="Aptos"/>
        </w:rPr>
        <w:t xml:space="preserve"> </w:t>
      </w:r>
      <w:r w:rsidRPr="00763397">
        <w:rPr>
          <w:rFonts w:ascii="Aptos"/>
          <w:b/>
          <w:bCs/>
        </w:rPr>
        <w:t>2015</w:t>
      </w:r>
      <w:r w:rsidRPr="00763397">
        <w:rPr>
          <w:rFonts w:ascii="Aptos"/>
        </w:rPr>
        <w:t xml:space="preserve">, </w:t>
      </w:r>
      <w:r w:rsidRPr="00763397">
        <w:rPr>
          <w:rFonts w:ascii="Aptos"/>
          <w:i/>
          <w:iCs/>
        </w:rPr>
        <w:t>385</w:t>
      </w:r>
      <w:r w:rsidRPr="00763397">
        <w:rPr>
          <w:rFonts w:ascii="Aptos"/>
        </w:rPr>
        <w:t>, 351–361, doi:10.1016/S0140-6736(14)61183-1.</w:t>
      </w:r>
    </w:p>
    <w:p w14:paraId="681AC1DF" w14:textId="77777777" w:rsidR="00763397" w:rsidRPr="00763397" w:rsidRDefault="00763397" w:rsidP="00763397">
      <w:pPr>
        <w:pStyle w:val="Bibliography"/>
        <w:rPr>
          <w:rFonts w:ascii="Aptos"/>
        </w:rPr>
      </w:pPr>
      <w:r w:rsidRPr="00763397">
        <w:rPr>
          <w:rFonts w:ascii="Aptos"/>
        </w:rPr>
        <w:t xml:space="preserve">9. </w:t>
      </w:r>
      <w:r w:rsidRPr="00763397">
        <w:rPr>
          <w:rFonts w:ascii="Aptos"/>
        </w:rPr>
        <w:tab/>
        <w:t xml:space="preserve">Ference, B.A.; Yoo, W.; Alesh, I.; Mahajan, N.; Mirowska, K.K.; Mewada, A.; Kahn, J.; Afonso, L.; Williams, K.A.; Flack, J.M. Effect of Long-Term Exposure to Lower Low-Density Lipoprotein Cholesterol Beginning Early in Life on the Risk of Coronary Heart Disease. </w:t>
      </w:r>
      <w:r w:rsidRPr="00763397">
        <w:rPr>
          <w:rFonts w:ascii="Aptos"/>
          <w:i/>
          <w:iCs/>
        </w:rPr>
        <w:t>JACC</w:t>
      </w:r>
      <w:r w:rsidRPr="00763397">
        <w:rPr>
          <w:rFonts w:ascii="Aptos"/>
        </w:rPr>
        <w:t xml:space="preserve"> </w:t>
      </w:r>
      <w:r w:rsidRPr="00763397">
        <w:rPr>
          <w:rFonts w:ascii="Aptos"/>
          <w:b/>
          <w:bCs/>
        </w:rPr>
        <w:t>2012</w:t>
      </w:r>
      <w:r w:rsidRPr="00763397">
        <w:rPr>
          <w:rFonts w:ascii="Aptos"/>
        </w:rPr>
        <w:t xml:space="preserve">, </w:t>
      </w:r>
      <w:r w:rsidRPr="00763397">
        <w:rPr>
          <w:rFonts w:ascii="Aptos"/>
          <w:i/>
          <w:iCs/>
        </w:rPr>
        <w:t>60</w:t>
      </w:r>
      <w:r w:rsidRPr="00763397">
        <w:rPr>
          <w:rFonts w:ascii="Aptos"/>
        </w:rPr>
        <w:t>, 2631–2639, doi:10.1016/j.jacc.2012.09.017.</w:t>
      </w:r>
    </w:p>
    <w:p w14:paraId="658C7841" w14:textId="77777777" w:rsidR="00763397" w:rsidRPr="00763397" w:rsidRDefault="00763397" w:rsidP="00763397">
      <w:pPr>
        <w:pStyle w:val="Bibliography"/>
        <w:rPr>
          <w:rFonts w:ascii="Aptos"/>
        </w:rPr>
      </w:pPr>
      <w:r w:rsidRPr="00763397">
        <w:rPr>
          <w:rFonts w:ascii="Aptos"/>
        </w:rPr>
        <w:t xml:space="preserve">10. </w:t>
      </w:r>
      <w:r w:rsidRPr="00763397">
        <w:rPr>
          <w:rFonts w:ascii="Aptos"/>
        </w:rPr>
        <w:tab/>
        <w:t xml:space="preserve">Barton, A.R.; Sherman, M.A.; Mukamel, R.E.; Loh, P.-R. Whole-Exome Imputation within UK Biobank Powers Rare Coding Variant Association and Fine-Mapping Analyses. </w:t>
      </w:r>
      <w:r w:rsidRPr="00763397">
        <w:rPr>
          <w:rFonts w:ascii="Aptos"/>
          <w:i/>
          <w:iCs/>
        </w:rPr>
        <w:t>Nat. Genet.</w:t>
      </w:r>
      <w:r w:rsidRPr="00763397">
        <w:rPr>
          <w:rFonts w:ascii="Aptos"/>
        </w:rPr>
        <w:t xml:space="preserve"> </w:t>
      </w:r>
      <w:r w:rsidRPr="00763397">
        <w:rPr>
          <w:rFonts w:ascii="Aptos"/>
          <w:b/>
          <w:bCs/>
        </w:rPr>
        <w:t>2021</w:t>
      </w:r>
      <w:r w:rsidRPr="00763397">
        <w:rPr>
          <w:rFonts w:ascii="Aptos"/>
        </w:rPr>
        <w:t xml:space="preserve">, </w:t>
      </w:r>
      <w:r w:rsidRPr="00763397">
        <w:rPr>
          <w:rFonts w:ascii="Aptos"/>
          <w:i/>
          <w:iCs/>
        </w:rPr>
        <w:t>53</w:t>
      </w:r>
      <w:r w:rsidRPr="00763397">
        <w:rPr>
          <w:rFonts w:ascii="Aptos"/>
        </w:rPr>
        <w:t>, 1260–1269, doi:10.1038/s41588-021-00892-1.</w:t>
      </w:r>
    </w:p>
    <w:p w14:paraId="58EE3333" w14:textId="77777777" w:rsidR="00763397" w:rsidRPr="00763397" w:rsidRDefault="00763397" w:rsidP="00763397">
      <w:pPr>
        <w:pStyle w:val="Bibliography"/>
        <w:rPr>
          <w:rFonts w:ascii="Aptos"/>
        </w:rPr>
      </w:pPr>
      <w:r w:rsidRPr="00763397">
        <w:rPr>
          <w:rFonts w:ascii="Aptos"/>
        </w:rPr>
        <w:t xml:space="preserve">11. </w:t>
      </w:r>
      <w:r w:rsidRPr="00763397">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763397">
        <w:rPr>
          <w:rFonts w:ascii="Aptos"/>
          <w:i/>
          <w:iCs/>
        </w:rPr>
        <w:t>Cell Genomics</w:t>
      </w:r>
      <w:r w:rsidRPr="00763397">
        <w:rPr>
          <w:rFonts w:ascii="Aptos"/>
        </w:rPr>
        <w:t xml:space="preserve"> </w:t>
      </w:r>
      <w:r w:rsidRPr="00763397">
        <w:rPr>
          <w:rFonts w:ascii="Aptos"/>
          <w:b/>
          <w:bCs/>
        </w:rPr>
        <w:t>2023</w:t>
      </w:r>
      <w:r w:rsidRPr="00763397">
        <w:rPr>
          <w:rFonts w:ascii="Aptos"/>
        </w:rPr>
        <w:t xml:space="preserve">, </w:t>
      </w:r>
      <w:r w:rsidRPr="00763397">
        <w:rPr>
          <w:rFonts w:ascii="Aptos"/>
          <w:i/>
          <w:iCs/>
        </w:rPr>
        <w:t>3</w:t>
      </w:r>
      <w:r w:rsidRPr="00763397">
        <w:rPr>
          <w:rFonts w:ascii="Aptos"/>
        </w:rPr>
        <w:t>, 100257, doi:10.1016/j.xgen.2023.100257.</w:t>
      </w:r>
    </w:p>
    <w:p w14:paraId="452F0059" w14:textId="77777777" w:rsidR="00763397" w:rsidRPr="00763397" w:rsidRDefault="00763397" w:rsidP="00763397">
      <w:pPr>
        <w:pStyle w:val="Bibliography"/>
        <w:rPr>
          <w:rFonts w:ascii="Aptos"/>
        </w:rPr>
      </w:pPr>
      <w:r w:rsidRPr="00763397">
        <w:rPr>
          <w:rFonts w:ascii="Aptos"/>
        </w:rPr>
        <w:t xml:space="preserve">12. </w:t>
      </w:r>
      <w:r w:rsidRPr="00763397">
        <w:rPr>
          <w:rFonts w:ascii="Aptos"/>
        </w:rPr>
        <w:tab/>
        <w:t xml:space="preserve">Burgess, S.; Thompson, S.G.; CRP CHD Genetics Collaboration Avoiding Bias from Weak Instruments in Mendelian Randomization Studies. </w:t>
      </w:r>
      <w:r w:rsidRPr="00763397">
        <w:rPr>
          <w:rFonts w:ascii="Aptos"/>
          <w:i/>
          <w:iCs/>
        </w:rPr>
        <w:t>Int. J. Epidemiol.</w:t>
      </w:r>
      <w:r w:rsidRPr="00763397">
        <w:rPr>
          <w:rFonts w:ascii="Aptos"/>
        </w:rPr>
        <w:t xml:space="preserve"> </w:t>
      </w:r>
      <w:r w:rsidRPr="00763397">
        <w:rPr>
          <w:rFonts w:ascii="Aptos"/>
          <w:b/>
          <w:bCs/>
        </w:rPr>
        <w:t>2011</w:t>
      </w:r>
      <w:r w:rsidRPr="00763397">
        <w:rPr>
          <w:rFonts w:ascii="Aptos"/>
        </w:rPr>
        <w:t xml:space="preserve">, </w:t>
      </w:r>
      <w:r w:rsidRPr="00763397">
        <w:rPr>
          <w:rFonts w:ascii="Aptos"/>
          <w:i/>
          <w:iCs/>
        </w:rPr>
        <w:t>40</w:t>
      </w:r>
      <w:r w:rsidRPr="00763397">
        <w:rPr>
          <w:rFonts w:ascii="Aptos"/>
        </w:rPr>
        <w:t>, 755–764, doi:10.1093/ije/dyr036.</w:t>
      </w:r>
    </w:p>
    <w:p w14:paraId="372D217C" w14:textId="77777777" w:rsidR="00763397" w:rsidRPr="00763397" w:rsidRDefault="00763397" w:rsidP="00763397">
      <w:pPr>
        <w:pStyle w:val="Bibliography"/>
        <w:rPr>
          <w:rFonts w:ascii="Aptos"/>
        </w:rPr>
      </w:pPr>
      <w:r w:rsidRPr="00763397">
        <w:rPr>
          <w:rFonts w:ascii="Aptos"/>
        </w:rPr>
        <w:lastRenderedPageBreak/>
        <w:t xml:space="preserve">13. </w:t>
      </w:r>
      <w:r w:rsidRPr="00763397">
        <w:rPr>
          <w:rFonts w:ascii="Aptos"/>
        </w:rPr>
        <w:tab/>
        <w:t xml:space="preserve">Larsson, S.C.; Burgess, S.; Michaëlsson, K. Association of Genetic Variants Related to Serum Calcium Levels With Coronary Artery Disease and Myocardial Infarction. </w:t>
      </w:r>
      <w:r w:rsidRPr="00763397">
        <w:rPr>
          <w:rFonts w:ascii="Aptos"/>
          <w:i/>
          <w:iCs/>
        </w:rPr>
        <w:t>JAMA</w:t>
      </w:r>
      <w:r w:rsidRPr="00763397">
        <w:rPr>
          <w:rFonts w:ascii="Aptos"/>
        </w:rPr>
        <w:t xml:space="preserve"> </w:t>
      </w:r>
      <w:r w:rsidRPr="00763397">
        <w:rPr>
          <w:rFonts w:ascii="Aptos"/>
          <w:b/>
          <w:bCs/>
        </w:rPr>
        <w:t>2017</w:t>
      </w:r>
      <w:r w:rsidRPr="00763397">
        <w:rPr>
          <w:rFonts w:ascii="Aptos"/>
        </w:rPr>
        <w:t xml:space="preserve">, </w:t>
      </w:r>
      <w:r w:rsidRPr="00763397">
        <w:rPr>
          <w:rFonts w:ascii="Aptos"/>
          <w:i/>
          <w:iCs/>
        </w:rPr>
        <w:t>318</w:t>
      </w:r>
      <w:r w:rsidRPr="00763397">
        <w:rPr>
          <w:rFonts w:ascii="Aptos"/>
        </w:rPr>
        <w:t>, 371–380, doi:10.1001/jama.2017.8981.</w:t>
      </w:r>
    </w:p>
    <w:p w14:paraId="596A7301" w14:textId="77777777" w:rsidR="00763397" w:rsidRPr="00763397" w:rsidRDefault="00763397" w:rsidP="00763397">
      <w:pPr>
        <w:pStyle w:val="Bibliography"/>
        <w:rPr>
          <w:rFonts w:ascii="Aptos"/>
        </w:rPr>
      </w:pPr>
      <w:r w:rsidRPr="00763397">
        <w:rPr>
          <w:rFonts w:ascii="Aptos"/>
        </w:rPr>
        <w:t xml:space="preserve">14. </w:t>
      </w:r>
      <w:r w:rsidRPr="00763397">
        <w:rPr>
          <w:rFonts w:ascii="Aptos"/>
        </w:rPr>
        <w:tab/>
        <w:t xml:space="preserve">Morrison, J.; Knoblauch, N.; Marcus, J.H.; Stephens, M.; He, X. Mendelian Randomization Accounting for Correlated and Uncorrelated Pleiotropic Effects Using Genome-Wide Summary Statistics. </w:t>
      </w:r>
      <w:r w:rsidRPr="00763397">
        <w:rPr>
          <w:rFonts w:ascii="Aptos"/>
          <w:i/>
          <w:iCs/>
        </w:rPr>
        <w:t>Nat. Genet.</w:t>
      </w:r>
      <w:r w:rsidRPr="00763397">
        <w:rPr>
          <w:rFonts w:ascii="Aptos"/>
        </w:rPr>
        <w:t xml:space="preserve"> </w:t>
      </w:r>
      <w:r w:rsidRPr="00763397">
        <w:rPr>
          <w:rFonts w:ascii="Aptos"/>
          <w:b/>
          <w:bCs/>
        </w:rPr>
        <w:t>2020</w:t>
      </w:r>
      <w:r w:rsidRPr="00763397">
        <w:rPr>
          <w:rFonts w:ascii="Aptos"/>
        </w:rPr>
        <w:t xml:space="preserve">, </w:t>
      </w:r>
      <w:r w:rsidRPr="00763397">
        <w:rPr>
          <w:rFonts w:ascii="Aptos"/>
          <w:i/>
          <w:iCs/>
        </w:rPr>
        <w:t>52</w:t>
      </w:r>
      <w:r w:rsidRPr="00763397">
        <w:rPr>
          <w:rFonts w:ascii="Aptos"/>
        </w:rPr>
        <w:t>, 740–747, doi:10.1038/s41588-020-0631-4.</w:t>
      </w:r>
    </w:p>
    <w:p w14:paraId="63CAC8D9" w14:textId="77777777" w:rsidR="00763397" w:rsidRPr="00763397" w:rsidRDefault="00763397" w:rsidP="00763397">
      <w:pPr>
        <w:pStyle w:val="Bibliography"/>
        <w:rPr>
          <w:rFonts w:ascii="Aptos"/>
        </w:rPr>
      </w:pPr>
      <w:r w:rsidRPr="00763397">
        <w:rPr>
          <w:rFonts w:ascii="Aptos"/>
        </w:rPr>
        <w:t xml:space="preserve">15. </w:t>
      </w:r>
      <w:r w:rsidRPr="00763397">
        <w:rPr>
          <w:rFonts w:ascii="Aptos"/>
        </w:rPr>
        <w:tab/>
        <w:t xml:space="preserve">Sanderson, E.; Glymour, M.M.; Holmes, M.V.; Kang, H.; Morrison, J.; Munafò, M.R.; Palmer, T.; Schooling, C.M.; Wallace, C.; Zhao, Q.; et al. Mendelian Randomization. </w:t>
      </w:r>
      <w:r w:rsidRPr="00763397">
        <w:rPr>
          <w:rFonts w:ascii="Aptos"/>
          <w:i/>
          <w:iCs/>
        </w:rPr>
        <w:t>Nat. Rev. Methods Primer</w:t>
      </w:r>
      <w:r w:rsidRPr="00763397">
        <w:rPr>
          <w:rFonts w:ascii="Aptos"/>
        </w:rPr>
        <w:t xml:space="preserve"> </w:t>
      </w:r>
      <w:r w:rsidRPr="00763397">
        <w:rPr>
          <w:rFonts w:ascii="Aptos"/>
          <w:b/>
          <w:bCs/>
        </w:rPr>
        <w:t>2022</w:t>
      </w:r>
      <w:r w:rsidRPr="00763397">
        <w:rPr>
          <w:rFonts w:ascii="Aptos"/>
        </w:rPr>
        <w:t xml:space="preserve">, </w:t>
      </w:r>
      <w:r w:rsidRPr="00763397">
        <w:rPr>
          <w:rFonts w:ascii="Aptos"/>
          <w:i/>
          <w:iCs/>
        </w:rPr>
        <w:t>2</w:t>
      </w:r>
      <w:r w:rsidRPr="00763397">
        <w:rPr>
          <w:rFonts w:ascii="Aptos"/>
        </w:rPr>
        <w:t>, 6, doi:10.1038/s43586-021-00092-5.</w:t>
      </w:r>
    </w:p>
    <w:p w14:paraId="758824B7" w14:textId="77777777" w:rsidR="00763397" w:rsidRPr="00763397" w:rsidRDefault="00763397" w:rsidP="00763397">
      <w:pPr>
        <w:pStyle w:val="Bibliography"/>
        <w:rPr>
          <w:rFonts w:ascii="Aptos"/>
        </w:rPr>
      </w:pPr>
      <w:r w:rsidRPr="00763397">
        <w:rPr>
          <w:rFonts w:ascii="Aptos"/>
        </w:rPr>
        <w:t xml:space="preserve">16. </w:t>
      </w:r>
      <w:r w:rsidRPr="00763397">
        <w:rPr>
          <w:rFonts w:ascii="Aptos"/>
        </w:rPr>
        <w:tab/>
        <w:t xml:space="preserve">Chuengsamarn, S.; Rattanamongkoulgul, S.; Suwanwalaikorn, S.; Wattanasirichaigoon, S.; Kaufman, L. Effects of Statins vs. Non-Statin Lipid-Lowering Therapy on Bone Formation and Bone Mineral Density Biomarkers in Patients with Hyperlipidemia. </w:t>
      </w:r>
      <w:r w:rsidRPr="00763397">
        <w:rPr>
          <w:rFonts w:ascii="Aptos"/>
          <w:i/>
          <w:iCs/>
        </w:rPr>
        <w:t>Bone</w:t>
      </w:r>
      <w:r w:rsidRPr="00763397">
        <w:rPr>
          <w:rFonts w:ascii="Aptos"/>
        </w:rPr>
        <w:t xml:space="preserve"> </w:t>
      </w:r>
      <w:r w:rsidRPr="00763397">
        <w:rPr>
          <w:rFonts w:ascii="Aptos"/>
          <w:b/>
          <w:bCs/>
        </w:rPr>
        <w:t>2010</w:t>
      </w:r>
      <w:r w:rsidRPr="00763397">
        <w:rPr>
          <w:rFonts w:ascii="Aptos"/>
        </w:rPr>
        <w:t xml:space="preserve">, </w:t>
      </w:r>
      <w:r w:rsidRPr="00763397">
        <w:rPr>
          <w:rFonts w:ascii="Aptos"/>
          <w:i/>
          <w:iCs/>
        </w:rPr>
        <w:t>46</w:t>
      </w:r>
      <w:r w:rsidRPr="00763397">
        <w:rPr>
          <w:rFonts w:ascii="Aptos"/>
        </w:rPr>
        <w:t>, 1011–1015.</w:t>
      </w:r>
    </w:p>
    <w:p w14:paraId="02F5724D" w14:textId="77777777" w:rsidR="00763397" w:rsidRPr="00763397" w:rsidRDefault="00763397" w:rsidP="00763397">
      <w:pPr>
        <w:pStyle w:val="Bibliography"/>
        <w:rPr>
          <w:rFonts w:ascii="Aptos"/>
        </w:rPr>
      </w:pPr>
      <w:r w:rsidRPr="00763397">
        <w:rPr>
          <w:rFonts w:ascii="Aptos"/>
        </w:rPr>
        <w:t xml:space="preserve">17. </w:t>
      </w:r>
      <w:r w:rsidRPr="00763397">
        <w:rPr>
          <w:rFonts w:ascii="Aptos"/>
        </w:rPr>
        <w:tab/>
        <w:t xml:space="preserve">Zhao, C.; Bi, Q.; Hu, J.T.; Xia, B.; Ying, Q.F.; Zhu, D.J.; Zhang, S.J.; Gu, H.F.; Hong, J.; Qui, B.; et al. [Effects of Statins upon Bone Mineral Density in Postmenopausal Women with Hypercholesterolemia]. </w:t>
      </w:r>
      <w:r w:rsidRPr="00763397">
        <w:rPr>
          <w:rFonts w:ascii="Aptos"/>
          <w:i/>
          <w:iCs/>
        </w:rPr>
        <w:t>Zhonghua Yi Xue Za Zhi</w:t>
      </w:r>
      <w:r w:rsidRPr="00763397">
        <w:rPr>
          <w:rFonts w:ascii="Aptos"/>
        </w:rPr>
        <w:t xml:space="preserve"> </w:t>
      </w:r>
      <w:r w:rsidRPr="00763397">
        <w:rPr>
          <w:rFonts w:ascii="Aptos"/>
          <w:b/>
          <w:bCs/>
        </w:rPr>
        <w:t>2013</w:t>
      </w:r>
      <w:r w:rsidRPr="00763397">
        <w:rPr>
          <w:rFonts w:ascii="Aptos"/>
        </w:rPr>
        <w:t xml:space="preserve">, </w:t>
      </w:r>
      <w:r w:rsidRPr="00763397">
        <w:rPr>
          <w:rFonts w:ascii="Aptos"/>
          <w:i/>
          <w:iCs/>
        </w:rPr>
        <w:t>93</w:t>
      </w:r>
      <w:r w:rsidRPr="00763397">
        <w:rPr>
          <w:rFonts w:ascii="Aptos"/>
        </w:rPr>
        <w:t>, 2309–2311.</w:t>
      </w:r>
    </w:p>
    <w:p w14:paraId="1D2EA427" w14:textId="77777777" w:rsidR="00763397" w:rsidRPr="00763397" w:rsidRDefault="00763397" w:rsidP="00763397">
      <w:pPr>
        <w:pStyle w:val="Bibliography"/>
        <w:rPr>
          <w:rFonts w:ascii="Aptos"/>
        </w:rPr>
      </w:pPr>
      <w:r w:rsidRPr="00763397">
        <w:rPr>
          <w:rFonts w:ascii="Aptos"/>
        </w:rPr>
        <w:t xml:space="preserve">18. </w:t>
      </w:r>
      <w:r w:rsidRPr="00763397">
        <w:rPr>
          <w:rFonts w:ascii="Aptos"/>
        </w:rPr>
        <w:tab/>
        <w:t xml:space="preserve">Wang, Z.; Li, Y.; Zhou, F.; Piao, Z.; Hao, J. Effects of Statins on Bone Mineral Density and Fracture Risk. </w:t>
      </w:r>
      <w:r w:rsidRPr="00763397">
        <w:rPr>
          <w:rFonts w:ascii="Aptos"/>
          <w:i/>
          <w:iCs/>
        </w:rPr>
        <w:t>Medicine (Baltimore)</w:t>
      </w:r>
      <w:r w:rsidRPr="00763397">
        <w:rPr>
          <w:rFonts w:ascii="Aptos"/>
        </w:rPr>
        <w:t xml:space="preserve"> </w:t>
      </w:r>
      <w:r w:rsidRPr="00763397">
        <w:rPr>
          <w:rFonts w:ascii="Aptos"/>
          <w:b/>
          <w:bCs/>
        </w:rPr>
        <w:t>2016</w:t>
      </w:r>
      <w:r w:rsidRPr="00763397">
        <w:rPr>
          <w:rFonts w:ascii="Aptos"/>
        </w:rPr>
        <w:t xml:space="preserve">, </w:t>
      </w:r>
      <w:r w:rsidRPr="00763397">
        <w:rPr>
          <w:rFonts w:ascii="Aptos"/>
          <w:i/>
          <w:iCs/>
        </w:rPr>
        <w:t>95</w:t>
      </w:r>
      <w:r w:rsidRPr="00763397">
        <w:rPr>
          <w:rFonts w:ascii="Aptos"/>
        </w:rPr>
        <w:t>, e3042, doi:10.1097/MD.0000000000003042.</w:t>
      </w:r>
    </w:p>
    <w:p w14:paraId="215C3E25" w14:textId="77777777" w:rsidR="00763397" w:rsidRPr="00763397" w:rsidRDefault="00763397" w:rsidP="00763397">
      <w:pPr>
        <w:pStyle w:val="Bibliography"/>
        <w:rPr>
          <w:rFonts w:ascii="Aptos"/>
        </w:rPr>
      </w:pPr>
      <w:r w:rsidRPr="00763397">
        <w:rPr>
          <w:rFonts w:ascii="Aptos"/>
        </w:rPr>
        <w:t xml:space="preserve">19. </w:t>
      </w:r>
      <w:r w:rsidRPr="00763397">
        <w:rPr>
          <w:rFonts w:ascii="Aptos"/>
        </w:rPr>
        <w:tab/>
        <w:t xml:space="preserve">Foley, R.N.; Collins, A.J.; Ishani, A.; Kalra, P.A. Calcium-Phosphate Levels and Cardiovascular Disease in Community-Dwelling Adults: The Atherosclerosis Risk in Communities (ARIC) Study. </w:t>
      </w:r>
      <w:r w:rsidRPr="00763397">
        <w:rPr>
          <w:rFonts w:ascii="Aptos"/>
          <w:i/>
          <w:iCs/>
        </w:rPr>
        <w:t>Am. Heart J.</w:t>
      </w:r>
      <w:r w:rsidRPr="00763397">
        <w:rPr>
          <w:rFonts w:ascii="Aptos"/>
        </w:rPr>
        <w:t xml:space="preserve"> </w:t>
      </w:r>
      <w:r w:rsidRPr="00763397">
        <w:rPr>
          <w:rFonts w:ascii="Aptos"/>
          <w:b/>
          <w:bCs/>
        </w:rPr>
        <w:t>2008</w:t>
      </w:r>
      <w:r w:rsidRPr="00763397">
        <w:rPr>
          <w:rFonts w:ascii="Aptos"/>
        </w:rPr>
        <w:t xml:space="preserve">, </w:t>
      </w:r>
      <w:r w:rsidRPr="00763397">
        <w:rPr>
          <w:rFonts w:ascii="Aptos"/>
          <w:i/>
          <w:iCs/>
        </w:rPr>
        <w:t>156</w:t>
      </w:r>
      <w:r w:rsidRPr="00763397">
        <w:rPr>
          <w:rFonts w:ascii="Aptos"/>
        </w:rPr>
        <w:t>, 556–563, doi:10.1016/j.ahj.2008.05.016.</w:t>
      </w:r>
    </w:p>
    <w:p w14:paraId="6AC8D0FA" w14:textId="77777777" w:rsidR="00763397" w:rsidRPr="00763397" w:rsidRDefault="00763397" w:rsidP="00763397">
      <w:pPr>
        <w:pStyle w:val="Bibliography"/>
        <w:rPr>
          <w:rFonts w:ascii="Aptos"/>
        </w:rPr>
      </w:pPr>
      <w:r w:rsidRPr="00763397">
        <w:rPr>
          <w:rFonts w:ascii="Aptos"/>
        </w:rPr>
        <w:t xml:space="preserve">20. </w:t>
      </w:r>
      <w:r w:rsidRPr="00763397">
        <w:rPr>
          <w:rFonts w:ascii="Aptos"/>
        </w:rPr>
        <w:tab/>
        <w:t xml:space="preserve">Jorde, R.; Sundsfjord, J.; Fitzgerald, P.; Bønaa, K.H. Serum Calcium and Cardiovascular Risk Factors and Diseases. </w:t>
      </w:r>
      <w:r w:rsidRPr="00763397">
        <w:rPr>
          <w:rFonts w:ascii="Aptos"/>
          <w:i/>
          <w:iCs/>
        </w:rPr>
        <w:t>Hypertension</w:t>
      </w:r>
      <w:r w:rsidRPr="00763397">
        <w:rPr>
          <w:rFonts w:ascii="Aptos"/>
        </w:rPr>
        <w:t xml:space="preserve"> </w:t>
      </w:r>
      <w:r w:rsidRPr="00763397">
        <w:rPr>
          <w:rFonts w:ascii="Aptos"/>
          <w:b/>
          <w:bCs/>
        </w:rPr>
        <w:t>1999</w:t>
      </w:r>
      <w:r w:rsidRPr="00763397">
        <w:rPr>
          <w:rFonts w:ascii="Aptos"/>
        </w:rPr>
        <w:t xml:space="preserve">, </w:t>
      </w:r>
      <w:r w:rsidRPr="00763397">
        <w:rPr>
          <w:rFonts w:ascii="Aptos"/>
          <w:i/>
          <w:iCs/>
        </w:rPr>
        <w:t>34</w:t>
      </w:r>
      <w:r w:rsidRPr="00763397">
        <w:rPr>
          <w:rFonts w:ascii="Aptos"/>
        </w:rPr>
        <w:t>, 484–490, doi:10.1161/01.HYP.34.3.484.</w:t>
      </w:r>
    </w:p>
    <w:p w14:paraId="20AA6B59" w14:textId="35060839" w:rsidR="00871606" w:rsidRDefault="006C0229" w:rsidP="00763397">
      <w:pPr>
        <w:pStyle w:val="Bibliography"/>
      </w:pPr>
      <w:r>
        <w:fldChar w:fldCharType="end"/>
      </w:r>
      <w:r w:rsidR="00871606">
        <w:br w:type="page"/>
      </w:r>
    </w:p>
    <w:p w14:paraId="3908CE4E" w14:textId="555293DA" w:rsidR="00871606" w:rsidRDefault="00871606" w:rsidP="000F3E8F">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AC2337C"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r w:rsidR="00ED2E27">
        <w:t>.</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1735B1FB" w14:textId="64E000F7" w:rsidR="00E73B0F" w:rsidRDefault="00E73B0F">
      <w:r w:rsidRPr="00E73B0F">
        <w:rPr>
          <w:b/>
          <w:bCs/>
        </w:rPr>
        <w:t>Table 3: Summary of Drug-Target MR results.</w:t>
      </w:r>
      <w:r w:rsidRPr="00E73B0F">
        <w:t xml:space="preserve">  Results from inverse variance weighted analyses </w:t>
      </w:r>
      <w:r w:rsidR="003F64CE">
        <w:t xml:space="preserve">or Wald tests (when there was only one SNP) </w:t>
      </w:r>
      <w:r w:rsidRPr="00E73B0F">
        <w:t xml:space="preserve">for </w:t>
      </w:r>
      <w:r w:rsidR="003F64CE">
        <w:t>SNPs within 500 kb of known cholesterol drug targets</w:t>
      </w:r>
      <w:r w:rsidRPr="00E73B0F">
        <w:t>.</w:t>
      </w:r>
    </w:p>
    <w:p w14:paraId="5BFEF22D" w14:textId="2E914CA2" w:rsidR="00871606" w:rsidRDefault="00871606">
      <w:r>
        <w:br w:type="page"/>
      </w:r>
    </w:p>
    <w:p w14:paraId="283D5E2C" w14:textId="7AC71C1E" w:rsidR="00871606" w:rsidRDefault="00871606" w:rsidP="000F3E8F">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LabWAS</w:t>
      </w:r>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LabWAS</w:t>
      </w:r>
      <w:r>
        <w:rPr>
          <w:b/>
          <w:bCs/>
        </w:rPr>
        <w:t xml:space="preserve"> for serum Calcium</w:t>
      </w:r>
      <w:r w:rsidRPr="00B87D3D">
        <w:rPr>
          <w:b/>
          <w:bCs/>
        </w:rPr>
        <w:t>.</w:t>
      </w:r>
      <w:r>
        <w:t xml:space="preserve">  A) Effect sizes for each instrument in the exposure (UK Biobank) and outcome (LabWAS).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 xml:space="preserve">Scatter plots showing effect estimates in the exposure (UKBB) and outcome (LabWAS)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xml:space="preserve">, and estimated allele frequencies (eaf),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6-04-30T10:24:00Z" w:initials="DB">
    <w:p w14:paraId="256F3341" w14:textId="77777777" w:rsidR="008E5CAD" w:rsidRDefault="008E5CAD" w:rsidP="008E5CAD">
      <w:r>
        <w:rPr>
          <w:rStyle w:val="CommentReference"/>
        </w:rPr>
        <w:annotationRef/>
      </w:r>
      <w:r>
        <w:rPr>
          <w:sz w:val="20"/>
          <w:szCs w:val="20"/>
        </w:rPr>
        <w:t>add ref</w:t>
      </w:r>
    </w:p>
  </w:comment>
  <w:comment w:id="1" w:author="Dave Bridges" w:date="2026-04-30T10:25:00Z" w:initials="DB">
    <w:p w14:paraId="196AC6EA" w14:textId="77777777" w:rsidR="008E5CAD" w:rsidRDefault="008E5CAD" w:rsidP="008E5CAD">
      <w:r>
        <w:rPr>
          <w:rStyle w:val="CommentReference"/>
        </w:rPr>
        <w:annotationRef/>
      </w:r>
      <w:r>
        <w:rPr>
          <w:sz w:val="20"/>
          <w:szCs w:val="20"/>
        </w:rPr>
        <w:t>add ref</w:t>
      </w:r>
    </w:p>
  </w:comment>
  <w:comment w:id="2" w:author="Dave Bridges" w:date="2026-04-26T20:22:00Z" w:initials="DB">
    <w:p w14:paraId="5D8457CB" w14:textId="77777777" w:rsidR="00962054" w:rsidRDefault="00962054" w:rsidP="00962054">
      <w:r>
        <w:rPr>
          <w:rStyle w:val="CommentReference"/>
        </w:rPr>
        <w:annotationRef/>
      </w:r>
      <w:r>
        <w:rPr>
          <w:sz w:val="20"/>
          <w:szCs w:val="20"/>
        </w:rPr>
        <w:t>write about this</w:t>
      </w:r>
    </w:p>
  </w:comment>
  <w:comment w:id="3" w:author="Dave Bridges" w:date="2026-04-27T07:28:00Z" w:initials="DB">
    <w:p w14:paraId="1AFBD233" w14:textId="77777777" w:rsidR="00800586" w:rsidRDefault="00800586" w:rsidP="00800586">
      <w:r>
        <w:rPr>
          <w:rStyle w:val="CommentReference"/>
        </w:rPr>
        <w:annotationRef/>
      </w:r>
      <w:r>
        <w:rPr>
          <w:sz w:val="20"/>
          <w:szCs w:val="20"/>
        </w:rPr>
        <w:t>talk about MR-CAUSE testing of correlated pleiotropy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6F3341" w15:done="0"/>
  <w15:commentEx w15:paraId="196AC6EA" w15:done="0"/>
  <w15:commentEx w15:paraId="5D8457CB" w15:done="0"/>
  <w15:commentEx w15:paraId="1AFBD233" w15:paraIdParent="5D8457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D29332" w16cex:dateUtc="2026-04-30T14:24:00Z"/>
  <w16cex:commentExtensible w16cex:durableId="20CE5A03" w16cex:dateUtc="2026-04-30T14:25:00Z"/>
  <w16cex:commentExtensible w16cex:durableId="6C04AE97" w16cex:dateUtc="2026-04-27T00:22:00Z"/>
  <w16cex:commentExtensible w16cex:durableId="641FC168" w16cex:dateUtc="2026-04-27T1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6F3341" w16cid:durableId="42D29332"/>
  <w16cid:commentId w16cid:paraId="196AC6EA" w16cid:durableId="20CE5A03"/>
  <w16cid:commentId w16cid:paraId="5D8457CB" w16cid:durableId="6C04AE97"/>
  <w16cid:commentId w16cid:paraId="1AFBD233" w16cid:durableId="641FC16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C7C88"/>
    <w:rsid w:val="000D0655"/>
    <w:rsid w:val="000D3297"/>
    <w:rsid w:val="000D6A57"/>
    <w:rsid w:val="000E1126"/>
    <w:rsid w:val="000E114C"/>
    <w:rsid w:val="000E3BFB"/>
    <w:rsid w:val="000E431E"/>
    <w:rsid w:val="000F3E8F"/>
    <w:rsid w:val="00102E56"/>
    <w:rsid w:val="001070FE"/>
    <w:rsid w:val="00111879"/>
    <w:rsid w:val="00115D9B"/>
    <w:rsid w:val="00117948"/>
    <w:rsid w:val="00121C5B"/>
    <w:rsid w:val="0013427F"/>
    <w:rsid w:val="00135110"/>
    <w:rsid w:val="00141C21"/>
    <w:rsid w:val="00146173"/>
    <w:rsid w:val="0015153C"/>
    <w:rsid w:val="001515AD"/>
    <w:rsid w:val="00157115"/>
    <w:rsid w:val="00162FEC"/>
    <w:rsid w:val="00165647"/>
    <w:rsid w:val="00191994"/>
    <w:rsid w:val="001A2FB9"/>
    <w:rsid w:val="001C1657"/>
    <w:rsid w:val="001C5750"/>
    <w:rsid w:val="001C657B"/>
    <w:rsid w:val="001D2B81"/>
    <w:rsid w:val="001D4725"/>
    <w:rsid w:val="001E1D57"/>
    <w:rsid w:val="001E3F4F"/>
    <w:rsid w:val="001E5F79"/>
    <w:rsid w:val="001F149F"/>
    <w:rsid w:val="001F20D2"/>
    <w:rsid w:val="001F2A30"/>
    <w:rsid w:val="001F2B27"/>
    <w:rsid w:val="001F3717"/>
    <w:rsid w:val="001F37CB"/>
    <w:rsid w:val="0021034F"/>
    <w:rsid w:val="00211C64"/>
    <w:rsid w:val="002128AE"/>
    <w:rsid w:val="002220E7"/>
    <w:rsid w:val="0022433B"/>
    <w:rsid w:val="002310F5"/>
    <w:rsid w:val="002322AB"/>
    <w:rsid w:val="00244F96"/>
    <w:rsid w:val="00250B3C"/>
    <w:rsid w:val="00251095"/>
    <w:rsid w:val="00251B10"/>
    <w:rsid w:val="0025516C"/>
    <w:rsid w:val="00257105"/>
    <w:rsid w:val="0026015B"/>
    <w:rsid w:val="00263D7A"/>
    <w:rsid w:val="0026580A"/>
    <w:rsid w:val="0028006B"/>
    <w:rsid w:val="002820CC"/>
    <w:rsid w:val="002827EA"/>
    <w:rsid w:val="00283D08"/>
    <w:rsid w:val="00290744"/>
    <w:rsid w:val="00293D99"/>
    <w:rsid w:val="002964F2"/>
    <w:rsid w:val="002A005D"/>
    <w:rsid w:val="002B3436"/>
    <w:rsid w:val="002B35C8"/>
    <w:rsid w:val="002C45CD"/>
    <w:rsid w:val="002C5D14"/>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5EAE"/>
    <w:rsid w:val="00366F5C"/>
    <w:rsid w:val="003670A9"/>
    <w:rsid w:val="003734AC"/>
    <w:rsid w:val="00382FE3"/>
    <w:rsid w:val="00385D8D"/>
    <w:rsid w:val="00392C7F"/>
    <w:rsid w:val="00392FE2"/>
    <w:rsid w:val="00395991"/>
    <w:rsid w:val="00397C62"/>
    <w:rsid w:val="003A12D2"/>
    <w:rsid w:val="003B3419"/>
    <w:rsid w:val="003B74B2"/>
    <w:rsid w:val="003C031C"/>
    <w:rsid w:val="003C0A11"/>
    <w:rsid w:val="003D16DC"/>
    <w:rsid w:val="003E1BBD"/>
    <w:rsid w:val="003E5857"/>
    <w:rsid w:val="003F09D7"/>
    <w:rsid w:val="003F28D7"/>
    <w:rsid w:val="003F64CE"/>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94D5D"/>
    <w:rsid w:val="004A23A7"/>
    <w:rsid w:val="004B19B0"/>
    <w:rsid w:val="004B746B"/>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1FCC"/>
    <w:rsid w:val="00532FC4"/>
    <w:rsid w:val="00535314"/>
    <w:rsid w:val="00537BCF"/>
    <w:rsid w:val="00544AC6"/>
    <w:rsid w:val="00556C78"/>
    <w:rsid w:val="00576DB5"/>
    <w:rsid w:val="005821FA"/>
    <w:rsid w:val="0058330D"/>
    <w:rsid w:val="00587FF2"/>
    <w:rsid w:val="00590023"/>
    <w:rsid w:val="00590933"/>
    <w:rsid w:val="005A7782"/>
    <w:rsid w:val="005B517E"/>
    <w:rsid w:val="005B5A17"/>
    <w:rsid w:val="005C51F7"/>
    <w:rsid w:val="005C6416"/>
    <w:rsid w:val="005C770F"/>
    <w:rsid w:val="005D20D7"/>
    <w:rsid w:val="005D2153"/>
    <w:rsid w:val="005E1842"/>
    <w:rsid w:val="005E1BF2"/>
    <w:rsid w:val="005E5E64"/>
    <w:rsid w:val="005E6696"/>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97760"/>
    <w:rsid w:val="006A1841"/>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10EE5"/>
    <w:rsid w:val="007277E3"/>
    <w:rsid w:val="00745F22"/>
    <w:rsid w:val="007513E1"/>
    <w:rsid w:val="0075342D"/>
    <w:rsid w:val="00755E41"/>
    <w:rsid w:val="007563ED"/>
    <w:rsid w:val="00757F8B"/>
    <w:rsid w:val="00760470"/>
    <w:rsid w:val="00762DC2"/>
    <w:rsid w:val="00763397"/>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E7B9D"/>
    <w:rsid w:val="007F1332"/>
    <w:rsid w:val="007F7E35"/>
    <w:rsid w:val="0080021B"/>
    <w:rsid w:val="008002BF"/>
    <w:rsid w:val="00800586"/>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B00C3"/>
    <w:rsid w:val="008C3302"/>
    <w:rsid w:val="008C55CC"/>
    <w:rsid w:val="008C6483"/>
    <w:rsid w:val="008E002E"/>
    <w:rsid w:val="008E0C96"/>
    <w:rsid w:val="008E3845"/>
    <w:rsid w:val="008E5CAD"/>
    <w:rsid w:val="008F4A4D"/>
    <w:rsid w:val="008F5172"/>
    <w:rsid w:val="008F5461"/>
    <w:rsid w:val="008F74D5"/>
    <w:rsid w:val="00900C7F"/>
    <w:rsid w:val="009030CE"/>
    <w:rsid w:val="00906A0F"/>
    <w:rsid w:val="00907AA6"/>
    <w:rsid w:val="00926BC0"/>
    <w:rsid w:val="00945DFB"/>
    <w:rsid w:val="009476BC"/>
    <w:rsid w:val="0095035A"/>
    <w:rsid w:val="00951FF9"/>
    <w:rsid w:val="0095308E"/>
    <w:rsid w:val="00953D98"/>
    <w:rsid w:val="0095434B"/>
    <w:rsid w:val="00962054"/>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34EA"/>
    <w:rsid w:val="009E4E77"/>
    <w:rsid w:val="009F2F1E"/>
    <w:rsid w:val="00A01365"/>
    <w:rsid w:val="00A066E7"/>
    <w:rsid w:val="00A10F2B"/>
    <w:rsid w:val="00A12A68"/>
    <w:rsid w:val="00A2097B"/>
    <w:rsid w:val="00A213E8"/>
    <w:rsid w:val="00A30264"/>
    <w:rsid w:val="00A36B6F"/>
    <w:rsid w:val="00A4251B"/>
    <w:rsid w:val="00A458DF"/>
    <w:rsid w:val="00A55A54"/>
    <w:rsid w:val="00A67A5F"/>
    <w:rsid w:val="00A72D3E"/>
    <w:rsid w:val="00A763AC"/>
    <w:rsid w:val="00A854F3"/>
    <w:rsid w:val="00A95A18"/>
    <w:rsid w:val="00A965D4"/>
    <w:rsid w:val="00A9666F"/>
    <w:rsid w:val="00AA5F56"/>
    <w:rsid w:val="00AA6407"/>
    <w:rsid w:val="00AC5992"/>
    <w:rsid w:val="00AD24F0"/>
    <w:rsid w:val="00AD3EA3"/>
    <w:rsid w:val="00AE265B"/>
    <w:rsid w:val="00AE3366"/>
    <w:rsid w:val="00AE722C"/>
    <w:rsid w:val="00AE7A00"/>
    <w:rsid w:val="00AF55A0"/>
    <w:rsid w:val="00AF7C3C"/>
    <w:rsid w:val="00B120BC"/>
    <w:rsid w:val="00B1299C"/>
    <w:rsid w:val="00B13840"/>
    <w:rsid w:val="00B13C95"/>
    <w:rsid w:val="00B13E52"/>
    <w:rsid w:val="00B25EBD"/>
    <w:rsid w:val="00B2640E"/>
    <w:rsid w:val="00B32E48"/>
    <w:rsid w:val="00B3420F"/>
    <w:rsid w:val="00B46D8E"/>
    <w:rsid w:val="00B5317F"/>
    <w:rsid w:val="00B57DA3"/>
    <w:rsid w:val="00B61D00"/>
    <w:rsid w:val="00B7621D"/>
    <w:rsid w:val="00B77FB8"/>
    <w:rsid w:val="00B82286"/>
    <w:rsid w:val="00B83F54"/>
    <w:rsid w:val="00B87D3D"/>
    <w:rsid w:val="00B917E0"/>
    <w:rsid w:val="00B972C6"/>
    <w:rsid w:val="00BA1574"/>
    <w:rsid w:val="00BA26CD"/>
    <w:rsid w:val="00BB142D"/>
    <w:rsid w:val="00BC224B"/>
    <w:rsid w:val="00BD657E"/>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418E"/>
    <w:rsid w:val="00CA6AA1"/>
    <w:rsid w:val="00CB1DEF"/>
    <w:rsid w:val="00CB34F2"/>
    <w:rsid w:val="00CC022F"/>
    <w:rsid w:val="00CC183C"/>
    <w:rsid w:val="00CC7459"/>
    <w:rsid w:val="00CD04B1"/>
    <w:rsid w:val="00CD286D"/>
    <w:rsid w:val="00CD5385"/>
    <w:rsid w:val="00CD7E21"/>
    <w:rsid w:val="00CE39F7"/>
    <w:rsid w:val="00CE7389"/>
    <w:rsid w:val="00D004E7"/>
    <w:rsid w:val="00D04751"/>
    <w:rsid w:val="00D05C4D"/>
    <w:rsid w:val="00D06B2A"/>
    <w:rsid w:val="00D11E7C"/>
    <w:rsid w:val="00D21775"/>
    <w:rsid w:val="00D24A48"/>
    <w:rsid w:val="00D25FD9"/>
    <w:rsid w:val="00D26E8A"/>
    <w:rsid w:val="00D374A8"/>
    <w:rsid w:val="00D37846"/>
    <w:rsid w:val="00D42F34"/>
    <w:rsid w:val="00D44BFC"/>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B7C86"/>
    <w:rsid w:val="00DC6771"/>
    <w:rsid w:val="00DC6EFA"/>
    <w:rsid w:val="00DC7DB2"/>
    <w:rsid w:val="00DE29C9"/>
    <w:rsid w:val="00DE3FF2"/>
    <w:rsid w:val="00DE6AEE"/>
    <w:rsid w:val="00DF789E"/>
    <w:rsid w:val="00E0079E"/>
    <w:rsid w:val="00E00F5E"/>
    <w:rsid w:val="00E17F7E"/>
    <w:rsid w:val="00E26C14"/>
    <w:rsid w:val="00E37E42"/>
    <w:rsid w:val="00E45277"/>
    <w:rsid w:val="00E46FD8"/>
    <w:rsid w:val="00E539D6"/>
    <w:rsid w:val="00E63B8D"/>
    <w:rsid w:val="00E644BF"/>
    <w:rsid w:val="00E73B0F"/>
    <w:rsid w:val="00E84DBF"/>
    <w:rsid w:val="00E916A3"/>
    <w:rsid w:val="00EA6CE9"/>
    <w:rsid w:val="00ED1443"/>
    <w:rsid w:val="00ED2E27"/>
    <w:rsid w:val="00EE4FAC"/>
    <w:rsid w:val="00EF05E6"/>
    <w:rsid w:val="00EF21C3"/>
    <w:rsid w:val="00EF283B"/>
    <w:rsid w:val="00F00219"/>
    <w:rsid w:val="00F00934"/>
    <w:rsid w:val="00F01EE3"/>
    <w:rsid w:val="00F02252"/>
    <w:rsid w:val="00F051E9"/>
    <w:rsid w:val="00F12188"/>
    <w:rsid w:val="00F153C5"/>
    <w:rsid w:val="00F247B6"/>
    <w:rsid w:val="00F3431B"/>
    <w:rsid w:val="00F41EEB"/>
    <w:rsid w:val="00F44630"/>
    <w:rsid w:val="00F50243"/>
    <w:rsid w:val="00F53B39"/>
    <w:rsid w:val="00F541B2"/>
    <w:rsid w:val="00F603A0"/>
    <w:rsid w:val="00F62283"/>
    <w:rsid w:val="00F67CDF"/>
    <w:rsid w:val="00F81C7E"/>
    <w:rsid w:val="00F823CE"/>
    <w:rsid w:val="00F93FE3"/>
    <w:rsid w:val="00F95B9E"/>
    <w:rsid w:val="00F97358"/>
    <w:rsid w:val="00FA10DA"/>
    <w:rsid w:val="00FA24A6"/>
    <w:rsid w:val="00FA4FD0"/>
    <w:rsid w:val="00FB04DA"/>
    <w:rsid w:val="00FB3A40"/>
    <w:rsid w:val="00FC0A4C"/>
    <w:rsid w:val="00FC7A07"/>
    <w:rsid w:val="00FD2498"/>
    <w:rsid w:val="00FE66FA"/>
    <w:rsid w:val="00FF0B34"/>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994"/>
  </w:style>
  <w:style w:type="paragraph" w:styleId="Heading1">
    <w:name w:val="heading 1"/>
    <w:basedOn w:val="Normal"/>
    <w:next w:val="Normal"/>
    <w:link w:val="Heading1Char"/>
    <w:uiPriority w:val="9"/>
    <w:qFormat/>
    <w:rsid w:val="000F3E8F"/>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F3E8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E8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0F3E8F"/>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 w:type="character" w:styleId="Emphasis">
    <w:name w:val="Emphasis"/>
    <w:basedOn w:val="DefaultParagraphFont"/>
    <w:uiPriority w:val="20"/>
    <w:qFormat/>
    <w:rsid w:val="004B746B"/>
    <w:rPr>
      <w:i/>
      <w:iCs/>
    </w:rPr>
  </w:style>
  <w:style w:type="paragraph" w:customStyle="1" w:styleId="font-claude-response-body">
    <w:name w:val="font-claude-response-body"/>
    <w:basedOn w:val="Normal"/>
    <w:rsid w:val="0076339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33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12</Pages>
  <Words>13182</Words>
  <Characters>75144</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159</cp:revision>
  <dcterms:created xsi:type="dcterms:W3CDTF">2025-10-10T14:20:00Z</dcterms:created>
  <dcterms:modified xsi:type="dcterms:W3CDTF">2026-04-30T14:27:00Z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id="GiYCmcvU"/&gt;&lt;style id="http://www.zotero.org/styles/nutrients" hasBibliography="1" bibliographyStyleHasBeenSet="1"/&gt;&lt;prefs&gt;&lt;pref name="fieldType" value="Field"/&gt;&lt;pref name="automaticJournalAbbrevia</vt:lpwstr>
  </property>
  <property fmtid="{D5CDD505-2E9C-101B-9397-08002B2CF9AE}" pid="3" name="ZOTERO_PREF_2">
    <vt:lpwstr>tions" value="true"/&gt;&lt;/prefs&gt;&lt;/data&gt;</vt:lpwstr>
  </property>
</Properties>
</file>