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ED107" w14:textId="3A0575C5" w:rsidR="00824978" w:rsidRDefault="002B35C8" w:rsidP="00824978">
      <w:pPr>
        <w:pStyle w:val="Heading1"/>
      </w:pPr>
      <w:r>
        <w:t>Methods</w:t>
      </w:r>
    </w:p>
    <w:p w14:paraId="1CA6F4E2" w14:textId="19192797" w:rsidR="002B35C8" w:rsidRDefault="00421B63" w:rsidP="00FF1D3C">
      <w:pPr>
        <w:pStyle w:val="Heading2"/>
      </w:pPr>
      <w:r>
        <w:t>SNP</w:t>
      </w:r>
      <w:r w:rsidR="002B35C8">
        <w:t xml:space="preserve"> Instrument Selection</w:t>
      </w:r>
    </w:p>
    <w:p w14:paraId="6C11CA6A" w14:textId="4313525A"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532FC4" w:rsidRPr="002820CC">
        <w:instrText xml:space="preserve"> ADDIN ZOTERO_ITEM CSL_CITATION {"citationID":"reOoRbeU","properties":{"formattedCitation":"[1]","plainCitation":"[1]","noteIndex":0},"citationItems":[{"id":27087,"uris":["http://zotero.org/users/7317906/items/D75P3HJ8"],"itemData":{"id":27087,"type":"article-journal","abstract":"The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532FC4" w:rsidRPr="002820CC">
        <w:rPr>
          <w:noProof/>
        </w:rPr>
        <w:t>[1]</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532FC4" w:rsidRPr="002820CC">
        <w:instrText xml:space="preserve"> ADDIN ZOTERO_ITEM CSL_CITATION {"citationID":"oWqrPTAU","properties":{"formattedCitation":"[2]","plainCitation":"[2]","noteIndex":0},"citationItems":[{"id":27090,"uris":["http://zotero.org/users/7317906/items/6LJFBWLQ"],"itemData":{"id":27090,"type":"article-journal","abstract":"Results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532FC4" w:rsidRPr="002820CC">
        <w:rPr>
          <w:noProof/>
        </w:rPr>
        <w:t>[2]</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532FC4" w:rsidRPr="002820CC">
        <w:instrText xml:space="preserve"> ADDIN ZOTERO_ITEM CSL_CITATION {"citationID":"V8Jh24X5","properties":{"formattedCitation":"[3]","plainCitation":"[3]","noteIndex":0},"citationItems":[{"id":27095,"uris":["http://zotero.org/users/7317906/items/CATHGFDV"],"itemData":{"id":27095,"type":"article-journal","abstract":"BACKGROUND: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532FC4" w:rsidRPr="002820CC">
        <w:rPr>
          <w:noProof/>
        </w:rPr>
        <w:t>[3]</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532FC4" w:rsidRPr="002820CC">
        <w:instrText xml:space="preserve"> ADDIN ZOTERO_ITEM CSL_CITATION {"citationID":"cWNO4sOE","properties":{"formattedCitation":"[4]","plainCitation":"[4]","noteIndex":0},"citationItems":[{"id":27092,"uris":["http://zotero.org/users/7317906/items/P8JP332H"],"itemData":{"id":27092,"type":"article-journal","abstract":"The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532FC4" w:rsidRPr="002820CC">
        <w:rPr>
          <w:noProof/>
        </w:rPr>
        <w:t>[4]</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0A820F3F" w:rsidR="007D3CC9" w:rsidRPr="002820CC" w:rsidRDefault="007D3CC9" w:rsidP="002820CC">
      <w:r>
        <w:rPr>
          <w:rFonts w:cs="Cambria Math"/>
        </w:rPr>
        <w:t>Our outcomes were assessed from the MGI-</w:t>
      </w:r>
      <w:proofErr w:type="spellStart"/>
      <w:r>
        <w:rPr>
          <w:rFonts w:cs="Cambria Math"/>
        </w:rPr>
        <w:t>BioVU</w:t>
      </w:r>
      <w:proofErr w:type="spellEnd"/>
      <w:r>
        <w:rPr>
          <w:rFonts w:cs="Cambria Math"/>
        </w:rPr>
        <w:t xml:space="preserve"> </w:t>
      </w:r>
      <w:proofErr w:type="spellStart"/>
      <w:r>
        <w:rPr>
          <w:rFonts w:cs="Cambria Math"/>
        </w:rPr>
        <w:t>LabWAS</w:t>
      </w:r>
      <w:proofErr w:type="spellEnd"/>
      <w:r w:rsidR="00B3420F">
        <w:rPr>
          <w:rFonts w:cs="Cambria Math"/>
        </w:rPr>
        <w:t xml:space="preserve"> </w:t>
      </w:r>
      <w:r w:rsidR="005821FA">
        <w:rPr>
          <w:rFonts w:cs="Cambria Math"/>
        </w:rPr>
        <w:fldChar w:fldCharType="begin"/>
      </w:r>
      <w:r w:rsidR="005821FA">
        <w:rPr>
          <w:rFonts w:cs="Cambria Math"/>
        </w:rPr>
        <w:instrText xml:space="preserve"> ADDIN ZOTERO_ITEM CSL_CITATION {"citationID":"dzENltIW","properties":{"formattedCitation":"[5]","plainCitation":"[5]","noteIndex":0},"citationItems":[{"id":27098,"uris":["http://zotero.org/users/7317906/items/HBLP22LW"],"itemData":{"id":27098,"type":"article-journal","abstract":"Phenotypes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5821FA">
        <w:rPr>
          <w:rFonts w:cs="Cambria Math"/>
          <w:noProof/>
        </w:rPr>
        <w:t>[5]</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r w:rsidR="007277E3">
        <w:rPr>
          <w:rFonts w:cs="Cambria Math"/>
        </w:rPr>
        <w:t xml:space="preserve">  For each exposure-outcome pair </w:t>
      </w:r>
      <w:r w:rsidR="00796C46">
        <w:rPr>
          <w:rFonts w:cs="Cambria Math"/>
        </w:rPr>
        <w:t xml:space="preserve">our primary outcome was </w:t>
      </w:r>
      <w:proofErr w:type="gramStart"/>
      <w:r w:rsidR="00796C46">
        <w:rPr>
          <w:rFonts w:cs="Cambria Math"/>
        </w:rPr>
        <w:t xml:space="preserve">using </w:t>
      </w:r>
      <w:r w:rsidR="007277E3">
        <w:rPr>
          <w:rFonts w:cs="Cambria Math"/>
        </w:rPr>
        <w:t xml:space="preserve"> inverse</w:t>
      </w:r>
      <w:proofErr w:type="gramEnd"/>
      <w:r w:rsidR="007277E3">
        <w:rPr>
          <w:rFonts w:cs="Cambria Math"/>
        </w:rPr>
        <w:t xml:space="preserve"> variance weighted (IVW) </w:t>
      </w:r>
      <w:r w:rsidR="00796C46">
        <w:rPr>
          <w:rFonts w:cs="Cambria Math"/>
        </w:rPr>
        <w:t xml:space="preserve">means but as sensitivity </w:t>
      </w:r>
      <w:proofErr w:type="gramStart"/>
      <w:r w:rsidR="00796C46">
        <w:rPr>
          <w:rFonts w:cs="Cambria Math"/>
        </w:rPr>
        <w:t>analyses</w:t>
      </w:r>
      <w:proofErr w:type="gramEnd"/>
      <w:r w:rsidR="00796C46">
        <w:rPr>
          <w:rFonts w:cs="Cambria Math"/>
        </w:rPr>
        <w:t xml:space="preserve"> we also performed analyses using</w:t>
      </w:r>
      <w:r w:rsidR="007277E3">
        <w:rPr>
          <w:rFonts w:cs="Cambria Math"/>
        </w:rPr>
        <w:t xml:space="preserve"> MR-Egger, weighted mean and weighted mode methods</w:t>
      </w:r>
      <w:r w:rsidR="008C6483">
        <w:rPr>
          <w:rFonts w:cs="Cambria Math"/>
        </w:rPr>
        <w:t xml:space="preserve"> which make different assumptions about the validity of the genetic instruments</w:t>
      </w:r>
      <w:r w:rsidR="007277E3">
        <w:rPr>
          <w:rFonts w:cs="Cambria Math"/>
        </w:rPr>
        <w:t xml:space="preserve">.  To test for </w:t>
      </w:r>
      <w:r w:rsidR="008C6483">
        <w:rPr>
          <w:rFonts w:cs="Cambria Math"/>
        </w:rPr>
        <w:t xml:space="preserve">directional </w:t>
      </w:r>
      <w:proofErr w:type="gramStart"/>
      <w:r w:rsidR="007277E3">
        <w:rPr>
          <w:rFonts w:cs="Cambria Math"/>
        </w:rPr>
        <w:t>pleiotropy</w:t>
      </w:r>
      <w:proofErr w:type="gramEnd"/>
      <w:r w:rsidR="007277E3">
        <w:rPr>
          <w:rFonts w:cs="Cambria Math"/>
        </w:rPr>
        <w:t xml:space="preserve"> we evaluated whether the Egger intercept was different from zero, and we estimated heterogeneity via Q statistics.  We also tested whether associations were driven by influential SNPs by re-analyzing the data using IVW methods sequentially removing each instrument one at a time.</w:t>
      </w:r>
    </w:p>
    <w:p w14:paraId="601943BB" w14:textId="77777777" w:rsidR="002B35C8" w:rsidRDefault="002B35C8"/>
    <w:p w14:paraId="7BB23034" w14:textId="4EEC738A" w:rsidR="006F63F4" w:rsidRDefault="002B35C8" w:rsidP="008C6483">
      <w:pPr>
        <w:pStyle w:val="Heading1"/>
      </w:pPr>
      <w:r>
        <w:t>Results</w:t>
      </w:r>
    </w:p>
    <w:p w14:paraId="2EF24EE8" w14:textId="77777777" w:rsidR="00D05C4D" w:rsidRDefault="00D05C4D"/>
    <w:p w14:paraId="7CF50E75" w14:textId="47EE46C2" w:rsidR="00D05C4D" w:rsidRDefault="00D05C4D" w:rsidP="00D05C4D">
      <w:pPr>
        <w:pStyle w:val="Heading2"/>
      </w:pPr>
      <w:r>
        <w:lastRenderedPageBreak/>
        <w:t>Selection and Evaluation of Instruments</w:t>
      </w:r>
    </w:p>
    <w:p w14:paraId="0236EA4D" w14:textId="17967AC4" w:rsidR="00B3420F" w:rsidRDefault="007D3CC9">
      <w:r>
        <w:t>To understand the causal relationships between calcium and cholesterol in humans, we performed a two-sample Mendelian Randomization study</w:t>
      </w:r>
      <w:r w:rsidR="007A3FE5">
        <w:t xml:space="preserve"> summarized in Figure 1.  We</w:t>
      </w:r>
      <w:r>
        <w:t xml:space="preserve"> </w:t>
      </w:r>
      <w:r w:rsidR="007A3FE5">
        <w:t>identified</w:t>
      </w:r>
      <w:r>
        <w:t xml:space="preserve"> instrumental SNPs associated with calcium or cholesterol from UK Biobank and then evaluating them using summary statistics from MGI-</w:t>
      </w:r>
      <w:proofErr w:type="spellStart"/>
      <w:r>
        <w:t>BioVU</w:t>
      </w:r>
      <w:proofErr w:type="spellEnd"/>
      <w:r>
        <w:t xml:space="preserve"> </w:t>
      </w:r>
      <w:proofErr w:type="spellStart"/>
      <w:r>
        <w:t>LabWAS</w:t>
      </w:r>
      <w:proofErr w:type="spellEnd"/>
      <w:r>
        <w:t xml:space="preserve"> </w:t>
      </w:r>
      <w:r>
        <w:fldChar w:fldCharType="begin"/>
      </w:r>
      <w:r>
        <w:instrText xml:space="preserve"> ADDIN ZOTERO_ITEM CSL_CITATION {"citationID":"GJg3TBhy","properties":{"formattedCitation":"[5,6]","plainCitation":"[5,6]","noteIndex":0},"citationItems":[{"id":9537,"uris":["http://zotero.org/users/7317906/items/H4A3P2LK"],"itemData":{"id":9537,"type":"article-journal","container-title":"Cell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Pr>
          <w:noProof/>
        </w:rPr>
        <w:t>[5,6]</w:t>
      </w:r>
      <w:r>
        <w:fldChar w:fldCharType="end"/>
      </w:r>
      <w:r>
        <w:t>.  UK Biobank is a population-based cohort of primarily White British individuals aged 40-69 recruited between 2006 and 2010.  MGI-</w:t>
      </w:r>
      <w:proofErr w:type="spellStart"/>
      <w:r>
        <w:t>BioVU</w:t>
      </w:r>
      <w:proofErr w:type="spellEnd"/>
      <w:r>
        <w:t xml:space="preserve"> are</w:t>
      </w:r>
      <w:r w:rsidR="00491DC5">
        <w:t xml:space="preserve"> two</w:t>
      </w:r>
      <w:r>
        <w:t xml:space="preserve"> hospital-based cohorts of individuals primarily of European ancestry recruited between 2012 and 2025.</w:t>
      </w:r>
      <w:r w:rsidR="005821FA">
        <w:t xml:space="preserve">  SNP instruments were filtered by LD clumping</w:t>
      </w:r>
      <w:r w:rsidR="00D47381">
        <w:t>, excluding rare alleles, by harmonization with MGI-</w:t>
      </w:r>
      <w:proofErr w:type="spellStart"/>
      <w:r w:rsidR="00D47381">
        <w:t>BioVU</w:t>
      </w:r>
      <w:proofErr w:type="spellEnd"/>
      <w:r w:rsidR="00D47381">
        <w:t xml:space="preserve"> genetic data</w:t>
      </w:r>
      <w:r w:rsidR="007A3FE5">
        <w:t>, and by Stieger filtering to ensure variants explain more of the exposure than outcome</w:t>
      </w:r>
      <w:r w:rsidR="008002BF">
        <w:t xml:space="preserve"> (summarized in Supplementary Figure 1</w:t>
      </w:r>
      <w:r w:rsidR="00C56278">
        <w:t>;</w:t>
      </w:r>
      <w:r w:rsidR="00A67A5F">
        <w:t xml:space="preserve">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r w:rsidR="00527731">
        <w:t>The calcium instruments had somewhat weaker strength than those for cholesterol (see R</w:t>
      </w:r>
      <w:r w:rsidR="00527731" w:rsidRPr="00527731">
        <w:rPr>
          <w:vertAlign w:val="superscript"/>
        </w:rPr>
        <w:t>2</w:t>
      </w:r>
      <w:r w:rsidR="00527731">
        <w:t xml:space="preserve"> and overall F Statistic</w:t>
      </w:r>
      <w:r w:rsidR="00B7621D">
        <w:t>s</w:t>
      </w:r>
      <w:r w:rsidR="00527731">
        <w:t xml:space="preserve"> in Table 1).  Overall</w:t>
      </w:r>
      <w:r w:rsidR="00BA1574">
        <w:t>,</w:t>
      </w:r>
      <w:r w:rsidR="00527731">
        <w:t xml:space="preserve"> each of these</w:t>
      </w:r>
      <w:r w:rsidR="00D26E8A">
        <w:t xml:space="preserve"> instruments ha</w:t>
      </w:r>
      <w:r w:rsidR="00527731">
        <w:t>d</w:t>
      </w:r>
      <w:r w:rsidR="00D26E8A">
        <w:t xml:space="preserve"> very strong per-instrument power with </w:t>
      </w:r>
      <w:r w:rsidR="00BA1574">
        <w:t xml:space="preserve">our instruments having </w:t>
      </w:r>
      <w:r w:rsidR="00D26E8A">
        <w:t>median</w:t>
      </w:r>
      <w:r w:rsidR="00BA1574">
        <w:t xml:space="preserve"> F statistics </w:t>
      </w:r>
      <w:r w:rsidR="00D26E8A">
        <w:t>of 47-49) and the overall F-statistic ranging from 85-136</w:t>
      </w:r>
      <w:r w:rsidR="00BA1574">
        <w:t xml:space="preserve">, well above the recommended threshold of 10 </w:t>
      </w:r>
      <w:r w:rsidR="00BA1574">
        <w:fldChar w:fldCharType="begin"/>
      </w:r>
      <w:r w:rsidR="00BA1574">
        <w:instrText xml:space="preserve"> ADDIN ZOTERO_ITEM CSL_CITATION {"citationID":"DvbYElWe","properties":{"formattedCitation":"[7]","plainCitation":"[7]","noteIndex":0},"citationItems":[{"id":12020,"uris":["http://zotero.org/users/7317906/items/7ASTWT9P"],"itemData":{"id":12020,"type":"article-journal","abstract":"Background Mendelian randomization is used to test and estimate the magnitude of a causal effect of a phenotype on an outcome by using genetic variants as instrumental variables (IVs). Estimates of association from IV analysis are biased in the direction of the confounded, observational association between phenotype and outcome. The magnitude of the bias depends on the F-statistic for the strength of relationship between IVs and phenotype. We seek to develop guidelines for the design and analysis of Mendelian randomization studies to minimize bias.Methods IV analysis was performed on simulated and real data to investigate the effect on bias of size of study, number and choice of instruments and method of analysis.Results Bias is shown to increase as the expected F-statistic decreases, and can be reduced by using parsimonious models of genetic association (i.e. not over-parameterized) and by adjusting for measured covariates. Using data from a single study, the causal estimate of a unit increase in log-transformed C-reactive protein on fibrinogen (μmol/l) is shown to increase from −0.005 (P</w:instrText>
      </w:r>
      <w:r w:rsidR="00BA1574">
        <w:rPr>
          <w:rFonts w:ascii="Arial" w:hAnsi="Arial" w:cs="Arial"/>
        </w:rPr>
        <w:instrText> </w:instrText>
      </w:r>
      <w:r w:rsidR="00BA1574">
        <w:instrText>=</w:instrText>
      </w:r>
      <w:r w:rsidR="00BA1574">
        <w:rPr>
          <w:rFonts w:ascii="Arial" w:hAnsi="Arial" w:cs="Arial"/>
        </w:rPr>
        <w:instrText> </w:instrText>
      </w:r>
      <w:r w:rsidR="00BA1574">
        <w:instrText>0.99) to 0.792 (P</w:instrText>
      </w:r>
      <w:r w:rsidR="00BA1574">
        <w:rPr>
          <w:rFonts w:ascii="Arial" w:hAnsi="Arial" w:cs="Arial"/>
        </w:rPr>
        <w:instrText> </w:instrText>
      </w:r>
      <w:r w:rsidR="00BA1574">
        <w:instrText>=</w:instrText>
      </w:r>
      <w:r w:rsidR="00BA1574">
        <w:rPr>
          <w:rFonts w:ascii="Arial" w:hAnsi="Arial" w:cs="Arial"/>
        </w:rPr>
        <w:instrText> </w:instrText>
      </w:r>
      <w:r w:rsidR="00BA1574">
        <w:instrText>0.00003) due to injudicious choice of instrument. Moreover, when the observed F-statistic is larger than expected in a particular study, the causal estimate is more biased towards the observational association and its standard error is smaller. This correlation between causal estimate and standard error introduces a second source of bias into meta-analysis of Mendelian randomization studies. Bias can be alleviated in meta-analyses by using individual level data and by pooling genetic effects across studies.Conclusions Weak instrument bias is of practical importance for the design and analysis of Mendelian randomization studies. Post hoc choice of instruments, genetic models or data based on measured F-statistics can exacerbate bias. In particular, the commonly cited rule of thumb that F</w:instrText>
      </w:r>
      <w:r w:rsidR="00BA1574">
        <w:rPr>
          <w:rFonts w:ascii="Arial" w:hAnsi="Arial" w:cs="Arial"/>
        </w:rPr>
        <w:instrText> </w:instrText>
      </w:r>
      <w:r w:rsidR="00BA1574">
        <w:instrText>&amp;gt;</w:instrText>
      </w:r>
      <w:r w:rsidR="00BA1574">
        <w:rPr>
          <w:rFonts w:ascii="Arial" w:hAnsi="Arial" w:cs="Arial"/>
        </w:rPr>
        <w:instrText> </w:instrText>
      </w:r>
      <w:r w:rsidR="00BA1574">
        <w:instrText xml:space="preserve">10 avoids bias in IV analysis is misleading.","container-title":"International Journal of Epidemiology","DOI":"10.1093/ije/dyr036","ISSN":"0300-5771","issue":"3","journalAbbreviation":"International Journal of Epidemiology","page":"755-764","source":"Silverchair","title":"Avoiding bias from weak instruments in Mendelian randomization studies","volume":"40","author":[{"family":"Burgess","given":"Stephen"},{"family":"Thompson","given":"Simon G"},{"literal":"CRP CHD Genetics Collaboration"}],"issued":{"date-parts":[["2011",6,1]]},"citation-key":"burgessAvoidingBiasWeak2011"}}],"schema":"https://github.com/citation-style-language/schema/raw/master/csl-citation.json"} </w:instrText>
      </w:r>
      <w:r w:rsidR="00BA1574">
        <w:fldChar w:fldCharType="separate"/>
      </w:r>
      <w:r w:rsidR="00BA1574">
        <w:rPr>
          <w:noProof/>
        </w:rPr>
        <w:t>[7]</w:t>
      </w:r>
      <w:r w:rsidR="00BA1574">
        <w:fldChar w:fldCharType="end"/>
      </w:r>
      <w:r w:rsidR="00D26E8A">
        <w:t>. These are also well represented in the population (allele frequencies range from 30-35%).  This minimizes the risks of weak or rare instrument bias in our analyses.</w:t>
      </w:r>
      <w:r w:rsidR="00527731">
        <w:t xml:space="preserve">  </w:t>
      </w:r>
    </w:p>
    <w:p w14:paraId="7BCB350D" w14:textId="0C96ACF8" w:rsidR="00162FEC" w:rsidRDefault="00162FEC" w:rsidP="00162FEC">
      <w:r>
        <w:t xml:space="preserve">To confirm that </w:t>
      </w:r>
      <w:proofErr w:type="gramStart"/>
      <w:r>
        <w:t>these instrument</w:t>
      </w:r>
      <w:proofErr w:type="gramEnd"/>
      <w:r>
        <w:t xml:space="preserve"> are valid we performed a positive control analysis where genetically predicted serum Calcium from UK Biobank was used as the exposure and </w:t>
      </w:r>
      <w:proofErr w:type="spellStart"/>
      <w:r>
        <w:t>LabWAS</w:t>
      </w:r>
      <w:proofErr w:type="spellEnd"/>
      <w:r>
        <w:t xml:space="preserve"> serum Calcium was used as the outcome.  </w:t>
      </w:r>
      <w:r w:rsidR="00F44630">
        <w:t>We</w:t>
      </w:r>
      <w:r>
        <w:t xml:space="preserve"> found </w:t>
      </w:r>
      <w:r w:rsidR="00BE5F89">
        <w:t>a</w:t>
      </w:r>
      <w:r>
        <w:t xml:space="preserve"> 0.54 +/- 0.02 unit increase in calcium (</w:t>
      </w:r>
      <w:proofErr w:type="spellStart"/>
      <w:r w:rsidR="00BE5F89">
        <w:t>Lab</w:t>
      </w:r>
      <w:r>
        <w:t>GWAS</w:t>
      </w:r>
      <w:proofErr w:type="spellEnd"/>
      <w:r>
        <w:t>)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We found small but significant negative pleiotropy (egger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6134CF">
        <w:t>were</w:t>
      </w:r>
      <w:r w:rsidR="00F81C7E">
        <w:t xml:space="preserve"> robust to influential SNPs.</w:t>
      </w:r>
    </w:p>
    <w:p w14:paraId="30355525" w14:textId="5B66AEA8" w:rsidR="00121C5B" w:rsidRDefault="008C6483" w:rsidP="00121C5B">
      <w:pPr>
        <w:pStyle w:val="Heading2"/>
      </w:pPr>
      <w:r>
        <w:t xml:space="preserve">Lack of </w:t>
      </w:r>
      <w:r w:rsidR="00121C5B">
        <w:t xml:space="preserve">Evidence for a Calcium -&gt; Cholesterol </w:t>
      </w:r>
      <w:r>
        <w:t>Effect</w:t>
      </w:r>
    </w:p>
    <w:p w14:paraId="1FAD4F9A" w14:textId="77777777" w:rsidR="00871606" w:rsidRDefault="00871606" w:rsidP="00121C5B">
      <w:pPr>
        <w:pStyle w:val="Heading2"/>
      </w:pPr>
    </w:p>
    <w:p w14:paraId="4DBDE2E2" w14:textId="6C2E9218" w:rsidR="00121C5B" w:rsidRDefault="00121C5B" w:rsidP="00121C5B">
      <w:pPr>
        <w:pStyle w:val="Heading2"/>
      </w:pPr>
      <w:r>
        <w:t xml:space="preserve">Evidence for a Cholesterol -&gt; Calcium Causal </w:t>
      </w:r>
      <w:r w:rsidR="00690A4D">
        <w:t>Direction</w:t>
      </w:r>
    </w:p>
    <w:p w14:paraId="4F3F62CB" w14:textId="77777777" w:rsidR="00121C5B" w:rsidRDefault="00121C5B"/>
    <w:p w14:paraId="0B76829D" w14:textId="62A04EEF" w:rsidR="00871606" w:rsidRDefault="00871606"/>
    <w:p w14:paraId="3B9204CB" w14:textId="77777777" w:rsidR="00B3420F" w:rsidRDefault="00B3420F">
      <w:r>
        <w:br w:type="page"/>
      </w:r>
    </w:p>
    <w:p w14:paraId="7FAAEE21" w14:textId="5917F88A" w:rsidR="00806E4C" w:rsidRDefault="00806E4C" w:rsidP="009B3059">
      <w:pPr>
        <w:pStyle w:val="Heading1"/>
      </w:pPr>
      <w:r>
        <w:lastRenderedPageBreak/>
        <w:t>Discussion</w:t>
      </w:r>
    </w:p>
    <w:p w14:paraId="2272D5AB" w14:textId="3248EE11" w:rsidR="00806E4C" w:rsidRPr="00806E4C" w:rsidRDefault="00806E4C" w:rsidP="00806E4C">
      <w:r>
        <w:t xml:space="preserve">One limitation </w:t>
      </w:r>
      <w:r w:rsidR="00E45277">
        <w:t xml:space="preserve">of this work is that the SNP instruments for calcium were </w:t>
      </w:r>
      <w:r w:rsidR="002322AB">
        <w:t>slightly</w:t>
      </w:r>
      <w:r w:rsidR="00E45277">
        <w:t xml:space="preserve"> weaker than those for LDL or Total Cholesterol, explaining only 6.4% (compared to 8.9 or 9.7%) of the overall variance (Table 1).  While these are still very strong instruments by MR standards, it is possible (though we think unlikely) that their weakness may partially underlie the lack of a calcium to cholesterol effect.</w:t>
      </w:r>
    </w:p>
    <w:p w14:paraId="7A786C21" w14:textId="34356686" w:rsidR="00871606" w:rsidRDefault="00B3420F" w:rsidP="009B3059">
      <w:pPr>
        <w:pStyle w:val="Heading1"/>
      </w:pPr>
      <w:r>
        <w:t>References</w:t>
      </w:r>
    </w:p>
    <w:p w14:paraId="0FAB79F6" w14:textId="77777777" w:rsidR="006C0229" w:rsidRPr="006C0229" w:rsidRDefault="006C0229" w:rsidP="006C0229">
      <w:pPr>
        <w:pStyle w:val="Bibliography"/>
        <w:rPr>
          <w:rFonts w:ascii="Aptos"/>
        </w:rPr>
      </w:pPr>
      <w:r>
        <w:fldChar w:fldCharType="begin"/>
      </w:r>
      <w:r>
        <w:instrText xml:space="preserve"> ADDIN ZOTERO_BIBL {"uncited":[],"omitted":[],"custom":[]} CSL_BIBLIOGRAPHY </w:instrText>
      </w:r>
      <w:r>
        <w:fldChar w:fldCharType="separate"/>
      </w:r>
      <w:r w:rsidRPr="006C0229">
        <w:rPr>
          <w:rFonts w:ascii="Aptos"/>
        </w:rPr>
        <w:t xml:space="preserve">1. </w:t>
      </w:r>
      <w:r w:rsidRPr="006C0229">
        <w:rPr>
          <w:rFonts w:ascii="Aptos"/>
        </w:rPr>
        <w:tab/>
        <w:t xml:space="preserve">Bycroft, C.; Freeman, C.; Petkova, D.; Band, G.; Elliott, L.T.; Sharp, K.; Motyer, A.; Vukcevic, D.; Delaneau, O.; O’Connell, J.; et al. The UK Biobank Resource with Deep Phenotyping and Genomic Data. </w:t>
      </w:r>
      <w:r w:rsidRPr="006C0229">
        <w:rPr>
          <w:rFonts w:ascii="Aptos"/>
          <w:i/>
          <w:iCs/>
        </w:rPr>
        <w:t>Nature</w:t>
      </w:r>
      <w:r w:rsidRPr="006C0229">
        <w:rPr>
          <w:rFonts w:ascii="Aptos"/>
        </w:rPr>
        <w:t xml:space="preserve"> </w:t>
      </w:r>
      <w:r w:rsidRPr="006C0229">
        <w:rPr>
          <w:rFonts w:ascii="Aptos"/>
          <w:b/>
          <w:bCs/>
        </w:rPr>
        <w:t>2018</w:t>
      </w:r>
      <w:r w:rsidRPr="006C0229">
        <w:rPr>
          <w:rFonts w:ascii="Aptos"/>
        </w:rPr>
        <w:t xml:space="preserve">, </w:t>
      </w:r>
      <w:r w:rsidRPr="006C0229">
        <w:rPr>
          <w:rFonts w:ascii="Aptos"/>
          <w:i/>
          <w:iCs/>
        </w:rPr>
        <w:t>562</w:t>
      </w:r>
      <w:r w:rsidRPr="006C0229">
        <w:rPr>
          <w:rFonts w:ascii="Aptos"/>
        </w:rPr>
        <w:t>, 203–209, doi:10.1038/s41586-018-0579-z.</w:t>
      </w:r>
    </w:p>
    <w:p w14:paraId="40728492" w14:textId="77777777" w:rsidR="006C0229" w:rsidRPr="006C0229" w:rsidRDefault="006C0229" w:rsidP="006C0229">
      <w:pPr>
        <w:pStyle w:val="Bibliography"/>
        <w:rPr>
          <w:rFonts w:ascii="Aptos"/>
        </w:rPr>
      </w:pPr>
      <w:r w:rsidRPr="006C0229">
        <w:rPr>
          <w:rFonts w:ascii="Aptos"/>
        </w:rPr>
        <w:t xml:space="preserve">2. </w:t>
      </w:r>
      <w:r w:rsidRPr="006C0229">
        <w:rPr>
          <w:rFonts w:ascii="Aptos"/>
        </w:rPr>
        <w:tab/>
        <w:t xml:space="preserve">Hemani, G.; Zheng, J.; Elsworth, B.; Wade, K.H.; Haberland, V.; Baird, D.; Laurin, C.; Burgess, S.; Bowden, J.; Langdon, R.; et al. The MR-Base Platform Supports Systematic Causal Inference across the Human Phenome. </w:t>
      </w:r>
      <w:r w:rsidRPr="006C0229">
        <w:rPr>
          <w:rFonts w:ascii="Aptos"/>
          <w:i/>
          <w:iCs/>
        </w:rPr>
        <w:t>eLife</w:t>
      </w:r>
      <w:r w:rsidRPr="006C0229">
        <w:rPr>
          <w:rFonts w:ascii="Aptos"/>
        </w:rPr>
        <w:t xml:space="preserve"> </w:t>
      </w:r>
      <w:r w:rsidRPr="006C0229">
        <w:rPr>
          <w:rFonts w:ascii="Aptos"/>
          <w:b/>
          <w:bCs/>
        </w:rPr>
        <w:t>2018</w:t>
      </w:r>
      <w:r w:rsidRPr="006C0229">
        <w:rPr>
          <w:rFonts w:ascii="Aptos"/>
        </w:rPr>
        <w:t xml:space="preserve">, </w:t>
      </w:r>
      <w:r w:rsidRPr="006C0229">
        <w:rPr>
          <w:rFonts w:ascii="Aptos"/>
          <w:i/>
          <w:iCs/>
        </w:rPr>
        <w:t>7</w:t>
      </w:r>
      <w:r w:rsidRPr="006C0229">
        <w:rPr>
          <w:rFonts w:ascii="Aptos"/>
        </w:rPr>
        <w:t>, e34408, doi:10.7554/eLife.34408.</w:t>
      </w:r>
    </w:p>
    <w:p w14:paraId="0454A358" w14:textId="77777777" w:rsidR="006C0229" w:rsidRPr="006C0229" w:rsidRDefault="006C0229" w:rsidP="006C0229">
      <w:pPr>
        <w:pStyle w:val="Bibliography"/>
        <w:rPr>
          <w:rFonts w:ascii="Aptos"/>
        </w:rPr>
      </w:pPr>
      <w:r w:rsidRPr="006C0229">
        <w:rPr>
          <w:rFonts w:ascii="Aptos"/>
        </w:rPr>
        <w:t xml:space="preserve">3. </w:t>
      </w:r>
      <w:r w:rsidRPr="006C0229">
        <w:rPr>
          <w:rFonts w:ascii="Aptos"/>
        </w:rPr>
        <w:tab/>
        <w:t xml:space="preserve">Chang, C.C.; Chow, C.C.; Tellier, L.C.; Vattikuti, S.; Purcell, S.M.; Lee, J.J. Second-Generation PLINK: Rising to the Challenge of Larger and Richer Datasets. </w:t>
      </w:r>
      <w:r w:rsidRPr="006C0229">
        <w:rPr>
          <w:rFonts w:ascii="Aptos"/>
          <w:i/>
          <w:iCs/>
        </w:rPr>
        <w:t>GigaScience</w:t>
      </w:r>
      <w:r w:rsidRPr="006C0229">
        <w:rPr>
          <w:rFonts w:ascii="Aptos"/>
        </w:rPr>
        <w:t xml:space="preserve"> </w:t>
      </w:r>
      <w:r w:rsidRPr="006C0229">
        <w:rPr>
          <w:rFonts w:ascii="Aptos"/>
          <w:b/>
          <w:bCs/>
        </w:rPr>
        <w:t>2015</w:t>
      </w:r>
      <w:r w:rsidRPr="006C0229">
        <w:rPr>
          <w:rFonts w:ascii="Aptos"/>
        </w:rPr>
        <w:t xml:space="preserve">, </w:t>
      </w:r>
      <w:r w:rsidRPr="006C0229">
        <w:rPr>
          <w:rFonts w:ascii="Aptos"/>
          <w:i/>
          <w:iCs/>
        </w:rPr>
        <w:t>4</w:t>
      </w:r>
      <w:r w:rsidRPr="006C0229">
        <w:rPr>
          <w:rFonts w:ascii="Aptos"/>
        </w:rPr>
        <w:t>, 7, doi:10.1186/s13742-015-0047-8.</w:t>
      </w:r>
    </w:p>
    <w:p w14:paraId="3E0B1354" w14:textId="77777777" w:rsidR="006C0229" w:rsidRPr="006C0229" w:rsidRDefault="006C0229" w:rsidP="006C0229">
      <w:pPr>
        <w:pStyle w:val="Bibliography"/>
        <w:rPr>
          <w:rFonts w:ascii="Aptos"/>
        </w:rPr>
      </w:pPr>
      <w:r w:rsidRPr="006C0229">
        <w:rPr>
          <w:rFonts w:ascii="Aptos"/>
        </w:rPr>
        <w:t xml:space="preserve">4. </w:t>
      </w:r>
      <w:r w:rsidRPr="006C0229">
        <w:rPr>
          <w:rFonts w:ascii="Aptos"/>
        </w:rPr>
        <w:tab/>
        <w:t xml:space="preserve">1000 Genomes Project Consortium; Auton, A.; Brooks, L.D.; Durbin, R.M.; Garrison, E.P.; Kang, H.M.; Korbel, J.O.; Marchini, J.L.; McCarthy, S.; McVean, G.A.; et al. A Global Reference for Human Genetic Variation. </w:t>
      </w:r>
      <w:r w:rsidRPr="006C0229">
        <w:rPr>
          <w:rFonts w:ascii="Aptos"/>
          <w:i/>
          <w:iCs/>
        </w:rPr>
        <w:t>Nature</w:t>
      </w:r>
      <w:r w:rsidRPr="006C0229">
        <w:rPr>
          <w:rFonts w:ascii="Aptos"/>
        </w:rPr>
        <w:t xml:space="preserve"> </w:t>
      </w:r>
      <w:r w:rsidRPr="006C0229">
        <w:rPr>
          <w:rFonts w:ascii="Aptos"/>
          <w:b/>
          <w:bCs/>
        </w:rPr>
        <w:t>2015</w:t>
      </w:r>
      <w:r w:rsidRPr="006C0229">
        <w:rPr>
          <w:rFonts w:ascii="Aptos"/>
        </w:rPr>
        <w:t xml:space="preserve">, </w:t>
      </w:r>
      <w:r w:rsidRPr="006C0229">
        <w:rPr>
          <w:rFonts w:ascii="Aptos"/>
          <w:i/>
          <w:iCs/>
        </w:rPr>
        <w:t>526</w:t>
      </w:r>
      <w:r w:rsidRPr="006C0229">
        <w:rPr>
          <w:rFonts w:ascii="Aptos"/>
        </w:rPr>
        <w:t>, 68–74, doi:10.1038/nature15393.</w:t>
      </w:r>
    </w:p>
    <w:p w14:paraId="49F1455F" w14:textId="77777777" w:rsidR="006C0229" w:rsidRPr="006C0229" w:rsidRDefault="006C0229" w:rsidP="006C0229">
      <w:pPr>
        <w:pStyle w:val="Bibliography"/>
        <w:rPr>
          <w:rFonts w:ascii="Aptos"/>
        </w:rPr>
      </w:pPr>
      <w:r w:rsidRPr="006C0229">
        <w:rPr>
          <w:rFonts w:ascii="Aptos"/>
        </w:rPr>
        <w:t xml:space="preserve">5. </w:t>
      </w:r>
      <w:r w:rsidRPr="006C0229">
        <w:rPr>
          <w:rFonts w:ascii="Aptos"/>
        </w:rPr>
        <w:tab/>
        <w:t xml:space="preserve">Goldstein, J.A.; Weinstock, J.S.; Bastarache, L.A.; Larach, D.B.; Fritsche, L.G.; Schmidt, E.M.; Brummett, C.M.; Kheterpal, S.; Abecasis, G.R.; Denny, J.C.; et al. LabWAS: Novel Findings and Study Design Recommendations from a Meta-Analysis of Clinical Labs in Two Independent Biobanks. </w:t>
      </w:r>
      <w:r w:rsidRPr="006C0229">
        <w:rPr>
          <w:rFonts w:ascii="Aptos"/>
          <w:i/>
          <w:iCs/>
        </w:rPr>
        <w:t>PLoS Genet.</w:t>
      </w:r>
      <w:r w:rsidRPr="006C0229">
        <w:rPr>
          <w:rFonts w:ascii="Aptos"/>
        </w:rPr>
        <w:t xml:space="preserve"> </w:t>
      </w:r>
      <w:r w:rsidRPr="006C0229">
        <w:rPr>
          <w:rFonts w:ascii="Aptos"/>
          <w:b/>
          <w:bCs/>
        </w:rPr>
        <w:t>2020</w:t>
      </w:r>
      <w:r w:rsidRPr="006C0229">
        <w:rPr>
          <w:rFonts w:ascii="Aptos"/>
        </w:rPr>
        <w:t xml:space="preserve">, </w:t>
      </w:r>
      <w:r w:rsidRPr="006C0229">
        <w:rPr>
          <w:rFonts w:ascii="Aptos"/>
          <w:i/>
          <w:iCs/>
        </w:rPr>
        <w:t>16</w:t>
      </w:r>
      <w:r w:rsidRPr="006C0229">
        <w:rPr>
          <w:rFonts w:ascii="Aptos"/>
        </w:rPr>
        <w:t>, e1009077, doi:10.1371/journal.pgen.1009077.</w:t>
      </w:r>
    </w:p>
    <w:p w14:paraId="47FF2EC5" w14:textId="77777777" w:rsidR="006C0229" w:rsidRPr="006C0229" w:rsidRDefault="006C0229" w:rsidP="006C0229">
      <w:pPr>
        <w:pStyle w:val="Bibliography"/>
        <w:rPr>
          <w:rFonts w:ascii="Aptos"/>
        </w:rPr>
      </w:pPr>
      <w:r w:rsidRPr="006C0229">
        <w:rPr>
          <w:rFonts w:ascii="Aptos"/>
        </w:rPr>
        <w:t xml:space="preserve">6. </w:t>
      </w:r>
      <w:r w:rsidRPr="006C0229">
        <w:rPr>
          <w:rFonts w:ascii="Aptos"/>
        </w:rPr>
        <w:tab/>
        <w:t xml:space="preserve">Zawistowski, M.; Fritsche, L.G.; Pandit, A.; Vanderwerff, B.; Patil, S.; Schmidt, E.M.; VandeHaar, P.; Willer, C.J.; Brummett, C.M.; Kheterpal, S.; et al. The Michigan Genomics Initiative: A Biobank Linking Genotypes and Electronic Clinical Records in Michigan Medicine Patients. </w:t>
      </w:r>
      <w:r w:rsidRPr="006C0229">
        <w:rPr>
          <w:rFonts w:ascii="Aptos"/>
          <w:i/>
          <w:iCs/>
        </w:rPr>
        <w:t>Cell Genomics</w:t>
      </w:r>
      <w:r w:rsidRPr="006C0229">
        <w:rPr>
          <w:rFonts w:ascii="Aptos"/>
        </w:rPr>
        <w:t xml:space="preserve"> </w:t>
      </w:r>
      <w:r w:rsidRPr="006C0229">
        <w:rPr>
          <w:rFonts w:ascii="Aptos"/>
          <w:b/>
          <w:bCs/>
        </w:rPr>
        <w:t>2023</w:t>
      </w:r>
      <w:r w:rsidRPr="006C0229">
        <w:rPr>
          <w:rFonts w:ascii="Aptos"/>
        </w:rPr>
        <w:t xml:space="preserve">, </w:t>
      </w:r>
      <w:r w:rsidRPr="006C0229">
        <w:rPr>
          <w:rFonts w:ascii="Aptos"/>
          <w:i/>
          <w:iCs/>
        </w:rPr>
        <w:t>3</w:t>
      </w:r>
      <w:r w:rsidRPr="006C0229">
        <w:rPr>
          <w:rFonts w:ascii="Aptos"/>
        </w:rPr>
        <w:t>, 100257, doi:10.1016/j.xgen.2023.100257.</w:t>
      </w:r>
    </w:p>
    <w:p w14:paraId="23B20C91" w14:textId="77777777" w:rsidR="006C0229" w:rsidRPr="006C0229" w:rsidRDefault="006C0229" w:rsidP="006C0229">
      <w:pPr>
        <w:pStyle w:val="Bibliography"/>
        <w:rPr>
          <w:rFonts w:ascii="Aptos"/>
        </w:rPr>
      </w:pPr>
      <w:r w:rsidRPr="006C0229">
        <w:rPr>
          <w:rFonts w:ascii="Aptos"/>
        </w:rPr>
        <w:t xml:space="preserve">7. </w:t>
      </w:r>
      <w:r w:rsidRPr="006C0229">
        <w:rPr>
          <w:rFonts w:ascii="Aptos"/>
        </w:rPr>
        <w:tab/>
        <w:t xml:space="preserve">Burgess, S.; Thompson, S.G.; CRP CHD Genetics Collaboration Avoiding Bias from Weak Instruments in Mendelian Randomization Studies. </w:t>
      </w:r>
      <w:r w:rsidRPr="006C0229">
        <w:rPr>
          <w:rFonts w:ascii="Aptos"/>
          <w:i/>
          <w:iCs/>
        </w:rPr>
        <w:t>Int. J. Epidemiol.</w:t>
      </w:r>
      <w:r w:rsidRPr="006C0229">
        <w:rPr>
          <w:rFonts w:ascii="Aptos"/>
        </w:rPr>
        <w:t xml:space="preserve"> </w:t>
      </w:r>
      <w:r w:rsidRPr="006C0229">
        <w:rPr>
          <w:rFonts w:ascii="Aptos"/>
          <w:b/>
          <w:bCs/>
        </w:rPr>
        <w:t>2011</w:t>
      </w:r>
      <w:r w:rsidRPr="006C0229">
        <w:rPr>
          <w:rFonts w:ascii="Aptos"/>
        </w:rPr>
        <w:t xml:space="preserve">, </w:t>
      </w:r>
      <w:r w:rsidRPr="006C0229">
        <w:rPr>
          <w:rFonts w:ascii="Aptos"/>
          <w:i/>
          <w:iCs/>
        </w:rPr>
        <w:t>40</w:t>
      </w:r>
      <w:r w:rsidRPr="006C0229">
        <w:rPr>
          <w:rFonts w:ascii="Aptos"/>
        </w:rPr>
        <w:t>, 755–764, doi:10.1093/ije/dyr036.</w:t>
      </w:r>
    </w:p>
    <w:p w14:paraId="20AA6B59" w14:textId="0098D7B8" w:rsidR="00871606" w:rsidRDefault="006C0229">
      <w:r>
        <w:fldChar w:fldCharType="end"/>
      </w:r>
      <w:r w:rsidR="00871606">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5FEEA34B" w14:textId="68671816" w:rsidR="002E3FE2" w:rsidRDefault="002E3FE2">
      <w:pPr>
        <w:rPr>
          <w:b/>
          <w:bCs/>
        </w:rPr>
      </w:pPr>
      <w:r>
        <w:rPr>
          <w:b/>
          <w:bCs/>
        </w:rPr>
        <w:t>Figure 1: Overview of the present study and populations used</w:t>
      </w:r>
    </w:p>
    <w:p w14:paraId="6FB5B8AE" w14:textId="191C1689" w:rsidR="002E3FE2" w:rsidRPr="00E63B8D" w:rsidRDefault="002E3FE2">
      <w:r>
        <w:rPr>
          <w:b/>
          <w:bCs/>
        </w:rPr>
        <w:t xml:space="preserve">Figure 2: </w:t>
      </w:r>
      <w:r w:rsidR="00E63B8D">
        <w:rPr>
          <w:b/>
          <w:bCs/>
        </w:rPr>
        <w:t xml:space="preserve">Bidirectional Mendelian Randomization results.  </w:t>
      </w:r>
      <w:r w:rsidR="00E63B8D">
        <w:t>Point estimates and 95% confidence intervals for each of our primary (inverse variance weighted) and secondary analytic (MR-Egger, Weighted Mean and Weighted Mode) methods.</w:t>
      </w:r>
    </w:p>
    <w:p w14:paraId="168FD20E" w14:textId="4DB2D051" w:rsidR="00EF283B" w:rsidRPr="00C366BF" w:rsidRDefault="00EF283B">
      <w:r w:rsidRPr="00EF283B">
        <w:rPr>
          <w:b/>
          <w:bCs/>
        </w:rPr>
        <w:t>Table 1: Instrument summary statistics for each exposure.</w:t>
      </w:r>
      <w:r w:rsidR="00C366BF">
        <w:rPr>
          <w:b/>
          <w:bCs/>
        </w:rPr>
        <w:t xml:space="preserve">  </w:t>
      </w:r>
      <w:r w:rsidR="00C366BF">
        <w:t>Post-harmonization statistics for each set of exposure instruments</w:t>
      </w:r>
    </w:p>
    <w:p w14:paraId="5BFEF22D" w14:textId="77777777"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w:t>
      </w:r>
      <w:proofErr w:type="spellStart"/>
      <w:r>
        <w:t>BioVU</w:t>
      </w:r>
      <w:proofErr w:type="spellEnd"/>
      <w:r>
        <w:t xml:space="preserve"> </w:t>
      </w:r>
      <w:proofErr w:type="spellStart"/>
      <w:r>
        <w:t>LabWAS</w:t>
      </w:r>
      <w:proofErr w:type="spellEnd"/>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w:t>
      </w:r>
      <w:proofErr w:type="spellStart"/>
      <w:r w:rsidRPr="00B87D3D">
        <w:rPr>
          <w:b/>
          <w:bCs/>
        </w:rPr>
        <w:t>BioVU</w:t>
      </w:r>
      <w:proofErr w:type="spellEnd"/>
      <w:r w:rsidRPr="00B87D3D">
        <w:rPr>
          <w:b/>
          <w:bCs/>
        </w:rPr>
        <w:t xml:space="preserve"> </w:t>
      </w:r>
      <w:proofErr w:type="spellStart"/>
      <w:r w:rsidRPr="00B87D3D">
        <w:rPr>
          <w:b/>
          <w:bCs/>
        </w:rPr>
        <w:t>LabWAS</w:t>
      </w:r>
      <w:proofErr w:type="spellEnd"/>
      <w:r>
        <w:rPr>
          <w:b/>
          <w:bCs/>
        </w:rPr>
        <w:t xml:space="preserve"> for serum Calcium</w:t>
      </w:r>
      <w:r w:rsidRPr="00B87D3D">
        <w:rPr>
          <w:b/>
          <w:bCs/>
        </w:rPr>
        <w:t>.</w:t>
      </w:r>
      <w:r>
        <w:t xml:space="preserve">  A) Effect sizes for each instrument in the exposure (UK Biobank) and outcome (</w:t>
      </w:r>
      <w:proofErr w:type="spellStart"/>
      <w:r>
        <w:t>LabWAS</w:t>
      </w:r>
      <w:proofErr w:type="spellEnd"/>
      <w:r>
        <w:t>).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0C5755D3" w14:textId="33D5FD2D"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and estimated allele frequencies (</w:t>
      </w:r>
      <w:proofErr w:type="spellStart"/>
      <w:r w:rsidR="00F53B39">
        <w:t>eaf</w:t>
      </w:r>
      <w:proofErr w:type="spellEnd"/>
      <w:r w:rsidR="00F53B39">
        <w:t xml:space="preserve">), as well as the </w:t>
      </w:r>
      <w:r w:rsidR="00F53B39" w:rsidRPr="00F53B39">
        <w:rPr>
          <w:i/>
          <w:iCs/>
        </w:rPr>
        <w:t>F</w:t>
      </w:r>
      <w:r w:rsidR="00F53B39">
        <w:t xml:space="preserve"> statistic</w:t>
      </w:r>
      <w:r w:rsidR="00BE2AAF">
        <w:t>s</w:t>
      </w:r>
      <w:r w:rsidR="00F53B39">
        <w:t xml:space="preserve">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725D7"/>
    <w:rsid w:val="00072D8C"/>
    <w:rsid w:val="0008602F"/>
    <w:rsid w:val="00087B01"/>
    <w:rsid w:val="00091D69"/>
    <w:rsid w:val="0009550C"/>
    <w:rsid w:val="000A3109"/>
    <w:rsid w:val="000A32E7"/>
    <w:rsid w:val="000B5661"/>
    <w:rsid w:val="000C7A6D"/>
    <w:rsid w:val="000D0655"/>
    <w:rsid w:val="000D3297"/>
    <w:rsid w:val="000D6A57"/>
    <w:rsid w:val="000E1126"/>
    <w:rsid w:val="000E114C"/>
    <w:rsid w:val="000E431E"/>
    <w:rsid w:val="00111879"/>
    <w:rsid w:val="00115D9B"/>
    <w:rsid w:val="00117948"/>
    <w:rsid w:val="00121C5B"/>
    <w:rsid w:val="00141C21"/>
    <w:rsid w:val="00146173"/>
    <w:rsid w:val="001515AD"/>
    <w:rsid w:val="00162FEC"/>
    <w:rsid w:val="00165647"/>
    <w:rsid w:val="001C5750"/>
    <w:rsid w:val="001C657B"/>
    <w:rsid w:val="001D2B81"/>
    <w:rsid w:val="001D4725"/>
    <w:rsid w:val="001E1D57"/>
    <w:rsid w:val="001E3F4F"/>
    <w:rsid w:val="001E5F79"/>
    <w:rsid w:val="001F149F"/>
    <w:rsid w:val="001F2A30"/>
    <w:rsid w:val="001F2B27"/>
    <w:rsid w:val="001F3717"/>
    <w:rsid w:val="001F37CB"/>
    <w:rsid w:val="00211C64"/>
    <w:rsid w:val="002220E7"/>
    <w:rsid w:val="0022433B"/>
    <w:rsid w:val="002310F5"/>
    <w:rsid w:val="002322AB"/>
    <w:rsid w:val="00244F96"/>
    <w:rsid w:val="00250B3C"/>
    <w:rsid w:val="00251095"/>
    <w:rsid w:val="00251B10"/>
    <w:rsid w:val="0025516C"/>
    <w:rsid w:val="00257105"/>
    <w:rsid w:val="00263D7A"/>
    <w:rsid w:val="0028006B"/>
    <w:rsid w:val="002820CC"/>
    <w:rsid w:val="002827EA"/>
    <w:rsid w:val="00283D08"/>
    <w:rsid w:val="00293D99"/>
    <w:rsid w:val="002964F2"/>
    <w:rsid w:val="002A005D"/>
    <w:rsid w:val="002B35C8"/>
    <w:rsid w:val="002C45CD"/>
    <w:rsid w:val="002D19E7"/>
    <w:rsid w:val="002D2E10"/>
    <w:rsid w:val="002D4286"/>
    <w:rsid w:val="002D4F83"/>
    <w:rsid w:val="002E3F3F"/>
    <w:rsid w:val="002E3FE2"/>
    <w:rsid w:val="002F3DB8"/>
    <w:rsid w:val="002F563D"/>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A12D2"/>
    <w:rsid w:val="003B3419"/>
    <w:rsid w:val="003B74B2"/>
    <w:rsid w:val="003C031C"/>
    <w:rsid w:val="003C0A11"/>
    <w:rsid w:val="003D16DC"/>
    <w:rsid w:val="003E5857"/>
    <w:rsid w:val="003F09D7"/>
    <w:rsid w:val="003F6B95"/>
    <w:rsid w:val="003F6EB0"/>
    <w:rsid w:val="00406C2E"/>
    <w:rsid w:val="00421B63"/>
    <w:rsid w:val="00465D5F"/>
    <w:rsid w:val="004709DD"/>
    <w:rsid w:val="004777E7"/>
    <w:rsid w:val="00484144"/>
    <w:rsid w:val="00484410"/>
    <w:rsid w:val="00491DC5"/>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45FA"/>
    <w:rsid w:val="00527731"/>
    <w:rsid w:val="00531147"/>
    <w:rsid w:val="00532FC4"/>
    <w:rsid w:val="00535314"/>
    <w:rsid w:val="00537BCF"/>
    <w:rsid w:val="00544AC6"/>
    <w:rsid w:val="00556C78"/>
    <w:rsid w:val="00576DB5"/>
    <w:rsid w:val="005821FA"/>
    <w:rsid w:val="00590023"/>
    <w:rsid w:val="00590933"/>
    <w:rsid w:val="005B517E"/>
    <w:rsid w:val="005B5A17"/>
    <w:rsid w:val="005C51F7"/>
    <w:rsid w:val="005C6416"/>
    <w:rsid w:val="005C770F"/>
    <w:rsid w:val="005D20D7"/>
    <w:rsid w:val="005D2153"/>
    <w:rsid w:val="005E1842"/>
    <w:rsid w:val="005E1BF2"/>
    <w:rsid w:val="005E5E64"/>
    <w:rsid w:val="005F2A7E"/>
    <w:rsid w:val="00607605"/>
    <w:rsid w:val="00610487"/>
    <w:rsid w:val="00610F74"/>
    <w:rsid w:val="006134CF"/>
    <w:rsid w:val="0061406A"/>
    <w:rsid w:val="00623FB0"/>
    <w:rsid w:val="00624300"/>
    <w:rsid w:val="00624349"/>
    <w:rsid w:val="0062674E"/>
    <w:rsid w:val="006302AB"/>
    <w:rsid w:val="00630F22"/>
    <w:rsid w:val="00637BDD"/>
    <w:rsid w:val="006474D9"/>
    <w:rsid w:val="006532F6"/>
    <w:rsid w:val="0067322A"/>
    <w:rsid w:val="00690A4D"/>
    <w:rsid w:val="0069411B"/>
    <w:rsid w:val="006A5655"/>
    <w:rsid w:val="006A57E2"/>
    <w:rsid w:val="006B660D"/>
    <w:rsid w:val="006C0229"/>
    <w:rsid w:val="006D3471"/>
    <w:rsid w:val="006D491E"/>
    <w:rsid w:val="006D6F09"/>
    <w:rsid w:val="006E3BB1"/>
    <w:rsid w:val="006E63C3"/>
    <w:rsid w:val="006F63F4"/>
    <w:rsid w:val="006F745F"/>
    <w:rsid w:val="00701106"/>
    <w:rsid w:val="007067B2"/>
    <w:rsid w:val="00707168"/>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96C46"/>
    <w:rsid w:val="007A3FE5"/>
    <w:rsid w:val="007A68CC"/>
    <w:rsid w:val="007B483A"/>
    <w:rsid w:val="007C359B"/>
    <w:rsid w:val="007C7FAA"/>
    <w:rsid w:val="007D3CC9"/>
    <w:rsid w:val="007F1332"/>
    <w:rsid w:val="007F7E35"/>
    <w:rsid w:val="008002BF"/>
    <w:rsid w:val="00806E4C"/>
    <w:rsid w:val="00813302"/>
    <w:rsid w:val="008174BE"/>
    <w:rsid w:val="00823B54"/>
    <w:rsid w:val="00824978"/>
    <w:rsid w:val="008263E3"/>
    <w:rsid w:val="00833E08"/>
    <w:rsid w:val="008461E9"/>
    <w:rsid w:val="00856B5B"/>
    <w:rsid w:val="00862CD1"/>
    <w:rsid w:val="0087149B"/>
    <w:rsid w:val="00871606"/>
    <w:rsid w:val="00871AD9"/>
    <w:rsid w:val="00877754"/>
    <w:rsid w:val="008778C4"/>
    <w:rsid w:val="0088544C"/>
    <w:rsid w:val="008A2BDA"/>
    <w:rsid w:val="008A349D"/>
    <w:rsid w:val="008C3302"/>
    <w:rsid w:val="008C6483"/>
    <w:rsid w:val="008E0C96"/>
    <w:rsid w:val="008E3845"/>
    <w:rsid w:val="008F4A4D"/>
    <w:rsid w:val="008F5172"/>
    <w:rsid w:val="008F5461"/>
    <w:rsid w:val="008F74D5"/>
    <w:rsid w:val="009030CE"/>
    <w:rsid w:val="00906A0F"/>
    <w:rsid w:val="00907AA6"/>
    <w:rsid w:val="00926BC0"/>
    <w:rsid w:val="00945DFB"/>
    <w:rsid w:val="009476BC"/>
    <w:rsid w:val="0095035A"/>
    <w:rsid w:val="00951FF9"/>
    <w:rsid w:val="0095308E"/>
    <w:rsid w:val="00953D98"/>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4E77"/>
    <w:rsid w:val="009F2F1E"/>
    <w:rsid w:val="00A01365"/>
    <w:rsid w:val="00A066E7"/>
    <w:rsid w:val="00A12A68"/>
    <w:rsid w:val="00A213E8"/>
    <w:rsid w:val="00A30264"/>
    <w:rsid w:val="00A4251B"/>
    <w:rsid w:val="00A458DF"/>
    <w:rsid w:val="00A55A54"/>
    <w:rsid w:val="00A67A5F"/>
    <w:rsid w:val="00A72D3E"/>
    <w:rsid w:val="00A854F3"/>
    <w:rsid w:val="00A95A18"/>
    <w:rsid w:val="00A9666F"/>
    <w:rsid w:val="00AA5F56"/>
    <w:rsid w:val="00AA6407"/>
    <w:rsid w:val="00AC5992"/>
    <w:rsid w:val="00AD3EA3"/>
    <w:rsid w:val="00AE3366"/>
    <w:rsid w:val="00AE722C"/>
    <w:rsid w:val="00AE7A00"/>
    <w:rsid w:val="00AF7C3C"/>
    <w:rsid w:val="00B120BC"/>
    <w:rsid w:val="00B1299C"/>
    <w:rsid w:val="00B13840"/>
    <w:rsid w:val="00B13E52"/>
    <w:rsid w:val="00B25EBD"/>
    <w:rsid w:val="00B2640E"/>
    <w:rsid w:val="00B32E48"/>
    <w:rsid w:val="00B3420F"/>
    <w:rsid w:val="00B46D8E"/>
    <w:rsid w:val="00B5317F"/>
    <w:rsid w:val="00B7621D"/>
    <w:rsid w:val="00B82286"/>
    <w:rsid w:val="00B83F54"/>
    <w:rsid w:val="00B87D3D"/>
    <w:rsid w:val="00B917E0"/>
    <w:rsid w:val="00BA1574"/>
    <w:rsid w:val="00BA26CD"/>
    <w:rsid w:val="00BB142D"/>
    <w:rsid w:val="00BE2AAF"/>
    <w:rsid w:val="00BE5F89"/>
    <w:rsid w:val="00BF48EC"/>
    <w:rsid w:val="00BF6701"/>
    <w:rsid w:val="00C120C9"/>
    <w:rsid w:val="00C16149"/>
    <w:rsid w:val="00C17174"/>
    <w:rsid w:val="00C17BC9"/>
    <w:rsid w:val="00C363FB"/>
    <w:rsid w:val="00C366BF"/>
    <w:rsid w:val="00C452F2"/>
    <w:rsid w:val="00C463BB"/>
    <w:rsid w:val="00C47B8B"/>
    <w:rsid w:val="00C530B0"/>
    <w:rsid w:val="00C53982"/>
    <w:rsid w:val="00C56278"/>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241"/>
    <w:rsid w:val="00D6267F"/>
    <w:rsid w:val="00D63F7D"/>
    <w:rsid w:val="00D64C42"/>
    <w:rsid w:val="00D72666"/>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17F7E"/>
    <w:rsid w:val="00E26C14"/>
    <w:rsid w:val="00E37E42"/>
    <w:rsid w:val="00E45277"/>
    <w:rsid w:val="00E46FD8"/>
    <w:rsid w:val="00E539D6"/>
    <w:rsid w:val="00E63B8D"/>
    <w:rsid w:val="00E644BF"/>
    <w:rsid w:val="00EA6CE9"/>
    <w:rsid w:val="00ED1443"/>
    <w:rsid w:val="00EE4FAC"/>
    <w:rsid w:val="00EF05E6"/>
    <w:rsid w:val="00EF21C3"/>
    <w:rsid w:val="00EF283B"/>
    <w:rsid w:val="00F00934"/>
    <w:rsid w:val="00F01EE3"/>
    <w:rsid w:val="00F02252"/>
    <w:rsid w:val="00F051E9"/>
    <w:rsid w:val="00F153C5"/>
    <w:rsid w:val="00F247B6"/>
    <w:rsid w:val="00F3431B"/>
    <w:rsid w:val="00F41EEB"/>
    <w:rsid w:val="00F44630"/>
    <w:rsid w:val="00F53B39"/>
    <w:rsid w:val="00F541B2"/>
    <w:rsid w:val="00F603A0"/>
    <w:rsid w:val="00F67CDF"/>
    <w:rsid w:val="00F81C7E"/>
    <w:rsid w:val="00F823CE"/>
    <w:rsid w:val="00F93FE3"/>
    <w:rsid w:val="00F95B9E"/>
    <w:rsid w:val="00F97358"/>
    <w:rsid w:val="00FB04DA"/>
    <w:rsid w:val="00FB3A40"/>
    <w:rsid w:val="00FC0A4C"/>
    <w:rsid w:val="00FC7A07"/>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6</Pages>
  <Words>4361</Words>
  <Characters>24862</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67</cp:revision>
  <dcterms:created xsi:type="dcterms:W3CDTF">2025-10-10T14:20:00Z</dcterms:created>
  <dcterms:modified xsi:type="dcterms:W3CDTF">2025-10-18T12:47:00Z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id="a3PUzIOo"/&gt;&lt;style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