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79A29" w14:textId="6DC1F560" w:rsidR="00084F1C" w:rsidRDefault="002B35C8" w:rsidP="00084F1C">
      <w:pPr>
        <w:pStyle w:val="Heading1"/>
      </w:pPr>
      <w:r>
        <w:t>Methods</w:t>
      </w:r>
    </w:p>
    <w:p w14:paraId="4AC10A54" w14:textId="52A4055B" w:rsidR="00084F1C" w:rsidRPr="00084F1C" w:rsidRDefault="00084F1C" w:rsidP="00084F1C">
      <w:r>
        <w:t xml:space="preserve">The STROBE-MR checklist for this manuscript can be found in Supplementary File 1 </w:t>
      </w:r>
      <w:r>
        <w:fldChar w:fldCharType="begin"/>
      </w:r>
      <w:r>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practices.","container-title":"BMJ (Clinical research ed.)","DOI":"10.1136/bmj.n2233","ISSN":"1756-1833","journalAbbreviation":"BMJ","language":"eng","note":"PMID: 34702754\nPMCID: PMC8546498","page":"n2233","source":"PubMed","title":"Strengthening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Brent"}],"issued":{"date-parts":[["2021",10,26]]},"citation-key":"skrivankovaStrengtheningReportingObservational2021a"}},{"id":27101,"uris":["http://zotero.org/users/7317906/items/STRSZM9V"],"itemData":{"id":27101,"type":"article-journal","abstract":"IMPORTANCE: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results.","container-title":"JAMA","DOI":"10.1001/jama.2021.18236","ISSN":"1538-3598","issue":"16","journalAbbreviation":"JAMA","language":"eng","note":"PMID: 34698778","page":"1614-1621","source":"PubMed","title":"Strengthening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Brent"}],"issued":{"date-parts":[["2021",10,26]]},"citation-key":"skrivankovaStrengtheningReportingObservational2021"}}],"schema":"https://github.com/citation-style-language/schema/raw/master/csl-citation.json"} </w:instrText>
      </w:r>
      <w:r>
        <w:fldChar w:fldCharType="separate"/>
      </w:r>
      <w:r>
        <w:rPr>
          <w:noProof/>
        </w:rPr>
        <w:t>[1,2]</w:t>
      </w:r>
      <w:r>
        <w:fldChar w:fldCharType="end"/>
      </w:r>
      <w:r>
        <w:t xml:space="preserve">. </w:t>
      </w:r>
    </w:p>
    <w:p w14:paraId="1CA6F4E2" w14:textId="5D1005F2" w:rsidR="002B35C8" w:rsidRDefault="00421B63" w:rsidP="00FF1D3C">
      <w:pPr>
        <w:pStyle w:val="Heading2"/>
      </w:pPr>
      <w:r>
        <w:t>SNP</w:t>
      </w:r>
      <w:r w:rsidR="002B35C8">
        <w:t xml:space="preserve"> Instrument Selection</w:t>
      </w:r>
    </w:p>
    <w:p w14:paraId="6C11CA6A" w14:textId="649FAA94"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084F1C">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084F1C">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084F1C">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084F1C">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3FCE7707"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084F1C">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w:t>
      </w:r>
      <w:r w:rsidR="008C6483">
        <w:rPr>
          <w:rFonts w:cs="Cambria Math"/>
        </w:rPr>
        <w:t xml:space="preserve"> which make different assumptions about the validity of the genetic instruments</w:t>
      </w:r>
      <w:r w:rsidR="007277E3">
        <w:rPr>
          <w:rFonts w:cs="Cambria Math"/>
        </w:rPr>
        <w:t xml:space="preserve">.  To test for </w:t>
      </w:r>
      <w:r w:rsidR="005E6696">
        <w:rPr>
          <w:rFonts w:cs="Cambria Math"/>
        </w:rPr>
        <w:t xml:space="preserve">uncorrelated </w:t>
      </w:r>
      <w:r w:rsidR="008C6483">
        <w:rPr>
          <w:rFonts w:cs="Cambria Math"/>
        </w:rPr>
        <w:t xml:space="preserve">directional </w:t>
      </w:r>
      <w:proofErr w:type="gramStart"/>
      <w:r w:rsidR="007277E3">
        <w:rPr>
          <w:rFonts w:cs="Cambria Math"/>
        </w:rPr>
        <w:t>pleiotropy</w:t>
      </w:r>
      <w:proofErr w:type="gramEnd"/>
      <w:r w:rsidR="007277E3">
        <w:rPr>
          <w:rFonts w:cs="Cambria Math"/>
        </w:rPr>
        <w:t xml:space="preserve"> we evaluated whether the Egger intercept was different from zero, and </w:t>
      </w:r>
      <w:r w:rsidR="005E6696">
        <w:rPr>
          <w:rFonts w:cs="Cambria Math"/>
        </w:rPr>
        <w:t>to</w:t>
      </w:r>
      <w:r w:rsidR="007277E3">
        <w:rPr>
          <w:rFonts w:cs="Cambria Math"/>
        </w:rPr>
        <w:t xml:space="preserve"> estimate</w:t>
      </w:r>
      <w:r w:rsidR="005E6696">
        <w:rPr>
          <w:rFonts w:cs="Cambria Math"/>
        </w:rPr>
        <w:t xml:space="preserve"> </w:t>
      </w:r>
      <w:r w:rsidR="007277E3">
        <w:rPr>
          <w:rFonts w:cs="Cambria Math"/>
        </w:rPr>
        <w:t xml:space="preserve">heterogeneity </w:t>
      </w:r>
      <w:r w:rsidR="005E6696">
        <w:rPr>
          <w:rFonts w:cs="Cambria Math"/>
        </w:rPr>
        <w:t>we calculated</w:t>
      </w:r>
      <w:r w:rsidR="007277E3">
        <w:rPr>
          <w:rFonts w:cs="Cambria Math"/>
        </w:rPr>
        <w:t xml:space="preserve">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8C6483">
      <w:pPr>
        <w:pStyle w:val="Heading1"/>
      </w:pPr>
      <w:r>
        <w:lastRenderedPageBreak/>
        <w:t>Results</w:t>
      </w:r>
    </w:p>
    <w:p w14:paraId="2EF24EE8" w14:textId="77777777" w:rsidR="00D05C4D" w:rsidRDefault="00D05C4D"/>
    <w:p w14:paraId="7CF50E75" w14:textId="47EE46C2" w:rsidR="00D05C4D" w:rsidRDefault="00D05C4D" w:rsidP="00D05C4D">
      <w:pPr>
        <w:pStyle w:val="Heading2"/>
      </w:pPr>
      <w:r>
        <w:t>Selection and Evaluation of Instruments</w:t>
      </w:r>
    </w:p>
    <w:p w14:paraId="0236EA4D" w14:textId="3321121D"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rsidR="00084F1C">
        <w:instrText xml:space="preserve"> ADDIN ZOTERO_ITEM CSL_CITATION {"citationID":"GJg3TBhy","properties":{"formattedCitation":"[7,8]","plainCitation":"[7,8]","noteIndex":0},"citationItems":[{"id":9537,"uris":["http://zotero.org/users/7317906/items/H4A3P2LK"],"itemData":{"id":9537,"type":"article-journal","container-title":"Cell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sidR="00084F1C">
        <w:rPr>
          <w:noProof/>
        </w:rPr>
        <w:t>[7,8]</w:t>
      </w:r>
      <w:r>
        <w:fldChar w:fldCharType="end"/>
      </w:r>
      <w:r>
        <w:t>.  UK Biobank is a population-based cohort of primarily White British individuals aged 40-69 recruited between 2006 and 2010.  MGI-</w:t>
      </w:r>
      <w:proofErr w:type="spellStart"/>
      <w:r>
        <w:t>BioVU</w:t>
      </w:r>
      <w:proofErr w:type="spellEnd"/>
      <w:r>
        <w:t xml:space="preserve">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w:t>
      </w:r>
      <w:proofErr w:type="spellStart"/>
      <w:r w:rsidR="00D47381">
        <w:t>BioVU</w:t>
      </w:r>
      <w:proofErr w:type="spellEnd"/>
      <w:r w:rsidR="00D47381">
        <w:t xml:space="preserve">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084F1C">
        <w:instrText xml:space="preserve"> ADDIN ZOTERO_ITEM CSL_CITATION {"citationID":"DvbYElWe","properties":{"formattedCitation":"[9]","plainCitation":"[9]","noteIndex":0},"citationItems":[{"id":12020,"uris":["http://zotero.org/users/7317906/items/7ASTWT9P"],"itemData":{"id":12020,"type":"article-journal","abstract":"Background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084F1C">
        <w:rPr>
          <w:rFonts w:ascii="Arial" w:hAnsi="Arial" w:cs="Arial"/>
        </w:rPr>
        <w:instrText> </w:instrText>
      </w:r>
      <w:r w:rsidR="00084F1C">
        <w:instrText>=</w:instrText>
      </w:r>
      <w:r w:rsidR="00084F1C">
        <w:rPr>
          <w:rFonts w:ascii="Arial" w:hAnsi="Arial" w:cs="Arial"/>
        </w:rPr>
        <w:instrText> </w:instrText>
      </w:r>
      <w:r w:rsidR="00084F1C">
        <w:instrText>0.99) to 0.792 (P</w:instrText>
      </w:r>
      <w:r w:rsidR="00084F1C">
        <w:rPr>
          <w:rFonts w:ascii="Arial" w:hAnsi="Arial" w:cs="Arial"/>
        </w:rPr>
        <w:instrText> </w:instrText>
      </w:r>
      <w:r w:rsidR="00084F1C">
        <w:instrText>=</w:instrText>
      </w:r>
      <w:r w:rsidR="00084F1C">
        <w:rPr>
          <w:rFonts w:ascii="Arial" w:hAnsi="Arial" w:cs="Arial"/>
        </w:rPr>
        <w:instrText> </w:instrText>
      </w:r>
      <w:r w:rsidR="00084F1C">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084F1C">
        <w:rPr>
          <w:rFonts w:ascii="Arial" w:hAnsi="Arial" w:cs="Arial"/>
        </w:rPr>
        <w:instrText> </w:instrText>
      </w:r>
      <w:r w:rsidR="00084F1C">
        <w:instrText>&amp;gt;</w:instrText>
      </w:r>
      <w:r w:rsidR="00084F1C">
        <w:rPr>
          <w:rFonts w:ascii="Arial" w:hAnsi="Arial" w:cs="Arial"/>
        </w:rPr>
        <w:instrText> </w:instrText>
      </w:r>
      <w:r w:rsidR="00084F1C">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084F1C">
        <w:rPr>
          <w:noProof/>
        </w:rPr>
        <w:t>[9]</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62D873EA"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xml:space="preserve">.  We found </w:t>
      </w:r>
      <w:r w:rsidR="005E6696">
        <w:t xml:space="preserve">evidence of </w:t>
      </w:r>
      <w:r>
        <w:t xml:space="preserve">small but significant negative </w:t>
      </w:r>
      <w:r w:rsidR="005E6696">
        <w:t xml:space="preserve">uncorrelated </w:t>
      </w:r>
      <w:r>
        <w:t>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B66AEA8" w:rsidR="00121C5B" w:rsidRDefault="008C6483" w:rsidP="00121C5B">
      <w:pPr>
        <w:pStyle w:val="Heading2"/>
      </w:pPr>
      <w:r>
        <w:lastRenderedPageBreak/>
        <w:t xml:space="preserve">Lack of </w:t>
      </w:r>
      <w:r w:rsidR="00121C5B">
        <w:t xml:space="preserve">Evidence for a Calcium -&gt; Cholesterol </w:t>
      </w:r>
      <w:r>
        <w:t>Effect</w:t>
      </w:r>
    </w:p>
    <w:p w14:paraId="05BBA6DF" w14:textId="12C20951" w:rsidR="0015153C"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76569931" w14:textId="45489545" w:rsidR="0015153C" w:rsidRDefault="0015153C" w:rsidP="00D77C00">
      <w:r>
        <w:t xml:space="preserve">We first evaluated SNP instruments for calcium, asking whether they were associated with cholesterol effects using </w:t>
      </w:r>
      <w:proofErr w:type="spellStart"/>
      <w:r>
        <w:t>LabWAS</w:t>
      </w:r>
      <w:proofErr w:type="spellEnd"/>
      <w:r>
        <w:t xml:space="preserve"> summary statistics.  There was no evidence of a significant association for either total cholesterol (</w:t>
      </w:r>
      <w:r w:rsidRPr="0015153C">
        <w:t>0.032</w:t>
      </w:r>
      <w:r>
        <w:t xml:space="preserve"> +/- </w:t>
      </w:r>
      <w:r w:rsidRPr="0015153C">
        <w:t>0.038</w:t>
      </w:r>
      <w:r>
        <w:t>, p=0.39 from IVW)</w:t>
      </w:r>
      <w:r w:rsidRPr="0015153C">
        <w:t xml:space="preserve"> </w:t>
      </w:r>
      <w:r>
        <w:t>or LDL cholesterol (</w:t>
      </w:r>
      <w:r w:rsidRPr="0015153C">
        <w:t>-0.001</w:t>
      </w:r>
      <w:r>
        <w:t xml:space="preserve"> +/- </w:t>
      </w:r>
      <w:r w:rsidRPr="0015153C">
        <w:t>0.038</w:t>
      </w:r>
      <w:r>
        <w:t>, p=</w:t>
      </w:r>
      <w:r w:rsidRPr="0015153C">
        <w:t>0.97</w:t>
      </w:r>
      <w:r>
        <w:t xml:space="preserve">).  This was consistent across analytic methods (Figure 2A-B).  We observed significant </w:t>
      </w:r>
      <w:r w:rsidR="00B77FB8">
        <w:t xml:space="preserve">and moderate </w:t>
      </w:r>
      <w:r>
        <w:t>heterogeneity for both effects (Q=633 and 604 for Total and LDL-cholesterol respectively; p&lt;0.001</w:t>
      </w:r>
      <w:r w:rsidR="00E916A3">
        <w:t>, see Figures 3A-B</w:t>
      </w:r>
      <w:r>
        <w:t xml:space="preserve">), but no </w:t>
      </w:r>
      <w:r w:rsidR="00E916A3">
        <w:t xml:space="preserve">significant </w:t>
      </w:r>
      <w:r>
        <w:t xml:space="preserve">evidence of </w:t>
      </w:r>
      <w:r w:rsidR="00385D8D">
        <w:t xml:space="preserve">directional uncorrelated </w:t>
      </w:r>
      <w:r>
        <w:t xml:space="preserve">pleiotropy (Egger’s intercept </w:t>
      </w:r>
      <w:r w:rsidRPr="0015153C">
        <w:t>0.00058</w:t>
      </w:r>
      <w:r>
        <w:t xml:space="preserve"> +/-</w:t>
      </w:r>
      <w:r w:rsidRPr="0015153C">
        <w:t>0.00208</w:t>
      </w:r>
      <w:r>
        <w:t>; p=</w:t>
      </w:r>
      <w:r w:rsidRPr="0015153C">
        <w:t>0.78</w:t>
      </w:r>
      <w:r>
        <w:t xml:space="preserve"> and </w:t>
      </w:r>
      <w:r w:rsidRPr="0015153C">
        <w:t>0.0019</w:t>
      </w:r>
      <w:r>
        <w:t xml:space="preserve"> +/- </w:t>
      </w:r>
      <w:r w:rsidRPr="0015153C">
        <w:t>0.002</w:t>
      </w:r>
      <w:r>
        <w:t>1; p=</w:t>
      </w:r>
      <w:r w:rsidRPr="0015153C">
        <w:t>0.361</w:t>
      </w:r>
      <w:r>
        <w:t xml:space="preserve"> respectively</w:t>
      </w:r>
      <w:r w:rsidR="00A2097B">
        <w:t xml:space="preserve">) with </w:t>
      </w:r>
      <w:r w:rsidR="00157115">
        <w:t>only a few low-precision</w:t>
      </w:r>
      <w:r w:rsidR="00A2097B">
        <w:t xml:space="preserve"> </w:t>
      </w:r>
      <w:r w:rsidR="00F12188">
        <w:t>SNPs</w:t>
      </w:r>
      <w:r w:rsidR="00A2097B">
        <w:t xml:space="preserve"> falling </w:t>
      </w:r>
      <w:r w:rsidR="00157115">
        <w:t>outside</w:t>
      </w:r>
      <w:r w:rsidR="00A2097B">
        <w:t xml:space="preserve"> the boundaries </w:t>
      </w:r>
      <w:r w:rsidR="00157115">
        <w:t>in</w:t>
      </w:r>
      <w:r w:rsidR="00A2097B">
        <w:t xml:space="preserve"> funnel plot</w:t>
      </w:r>
      <w:r w:rsidR="00157115">
        <w:t>s</w:t>
      </w:r>
      <w:r w:rsidR="00E916A3">
        <w:t xml:space="preserve"> </w:t>
      </w:r>
      <w:r w:rsidR="00A2097B">
        <w:t>(</w:t>
      </w:r>
      <w:r w:rsidR="00E916A3">
        <w:t>Supplementary Figures 3E-F)</w:t>
      </w:r>
      <w:r w:rsidR="0026580A">
        <w:t xml:space="preserve">.  Leave-one out analyses described in Supplementary Figures 3I and J show four influential SNPs that modestly change the IVW estimate when </w:t>
      </w:r>
      <w:proofErr w:type="gramStart"/>
      <w:r w:rsidR="0026580A">
        <w:t>removed, but</w:t>
      </w:r>
      <w:proofErr w:type="gramEnd"/>
      <w:r w:rsidR="0026580A">
        <w:t xml:space="preserve"> did reverse the direction or lack of significance of thes</w:t>
      </w:r>
      <w:r w:rsidR="00A763AC">
        <w:t>e</w:t>
      </w:r>
      <w:r w:rsidR="0026580A">
        <w:t xml:space="preserve"> relationships.</w:t>
      </w:r>
      <w:r w:rsidR="00676B8E">
        <w:t xml:space="preserve">  Overall</w:t>
      </w:r>
      <w:r w:rsidR="00A2097B">
        <w:t>,</w:t>
      </w:r>
      <w:r w:rsidR="00676B8E">
        <w:t xml:space="preserve"> these analyses do not support a causal relationship between genetically predicted serum calcium levels and total or LDL-cholesterol</w:t>
      </w:r>
      <w:r w:rsidR="00A763AC">
        <w:t>.</w:t>
      </w:r>
    </w:p>
    <w:p w14:paraId="4DBDE2E2" w14:textId="71692E52" w:rsidR="00121C5B" w:rsidRDefault="00121C5B" w:rsidP="00121C5B">
      <w:pPr>
        <w:pStyle w:val="Heading2"/>
      </w:pPr>
      <w:r>
        <w:t xml:space="preserve">Evidence for a Cholesterol -&gt; Calcium </w:t>
      </w:r>
      <w:r w:rsidR="002E0DA6">
        <w:t>Effect</w:t>
      </w:r>
    </w:p>
    <w:p w14:paraId="2C74DB49" w14:textId="77777777" w:rsidR="001070FE" w:rsidRDefault="00067487" w:rsidP="00067487">
      <w:r>
        <w:t xml:space="preserve">We then tested the reverse hypothesis, that genetically predicted cholesterol levels could impact serum calcium levels.  As shown in Figures 2C-D and Table 2 IVW analyses show a significant positive relationship between </w:t>
      </w:r>
      <w:commentRangeStart w:id="0"/>
      <w:r>
        <w:t>both total cholesterol (</w:t>
      </w:r>
      <w:r w:rsidRPr="00067487">
        <w:t>0.065</w:t>
      </w:r>
      <w:r w:rsidRPr="00067487">
        <w:tab/>
      </w:r>
      <w:r>
        <w:t xml:space="preserve">-/+ </w:t>
      </w:r>
      <w:r w:rsidRPr="00067487">
        <w:t>0.019</w:t>
      </w:r>
      <w:r>
        <w:t xml:space="preserve"> p=</w:t>
      </w:r>
      <w:r w:rsidRPr="00067487">
        <w:t>0.0005</w:t>
      </w:r>
      <w:r>
        <w:t>8) and LDL-cholesterol (</w:t>
      </w:r>
      <w:r w:rsidRPr="00067487">
        <w:t>0.053</w:t>
      </w:r>
      <w:r>
        <w:t xml:space="preserve"> +/ </w:t>
      </w:r>
      <w:r w:rsidRPr="00067487">
        <w:t>0.019</w:t>
      </w:r>
      <w:r>
        <w:t xml:space="preserve"> p=</w:t>
      </w:r>
      <w:r w:rsidRPr="00067487">
        <w:t>0.0059</w:t>
      </w:r>
      <w:r>
        <w:t>) and calcium levels</w:t>
      </w:r>
      <w:commentRangeEnd w:id="0"/>
      <w:r w:rsidR="008274E7">
        <w:rPr>
          <w:rStyle w:val="CommentReference"/>
        </w:rPr>
        <w:commentReference w:id="0"/>
      </w:r>
      <w:r>
        <w:t xml:space="preserve">.  </w:t>
      </w:r>
      <w:r w:rsidR="008274E7">
        <w:t xml:space="preserve">Each of the four MR methods used provided similar estimates in the same direction, though the lower-powered MR-Egger estimate did not reach statistical significance (p=0.21 and 0.08 for total and LDL-cholesterol respectively).  </w:t>
      </w:r>
    </w:p>
    <w:p w14:paraId="4F3F62CB" w14:textId="28AEFBB9" w:rsidR="00121C5B" w:rsidRDefault="001070FE" w:rsidP="00067487">
      <w:r>
        <w:t>As</w:t>
      </w:r>
      <w:r w:rsidR="00067487">
        <w:t xml:space="preserve"> expected for a complex trait we observed </w:t>
      </w:r>
      <w:r w:rsidR="00B77FB8">
        <w:t xml:space="preserve">low to moderate </w:t>
      </w:r>
      <w:r w:rsidR="00067487">
        <w:t>significant heterogeneity in SNP effects (Q=441 and 369</w:t>
      </w:r>
      <w:r w:rsidR="008274E7">
        <w:t xml:space="preserve"> respectively</w:t>
      </w:r>
      <w:r w:rsidR="00067487">
        <w:t xml:space="preserve">, p&lt;0.001 </w:t>
      </w:r>
      <w:r w:rsidR="008274E7">
        <w:t>for each</w:t>
      </w:r>
      <w:r w:rsidR="00067487">
        <w:t>)</w:t>
      </w:r>
      <w:r w:rsidR="002B3436">
        <w:t xml:space="preserve">, likely reflecting biological </w:t>
      </w:r>
      <w:r>
        <w:t>variation</w:t>
      </w:r>
      <w:r w:rsidR="00067487">
        <w:t xml:space="preserve">.  Scatter plots show that most variants were symmetrically distributed around the best fit line, suggesting a homogeneous causal signal, with most outliers being low-precision SNPs (Supplementary Figures 3C-D).  </w:t>
      </w:r>
      <w:r w:rsidR="006C0FB6">
        <w:t>Funnel</w:t>
      </w:r>
      <w:r w:rsidR="00067487">
        <w:t xml:space="preserve"> plots also </w:t>
      </w:r>
      <w:r w:rsidR="00D61072">
        <w:t>suggest</w:t>
      </w:r>
      <w:r w:rsidR="00067487">
        <w:t xml:space="preserve"> the absence of directional </w:t>
      </w:r>
      <w:r w:rsidR="00385D8D">
        <w:t xml:space="preserve">uncorrelated </w:t>
      </w:r>
      <w:r w:rsidR="00067487">
        <w:t>pleiotropy</w:t>
      </w:r>
      <w:r w:rsidR="00473DFB">
        <w:t xml:space="preserve"> (Supplementary Figures 3G and H)</w:t>
      </w:r>
      <w:r w:rsidR="00D61072">
        <w:t>, confirmed by small and non-significant Egger’s intercepts for both total (</w:t>
      </w:r>
      <w:r w:rsidR="00D61072" w:rsidRPr="00D61072">
        <w:t>0.0011</w:t>
      </w:r>
      <w:r w:rsidR="00D61072">
        <w:t xml:space="preserve"> +/- </w:t>
      </w:r>
      <w:r w:rsidR="00D61072" w:rsidRPr="00D61072">
        <w:t>0.0009</w:t>
      </w:r>
      <w:r w:rsidR="00D61072">
        <w:t>; p=</w:t>
      </w:r>
      <w:r w:rsidR="00D61072" w:rsidRPr="00D61072">
        <w:t>0.26</w:t>
      </w:r>
      <w:r w:rsidR="00D61072">
        <w:t>) and LDL-cholesterol (</w:t>
      </w:r>
      <w:r w:rsidR="00D61072" w:rsidRPr="00D61072">
        <w:t>0.0001</w:t>
      </w:r>
      <w:r w:rsidR="00290744">
        <w:t>5</w:t>
      </w:r>
      <w:r w:rsidR="00D61072">
        <w:t xml:space="preserve"> +/- </w:t>
      </w:r>
      <w:r w:rsidR="00D61072" w:rsidRPr="00D61072">
        <w:t>0.0010</w:t>
      </w:r>
      <w:r w:rsidR="00D61072">
        <w:t>; p=</w:t>
      </w:r>
      <w:r w:rsidR="00D61072" w:rsidRPr="00D61072">
        <w:t>0.88</w:t>
      </w:r>
      <w:r w:rsidR="00D61072">
        <w:t>)</w:t>
      </w:r>
      <w:r w:rsidR="00473DFB">
        <w:t xml:space="preserve">.  This effect was not driven by </w:t>
      </w:r>
      <w:r w:rsidR="00873E8C">
        <w:t xml:space="preserve">any </w:t>
      </w:r>
      <w:r w:rsidR="00473DFB">
        <w:t xml:space="preserve">influential SNPs </w:t>
      </w:r>
      <w:r w:rsidR="00473DFB">
        <w:lastRenderedPageBreak/>
        <w:t>as leave-one-out analyses show that the significant IVW estimate</w:t>
      </w:r>
      <w:r w:rsidR="00873E8C">
        <w:t xml:space="preserve">s were </w:t>
      </w:r>
      <w:r w:rsidR="00473DFB">
        <w:t xml:space="preserve">robust to </w:t>
      </w:r>
      <w:r w:rsidR="00461C78">
        <w:t xml:space="preserve">individual </w:t>
      </w:r>
      <w:r w:rsidR="00473DFB">
        <w:t>SNP removal (Supplementary Figures 3K-L).</w:t>
      </w:r>
      <w:r w:rsidR="008274E7">
        <w:t xml:space="preserve">  Overall, these data do support </w:t>
      </w:r>
      <w:r w:rsidR="006C0FB6">
        <w:t>the hypothesis of a</w:t>
      </w:r>
      <w:r w:rsidR="008274E7">
        <w:t xml:space="preserve"> causal effect of cholesterol on calcium with slightly larger and more significant effects of total cholesterol as compared to LDL-cholesterol)</w:t>
      </w:r>
      <w:r w:rsidR="006C0FB6">
        <w:t>.</w:t>
      </w:r>
      <w:r w:rsidR="006C0FB6" w:rsidRPr="006C0FB6">
        <w:t xml:space="preserve"> These findings suggest that elevated cholesterol </w:t>
      </w:r>
      <w:r w:rsidR="006C0FB6">
        <w:t>could</w:t>
      </w:r>
      <w:r w:rsidR="006C0FB6" w:rsidRPr="006C0FB6">
        <w:t xml:space="preserve"> contribute to higher serum calcium concentrations</w:t>
      </w:r>
      <w:r w:rsidR="006C0FB6">
        <w:t>.</w:t>
      </w:r>
    </w:p>
    <w:p w14:paraId="3B9204CB" w14:textId="4EEB7E2F" w:rsidR="00B3420F" w:rsidRDefault="00B3420F"/>
    <w:p w14:paraId="7FAAEE21" w14:textId="5917F88A" w:rsidR="00806E4C" w:rsidRDefault="00806E4C" w:rsidP="009B3059">
      <w:pPr>
        <w:pStyle w:val="Heading1"/>
      </w:pPr>
      <w:r>
        <w:t>Discussion</w:t>
      </w:r>
    </w:p>
    <w:p w14:paraId="5C092266" w14:textId="5ECA1002" w:rsidR="00D004E7" w:rsidRDefault="00D004E7" w:rsidP="00806E4C">
      <w:r>
        <w:t>MR</w:t>
      </w:r>
      <w:r w:rsidR="00FD2498">
        <w:t xml:space="preserve"> is an epidemiological inferential that relies upon random segregation of SNPs to identify causal associations between traits, while limiting bias from unobserved confounding of that relationship </w:t>
      </w:r>
      <w:r w:rsidR="00FD2498">
        <w:fldChar w:fldCharType="begin"/>
      </w:r>
      <w:r w:rsidR="00FD2498">
        <w:instrText xml:space="preserve"> ADDIN ZOTERO_ITEM CSL_CITATION {"citationID":"60soaiRK","properties":{"formattedCitation":"[10]","plainCitation":"[10]","noteIndex":0},"citationItems":[{"id":27119,"uris":["http://zotero.org/users/7317906/items/WKT9NGK9"],"itemData":{"id":27119,"type":"article-journal","abstract":"Mendelian randomization (MR) is a term that applies to the use of genetic variation to address causal questions about how modifiable exposures influence different outcomes. The principles of MR are based on Mendel’s laws of inheritance and instrumental variable estimation methods, which enable the inference of causal effects in the presence of unobserved confounding. In this Primer, we outline the principles of MR, the instrumental variable conditions underlying MR estimation and some of the methods used for estimation. We go on to discuss how the assumptions underlying an MR study can be assessed and describe methods of estimation that are robust to certain violations of these assumptions. We give examples of a range of studies in which MR has been applied, the limitations of current methods of analysis and the outlook for MR in the future. The differences between the assumptions required for MR analysis and other forms of epidemiological studies means that MR can be used as part of a triangulation across multiple sources of evidence for causal inference.","container-title":"Nature Reviews Methods Primers","DOI":"10.1038/s43586-021-00092-5","ISSN":"2662-8449","issue":"1","journalAbbreviation":"Nat Rev Methods Primers","language":"en","license":"2022 Springer Nature Limited","note":"publisher: Nature Publishing Group","page":"6","source":"www.nature.com","title":"Mendelian randomization","volume":"2","author":[{"family":"Sanderson","given":"Eleanor"},{"family":"Glymour","given":"M. Maria"},{"family":"Holmes","given":"Michael V."},{"family":"Kang","given":"Hyunseung"},{"family":"Morrison","given":"Jean"},{"family":"Munafò","given":"Marcus R."},{"family":"Palmer","given":"Tom"},{"family":"Schooling","given":"C. Mary"},{"family":"Wallace","given":"Chris"},{"family":"Zhao","given":"Qingyuan"},{"family":"Davey Smith","given":"George"}],"issued":{"date-parts":[["2022",2,10]]},"citation-key":"sandersonMendelianRandomization2022"}}],"schema":"https://github.com/citation-style-language/schema/raw/master/csl-citation.json"} </w:instrText>
      </w:r>
      <w:r w:rsidR="00FD2498">
        <w:fldChar w:fldCharType="separate"/>
      </w:r>
      <w:r w:rsidR="00FD2498">
        <w:rPr>
          <w:noProof/>
        </w:rPr>
        <w:t>[10]</w:t>
      </w:r>
      <w:r w:rsidR="00FD2498">
        <w:fldChar w:fldCharType="end"/>
      </w:r>
      <w:r w:rsidR="00FD2498">
        <w:t>.  The key assumptions of MR include the relevance assumption, independence assumption and exclusion restriction assumptions.</w:t>
      </w:r>
    </w:p>
    <w:p w14:paraId="05621932" w14:textId="028356C2" w:rsidR="00D004E7" w:rsidRDefault="00DB7C86" w:rsidP="00806E4C">
      <w:r>
        <w:t>We have strong evidence for the r</w:t>
      </w:r>
      <w:r w:rsidR="00D004E7">
        <w:t>elevance assumption</w:t>
      </w:r>
      <w:r>
        <w:t>, or that SNPs are strongly associated with our exposure based both on the strong F-statistics (for each analysis substantially &gt;10; see Table 1) and with our positive control which demonstrates significant positive associations between SNPs in UK Biobank vs MGI-</w:t>
      </w:r>
      <w:proofErr w:type="spellStart"/>
      <w:r>
        <w:t>BioVU</w:t>
      </w:r>
      <w:proofErr w:type="spellEnd"/>
      <w:r>
        <w:t xml:space="preserve"> </w:t>
      </w:r>
      <w:proofErr w:type="spellStart"/>
      <w:r>
        <w:t>LabWAS</w:t>
      </w:r>
      <w:proofErr w:type="spellEnd"/>
      <w:r>
        <w:t>.</w:t>
      </w:r>
    </w:p>
    <w:p w14:paraId="0193638F" w14:textId="6388F841" w:rsidR="00D004E7" w:rsidRDefault="00D004E7" w:rsidP="00806E4C">
      <w:r>
        <w:t>Independence assumption</w:t>
      </w:r>
    </w:p>
    <w:p w14:paraId="6D32467F" w14:textId="726737AA" w:rsidR="00D004E7" w:rsidRDefault="00D004E7" w:rsidP="00806E4C">
      <w:r>
        <w:t xml:space="preserve">There is little evidence for violation of the exclusion restriction criteria in our </w:t>
      </w:r>
      <w:r w:rsidR="00DB7C86">
        <w:t>NALYSES</w:t>
      </w:r>
      <w:r>
        <w:t xml:space="preserve"> given the lack of significant directional uncorrelated horizontal pleiotropy detected in our sensitivity analyses</w:t>
      </w:r>
      <w:r w:rsidR="00DB7C86">
        <w:t>, the similarity between IVW and MR-PRESSO estimates and other methods that are less sensitive to pleiotropy (weighted median, weighted mode and MR-RAPS)</w:t>
      </w:r>
      <w:r>
        <w:t>.</w:t>
      </w:r>
      <w:r w:rsidR="00DB7C86">
        <w:t xml:space="preserve">  Furthermore </w:t>
      </w:r>
      <w:r w:rsidR="00FD2498">
        <w:t>,</w:t>
      </w:r>
      <w:r w:rsidR="00DB7C86">
        <w:t xml:space="preserve">funnel and scatter plots do </w:t>
      </w:r>
      <w:r w:rsidR="00FD2498">
        <w:t>show clear</w:t>
      </w:r>
      <w:r w:rsidR="00DB7C86">
        <w:t xml:space="preserve"> visual evidence of uncorrelated pleiotropy.</w:t>
      </w:r>
    </w:p>
    <w:p w14:paraId="3314BFDD" w14:textId="69DF2D0D" w:rsidR="00D004E7" w:rsidRDefault="00DB7C86" w:rsidP="00806E4C">
      <w:r>
        <w:t>Two sample</w:t>
      </w:r>
      <w:r w:rsidR="008E002E">
        <w:t xml:space="preserve"> advantages</w:t>
      </w:r>
    </w:p>
    <w:p w14:paraId="21364377" w14:textId="5DA7F12D" w:rsidR="00D004E7" w:rsidRDefault="00D004E7" w:rsidP="00806E4C">
      <w:r>
        <w:t>White EUR</w:t>
      </w:r>
    </w:p>
    <w:p w14:paraId="2272D5AB" w14:textId="38A4B165" w:rsidR="00806E4C" w:rsidRDefault="00806E4C" w:rsidP="00806E4C">
      <w:r>
        <w:t xml:space="preserve">One 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9B3059">
      <w:pPr>
        <w:pStyle w:val="Heading1"/>
      </w:pPr>
      <w:r>
        <w:lastRenderedPageBreak/>
        <w:t>References</w:t>
      </w:r>
    </w:p>
    <w:p w14:paraId="7F408843" w14:textId="77777777" w:rsidR="00FD2498" w:rsidRPr="00FD2498" w:rsidRDefault="006C0229" w:rsidP="00FD2498">
      <w:pPr>
        <w:pStyle w:val="Bibliography"/>
        <w:rPr>
          <w:rFonts w:ascii="Aptos"/>
        </w:rPr>
      </w:pPr>
      <w:r>
        <w:fldChar w:fldCharType="begin"/>
      </w:r>
      <w:r>
        <w:instrText xml:space="preserve"> ADDIN ZOTERO_BIBL {"uncited":[],"omitted":[],"custom":[]} CSL_BIBLIOGRAPHY </w:instrText>
      </w:r>
      <w:r>
        <w:fldChar w:fldCharType="separate"/>
      </w:r>
      <w:r w:rsidR="00FD2498" w:rsidRPr="00FD2498">
        <w:rPr>
          <w:rFonts w:ascii="Aptos"/>
        </w:rPr>
        <w:t xml:space="preserve">1. </w:t>
      </w:r>
      <w:r w:rsidR="00FD2498" w:rsidRPr="00FD2498">
        <w:rPr>
          <w:rFonts w:ascii="Aptos"/>
        </w:rPr>
        <w:tab/>
      </w:r>
      <w:proofErr w:type="spellStart"/>
      <w:r w:rsidR="00FD2498" w:rsidRPr="00FD2498">
        <w:rPr>
          <w:rFonts w:ascii="Aptos"/>
        </w:rPr>
        <w:t>Skrivankova</w:t>
      </w:r>
      <w:proofErr w:type="spellEnd"/>
      <w:r w:rsidR="00FD2498" w:rsidRPr="00FD2498">
        <w:rPr>
          <w:rFonts w:ascii="Aptos"/>
        </w:rPr>
        <w:t xml:space="preserve">, V.W.; Richmond, R.C.; Woolf, B.A.R.; Davies, N.M.; Swanson, S.A.; VanderWeele, T.J.; Timpson, N.J.; Higgins, J.P.T.; Dimou, N.; Langenberg, C.; et al. Strengthening the Reporting of Observational Studies in Epidemiology Using Mendelian </w:t>
      </w:r>
      <w:proofErr w:type="spellStart"/>
      <w:r w:rsidR="00FD2498" w:rsidRPr="00FD2498">
        <w:rPr>
          <w:rFonts w:ascii="Aptos"/>
        </w:rPr>
        <w:t>Randomisation</w:t>
      </w:r>
      <w:proofErr w:type="spellEnd"/>
      <w:r w:rsidR="00FD2498" w:rsidRPr="00FD2498">
        <w:rPr>
          <w:rFonts w:ascii="Aptos"/>
        </w:rPr>
        <w:t xml:space="preserve"> (STROBE-MR): Explanation and Elaboration. </w:t>
      </w:r>
      <w:r w:rsidR="00FD2498" w:rsidRPr="00FD2498">
        <w:rPr>
          <w:rFonts w:ascii="Aptos"/>
          <w:i/>
          <w:iCs/>
        </w:rPr>
        <w:t>BMJ</w:t>
      </w:r>
      <w:r w:rsidR="00FD2498" w:rsidRPr="00FD2498">
        <w:rPr>
          <w:rFonts w:ascii="Aptos"/>
        </w:rPr>
        <w:t xml:space="preserve"> </w:t>
      </w:r>
      <w:r w:rsidR="00FD2498" w:rsidRPr="00FD2498">
        <w:rPr>
          <w:rFonts w:ascii="Aptos"/>
          <w:b/>
          <w:bCs/>
        </w:rPr>
        <w:t>2021</w:t>
      </w:r>
      <w:r w:rsidR="00FD2498" w:rsidRPr="00FD2498">
        <w:rPr>
          <w:rFonts w:ascii="Aptos"/>
        </w:rPr>
        <w:t xml:space="preserve">, </w:t>
      </w:r>
      <w:r w:rsidR="00FD2498" w:rsidRPr="00FD2498">
        <w:rPr>
          <w:rFonts w:ascii="Aptos"/>
          <w:i/>
          <w:iCs/>
        </w:rPr>
        <w:t>375</w:t>
      </w:r>
      <w:r w:rsidR="00FD2498" w:rsidRPr="00FD2498">
        <w:rPr>
          <w:rFonts w:ascii="Aptos"/>
        </w:rPr>
        <w:t>, n2233, doi:10.1136/</w:t>
      </w:r>
      <w:proofErr w:type="gramStart"/>
      <w:r w:rsidR="00FD2498" w:rsidRPr="00FD2498">
        <w:rPr>
          <w:rFonts w:ascii="Aptos"/>
        </w:rPr>
        <w:t>bmj.n</w:t>
      </w:r>
      <w:proofErr w:type="gramEnd"/>
      <w:r w:rsidR="00FD2498" w:rsidRPr="00FD2498">
        <w:rPr>
          <w:rFonts w:ascii="Aptos"/>
        </w:rPr>
        <w:t>2233.</w:t>
      </w:r>
    </w:p>
    <w:p w14:paraId="69B86640" w14:textId="77777777" w:rsidR="00FD2498" w:rsidRPr="00FD2498" w:rsidRDefault="00FD2498" w:rsidP="00FD2498">
      <w:pPr>
        <w:pStyle w:val="Bibliography"/>
        <w:rPr>
          <w:rFonts w:ascii="Aptos"/>
        </w:rPr>
      </w:pPr>
      <w:r w:rsidRPr="00FD2498">
        <w:rPr>
          <w:rFonts w:ascii="Aptos"/>
        </w:rPr>
        <w:t xml:space="preserve">2. </w:t>
      </w:r>
      <w:r w:rsidRPr="00FD2498">
        <w:rPr>
          <w:rFonts w:ascii="Aptos"/>
        </w:rPr>
        <w:tab/>
      </w:r>
      <w:proofErr w:type="spellStart"/>
      <w:r w:rsidRPr="00FD2498">
        <w:rPr>
          <w:rFonts w:ascii="Aptos"/>
        </w:rPr>
        <w:t>Skrivankova</w:t>
      </w:r>
      <w:proofErr w:type="spellEnd"/>
      <w:r w:rsidRPr="00FD2498">
        <w:rPr>
          <w:rFonts w:ascii="Aptos"/>
        </w:rPr>
        <w:t xml:space="preserve">, V.W.; Richmond, R.C.; Woolf, B.A.R.; </w:t>
      </w:r>
      <w:proofErr w:type="spellStart"/>
      <w:r w:rsidRPr="00FD2498">
        <w:rPr>
          <w:rFonts w:ascii="Aptos"/>
        </w:rPr>
        <w:t>Yarmolinsky</w:t>
      </w:r>
      <w:proofErr w:type="spellEnd"/>
      <w:r w:rsidRPr="00FD2498">
        <w:rPr>
          <w:rFonts w:ascii="Aptos"/>
        </w:rPr>
        <w:t xml:space="preserve">, J.; Davies, N.M.; Swanson, S.A.; VanderWeele, T.J.; Higgins, J.P.T.; Timpson, N.J.; Dimou, N.; et al. Strengthening the Reporting of Observational Studies in Epidemiology Using Mendelian Randomization: The STROBE-MR Statement. </w:t>
      </w:r>
      <w:r w:rsidRPr="00FD2498">
        <w:rPr>
          <w:rFonts w:ascii="Aptos"/>
          <w:i/>
          <w:iCs/>
        </w:rPr>
        <w:t>JAMA</w:t>
      </w:r>
      <w:r w:rsidRPr="00FD2498">
        <w:rPr>
          <w:rFonts w:ascii="Aptos"/>
        </w:rPr>
        <w:t xml:space="preserve"> </w:t>
      </w:r>
      <w:r w:rsidRPr="00FD2498">
        <w:rPr>
          <w:rFonts w:ascii="Aptos"/>
          <w:b/>
          <w:bCs/>
        </w:rPr>
        <w:t>2021</w:t>
      </w:r>
      <w:r w:rsidRPr="00FD2498">
        <w:rPr>
          <w:rFonts w:ascii="Aptos"/>
        </w:rPr>
        <w:t xml:space="preserve">, </w:t>
      </w:r>
      <w:r w:rsidRPr="00FD2498">
        <w:rPr>
          <w:rFonts w:ascii="Aptos"/>
          <w:i/>
          <w:iCs/>
        </w:rPr>
        <w:t>326</w:t>
      </w:r>
      <w:r w:rsidRPr="00FD2498">
        <w:rPr>
          <w:rFonts w:ascii="Aptos"/>
        </w:rPr>
        <w:t>, 1614–1621, doi:10.1001/jama.2021.18236.</w:t>
      </w:r>
    </w:p>
    <w:p w14:paraId="6237A573" w14:textId="77777777" w:rsidR="00FD2498" w:rsidRPr="00FD2498" w:rsidRDefault="00FD2498" w:rsidP="00FD2498">
      <w:pPr>
        <w:pStyle w:val="Bibliography"/>
        <w:rPr>
          <w:rFonts w:ascii="Aptos"/>
        </w:rPr>
      </w:pPr>
      <w:r w:rsidRPr="00FD2498">
        <w:rPr>
          <w:rFonts w:ascii="Aptos"/>
        </w:rPr>
        <w:t xml:space="preserve">3. </w:t>
      </w:r>
      <w:r w:rsidRPr="00FD2498">
        <w:rPr>
          <w:rFonts w:ascii="Aptos"/>
        </w:rPr>
        <w:tab/>
        <w:t xml:space="preserve">Bycroft, C.; Freeman, C.; Petkova, D.; Band, G.; Elliott, L.T.; Sharp, K.; </w:t>
      </w:r>
      <w:proofErr w:type="spellStart"/>
      <w:r w:rsidRPr="00FD2498">
        <w:rPr>
          <w:rFonts w:ascii="Aptos"/>
        </w:rPr>
        <w:t>Motyer</w:t>
      </w:r>
      <w:proofErr w:type="spellEnd"/>
      <w:r w:rsidRPr="00FD2498">
        <w:rPr>
          <w:rFonts w:ascii="Aptos"/>
        </w:rPr>
        <w:t xml:space="preserve">, A.; Vukcevic, D.; </w:t>
      </w:r>
      <w:proofErr w:type="spellStart"/>
      <w:r w:rsidRPr="00FD2498">
        <w:rPr>
          <w:rFonts w:ascii="Aptos"/>
        </w:rPr>
        <w:t>Delaneau</w:t>
      </w:r>
      <w:proofErr w:type="spellEnd"/>
      <w:r w:rsidRPr="00FD2498">
        <w:rPr>
          <w:rFonts w:ascii="Aptos"/>
        </w:rPr>
        <w:t xml:space="preserve">, O.; O’Connell, J.; et al. The UK Biobank Resource with Deep Phenotyping and Genomic Data. </w:t>
      </w:r>
      <w:r w:rsidRPr="00FD2498">
        <w:rPr>
          <w:rFonts w:ascii="Aptos"/>
          <w:i/>
          <w:iCs/>
        </w:rPr>
        <w:t>Nature</w:t>
      </w:r>
      <w:r w:rsidRPr="00FD2498">
        <w:rPr>
          <w:rFonts w:ascii="Aptos"/>
        </w:rPr>
        <w:t xml:space="preserve"> </w:t>
      </w:r>
      <w:r w:rsidRPr="00FD2498">
        <w:rPr>
          <w:rFonts w:ascii="Aptos"/>
          <w:b/>
          <w:bCs/>
        </w:rPr>
        <w:t>2018</w:t>
      </w:r>
      <w:r w:rsidRPr="00FD2498">
        <w:rPr>
          <w:rFonts w:ascii="Aptos"/>
        </w:rPr>
        <w:t xml:space="preserve">, </w:t>
      </w:r>
      <w:r w:rsidRPr="00FD2498">
        <w:rPr>
          <w:rFonts w:ascii="Aptos"/>
          <w:i/>
          <w:iCs/>
        </w:rPr>
        <w:t>562</w:t>
      </w:r>
      <w:r w:rsidRPr="00FD2498">
        <w:rPr>
          <w:rFonts w:ascii="Aptos"/>
        </w:rPr>
        <w:t>, 203–209, doi:10.1038/s41586-018-0579-z.</w:t>
      </w:r>
    </w:p>
    <w:p w14:paraId="0BD324D1" w14:textId="77777777" w:rsidR="00FD2498" w:rsidRPr="00FD2498" w:rsidRDefault="00FD2498" w:rsidP="00FD2498">
      <w:pPr>
        <w:pStyle w:val="Bibliography"/>
        <w:rPr>
          <w:rFonts w:ascii="Aptos"/>
        </w:rPr>
      </w:pPr>
      <w:r w:rsidRPr="00FD2498">
        <w:rPr>
          <w:rFonts w:ascii="Aptos"/>
        </w:rPr>
        <w:t xml:space="preserve">4. </w:t>
      </w:r>
      <w:r w:rsidRPr="00FD2498">
        <w:rPr>
          <w:rFonts w:ascii="Aptos"/>
        </w:rPr>
        <w:tab/>
        <w:t xml:space="preserve">Hemani, G.; Zheng, J.; Elsworth, B.; Wade, K.H.; Haberland, V.; Baird, D.; Laurin, C.; Burgess, S.; Bowden, J.; Langdon, R.; et al. The MR-Base Platform Supports Systematic Causal Inference across the Human Phenome. </w:t>
      </w:r>
      <w:proofErr w:type="spellStart"/>
      <w:r w:rsidRPr="00FD2498">
        <w:rPr>
          <w:rFonts w:ascii="Aptos"/>
          <w:i/>
          <w:iCs/>
        </w:rPr>
        <w:t>eLife</w:t>
      </w:r>
      <w:proofErr w:type="spellEnd"/>
      <w:r w:rsidRPr="00FD2498">
        <w:rPr>
          <w:rFonts w:ascii="Aptos"/>
        </w:rPr>
        <w:t xml:space="preserve"> </w:t>
      </w:r>
      <w:r w:rsidRPr="00FD2498">
        <w:rPr>
          <w:rFonts w:ascii="Aptos"/>
          <w:b/>
          <w:bCs/>
        </w:rPr>
        <w:t>2018</w:t>
      </w:r>
      <w:r w:rsidRPr="00FD2498">
        <w:rPr>
          <w:rFonts w:ascii="Aptos"/>
        </w:rPr>
        <w:t xml:space="preserve">, </w:t>
      </w:r>
      <w:r w:rsidRPr="00FD2498">
        <w:rPr>
          <w:rFonts w:ascii="Aptos"/>
          <w:i/>
          <w:iCs/>
        </w:rPr>
        <w:t>7</w:t>
      </w:r>
      <w:r w:rsidRPr="00FD2498">
        <w:rPr>
          <w:rFonts w:ascii="Aptos"/>
        </w:rPr>
        <w:t>, e34408, doi:10.7554/eLife.34408.</w:t>
      </w:r>
    </w:p>
    <w:p w14:paraId="3E3818F4" w14:textId="77777777" w:rsidR="00FD2498" w:rsidRPr="00FD2498" w:rsidRDefault="00FD2498" w:rsidP="00FD2498">
      <w:pPr>
        <w:pStyle w:val="Bibliography"/>
        <w:rPr>
          <w:rFonts w:ascii="Aptos"/>
        </w:rPr>
      </w:pPr>
      <w:r w:rsidRPr="00FD2498">
        <w:rPr>
          <w:rFonts w:ascii="Aptos"/>
        </w:rPr>
        <w:t xml:space="preserve">5. </w:t>
      </w:r>
      <w:r w:rsidRPr="00FD2498">
        <w:rPr>
          <w:rFonts w:ascii="Aptos"/>
        </w:rPr>
        <w:tab/>
        <w:t xml:space="preserve">Chang, C.C.; Chow, C.C.; Tellier, L.C.; Vattikuti, S.; Purcell, S.M.; Lee, J.J. Second-Generation PLINK: Rising to the Challenge of Larger and Richer Datasets. </w:t>
      </w:r>
      <w:proofErr w:type="spellStart"/>
      <w:r w:rsidRPr="00FD2498">
        <w:rPr>
          <w:rFonts w:ascii="Aptos"/>
          <w:i/>
          <w:iCs/>
        </w:rPr>
        <w:t>GigaScience</w:t>
      </w:r>
      <w:proofErr w:type="spellEnd"/>
      <w:r w:rsidRPr="00FD2498">
        <w:rPr>
          <w:rFonts w:ascii="Aptos"/>
        </w:rPr>
        <w:t xml:space="preserve"> </w:t>
      </w:r>
      <w:r w:rsidRPr="00FD2498">
        <w:rPr>
          <w:rFonts w:ascii="Aptos"/>
          <w:b/>
          <w:bCs/>
        </w:rPr>
        <w:t>2015</w:t>
      </w:r>
      <w:r w:rsidRPr="00FD2498">
        <w:rPr>
          <w:rFonts w:ascii="Aptos"/>
        </w:rPr>
        <w:t xml:space="preserve">, </w:t>
      </w:r>
      <w:r w:rsidRPr="00FD2498">
        <w:rPr>
          <w:rFonts w:ascii="Aptos"/>
          <w:i/>
          <w:iCs/>
        </w:rPr>
        <w:t>4</w:t>
      </w:r>
      <w:r w:rsidRPr="00FD2498">
        <w:rPr>
          <w:rFonts w:ascii="Aptos"/>
        </w:rPr>
        <w:t>, 7, doi:10.1186/s13742-015-0047-8.</w:t>
      </w:r>
    </w:p>
    <w:p w14:paraId="092216DF" w14:textId="77777777" w:rsidR="00FD2498" w:rsidRPr="00FD2498" w:rsidRDefault="00FD2498" w:rsidP="00FD2498">
      <w:pPr>
        <w:pStyle w:val="Bibliography"/>
        <w:rPr>
          <w:rFonts w:ascii="Aptos"/>
        </w:rPr>
      </w:pPr>
      <w:r w:rsidRPr="00FD2498">
        <w:rPr>
          <w:rFonts w:ascii="Aptos"/>
        </w:rPr>
        <w:t xml:space="preserve">6. </w:t>
      </w:r>
      <w:r w:rsidRPr="00FD2498">
        <w:rPr>
          <w:rFonts w:ascii="Aptos"/>
        </w:rPr>
        <w:tab/>
        <w:t xml:space="preserve">1000 Genomes Project Consortium; Auton, A.; Brooks, L.D.; Durbin, R.M.; Garrison, E.P.; Kang, H.M.; Korbel, J.O.; Marchini, J.L.; McCarthy, S.; McVean, G.A.; et al. A Global Reference for Human Genetic Variation. </w:t>
      </w:r>
      <w:r w:rsidRPr="00FD2498">
        <w:rPr>
          <w:rFonts w:ascii="Aptos"/>
          <w:i/>
          <w:iCs/>
        </w:rPr>
        <w:t>Nature</w:t>
      </w:r>
      <w:r w:rsidRPr="00FD2498">
        <w:rPr>
          <w:rFonts w:ascii="Aptos"/>
        </w:rPr>
        <w:t xml:space="preserve"> </w:t>
      </w:r>
      <w:r w:rsidRPr="00FD2498">
        <w:rPr>
          <w:rFonts w:ascii="Aptos"/>
          <w:b/>
          <w:bCs/>
        </w:rPr>
        <w:t>2015</w:t>
      </w:r>
      <w:r w:rsidRPr="00FD2498">
        <w:rPr>
          <w:rFonts w:ascii="Aptos"/>
        </w:rPr>
        <w:t xml:space="preserve">, </w:t>
      </w:r>
      <w:r w:rsidRPr="00FD2498">
        <w:rPr>
          <w:rFonts w:ascii="Aptos"/>
          <w:i/>
          <w:iCs/>
        </w:rPr>
        <w:t>526</w:t>
      </w:r>
      <w:r w:rsidRPr="00FD2498">
        <w:rPr>
          <w:rFonts w:ascii="Aptos"/>
        </w:rPr>
        <w:t>, 68–74, doi:10.1038/nature15393.</w:t>
      </w:r>
    </w:p>
    <w:p w14:paraId="7BD40E66" w14:textId="77777777" w:rsidR="00FD2498" w:rsidRPr="00FD2498" w:rsidRDefault="00FD2498" w:rsidP="00FD2498">
      <w:pPr>
        <w:pStyle w:val="Bibliography"/>
        <w:rPr>
          <w:rFonts w:ascii="Aptos"/>
        </w:rPr>
      </w:pPr>
      <w:r w:rsidRPr="00FD2498">
        <w:rPr>
          <w:rFonts w:ascii="Aptos"/>
        </w:rPr>
        <w:t xml:space="preserve">7. </w:t>
      </w:r>
      <w:r w:rsidRPr="00FD2498">
        <w:rPr>
          <w:rFonts w:ascii="Aptos"/>
        </w:rPr>
        <w:tab/>
        <w:t xml:space="preserve">Goldstein, J.A.; Weinstock, J.S.; Bastarache, L.A.; </w:t>
      </w:r>
      <w:proofErr w:type="spellStart"/>
      <w:r w:rsidRPr="00FD2498">
        <w:rPr>
          <w:rFonts w:ascii="Aptos"/>
        </w:rPr>
        <w:t>Larach</w:t>
      </w:r>
      <w:proofErr w:type="spellEnd"/>
      <w:r w:rsidRPr="00FD2498">
        <w:rPr>
          <w:rFonts w:ascii="Aptos"/>
        </w:rPr>
        <w:t xml:space="preserve">, D.B.; Fritsche, L.G.; Schmidt, E.M.; Brummett, C.M.; </w:t>
      </w:r>
      <w:proofErr w:type="spellStart"/>
      <w:r w:rsidRPr="00FD2498">
        <w:rPr>
          <w:rFonts w:ascii="Aptos"/>
        </w:rPr>
        <w:t>Kheterpal</w:t>
      </w:r>
      <w:proofErr w:type="spellEnd"/>
      <w:r w:rsidRPr="00FD2498">
        <w:rPr>
          <w:rFonts w:ascii="Aptos"/>
        </w:rPr>
        <w:t xml:space="preserve">, S.; </w:t>
      </w:r>
      <w:proofErr w:type="spellStart"/>
      <w:r w:rsidRPr="00FD2498">
        <w:rPr>
          <w:rFonts w:ascii="Aptos"/>
        </w:rPr>
        <w:t>Abecasis</w:t>
      </w:r>
      <w:proofErr w:type="spellEnd"/>
      <w:r w:rsidRPr="00FD2498">
        <w:rPr>
          <w:rFonts w:ascii="Aptos"/>
        </w:rPr>
        <w:t xml:space="preserve">, G.R.; Denny, J.C.; et al. </w:t>
      </w:r>
      <w:proofErr w:type="spellStart"/>
      <w:r w:rsidRPr="00FD2498">
        <w:rPr>
          <w:rFonts w:ascii="Aptos"/>
        </w:rPr>
        <w:t>LabWAS</w:t>
      </w:r>
      <w:proofErr w:type="spellEnd"/>
      <w:r w:rsidRPr="00FD2498">
        <w:rPr>
          <w:rFonts w:ascii="Aptos"/>
        </w:rPr>
        <w:t xml:space="preserve">: Novel Findings and Study Design Recommendations from a Meta-Analysis of Clinical Labs in Two Independent Biobanks. </w:t>
      </w:r>
      <w:proofErr w:type="spellStart"/>
      <w:r w:rsidRPr="00FD2498">
        <w:rPr>
          <w:rFonts w:ascii="Aptos"/>
          <w:i/>
          <w:iCs/>
        </w:rPr>
        <w:t>PLoS</w:t>
      </w:r>
      <w:proofErr w:type="spellEnd"/>
      <w:r w:rsidRPr="00FD2498">
        <w:rPr>
          <w:rFonts w:ascii="Aptos"/>
          <w:i/>
          <w:iCs/>
        </w:rPr>
        <w:t xml:space="preserve"> Genet.</w:t>
      </w:r>
      <w:r w:rsidRPr="00FD2498">
        <w:rPr>
          <w:rFonts w:ascii="Aptos"/>
        </w:rPr>
        <w:t xml:space="preserve"> </w:t>
      </w:r>
      <w:r w:rsidRPr="00FD2498">
        <w:rPr>
          <w:rFonts w:ascii="Aptos"/>
          <w:b/>
          <w:bCs/>
        </w:rPr>
        <w:t>2020</w:t>
      </w:r>
      <w:r w:rsidRPr="00FD2498">
        <w:rPr>
          <w:rFonts w:ascii="Aptos"/>
        </w:rPr>
        <w:t xml:space="preserve">, </w:t>
      </w:r>
      <w:r w:rsidRPr="00FD2498">
        <w:rPr>
          <w:rFonts w:ascii="Aptos"/>
          <w:i/>
          <w:iCs/>
        </w:rPr>
        <w:t>16</w:t>
      </w:r>
      <w:r w:rsidRPr="00FD2498">
        <w:rPr>
          <w:rFonts w:ascii="Aptos"/>
        </w:rPr>
        <w:t xml:space="preserve">, e1009077, </w:t>
      </w:r>
      <w:proofErr w:type="gramStart"/>
      <w:r w:rsidRPr="00FD2498">
        <w:rPr>
          <w:rFonts w:ascii="Aptos"/>
        </w:rPr>
        <w:t>doi:10.1371/journal.pgen</w:t>
      </w:r>
      <w:proofErr w:type="gramEnd"/>
      <w:r w:rsidRPr="00FD2498">
        <w:rPr>
          <w:rFonts w:ascii="Aptos"/>
        </w:rPr>
        <w:t>.1009077.</w:t>
      </w:r>
    </w:p>
    <w:p w14:paraId="11395166" w14:textId="77777777" w:rsidR="00FD2498" w:rsidRPr="00FD2498" w:rsidRDefault="00FD2498" w:rsidP="00FD2498">
      <w:pPr>
        <w:pStyle w:val="Bibliography"/>
        <w:rPr>
          <w:rFonts w:ascii="Aptos"/>
        </w:rPr>
      </w:pPr>
      <w:r w:rsidRPr="00FD2498">
        <w:rPr>
          <w:rFonts w:ascii="Aptos"/>
        </w:rPr>
        <w:t xml:space="preserve">8. </w:t>
      </w:r>
      <w:r w:rsidRPr="00FD2498">
        <w:rPr>
          <w:rFonts w:ascii="Aptos"/>
        </w:rPr>
        <w:tab/>
        <w:t xml:space="preserve">Zawistowski, M.; Fritsche, L.G.; Pandit, A.; </w:t>
      </w:r>
      <w:proofErr w:type="spellStart"/>
      <w:r w:rsidRPr="00FD2498">
        <w:rPr>
          <w:rFonts w:ascii="Aptos"/>
        </w:rPr>
        <w:t>Vanderwerff</w:t>
      </w:r>
      <w:proofErr w:type="spellEnd"/>
      <w:r w:rsidRPr="00FD2498">
        <w:rPr>
          <w:rFonts w:ascii="Aptos"/>
        </w:rPr>
        <w:t xml:space="preserve">, B.; Patil, S.; Schmidt, E.M.; </w:t>
      </w:r>
      <w:proofErr w:type="spellStart"/>
      <w:r w:rsidRPr="00FD2498">
        <w:rPr>
          <w:rFonts w:ascii="Aptos"/>
        </w:rPr>
        <w:t>VandeHaar</w:t>
      </w:r>
      <w:proofErr w:type="spellEnd"/>
      <w:r w:rsidRPr="00FD2498">
        <w:rPr>
          <w:rFonts w:ascii="Aptos"/>
        </w:rPr>
        <w:t xml:space="preserve">, P.; Willer, C.J.; Brummett, C.M.; </w:t>
      </w:r>
      <w:proofErr w:type="spellStart"/>
      <w:r w:rsidRPr="00FD2498">
        <w:rPr>
          <w:rFonts w:ascii="Aptos"/>
        </w:rPr>
        <w:t>Kheterpal</w:t>
      </w:r>
      <w:proofErr w:type="spellEnd"/>
      <w:r w:rsidRPr="00FD2498">
        <w:rPr>
          <w:rFonts w:ascii="Aptos"/>
        </w:rPr>
        <w:t xml:space="preserve">, S.; et al. The Michigan Genomics Initiative: A Biobank Linking Genotypes and Electronic Clinical Records in Michigan Medicine Patients. </w:t>
      </w:r>
      <w:r w:rsidRPr="00FD2498">
        <w:rPr>
          <w:rFonts w:ascii="Aptos"/>
          <w:i/>
          <w:iCs/>
        </w:rPr>
        <w:t>Cell Genomics</w:t>
      </w:r>
      <w:r w:rsidRPr="00FD2498">
        <w:rPr>
          <w:rFonts w:ascii="Aptos"/>
        </w:rPr>
        <w:t xml:space="preserve"> </w:t>
      </w:r>
      <w:r w:rsidRPr="00FD2498">
        <w:rPr>
          <w:rFonts w:ascii="Aptos"/>
          <w:b/>
          <w:bCs/>
        </w:rPr>
        <w:t>2023</w:t>
      </w:r>
      <w:r w:rsidRPr="00FD2498">
        <w:rPr>
          <w:rFonts w:ascii="Aptos"/>
        </w:rPr>
        <w:t xml:space="preserve">, </w:t>
      </w:r>
      <w:r w:rsidRPr="00FD2498">
        <w:rPr>
          <w:rFonts w:ascii="Aptos"/>
          <w:i/>
          <w:iCs/>
        </w:rPr>
        <w:t>3</w:t>
      </w:r>
      <w:r w:rsidRPr="00FD2498">
        <w:rPr>
          <w:rFonts w:ascii="Aptos"/>
        </w:rPr>
        <w:t xml:space="preserve">, 100257, </w:t>
      </w:r>
      <w:proofErr w:type="gramStart"/>
      <w:r w:rsidRPr="00FD2498">
        <w:rPr>
          <w:rFonts w:ascii="Aptos"/>
        </w:rPr>
        <w:t>doi:10.1016/j.xgen</w:t>
      </w:r>
      <w:proofErr w:type="gramEnd"/>
      <w:r w:rsidRPr="00FD2498">
        <w:rPr>
          <w:rFonts w:ascii="Aptos"/>
        </w:rPr>
        <w:t>.2023.100257.</w:t>
      </w:r>
    </w:p>
    <w:p w14:paraId="5EF47092" w14:textId="77777777" w:rsidR="00FD2498" w:rsidRPr="00FD2498" w:rsidRDefault="00FD2498" w:rsidP="00FD2498">
      <w:pPr>
        <w:pStyle w:val="Bibliography"/>
        <w:rPr>
          <w:rFonts w:ascii="Aptos"/>
        </w:rPr>
      </w:pPr>
      <w:r w:rsidRPr="00FD2498">
        <w:rPr>
          <w:rFonts w:ascii="Aptos"/>
        </w:rPr>
        <w:t xml:space="preserve">9. </w:t>
      </w:r>
      <w:r w:rsidRPr="00FD2498">
        <w:rPr>
          <w:rFonts w:ascii="Aptos"/>
        </w:rPr>
        <w:tab/>
        <w:t xml:space="preserve">Burgess, S.; Thompson, S.G.; CRP CHD Genetics Collaboration Avoiding Bias from Weak Instruments in Mendelian Randomization Studies. </w:t>
      </w:r>
      <w:r w:rsidRPr="00FD2498">
        <w:rPr>
          <w:rFonts w:ascii="Aptos"/>
          <w:i/>
          <w:iCs/>
        </w:rPr>
        <w:t>Int. J. Epidemiol.</w:t>
      </w:r>
      <w:r w:rsidRPr="00FD2498">
        <w:rPr>
          <w:rFonts w:ascii="Aptos"/>
        </w:rPr>
        <w:t xml:space="preserve"> </w:t>
      </w:r>
      <w:r w:rsidRPr="00FD2498">
        <w:rPr>
          <w:rFonts w:ascii="Aptos"/>
          <w:b/>
          <w:bCs/>
        </w:rPr>
        <w:t>2011</w:t>
      </w:r>
      <w:r w:rsidRPr="00FD2498">
        <w:rPr>
          <w:rFonts w:ascii="Aptos"/>
        </w:rPr>
        <w:t xml:space="preserve">, </w:t>
      </w:r>
      <w:r w:rsidRPr="00FD2498">
        <w:rPr>
          <w:rFonts w:ascii="Aptos"/>
          <w:i/>
          <w:iCs/>
        </w:rPr>
        <w:t>40</w:t>
      </w:r>
      <w:r w:rsidRPr="00FD2498">
        <w:rPr>
          <w:rFonts w:ascii="Aptos"/>
        </w:rPr>
        <w:t>, 755–764, doi:10.1093/</w:t>
      </w:r>
      <w:proofErr w:type="spellStart"/>
      <w:r w:rsidRPr="00FD2498">
        <w:rPr>
          <w:rFonts w:ascii="Aptos"/>
        </w:rPr>
        <w:t>ije</w:t>
      </w:r>
      <w:proofErr w:type="spellEnd"/>
      <w:r w:rsidRPr="00FD2498">
        <w:rPr>
          <w:rFonts w:ascii="Aptos"/>
        </w:rPr>
        <w:t>/dyr036.</w:t>
      </w:r>
    </w:p>
    <w:p w14:paraId="628F8BEB" w14:textId="77777777" w:rsidR="00FD2498" w:rsidRPr="00FD2498" w:rsidRDefault="00FD2498" w:rsidP="00FD2498">
      <w:pPr>
        <w:pStyle w:val="Bibliography"/>
        <w:rPr>
          <w:rFonts w:ascii="Aptos"/>
        </w:rPr>
      </w:pPr>
      <w:r w:rsidRPr="00FD2498">
        <w:rPr>
          <w:rFonts w:ascii="Aptos"/>
        </w:rPr>
        <w:t xml:space="preserve">10. </w:t>
      </w:r>
      <w:r w:rsidRPr="00FD2498">
        <w:rPr>
          <w:rFonts w:ascii="Aptos"/>
        </w:rPr>
        <w:tab/>
        <w:t xml:space="preserve">Sanderson, E.; </w:t>
      </w:r>
      <w:proofErr w:type="spellStart"/>
      <w:r w:rsidRPr="00FD2498">
        <w:rPr>
          <w:rFonts w:ascii="Aptos"/>
        </w:rPr>
        <w:t>Glymour</w:t>
      </w:r>
      <w:proofErr w:type="spellEnd"/>
      <w:r w:rsidRPr="00FD2498">
        <w:rPr>
          <w:rFonts w:ascii="Aptos"/>
        </w:rPr>
        <w:t xml:space="preserve">, M.M.; Holmes, M.V.; Kang, H.; Morrison, J.; </w:t>
      </w:r>
      <w:proofErr w:type="spellStart"/>
      <w:r w:rsidRPr="00FD2498">
        <w:rPr>
          <w:rFonts w:ascii="Aptos"/>
        </w:rPr>
        <w:t>Munafò</w:t>
      </w:r>
      <w:proofErr w:type="spellEnd"/>
      <w:r w:rsidRPr="00FD2498">
        <w:rPr>
          <w:rFonts w:ascii="Aptos"/>
        </w:rPr>
        <w:t xml:space="preserve">, M.R.; Palmer, T.; Schooling, C.M.; Wallace, C.; Zhao, Q.; et al. Mendelian Randomization. </w:t>
      </w:r>
      <w:r w:rsidRPr="00FD2498">
        <w:rPr>
          <w:rFonts w:ascii="Aptos"/>
          <w:i/>
          <w:iCs/>
        </w:rPr>
        <w:t>Nat. Rev. Methods Primer</w:t>
      </w:r>
      <w:r w:rsidRPr="00FD2498">
        <w:rPr>
          <w:rFonts w:ascii="Aptos"/>
        </w:rPr>
        <w:t xml:space="preserve"> </w:t>
      </w:r>
      <w:r w:rsidRPr="00FD2498">
        <w:rPr>
          <w:rFonts w:ascii="Aptos"/>
          <w:b/>
          <w:bCs/>
        </w:rPr>
        <w:t>2022</w:t>
      </w:r>
      <w:r w:rsidRPr="00FD2498">
        <w:rPr>
          <w:rFonts w:ascii="Aptos"/>
        </w:rPr>
        <w:t xml:space="preserve">, </w:t>
      </w:r>
      <w:r w:rsidRPr="00FD2498">
        <w:rPr>
          <w:rFonts w:ascii="Aptos"/>
          <w:i/>
          <w:iCs/>
        </w:rPr>
        <w:t>2</w:t>
      </w:r>
      <w:r w:rsidRPr="00FD2498">
        <w:rPr>
          <w:rFonts w:ascii="Aptos"/>
        </w:rPr>
        <w:t>, 6, doi:10.1038/s43586-021-00092-5.</w:t>
      </w:r>
    </w:p>
    <w:p w14:paraId="20AA6B59" w14:textId="37F7B261" w:rsidR="00871606" w:rsidRDefault="006C0229" w:rsidP="00FD2498">
      <w:pPr>
        <w:pStyle w:val="Bibliography"/>
      </w:pPr>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DB2D051"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Scatter plots showing effect estimates in the exposure (UKBB) and outcome (</w:t>
      </w:r>
      <w:proofErr w:type="spellStart"/>
      <w:r w:rsidR="00BF144E">
        <w:t>LabWAS</w:t>
      </w:r>
      <w:proofErr w:type="spellEnd"/>
      <w:r w:rsidR="00BF144E">
        <w:t xml:space="preserve">)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0-19T09:46:00Z" w:initials="DB">
    <w:p w14:paraId="58E8312F" w14:textId="77777777" w:rsidR="008274E7" w:rsidRDefault="008274E7" w:rsidP="008274E7">
      <w:r>
        <w:rPr>
          <w:rStyle w:val="CommentReference"/>
        </w:rPr>
        <w:annotationRef/>
      </w:r>
      <w:r>
        <w:rPr>
          <w:sz w:val="20"/>
          <w:szCs w:val="20"/>
        </w:rPr>
        <w:t>Needs units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E831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604B3E" w16cex:dateUtc="2025-10-19T1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E8312F" w16cid:durableId="3F604B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67487"/>
    <w:rsid w:val="000725D7"/>
    <w:rsid w:val="00072D8C"/>
    <w:rsid w:val="00084F1C"/>
    <w:rsid w:val="0008602F"/>
    <w:rsid w:val="00087B01"/>
    <w:rsid w:val="00091D69"/>
    <w:rsid w:val="0009550C"/>
    <w:rsid w:val="00095F97"/>
    <w:rsid w:val="000A3109"/>
    <w:rsid w:val="000A32E7"/>
    <w:rsid w:val="000B5661"/>
    <w:rsid w:val="000C7A6D"/>
    <w:rsid w:val="000D0655"/>
    <w:rsid w:val="000D3297"/>
    <w:rsid w:val="000D6A57"/>
    <w:rsid w:val="000E1126"/>
    <w:rsid w:val="000E114C"/>
    <w:rsid w:val="000E431E"/>
    <w:rsid w:val="001070FE"/>
    <w:rsid w:val="00111879"/>
    <w:rsid w:val="00115D9B"/>
    <w:rsid w:val="00117948"/>
    <w:rsid w:val="00121C5B"/>
    <w:rsid w:val="00141C21"/>
    <w:rsid w:val="00146173"/>
    <w:rsid w:val="0015153C"/>
    <w:rsid w:val="001515AD"/>
    <w:rsid w:val="00157115"/>
    <w:rsid w:val="00162FEC"/>
    <w:rsid w:val="00165647"/>
    <w:rsid w:val="001C165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322AB"/>
    <w:rsid w:val="00244F96"/>
    <w:rsid w:val="00250B3C"/>
    <w:rsid w:val="00251095"/>
    <w:rsid w:val="00251B10"/>
    <w:rsid w:val="0025516C"/>
    <w:rsid w:val="00257105"/>
    <w:rsid w:val="00263D7A"/>
    <w:rsid w:val="0026580A"/>
    <w:rsid w:val="0028006B"/>
    <w:rsid w:val="002820CC"/>
    <w:rsid w:val="002827EA"/>
    <w:rsid w:val="00283D08"/>
    <w:rsid w:val="00290744"/>
    <w:rsid w:val="00293D99"/>
    <w:rsid w:val="002964F2"/>
    <w:rsid w:val="002A005D"/>
    <w:rsid w:val="002B3436"/>
    <w:rsid w:val="002B35C8"/>
    <w:rsid w:val="002C45CD"/>
    <w:rsid w:val="002D19E7"/>
    <w:rsid w:val="002D2E10"/>
    <w:rsid w:val="002D4286"/>
    <w:rsid w:val="002D4F83"/>
    <w:rsid w:val="002E0DA6"/>
    <w:rsid w:val="002E3F3F"/>
    <w:rsid w:val="002E3FE2"/>
    <w:rsid w:val="002E557E"/>
    <w:rsid w:val="002F3DB8"/>
    <w:rsid w:val="002F563D"/>
    <w:rsid w:val="00300DA1"/>
    <w:rsid w:val="00327582"/>
    <w:rsid w:val="00330AF2"/>
    <w:rsid w:val="003376C5"/>
    <w:rsid w:val="00347044"/>
    <w:rsid w:val="00357A9C"/>
    <w:rsid w:val="00357D5C"/>
    <w:rsid w:val="00364B2E"/>
    <w:rsid w:val="00366F5C"/>
    <w:rsid w:val="003734AC"/>
    <w:rsid w:val="00382FE3"/>
    <w:rsid w:val="00385D8D"/>
    <w:rsid w:val="00392C7F"/>
    <w:rsid w:val="00392FE2"/>
    <w:rsid w:val="00395991"/>
    <w:rsid w:val="00397C62"/>
    <w:rsid w:val="003A12D2"/>
    <w:rsid w:val="003B3419"/>
    <w:rsid w:val="003B74B2"/>
    <w:rsid w:val="003C031C"/>
    <w:rsid w:val="003C0A11"/>
    <w:rsid w:val="003D16DC"/>
    <w:rsid w:val="003E1BBD"/>
    <w:rsid w:val="003E5857"/>
    <w:rsid w:val="003F09D7"/>
    <w:rsid w:val="003F6B95"/>
    <w:rsid w:val="003F6EB0"/>
    <w:rsid w:val="00406C2E"/>
    <w:rsid w:val="00420202"/>
    <w:rsid w:val="00421B63"/>
    <w:rsid w:val="00461C78"/>
    <w:rsid w:val="00462BF2"/>
    <w:rsid w:val="00465D5F"/>
    <w:rsid w:val="004709DD"/>
    <w:rsid w:val="00473DFB"/>
    <w:rsid w:val="004777E7"/>
    <w:rsid w:val="00484144"/>
    <w:rsid w:val="00484410"/>
    <w:rsid w:val="00487DB8"/>
    <w:rsid w:val="00491DC5"/>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2FC4"/>
    <w:rsid w:val="00535314"/>
    <w:rsid w:val="00537BCF"/>
    <w:rsid w:val="00544AC6"/>
    <w:rsid w:val="00556C78"/>
    <w:rsid w:val="00576DB5"/>
    <w:rsid w:val="005821FA"/>
    <w:rsid w:val="00590023"/>
    <w:rsid w:val="00590933"/>
    <w:rsid w:val="005A7782"/>
    <w:rsid w:val="005B517E"/>
    <w:rsid w:val="005B5A17"/>
    <w:rsid w:val="005C51F7"/>
    <w:rsid w:val="005C6416"/>
    <w:rsid w:val="005C770F"/>
    <w:rsid w:val="005D20D7"/>
    <w:rsid w:val="005D2153"/>
    <w:rsid w:val="005E1842"/>
    <w:rsid w:val="005E1BF2"/>
    <w:rsid w:val="005E5E64"/>
    <w:rsid w:val="005E6696"/>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76B8E"/>
    <w:rsid w:val="00690A4D"/>
    <w:rsid w:val="0069411B"/>
    <w:rsid w:val="00697760"/>
    <w:rsid w:val="006A5207"/>
    <w:rsid w:val="006A5655"/>
    <w:rsid w:val="006A57E2"/>
    <w:rsid w:val="006B660D"/>
    <w:rsid w:val="006C0229"/>
    <w:rsid w:val="006C0FB6"/>
    <w:rsid w:val="006C3DBD"/>
    <w:rsid w:val="006D3471"/>
    <w:rsid w:val="006D491E"/>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F1332"/>
    <w:rsid w:val="007F7E35"/>
    <w:rsid w:val="008002BF"/>
    <w:rsid w:val="00806E4C"/>
    <w:rsid w:val="008102CE"/>
    <w:rsid w:val="00813302"/>
    <w:rsid w:val="008174BE"/>
    <w:rsid w:val="00823B54"/>
    <w:rsid w:val="00824978"/>
    <w:rsid w:val="008263E3"/>
    <w:rsid w:val="008274E7"/>
    <w:rsid w:val="00833E08"/>
    <w:rsid w:val="008461E9"/>
    <w:rsid w:val="00856B5B"/>
    <w:rsid w:val="00862CD1"/>
    <w:rsid w:val="0087149B"/>
    <w:rsid w:val="00871606"/>
    <w:rsid w:val="00871AD9"/>
    <w:rsid w:val="00873E8C"/>
    <w:rsid w:val="00877754"/>
    <w:rsid w:val="008778C4"/>
    <w:rsid w:val="0088544C"/>
    <w:rsid w:val="008A2BDA"/>
    <w:rsid w:val="008A349D"/>
    <w:rsid w:val="008A46E9"/>
    <w:rsid w:val="008C3302"/>
    <w:rsid w:val="008C6483"/>
    <w:rsid w:val="008E002E"/>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097B"/>
    <w:rsid w:val="00A213E8"/>
    <w:rsid w:val="00A30264"/>
    <w:rsid w:val="00A36B6F"/>
    <w:rsid w:val="00A4251B"/>
    <w:rsid w:val="00A458DF"/>
    <w:rsid w:val="00A55A54"/>
    <w:rsid w:val="00A67A5F"/>
    <w:rsid w:val="00A72D3E"/>
    <w:rsid w:val="00A763AC"/>
    <w:rsid w:val="00A854F3"/>
    <w:rsid w:val="00A95A18"/>
    <w:rsid w:val="00A9666F"/>
    <w:rsid w:val="00AA5F56"/>
    <w:rsid w:val="00AA6407"/>
    <w:rsid w:val="00AC5992"/>
    <w:rsid w:val="00AD3EA3"/>
    <w:rsid w:val="00AE265B"/>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7621D"/>
    <w:rsid w:val="00B77FB8"/>
    <w:rsid w:val="00B82286"/>
    <w:rsid w:val="00B83F54"/>
    <w:rsid w:val="00B87D3D"/>
    <w:rsid w:val="00B917E0"/>
    <w:rsid w:val="00BA1574"/>
    <w:rsid w:val="00BA26CD"/>
    <w:rsid w:val="00BB142D"/>
    <w:rsid w:val="00BC224B"/>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04E7"/>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072"/>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B7C86"/>
    <w:rsid w:val="00DC6771"/>
    <w:rsid w:val="00DC6EFA"/>
    <w:rsid w:val="00DC7DB2"/>
    <w:rsid w:val="00DE29C9"/>
    <w:rsid w:val="00DE3FF2"/>
    <w:rsid w:val="00DE6AEE"/>
    <w:rsid w:val="00E0079E"/>
    <w:rsid w:val="00E00F5E"/>
    <w:rsid w:val="00E17F7E"/>
    <w:rsid w:val="00E26C14"/>
    <w:rsid w:val="00E37E42"/>
    <w:rsid w:val="00E45277"/>
    <w:rsid w:val="00E46FD8"/>
    <w:rsid w:val="00E539D6"/>
    <w:rsid w:val="00E63B8D"/>
    <w:rsid w:val="00E644BF"/>
    <w:rsid w:val="00E916A3"/>
    <w:rsid w:val="00EA6CE9"/>
    <w:rsid w:val="00ED1443"/>
    <w:rsid w:val="00EE4FAC"/>
    <w:rsid w:val="00EF05E6"/>
    <w:rsid w:val="00EF21C3"/>
    <w:rsid w:val="00EF283B"/>
    <w:rsid w:val="00F00934"/>
    <w:rsid w:val="00F01EE3"/>
    <w:rsid w:val="00F02252"/>
    <w:rsid w:val="00F051E9"/>
    <w:rsid w:val="00F12188"/>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D2498"/>
    <w:rsid w:val="00FE66FA"/>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7</Pages>
  <Words>6595</Words>
  <Characters>37596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110</cp:revision>
  <dcterms:created xsi:type="dcterms:W3CDTF">2025-10-10T14:20:00Z</dcterms:created>
  <dcterms:modified xsi:type="dcterms:W3CDTF">2025-10-20T13:00:00Z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id="UTaYzZLQ"/&gt;&lt;style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