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79A29" w14:textId="6DC1F560" w:rsidR="00084F1C" w:rsidRDefault="002B35C8" w:rsidP="00084F1C">
      <w:pPr>
        <w:pStyle w:val="Heading1"/>
      </w:pPr>
      <w:r>
        <w:t>Methods</w:t>
      </w:r>
    </w:p>
    <w:p w14:paraId="4AC10A54" w14:textId="52A4055B" w:rsidR="00084F1C" w:rsidRPr="00084F1C" w:rsidRDefault="00084F1C" w:rsidP="00084F1C">
      <w:r>
        <w:t xml:space="preserve">The STROBE-MR checklist for this manuscript can be found in Supplementary File 1 </w:t>
      </w:r>
      <w:r>
        <w:fldChar w:fldCharType="begin"/>
      </w:r>
      <w:r>
        <w:instrText xml:space="preserve"> ADDIN ZOTERO_ITEM CSL_CITATION {"citationID":"Ue3RBngS","properties":{"formattedCitation":"[1,2]","plainCitation":"[1,2]","noteIndex":0},"citationItems":[{"id":27104,"uris":["http://zotero.org/users/7317906/items/F5JL9PNI"],"itemData":{"id":27104,"type":"article-journal","abstract":"Mendelian randomisation (MR) studies allow a better understanding of the causal effects of modifiable exposures on health outcomes, but the published evidence is often hampered by inadequate reporting. Reporting guidelines help authors effectively communicate all critical information about what was done and what was found. STROBE-MR (strengthening the reporting of observational studies in epidemiology using mendelian randomisation) assists authors in reporting their MR research clearly and transparently. Adopting STROBE-MR should help readers, reviewers, and journal editors evaluate the quality of published MR studies. This article explains the 20 items of the STROBE-MR checklist, along with their meaning and rationale, using terms defined in a glossary. Examples of transparent reporting are used for each item to illustrate best practices.","container-title":"BMJ (Clinical research ed.)","DOI":"10.1136/bmj.n2233","ISSN":"1756-1833","journalAbbreviation":"BMJ","language":"eng","note":"PMID: 34702754\nPMCID: PMC8546498","page":"n2233","source":"PubMed","title":"Strengthening the reporting of observational studies in epidemiology using mendelian randomisation (STROBE-MR): explanation and elaboration","title-short":"Strengthening the reporting of observational studies in epidemiology using mendelian randomisation (STROBE-MR)","volume":"375","author":[{"family":"Skrivankova","given":"Veronika W."},{"family":"Richmond","given":"Rebecca C."},{"family":"Woolf","given":"Benjamin A. R."},{"family":"Davies","given":"Neil M."},{"family":"Swanson","given":"Sonja A."},{"family":"VanderWeele","given":"Tyler J."},{"family":"Timpson","given":"Nicholas J."},{"family":"Higgins","given":"Julian P. T."},{"family":"Dimou","given":"Niki"},{"family":"Langenberg","given":"Claudia"},{"family":"Loder","given":"Elizabeth W."},{"family":"Golub","given":"Robert M."},{"family":"Egger","given":"Matthias"},{"family":"Davey Smith","given":"George"},{"family":"Richards","given":"J. Brent"}],"issued":{"date-parts":[["2021",10,26]]},"citation-key":"skrivankovaStrengtheningReportingObservational2021a"}},{"id":27101,"uris":["http://zotero.org/users/7317906/items/STRSZM9V"],"itemData":{"id":27101,"type":"article-journal","abstract":"IMPORTANCE: Mendelian randomization (MR) studies use genetic variation associated with modifiable exposures to assess their possible causal relationship with outcomes and aim to reduce potential bias from confounding and reverse causation.\nOBJECTIVE: To develop the STROBE-MR Statement as a stand-alone extension to the STROBE (Strengthening the Reporting of Observational Studies in Epidemiology) guideline for the reporting of MR studies.\nDESIGN, SETTING, AND PARTICIPANTS: The development of the STROBE-MR Statement followed the Enhancing the Quality and Transparency of Health Research (EQUATOR) framework guidance and used the STROBE Statement as a starting point to draft a checklist tailored to MR studies. The project was initiated in 2018 by reviewing the literature on the reporting of instrumental variable and MR studies. A group of 17 experts, including MR methodologists, MR study design users, developers of previous reporting guidelines, and journal editors, participated in a workshop in May 2019 to define the scope of the Statement and draft the checklist. The draft checklist was published as a preprint in July 2019 and discussed on the preprint platform, in social media, and at the 4th Mendelian Randomization Conference. The checklist was then revised based on comments, further refined through 2020, and finalized in July 2021.\nFINDINGS: The STROBE-MR checklist is organized into 6 sections (Title and Abstract, Introduction, Methods, Results, Discussion, and Other Information) and includes 20 main items and 30 subitems. It covers both 1-sample and 2-sample MR studies that assess 1 or multiple exposures and outcomes, and addresses MR studies that follow a genome-wide association study and are reported in the same article. The checklist asks authors to justify why MR is a helpful method to address the study question and state prespecified causal hypotheses. The measurement, quality, and selection of genetic variants must be described and attempts to assess validity of MR-specific assumptions should be well reported. An item on data sharing includes reporting when the data and statistical code required to replicate the analyses can be accessed.\nCONCLUSIONS AND RELEVANCE: STROBE-MR provides guidelines for reporting MR studies. Improved reporting of these studies could facilitate their evaluation by editors, peer reviewers, researchers, clinicians, and other readers, and enhance the interpretation of their results.","container-title":"JAMA","DOI":"10.1001/jama.2021.18236","ISSN":"1538-3598","issue":"16","journalAbbreviation":"JAMA","language":"eng","note":"PMID: 34698778","page":"1614-1621","source":"PubMed","title":"Strengthening the Reporting of Observational Studies in Epidemiology Using Mendelian Randomization: The STROBE-MR Statement","title-short":"Strengthening the Reporting of Observational Studies in Epidemiology Using Mendelian Randomization","volume":"326","author":[{"family":"Skrivankova","given":"Veronika W."},{"family":"Richmond","given":"Rebecca C."},{"family":"Woolf","given":"Benjamin A. R."},{"family":"Yarmolinsky","given":"James"},{"family":"Davies","given":"Neil M."},{"family":"Swanson","given":"Sonja A."},{"family":"VanderWeele","given":"Tyler J."},{"family":"Higgins","given":"Julian P. T."},{"family":"Timpson","given":"Nicholas J."},{"family":"Dimou","given":"Niki"},{"family":"Langenberg","given":"Claudia"},{"family":"Golub","given":"Robert M."},{"family":"Loder","given":"Elizabeth W."},{"family":"Gallo","given":"Valentina"},{"family":"Tybjaerg-Hansen","given":"Anne"},{"family":"Davey Smith","given":"George"},{"family":"Egger","given":"Matthias"},{"family":"Richards","given":"J. Brent"}],"issued":{"date-parts":[["2021",10,26]]},"citation-key":"skrivankovaStrengtheningReportingObservational2021"}}],"schema":"https://github.com/citation-style-language/schema/raw/master/csl-citation.json"} </w:instrText>
      </w:r>
      <w:r>
        <w:fldChar w:fldCharType="separate"/>
      </w:r>
      <w:r>
        <w:rPr>
          <w:noProof/>
        </w:rPr>
        <w:t>[1,2]</w:t>
      </w:r>
      <w:r>
        <w:fldChar w:fldCharType="end"/>
      </w:r>
      <w:r>
        <w:t xml:space="preserve">. </w:t>
      </w:r>
    </w:p>
    <w:p w14:paraId="1CA6F4E2" w14:textId="5D1005F2" w:rsidR="002B35C8" w:rsidRDefault="00421B63" w:rsidP="00FF1D3C">
      <w:pPr>
        <w:pStyle w:val="Heading2"/>
      </w:pPr>
      <w:r>
        <w:t>SNP</w:t>
      </w:r>
      <w:r w:rsidR="002B35C8">
        <w:t xml:space="preserve"> Instrument Selection</w:t>
      </w:r>
    </w:p>
    <w:p w14:paraId="6C11CA6A" w14:textId="649FAA94" w:rsidR="002B35C8" w:rsidRDefault="002B35C8" w:rsidP="002820CC">
      <w:pPr>
        <w:rPr>
          <w:rFonts w:cs="Cambria Math"/>
        </w:rPr>
      </w:pPr>
      <w:r w:rsidRPr="002820CC">
        <w:t>For each of our exposures we selected variants associated with that exposure from UK Biobank summary statistics</w:t>
      </w:r>
      <w:r w:rsidR="00B46D8E" w:rsidRPr="002820CC">
        <w:t xml:space="preserve"> (RRID:SCR_026189; </w:t>
      </w:r>
      <w:r w:rsidR="00532FC4" w:rsidRPr="002820CC">
        <w:fldChar w:fldCharType="begin"/>
      </w:r>
      <w:r w:rsidR="00084F1C">
        <w:instrText xml:space="preserve"> ADDIN ZOTERO_ITEM CSL_CITATION {"citationID":"reOoRbeU","properties":{"formattedCitation":"[3]","plainCitation":"[3]","noteIndex":0},"citationItems":[{"id":27087,"uris":["http://zotero.org/users/7317906/items/D75P3HJ8"],"itemData":{"id":27087,"type":"article-journal","abstract":"The UK Biobank project is a prospective cohort study with deep genetic and phenotypic data collected on approximately 500,000 individuals from across the United Kingdom, aged between 40 and 69 at recruitment. The open resource is unique in its size and scope. A rich variety of phenotypic and health-related information is available on each participant, including biological measurements, lifestyle indicators, biomarkers in blood and urine, and imaging of the body and brain. Follow-up information is provided by linking health and medical records. Genome-wide genotype data have been collected on all participants, providing many opportunities for the discovery of new genetic associations and the genetic bases of complex traits. Here we describe the centralized analysis of the genetic data, including genotype quality, properties of population structure and relatedness of the genetic data, and efficient phasing and genotype imputation that increases the number of testable variants to around 96 million. Classical allelic variation at 11 human leukocyte antigen genes was imputed, resulting in the recovery of signals with known associations between human leukocyte antigen alleles and many diseases.","container-title":"Nature","DOI":"10.1038/s41586-018-0579-z","ISSN":"1476-4687","issue":"7726","journalAbbreviation":"Nature","language":"eng","note":"PMID: 30305743\nPMCID: PMC6786975","page":"203-209","source":"PubMed","title":"The UK Biobank resource with deep phenotyping and genomic data","volume":"562","author":[{"family":"Bycroft","given":"Clare"},{"family":"Freeman","given":"Colin"},{"family":"Petkova","given":"Desislava"},{"family":"Band","given":"Gavin"},{"family":"Elliott","given":"Lloyd T."},{"family":"Sharp","given":"Kevin"},{"family":"Motyer","given":"Allan"},{"family":"Vukcevic","given":"Damjan"},{"family":"Delaneau","given":"Olivier"},{"family":"O'Connell","given":"Jared"},{"family":"Cortes","given":"Adrian"},{"family":"Welsh","given":"Samantha"},{"family":"Young","given":"Alan"},{"family":"Effingham","given":"Mark"},{"family":"McVean","given":"Gil"},{"family":"Leslie","given":"Stephen"},{"family":"Allen","given":"Naomi"},{"family":"Donnelly","given":"Peter"},{"family":"Marchini","given":"Jonathan"}],"issued":{"date-parts":[["2018",10]]},"citation-key":"bycroftUKBiobankResource2018"}}],"schema":"https://github.com/citation-style-language/schema/raw/master/csl-citation.json"} </w:instrText>
      </w:r>
      <w:r w:rsidR="00532FC4" w:rsidRPr="002820CC">
        <w:fldChar w:fldCharType="separate"/>
      </w:r>
      <w:r w:rsidR="00084F1C">
        <w:rPr>
          <w:noProof/>
        </w:rPr>
        <w:t>[3]</w:t>
      </w:r>
      <w:r w:rsidR="00532FC4" w:rsidRPr="002820CC">
        <w:fldChar w:fldCharType="end"/>
      </w:r>
      <w:r w:rsidR="00B46D8E" w:rsidRPr="002820CC">
        <w:t>)</w:t>
      </w:r>
      <w:r w:rsidRPr="002820CC">
        <w:t xml:space="preserve">.  </w:t>
      </w:r>
      <w:r w:rsidR="00FF1D3C" w:rsidRPr="002820CC">
        <w:t>These included</w:t>
      </w:r>
      <w:r w:rsidRPr="002820CC">
        <w:t xml:space="preserve"> total cholesterol (trait 30690; 420</w:t>
      </w:r>
      <w:r w:rsidR="00111879">
        <w:t xml:space="preserve"> </w:t>
      </w:r>
      <w:r w:rsidRPr="002820CC">
        <w:t>607 cases), for LDL cholesterol (trait 30780; 419</w:t>
      </w:r>
      <w:r w:rsidR="00111879">
        <w:t xml:space="preserve"> </w:t>
      </w:r>
      <w:r w:rsidRPr="002820CC">
        <w:t>831 cases)</w:t>
      </w:r>
      <w:r w:rsidR="00FF1D3C" w:rsidRPr="002820CC">
        <w:t>,</w:t>
      </w:r>
      <w:r w:rsidRPr="002820CC">
        <w:t xml:space="preserve"> and serum calcium (trait 30680; 385</w:t>
      </w:r>
      <w:r w:rsidR="00111879">
        <w:t xml:space="preserve"> </w:t>
      </w:r>
      <w:r w:rsidRPr="002820CC">
        <w:t xml:space="preserve">066 cases).  </w:t>
      </w:r>
      <w:r w:rsidR="00824978" w:rsidRPr="002820CC">
        <w:t xml:space="preserve">Instruments were filtered based on linkage disequilibrium (LD) clumping, then removing variants with &lt;1% or &gt;99% allele frequencies, were not present in our outcome summary statistics, </w:t>
      </w:r>
      <w:r w:rsidR="00532FC4" w:rsidRPr="002820CC">
        <w:t>or variants that   were either palindromic (A/T or C/G) with intermediate allele frequencies or had strand inconsistencies that prevented confident harmonization using the TwoSampleMR package (v. 0.6.22; )</w:t>
      </w:r>
      <w:r w:rsidR="00532FC4" w:rsidRPr="002820CC">
        <w:fldChar w:fldCharType="begin"/>
      </w:r>
      <w:r w:rsidR="00084F1C">
        <w:instrText xml:space="preserve"> ADDIN ZOTERO_ITEM CSL_CITATION {"citationID":"oWqrPTAU","properties":{"formattedCitation":"[4]","plainCitation":"[4]","noteIndex":0},"citationItems":[{"id":27090,"uris":["http://zotero.org/users/7317906/items/6LJFBWLQ"],"itemData":{"id":27090,"type":"article-journal","abstract":"Results from genome-wide association studies (GWAS) can be used to infer causal relationships between phenotypes, using a strategy known as 2-sample Mendelian randomization (2SMR) and bypassing the need for individual-level data. However, 2SMR methods are evolving rapidly and GWAS results are often insufficiently curated, undermining efficient implementation of the approach. We therefore developed MR-Base (http://www.mrbase.org): a platform that integrates a curated database of complete GWAS results (no restrictions according to statistical significance) with an application programming interface, web app and R packages that automate 2SMR. The software includes several sensitivity analyses for assessing the impact of horizontal pleiotropy and other violations of assumptions. The database currently comprises 11 billion single nucleotide polymorphism-trait associations from 1673 GWAS and is updated on a regular basis. Integrating data with software ensures more rigorous application of hypothesis-driven analyses and allows millions of potential causal relationships to be efficiently evaluated in phenome-wide association studies.","container-title":"eLife","DOI":"10.7554/eLife.34408","ISSN":"2050-084X","note":"publisher: eLife Sciences Publications, Ltd","page":"e34408","source":"eLife","title":"The MR-Base platform supports systematic causal inference across the human phenome","volume":"7","author":[{"family":"Hemani","given":"Gibran"},{"family":"Zheng","given":"Jie"},{"family":"Elsworth","given":"Benjamin"},{"family":"Wade","given":"Kaitlin H"},{"family":"Haberland","given":"Valeriia"},{"family":"Baird","given":"Denis"},{"family":"Laurin","given":"Charles"},{"family":"Burgess","given":"Stephen"},{"family":"Bowden","given":"Jack"},{"family":"Langdon","given":"Ryan"},{"family":"Tan","given":"Vanessa Y"},{"family":"Yarmolinsky","given":"James"},{"family":"Shihab","given":"Hashem A"},{"family":"Timpson","given":"Nicholas J"},{"family":"Evans","given":"David M"},{"family":"Relton","given":"Caroline"},{"family":"Martin","given":"Richard M"},{"family":"Davey Smith","given":"George"},{"family":"Gaunt","given":"Tom R"},{"family":"Haycock","given":"Philip C"}],"editor":[{"family":"Loos","given":"Ruth"}],"issued":{"date-parts":[["2018",5,30]]},"citation-key":"hemaniMRBasePlatformSupports2018"}}],"schema":"https://github.com/citation-style-language/schema/raw/master/csl-citation.json"} </w:instrText>
      </w:r>
      <w:r w:rsidR="00532FC4" w:rsidRPr="002820CC">
        <w:fldChar w:fldCharType="separate"/>
      </w:r>
      <w:r w:rsidR="00084F1C">
        <w:rPr>
          <w:noProof/>
        </w:rPr>
        <w:t>[4]</w:t>
      </w:r>
      <w:r w:rsidR="00532FC4" w:rsidRPr="002820CC">
        <w:fldChar w:fldCharType="end"/>
      </w:r>
      <w:r w:rsidR="00532FC4" w:rsidRPr="002820CC">
        <w:t>)</w:t>
      </w:r>
      <w:r w:rsidR="00824978" w:rsidRPr="002820CC">
        <w:t>.  We retained palindromic SNPs</w:t>
      </w:r>
      <w:r w:rsidR="00532FC4" w:rsidRPr="002820CC">
        <w:t xml:space="preserve"> in downstream analyses</w:t>
      </w:r>
      <w:r w:rsidR="00824978" w:rsidRPr="002820CC">
        <w:t xml:space="preserve">.  LD clumping was </w:t>
      </w:r>
      <w:r w:rsidR="00532FC4" w:rsidRPr="002820CC">
        <w:t xml:space="preserve">performed using Plink2 (v 2.00a5.12; RRID:SCR_001757;  </w:t>
      </w:r>
      <w:r w:rsidR="00532FC4" w:rsidRPr="002820CC">
        <w:fldChar w:fldCharType="begin"/>
      </w:r>
      <w:r w:rsidR="00084F1C">
        <w:instrText xml:space="preserve"> ADDIN ZOTERO_ITEM CSL_CITATION {"citationID":"V8Jh24X5","properties":{"formattedCitation":"[5]","plainCitation":"[5]","noteIndex":0},"citationItems":[{"id":27095,"uris":["http://zotero.org/users/7317906/items/CATHGFDV"],"itemData":{"id":27095,"type":"article-journal","abstract":"BACKGROUND: PLINK 1 is a widely used open-source C/C++ toolset for genome-wide association studies (GWAS) and research in population genetics. However, the steady accumulation of data from imputation and whole-genome sequencing studies has exposed a strong need for faster and scalable implementations of key functions, such as logistic regression, linkage disequilibrium estimation, and genomic distance evaluation. In addition, GWAS and population-genetic data now frequently contain genotype likelihoods, phase information, and/or multiallelic variants, none of which can be represented by PLINK 1's primary data format.\nFINDINGS: To address these issues, we are developing a second-generation codebase for PLINK. The first major release from this codebase, PLINK 1.9, introduces extensive use of bit-level parallelism, [Formula: see text]-time/constant-space Hardy-Weinberg equilibrium and Fisher's exact tests, and many other algorithmic improvements. In combination, these changes accelerate most operations by 1-4 orders of magnitude, and allow the program to handle datasets too large to fit in RAM. We have also developed an extension to the data format which adds low-overhead support for genotype likelihoods, phase, multiallelic variants, and reference vs. alternate alleles, which is the basis of our planned second release (PLINK 2.0).\nCONCLUSIONS: The second-generation versions of PLINK will offer dramatic improvements in performance and compatibility. For the first time, users without access to high-end computing resources can perform several essential analyses of the feature-rich and very large genetic datasets coming into use.","container-title":"GigaScience","DOI":"10.1186/s13742-015-0047-8","ISSN":"2047-217X","journalAbbreviation":"Gigascience","language":"eng","note":"PMID: 25722852\nPMCID: PMC4342193","page":"7","source":"PubMed","title":"Second-generation PLINK: rising to the challenge of larger and richer datasets","title-short":"Second-generation PLINK","volume":"4","author":[{"family":"Chang","given":"Christopher C."},{"family":"Chow","given":"Carson C."},{"family":"Tellier","given":"Laurent Cam"},{"family":"Vattikuti","given":"Shashaank"},{"family":"Purcell","given":"Shaun M."},{"family":"Lee","given":"James J."}],"issued":{"date-parts":[["2015"]]},"citation-key":"changSecondgenerationPLINKRising2015"}}],"schema":"https://github.com/citation-style-language/schema/raw/master/csl-citation.json"} </w:instrText>
      </w:r>
      <w:r w:rsidR="00532FC4" w:rsidRPr="002820CC">
        <w:fldChar w:fldCharType="separate"/>
      </w:r>
      <w:r w:rsidR="00084F1C">
        <w:rPr>
          <w:noProof/>
        </w:rPr>
        <w:t>[5]</w:t>
      </w:r>
      <w:r w:rsidR="00532FC4" w:rsidRPr="002820CC">
        <w:fldChar w:fldCharType="end"/>
      </w:r>
      <w:r w:rsidR="00532FC4" w:rsidRPr="002820CC">
        <w:t xml:space="preserve">) </w:t>
      </w:r>
      <w:r w:rsidR="00824978" w:rsidRPr="002820CC">
        <w:t xml:space="preserve">based on genomes of European ancestry provided by 1000 </w:t>
      </w:r>
      <w:r w:rsidR="00532FC4" w:rsidRPr="002820CC">
        <w:t>G</w:t>
      </w:r>
      <w:r w:rsidR="00824978" w:rsidRPr="002820CC">
        <w:t>enomes</w:t>
      </w:r>
      <w:r w:rsidR="00532FC4" w:rsidRPr="002820CC">
        <w:t xml:space="preserve"> (RRID:SCR_006828; </w:t>
      </w:r>
      <w:r w:rsidR="00532FC4" w:rsidRPr="002820CC">
        <w:fldChar w:fldCharType="begin"/>
      </w:r>
      <w:r w:rsidR="00084F1C">
        <w:instrText xml:space="preserve"> ADDIN ZOTERO_ITEM CSL_CITATION {"citationID":"cWNO4sOE","properties":{"formattedCitation":"[6]","plainCitation":"[6]","noteIndex":0},"citationItems":[{"id":27092,"uris":["http://zotero.org/users/7317906/items/P8JP332H"],"itemData":{"id":27092,"type":"article-journal","abstract":"The 1000 Genomes Project set out to provide a comprehensive description of common human genetic variation by applying whole-genome sequencing to a diverse set of individuals from multiple populations. Here we report completion of the project, having reconstructed the genomes of 2,504 individuals from 26 populations using a combination of low-coverage whole-genome sequencing, deep exome sequencing, and dense microarray genotyping. We characterized a broad spectrum of genetic variation, in total over 88 million variants (84.7 million single nucleotide polymorphisms (SNPs), 3.6 million short insertions/deletions (indels), and 60,000 structural variants), all phased onto high-quality haplotypes. This resource includes &gt;99% of SNP variants with a frequency of &gt;1% for a variety of ancestries. We describe the distribution of genetic variation across the global sample, and discuss the implications for common disease studies.","container-title":"Nature","DOI":"10.1038/nature15393","ISSN":"1476-4687","issue":"7571","journalAbbreviation":"Nature","language":"eng","note":"PMID: 26432245\nPMCID: PMC4750478","page":"68-74","source":"PubMed","title":"A global reference for human genetic variation","volume":"526","author":[{"literal":"1000 Genomes Project Consortium"},{"family":"Auton","given":"Adam"},{"family":"Brooks","given":"Lisa D."},{"family":"Durbin","given":"Richard M."},{"family":"Garrison","given":"Erik P."},{"family":"Kang","given":"Hyun Min"},{"family":"Korbel","given":"Jan O."},{"family":"Marchini","given":"Jonathan L."},{"family":"McCarthy","given":"Shane"},{"family":"McVean","given":"Gil A."},{"family":"Abecasis","given":"Gonçalo R."}],"issued":{"date-parts":[["2015",10,1]]},"citation-key":"1000genomesprojectconsortiumGlobalReferenceHuman2015"}}],"schema":"https://github.com/citation-style-language/schema/raw/master/csl-citation.json"} </w:instrText>
      </w:r>
      <w:r w:rsidR="00532FC4" w:rsidRPr="002820CC">
        <w:fldChar w:fldCharType="separate"/>
      </w:r>
      <w:r w:rsidR="00084F1C">
        <w:rPr>
          <w:noProof/>
        </w:rPr>
        <w:t>[6]</w:t>
      </w:r>
      <w:r w:rsidR="00532FC4" w:rsidRPr="002820CC">
        <w:fldChar w:fldCharType="end"/>
      </w:r>
      <w:r w:rsidR="00532FC4" w:rsidRPr="002820CC">
        <w:t>)</w:t>
      </w:r>
      <w:r w:rsidR="00824978" w:rsidRPr="002820CC">
        <w:t>.</w:t>
      </w:r>
      <w:r w:rsidR="00532FC4" w:rsidRPr="002820CC">
        <w:t xml:space="preserve">   Clumping parameters were a lead SNP threshold of p ≤ 5×10</w:t>
      </w:r>
      <w:r w:rsidR="002820CC" w:rsidRPr="002820CC">
        <w:rPr>
          <w:rFonts w:cs="Cambria Math"/>
          <w:vertAlign w:val="superscript"/>
        </w:rPr>
        <w:t>-6</w:t>
      </w:r>
      <w:r w:rsidR="00532FC4" w:rsidRPr="002820CC">
        <w:t xml:space="preserve">, </w:t>
      </w:r>
      <w:r w:rsidR="002820CC" w:rsidRPr="002820CC">
        <w:t>a secondary threshold of p ≤ 1×10</w:t>
      </w:r>
      <w:r w:rsidR="002820CC" w:rsidRPr="002820CC">
        <w:rPr>
          <w:rFonts w:ascii="Cambria Math" w:hAnsi="Cambria Math" w:cs="Cambria Math"/>
        </w:rPr>
        <w:t>⁻</w:t>
      </w:r>
      <w:r w:rsidR="002820CC" w:rsidRPr="002820CC">
        <w:rPr>
          <w:rFonts w:cs="Cambria Math"/>
          <w:vertAlign w:val="superscript"/>
        </w:rPr>
        <w:t>6</w:t>
      </w:r>
      <w:r w:rsidR="002820CC" w:rsidRPr="002820CC">
        <w:rPr>
          <w:rFonts w:cs="Cambria Math"/>
        </w:rPr>
        <w:t>, and LD threshold of r</w:t>
      </w:r>
      <w:r w:rsidR="002820CC" w:rsidRPr="002820CC">
        <w:rPr>
          <w:rFonts w:cs="Cambria Math"/>
          <w:vertAlign w:val="superscript"/>
        </w:rPr>
        <w:t>2</w:t>
      </w:r>
      <w:r w:rsidR="002820CC" w:rsidRPr="002820CC">
        <w:rPr>
          <w:rFonts w:cs="Cambria Math"/>
        </w:rPr>
        <w:t xml:space="preserve"> &gt; 1% and a 10 Mb genomic window.</w:t>
      </w:r>
      <w:r w:rsidR="002820CC">
        <w:rPr>
          <w:rFonts w:cs="Cambria Math"/>
        </w:rPr>
        <w:t xml:space="preserve">  </w:t>
      </w:r>
      <w:r w:rsidR="00F00934">
        <w:rPr>
          <w:rFonts w:cs="Cambria Math"/>
        </w:rPr>
        <w:t xml:space="preserve">Steiger filtering was then performed to ensure all instrument SNPs had a stronger effect on the exposure than the outcome.  </w:t>
      </w:r>
      <w:r w:rsidR="002820CC">
        <w:rPr>
          <w:rFonts w:cs="Cambria Math"/>
        </w:rPr>
        <w:t>SNP filtering</w:t>
      </w:r>
      <w:r w:rsidR="003A12D2">
        <w:rPr>
          <w:rFonts w:cs="Cambria Math"/>
        </w:rPr>
        <w:t xml:space="preserve"> for each outcome</w:t>
      </w:r>
      <w:r w:rsidR="002820CC">
        <w:rPr>
          <w:rFonts w:cs="Cambria Math"/>
        </w:rPr>
        <w:t xml:space="preserve"> is </w:t>
      </w:r>
      <w:r w:rsidR="003A12D2">
        <w:rPr>
          <w:rFonts w:cs="Cambria Math"/>
        </w:rPr>
        <w:t>summarized</w:t>
      </w:r>
      <w:r w:rsidR="002820CC">
        <w:rPr>
          <w:rFonts w:cs="Cambria Math"/>
        </w:rPr>
        <w:t xml:space="preserve"> in Supplementary Figure 1</w:t>
      </w:r>
      <w:r w:rsidR="002220E7">
        <w:rPr>
          <w:rFonts w:cs="Cambria Math"/>
        </w:rPr>
        <w:t xml:space="preserve">, with all instruments used for downstream analyses </w:t>
      </w:r>
      <w:r w:rsidR="00813302">
        <w:rPr>
          <w:rFonts w:cs="Cambria Math"/>
        </w:rPr>
        <w:t xml:space="preserve">listed </w:t>
      </w:r>
      <w:r w:rsidR="002220E7">
        <w:rPr>
          <w:rFonts w:cs="Cambria Math"/>
        </w:rPr>
        <w:t>in Supplementary Table 1</w:t>
      </w:r>
      <w:r w:rsidR="002820CC">
        <w:rPr>
          <w:rFonts w:cs="Cambria Math"/>
        </w:rPr>
        <w:t>.</w:t>
      </w:r>
    </w:p>
    <w:p w14:paraId="25A0EF93" w14:textId="1DD1E13D" w:rsidR="007D3CC9" w:rsidRDefault="007D3CC9" w:rsidP="007D3CC9">
      <w:pPr>
        <w:pStyle w:val="Heading2"/>
      </w:pPr>
      <w:r>
        <w:t>Two Samp</w:t>
      </w:r>
      <w:r w:rsidR="00CA30B0">
        <w:t>l</w:t>
      </w:r>
      <w:r>
        <w:t>e MR Analyses</w:t>
      </w:r>
    </w:p>
    <w:p w14:paraId="08600996" w14:textId="5DADD6FD" w:rsidR="007D3CC9" w:rsidRPr="002820CC" w:rsidRDefault="007D3CC9" w:rsidP="002820CC">
      <w:r>
        <w:rPr>
          <w:rFonts w:cs="Cambria Math"/>
        </w:rPr>
        <w:t>Our outcomes were assessed from the MGI-BioVU LabWAS</w:t>
      </w:r>
      <w:r w:rsidR="00B3420F">
        <w:rPr>
          <w:rFonts w:cs="Cambria Math"/>
        </w:rPr>
        <w:t xml:space="preserve"> </w:t>
      </w:r>
      <w:r w:rsidR="005821FA">
        <w:rPr>
          <w:rFonts w:cs="Cambria Math"/>
        </w:rPr>
        <w:fldChar w:fldCharType="begin"/>
      </w:r>
      <w:r w:rsidR="00084F1C">
        <w:rPr>
          <w:rFonts w:cs="Cambria Math"/>
        </w:rPr>
        <w:instrText xml:space="preserve"> ADDIN ZOTERO_ITEM CSL_CITATION {"citationID":"dzENltIW","properties":{"formattedCitation":"[7]","plainCitation":"[7]","noteIndex":0},"citationItems":[{"id":27098,"uris":["http://zotero.org/users/7317906/items/HBLP22LW"],"itemData":{"id":27098,"type":"article-journal","abstract":"Phenotypes extracted from Electronic Health Records (EHRs) are increasingly prevalent in genetic studies. EHRs contain hundreds of distinct clinical laboratory test results, providing a trove of health data beyond diagnoses. Such lab data is complex and lacks a ubiquitous coding scheme, making it more challenging than diagnosis data. Here we describe the first large-scale cross-health system genome-wide association study (GWAS) of EHR-based quantitative laboratory-derived phenotypes. We meta-analyzed 70 lab traits matched between the BioVU cohort from the Vanderbilt University Health System and the Michigan Genomics Initiative (MGI) cohort from Michigan Medicine. We show high replication of known association for these traits, validating EHR-based measurements as high-quality phenotypes for genetic analysis. Notably, our analysis provides the first replication for 699 previous GWAS associations across 46 different traits. We discovered 31 novel associations at genome-wide significance for 22 distinct traits, including the first reported associations for two lab-based traits. We replicated 22 of these novel associations in an independent tranche of BioVU samples. The summary statistics for all association tests are freely available to benefit other researchers. Finally, we performed mirrored analyses in BioVU and MGI to assess competing analytic practices for EHR lab traits. We find that using the mean of all available lab measurements provides a robust summary value, but alternate summarizations can improve power in certain circumstances. This study provides a proof-of-principle for cross health system GWAS and is a framework for future studies of quantitative EHR lab traits.","container-title":"PLoS genetics","DOI":"10.1371/journal.pgen.1009077","ISSN":"1553-7404","issue":"11","journalAbbreviation":"PLoS Genet","language":"eng","note":"PMID: 33175840\nPMCID: PMC7682892","page":"e1009077","source":"PubMed","title":"LabWAS: Novel findings and study design recommendations from a meta-analysis of clinical labs in two independent biobanks","title-short":"LabWAS","volume":"16","author":[{"family":"Goldstein","given":"Jeffery A."},{"family":"Weinstock","given":"Joshua S."},{"family":"Bastarache","given":"Lisa A."},{"family":"Larach","given":"Daniel B."},{"family":"Fritsche","given":"Lars G."},{"family":"Schmidt","given":"Ellen M."},{"family":"Brummett","given":"Chad M."},{"family":"Kheterpal","given":"Sachin"},{"family":"Abecasis","given":"Goncalo R."},{"family":"Denny","given":"Joshua C."},{"family":"Zawistowski","given":"Matthew"}],"issued":{"date-parts":[["2020",11]]},"citation-key":"goldsteinLabWASNovelFindings2020"}}],"schema":"https://github.com/citation-style-language/schema/raw/master/csl-citation.json"} </w:instrText>
      </w:r>
      <w:r w:rsidR="005821FA">
        <w:rPr>
          <w:rFonts w:cs="Cambria Math"/>
        </w:rPr>
        <w:fldChar w:fldCharType="separate"/>
      </w:r>
      <w:r w:rsidR="00084F1C">
        <w:rPr>
          <w:rFonts w:cs="Cambria Math"/>
          <w:noProof/>
        </w:rPr>
        <w:t>[7]</w:t>
      </w:r>
      <w:r w:rsidR="005821FA">
        <w:rPr>
          <w:rFonts w:cs="Cambria Math"/>
        </w:rPr>
        <w:fldChar w:fldCharType="end"/>
      </w:r>
      <w:r w:rsidR="005821FA">
        <w:rPr>
          <w:rFonts w:cs="Cambria Math"/>
        </w:rPr>
        <w:t xml:space="preserve"> </w:t>
      </w:r>
      <w:r w:rsidR="00B3420F">
        <w:rPr>
          <w:rFonts w:cs="Cambria Math"/>
        </w:rPr>
        <w:t>summary statistics using the TwoSampleMR package.</w:t>
      </w:r>
      <w:r w:rsidR="007277E3">
        <w:rPr>
          <w:rFonts w:cs="Cambria Math"/>
        </w:rPr>
        <w:t xml:space="preserve">  </w:t>
      </w:r>
      <w:r w:rsidR="001F20D2">
        <w:rPr>
          <w:rFonts w:cs="Cambria Math"/>
        </w:rPr>
        <w:t>Due to significant heterogeneity, f</w:t>
      </w:r>
      <w:r w:rsidR="007277E3">
        <w:rPr>
          <w:rFonts w:cs="Cambria Math"/>
        </w:rPr>
        <w:t xml:space="preserve">or each exposure-outcome pair </w:t>
      </w:r>
      <w:r w:rsidR="00796C46">
        <w:rPr>
          <w:rFonts w:cs="Cambria Math"/>
        </w:rPr>
        <w:t xml:space="preserve">our primary outcome was using </w:t>
      </w:r>
      <w:r w:rsidR="007277E3">
        <w:rPr>
          <w:rFonts w:cs="Cambria Math"/>
        </w:rPr>
        <w:t xml:space="preserve"> inverse variance weighted </w:t>
      </w:r>
      <w:r w:rsidR="001F20D2">
        <w:rPr>
          <w:rFonts w:cs="Cambria Math"/>
        </w:rPr>
        <w:t xml:space="preserve">with multiplicative random effects models </w:t>
      </w:r>
      <w:r w:rsidR="007277E3">
        <w:rPr>
          <w:rFonts w:cs="Cambria Math"/>
        </w:rPr>
        <w:t>(IVW</w:t>
      </w:r>
      <w:r w:rsidR="001F20D2">
        <w:rPr>
          <w:rFonts w:cs="Cambria Math"/>
        </w:rPr>
        <w:t>-MRE</w:t>
      </w:r>
      <w:r w:rsidR="007277E3">
        <w:rPr>
          <w:rFonts w:cs="Cambria Math"/>
        </w:rPr>
        <w:t>)</w:t>
      </w:r>
      <w:r w:rsidR="001F20D2">
        <w:rPr>
          <w:rFonts w:cs="Cambria Math"/>
        </w:rPr>
        <w:t>,</w:t>
      </w:r>
      <w:r w:rsidR="007277E3">
        <w:rPr>
          <w:rFonts w:cs="Cambria Math"/>
        </w:rPr>
        <w:t xml:space="preserve"> </w:t>
      </w:r>
      <w:r w:rsidR="001F20D2">
        <w:rPr>
          <w:rFonts w:cs="Cambria Math"/>
        </w:rPr>
        <w:t xml:space="preserve"> </w:t>
      </w:r>
      <w:r w:rsidR="00796C46">
        <w:rPr>
          <w:rFonts w:cs="Cambria Math"/>
        </w:rPr>
        <w:t>but as sensitivity analyses we also performed analyses using</w:t>
      </w:r>
      <w:r w:rsidR="007277E3">
        <w:rPr>
          <w:rFonts w:cs="Cambria Math"/>
        </w:rPr>
        <w:t xml:space="preserve"> </w:t>
      </w:r>
      <w:r w:rsidR="001F20D2">
        <w:rPr>
          <w:rFonts w:cs="Cambria Math"/>
        </w:rPr>
        <w:t xml:space="preserve">MR-PRESSO, </w:t>
      </w:r>
      <w:r w:rsidR="007277E3">
        <w:rPr>
          <w:rFonts w:cs="Cambria Math"/>
        </w:rPr>
        <w:t xml:space="preserve">MR-Egger, </w:t>
      </w:r>
      <w:r w:rsidR="001F20D2">
        <w:rPr>
          <w:rFonts w:cs="Cambria Math"/>
        </w:rPr>
        <w:t xml:space="preserve">MR-CAUSE, </w:t>
      </w:r>
      <w:r w:rsidR="007277E3">
        <w:rPr>
          <w:rFonts w:cs="Cambria Math"/>
        </w:rPr>
        <w:t>weighted mean and weighted mode methods</w:t>
      </w:r>
      <w:r w:rsidR="001F20D2">
        <w:rPr>
          <w:rFonts w:cs="Cambria Math"/>
        </w:rPr>
        <w:t xml:space="preserve"> and present each.  </w:t>
      </w:r>
      <w:r w:rsidR="007277E3">
        <w:rPr>
          <w:rFonts w:cs="Cambria Math"/>
        </w:rPr>
        <w:t xml:space="preserve">To test for </w:t>
      </w:r>
      <w:r w:rsidR="005E6696">
        <w:rPr>
          <w:rFonts w:cs="Cambria Math"/>
        </w:rPr>
        <w:t xml:space="preserve">uncorrelated </w:t>
      </w:r>
      <w:r w:rsidR="008C6483">
        <w:rPr>
          <w:rFonts w:cs="Cambria Math"/>
        </w:rPr>
        <w:t xml:space="preserve">directional </w:t>
      </w:r>
      <w:r w:rsidR="007277E3">
        <w:rPr>
          <w:rFonts w:cs="Cambria Math"/>
        </w:rPr>
        <w:t xml:space="preserve">pleiotropy we evaluated whether the Egger intercept was different from zero, and </w:t>
      </w:r>
      <w:r w:rsidR="005E6696">
        <w:rPr>
          <w:rFonts w:cs="Cambria Math"/>
        </w:rPr>
        <w:t>to</w:t>
      </w:r>
      <w:r w:rsidR="007277E3">
        <w:rPr>
          <w:rFonts w:cs="Cambria Math"/>
        </w:rPr>
        <w:t xml:space="preserve"> estimate</w:t>
      </w:r>
      <w:r w:rsidR="005E6696">
        <w:rPr>
          <w:rFonts w:cs="Cambria Math"/>
        </w:rPr>
        <w:t xml:space="preserve"> </w:t>
      </w:r>
      <w:r w:rsidR="007277E3">
        <w:rPr>
          <w:rFonts w:cs="Cambria Math"/>
        </w:rPr>
        <w:t xml:space="preserve">heterogeneity </w:t>
      </w:r>
      <w:r w:rsidR="005E6696">
        <w:rPr>
          <w:rFonts w:cs="Cambria Math"/>
        </w:rPr>
        <w:t>we calculated</w:t>
      </w:r>
      <w:r w:rsidR="007277E3">
        <w:rPr>
          <w:rFonts w:cs="Cambria Math"/>
        </w:rPr>
        <w:t xml:space="preserve"> Q </w:t>
      </w:r>
      <w:r w:rsidR="001F20D2">
        <w:rPr>
          <w:rFonts w:cs="Cambria Math"/>
        </w:rPr>
        <w:t>and I</w:t>
      </w:r>
      <w:r w:rsidR="001F20D2" w:rsidRPr="001F20D2">
        <w:rPr>
          <w:rFonts w:cs="Cambria Math"/>
          <w:vertAlign w:val="superscript"/>
        </w:rPr>
        <w:t>2</w:t>
      </w:r>
      <w:r w:rsidR="001F20D2">
        <w:rPr>
          <w:rFonts w:cs="Cambria Math"/>
        </w:rPr>
        <w:t xml:space="preserve"> </w:t>
      </w:r>
      <w:r w:rsidR="007277E3">
        <w:rPr>
          <w:rFonts w:cs="Cambria Math"/>
        </w:rPr>
        <w:t>statistics.  We also tested whether associations were driven by influential SNPs by re-analyzing the data using IVW methods sequentially removing each instrument one at a time.</w:t>
      </w:r>
    </w:p>
    <w:p w14:paraId="601943BB" w14:textId="77777777" w:rsidR="002B35C8" w:rsidRDefault="002B35C8"/>
    <w:p w14:paraId="7BB23034" w14:textId="4EEC738A" w:rsidR="006F63F4" w:rsidRDefault="002B35C8" w:rsidP="008C6483">
      <w:pPr>
        <w:pStyle w:val="Heading1"/>
      </w:pPr>
      <w:r>
        <w:lastRenderedPageBreak/>
        <w:t>Results</w:t>
      </w:r>
    </w:p>
    <w:p w14:paraId="2EF24EE8" w14:textId="77777777" w:rsidR="00D05C4D" w:rsidRDefault="00D05C4D"/>
    <w:p w14:paraId="7CF50E75" w14:textId="47EE46C2" w:rsidR="00D05C4D" w:rsidRDefault="00D05C4D" w:rsidP="00D05C4D">
      <w:pPr>
        <w:pStyle w:val="Heading2"/>
      </w:pPr>
      <w:r>
        <w:t>Selection and Evaluation of Instruments</w:t>
      </w:r>
    </w:p>
    <w:p w14:paraId="0236EA4D" w14:textId="3321121D" w:rsidR="00B3420F" w:rsidRDefault="007D3CC9">
      <w:r>
        <w:t>To understand the causal relationships between calcium and cholesterol in humans, we performed a two-sample Mendelian Randomization study</w:t>
      </w:r>
      <w:r w:rsidR="007A3FE5">
        <w:t xml:space="preserve"> summarized in Figure 1</w:t>
      </w:r>
      <w:r w:rsidR="006A5207">
        <w:t>.</w:t>
      </w:r>
      <w:r w:rsidR="007A3FE5">
        <w:t xml:space="preserve"> We</w:t>
      </w:r>
      <w:r>
        <w:t xml:space="preserve"> </w:t>
      </w:r>
      <w:r w:rsidR="007A3FE5">
        <w:t>identified</w:t>
      </w:r>
      <w:r>
        <w:t xml:space="preserve"> instrumental SNPs associated with calcium or cholesterol from UK Biobank and then evaluating them using summary statistics from MGI-BioVU LabWAS </w:t>
      </w:r>
      <w:r>
        <w:fldChar w:fldCharType="begin"/>
      </w:r>
      <w:r w:rsidR="00084F1C">
        <w:instrText xml:space="preserve"> ADDIN ZOTERO_ITEM CSL_CITATION {"citationID":"GJg3TBhy","properties":{"formattedCitation":"[7,8]","plainCitation":"[7,8]","noteIndex":0},"citationItems":[{"id":9537,"uris":["http://zotero.org/users/7317906/items/H4A3P2LK"],"itemData":{"id":9537,"type":"article-journal","container-title":"Cell Genomics","DOI":"10.1016/j.xgen.2023.100257","ISSN":"2666-979X","issue":"2","journalAbbreviation":"Cell Genomics","language":"English","note":"publisher: Elsevier","page":"100257","source":"www.cell.com","title":"The Michigan Genomics Initiative: A biobank linking genotypes and electronic clinical records in Michigan Medicine patients","title-short":"The Michigan Genomics Initiative","volume":"3","author":[{"family":"Zawistowski","given":"Matthew"},{"family":"Fritsche","given":"Lars G."},{"family":"Pandit","given":"Anita"},{"family":"Vanderwerff","given":"Brett"},{"family":"Patil","given":"Snehal"},{"family":"Schmidt","given":"Ellen M."},{"family":"VandeHaar","given":"Peter"},{"family":"Willer","given":"Cristen J."},{"family":"Brummett","given":"Chad M."},{"family":"Kheterpal","given":"Sachin"},{"family":"Zhou","given":"Xiang"},{"family":"Boehnke","given":"Michael"},{"family":"Abecasis","given":"Gonçalo R."},{"family":"Zöllner","given":"Sebastian"}],"issued":{"date-parts":[["2023",1,31]]},"citation-key":"zawistowskiMichiganGenomicsInitiative2023"}},{"id":27098,"uris":["http://zotero.org/users/7317906/items/HBLP22LW"],"itemData":{"id":27098,"type":"article-journal","abstract":"Phenotypes extracted from Electronic Health Records (EHRs) are increasingly prevalent in genetic studies. EHRs contain hundreds of distinct clinical laboratory test results, providing a trove of health data beyond diagnoses. Such lab data is complex and lacks a ubiquitous coding scheme, making it more challenging than diagnosis data. Here we describe the first large-scale cross-health system genome-wide association study (GWAS) of EHR-based quantitative laboratory-derived phenotypes. We meta-analyzed 70 lab traits matched between the BioVU cohort from the Vanderbilt University Health System and the Michigan Genomics Initiative (MGI) cohort from Michigan Medicine. We show high replication of known association for these traits, validating EHR-based measurements as high-quality phenotypes for genetic analysis. Notably, our analysis provides the first replication for 699 previous GWAS associations across 46 different traits. We discovered 31 novel associations at genome-wide significance for 22 distinct traits, including the first reported associations for two lab-based traits. We replicated 22 of these novel associations in an independent tranche of BioVU samples. The summary statistics for all association tests are freely available to benefit other researchers. Finally, we performed mirrored analyses in BioVU and MGI to assess competing analytic practices for EHR lab traits. We find that using the mean of all available lab measurements provides a robust summary value, but alternate summarizations can improve power in certain circumstances. This study provides a proof-of-principle for cross health system GWAS and is a framework for future studies of quantitative EHR lab traits.","container-title":"PLoS genetics","DOI":"10.1371/journal.pgen.1009077","ISSN":"1553-7404","issue":"11","journalAbbreviation":"PLoS Genet","language":"eng","note":"PMID: 33175840\nPMCID: PMC7682892","page":"e1009077","source":"PubMed","title":"LabWAS: Novel findings and study design recommendations from a meta-analysis of clinical labs in two independent biobanks","title-short":"LabWAS","volume":"16","author":[{"family":"Goldstein","given":"Jeffery A."},{"family":"Weinstock","given":"Joshua S."},{"family":"Bastarache","given":"Lisa A."},{"family":"Larach","given":"Daniel B."},{"family":"Fritsche","given":"Lars G."},{"family":"Schmidt","given":"Ellen M."},{"family":"Brummett","given":"Chad M."},{"family":"Kheterpal","given":"Sachin"},{"family":"Abecasis","given":"Goncalo R."},{"family":"Denny","given":"Joshua C."},{"family":"Zawistowski","given":"Matthew"}],"issued":{"date-parts":[["2020",11]]},"citation-key":"goldsteinLabWASNovelFindings2020"}}],"schema":"https://github.com/citation-style-language/schema/raw/master/csl-citation.json"} </w:instrText>
      </w:r>
      <w:r>
        <w:fldChar w:fldCharType="separate"/>
      </w:r>
      <w:r w:rsidR="00084F1C">
        <w:rPr>
          <w:noProof/>
        </w:rPr>
        <w:t>[7,8]</w:t>
      </w:r>
      <w:r>
        <w:fldChar w:fldCharType="end"/>
      </w:r>
      <w:r>
        <w:t>.  UK Biobank is a population-based cohort of primarily White British individuals aged 40-69 recruited between 2006 and 2010.  MGI-BioVU are</w:t>
      </w:r>
      <w:r w:rsidR="00491DC5">
        <w:t xml:space="preserve"> two</w:t>
      </w:r>
      <w:r>
        <w:t xml:space="preserve"> hospital-based cohorts of individuals primarily of European ancestry recruited between 2012 and 2025.</w:t>
      </w:r>
      <w:r w:rsidR="005821FA">
        <w:t xml:space="preserve">  SNP instruments were filtered by LD clumping</w:t>
      </w:r>
      <w:r w:rsidR="00D47381">
        <w:t>, excluding rare alleles, by harmonization with MGI-BioVU genetic data</w:t>
      </w:r>
      <w:r w:rsidR="007A3FE5">
        <w:t>, and by Stieger filtering to ensure variants explain more of the exposure than outcome</w:t>
      </w:r>
      <w:r w:rsidR="008002BF">
        <w:t xml:space="preserve"> (summarized in Supplementary Figure 1</w:t>
      </w:r>
      <w:r w:rsidR="00C56278">
        <w:t>;</w:t>
      </w:r>
      <w:r w:rsidR="00A67A5F">
        <w:t xml:space="preserve"> full instrument lists are in Supplementary Table 1</w:t>
      </w:r>
      <w:r w:rsidR="008002BF">
        <w:t>)</w:t>
      </w:r>
      <w:r w:rsidR="00D47381">
        <w:t xml:space="preserve">.  These instruments are summarized in </w:t>
      </w:r>
      <w:r w:rsidR="004C095B">
        <w:t>Table 1 (post-</w:t>
      </w:r>
      <w:r w:rsidR="003B74B2">
        <w:t>harmonization</w:t>
      </w:r>
      <w:r w:rsidR="004C095B">
        <w:t xml:space="preserve"> instruments used for downstream analyses) </w:t>
      </w:r>
      <w:r w:rsidR="00A67A5F">
        <w:t xml:space="preserve">and </w:t>
      </w:r>
      <w:r w:rsidR="004C095B">
        <w:t xml:space="preserve">Supplementary Table </w:t>
      </w:r>
      <w:r w:rsidR="00A67A5F">
        <w:t>2</w:t>
      </w:r>
      <w:r w:rsidR="004C095B">
        <w:t xml:space="preserve"> (pre-</w:t>
      </w:r>
      <w:r w:rsidR="003B74B2">
        <w:t>harmonization</w:t>
      </w:r>
      <w:r w:rsidR="004C095B">
        <w:t>).</w:t>
      </w:r>
      <w:r w:rsidR="00D26E8A">
        <w:t xml:space="preserve">  </w:t>
      </w:r>
      <w:r w:rsidR="00527731">
        <w:t>The calcium instruments had somewhat weaker strength than those for cholesterol (see R</w:t>
      </w:r>
      <w:r w:rsidR="00527731" w:rsidRPr="00527731">
        <w:rPr>
          <w:vertAlign w:val="superscript"/>
        </w:rPr>
        <w:t>2</w:t>
      </w:r>
      <w:r w:rsidR="00527731">
        <w:t xml:space="preserve"> and overall F Statistic</w:t>
      </w:r>
      <w:r w:rsidR="00B7621D">
        <w:t>s</w:t>
      </w:r>
      <w:r w:rsidR="00527731">
        <w:t xml:space="preserve"> in Table 1).  Overall</w:t>
      </w:r>
      <w:r w:rsidR="00BA1574">
        <w:t>,</w:t>
      </w:r>
      <w:r w:rsidR="00527731">
        <w:t xml:space="preserve"> each of these</w:t>
      </w:r>
      <w:r w:rsidR="00D26E8A">
        <w:t xml:space="preserve"> instruments ha</w:t>
      </w:r>
      <w:r w:rsidR="00527731">
        <w:t>d</w:t>
      </w:r>
      <w:r w:rsidR="00D26E8A">
        <w:t xml:space="preserve"> very strong per-instrument power with </w:t>
      </w:r>
      <w:r w:rsidR="00BA1574">
        <w:t xml:space="preserve">our instruments having </w:t>
      </w:r>
      <w:r w:rsidR="00D26E8A">
        <w:t>median</w:t>
      </w:r>
      <w:r w:rsidR="00BA1574">
        <w:t xml:space="preserve"> F statistics </w:t>
      </w:r>
      <w:r w:rsidR="00D26E8A">
        <w:t>of 47-49) and the overall F-statistic ranging from 85-136</w:t>
      </w:r>
      <w:r w:rsidR="00BA1574">
        <w:t xml:space="preserve">, well above the recommended threshold of 10 </w:t>
      </w:r>
      <w:r w:rsidR="00BA1574">
        <w:fldChar w:fldCharType="begin"/>
      </w:r>
      <w:r w:rsidR="00084F1C">
        <w:instrText xml:space="preserve"> ADDIN ZOTERO_ITEM CSL_CITATION {"citationID":"DvbYElWe","properties":{"formattedCitation":"[9]","plainCitation":"[9]","noteIndex":0},"citationItems":[{"id":12020,"uris":["http://zotero.org/users/7317906/items/7ASTWT9P"],"itemData":{"id":12020,"type":"article-journal","abstract":"Background Mendelian randomization is used to test and estimate the magnitude of a causal effect of a phenotype on an outcome by using genetic variants as instrumental variables (IVs). Estimates of association from IV analysis are biased in the direction of the confounded, observational association between phenotype and outcome. The magnitude of the bias depends on the F-statistic for the strength of relationship between IVs and phenotype. We seek to develop guidelines for the design and analysis of Mendelian randomization studies to minimize bias.Methods IV analysis was performed on simulated and real data to investigate the effect on bias of size of study, number and choice of instruments and method of analysis.Results Bias is shown to increase as the expected F-statistic decreases, and can be reduced by using parsimonious models of genetic association (i.e. not over-parameterized) and by adjusting for measured covariates. Using data from a single study, the causal estimate of a unit increase in log-transformed C-reactive protein on fibrinogen (μmol/l) is shown to increase from −0.005 (P</w:instrText>
      </w:r>
      <w:r w:rsidR="00084F1C">
        <w:rPr>
          <w:rFonts w:ascii="Arial" w:hAnsi="Arial" w:cs="Arial"/>
        </w:rPr>
        <w:instrText> </w:instrText>
      </w:r>
      <w:r w:rsidR="00084F1C">
        <w:instrText>=</w:instrText>
      </w:r>
      <w:r w:rsidR="00084F1C">
        <w:rPr>
          <w:rFonts w:ascii="Arial" w:hAnsi="Arial" w:cs="Arial"/>
        </w:rPr>
        <w:instrText> </w:instrText>
      </w:r>
      <w:r w:rsidR="00084F1C">
        <w:instrText>0.99) to 0.792 (P</w:instrText>
      </w:r>
      <w:r w:rsidR="00084F1C">
        <w:rPr>
          <w:rFonts w:ascii="Arial" w:hAnsi="Arial" w:cs="Arial"/>
        </w:rPr>
        <w:instrText> </w:instrText>
      </w:r>
      <w:r w:rsidR="00084F1C">
        <w:instrText>=</w:instrText>
      </w:r>
      <w:r w:rsidR="00084F1C">
        <w:rPr>
          <w:rFonts w:ascii="Arial" w:hAnsi="Arial" w:cs="Arial"/>
        </w:rPr>
        <w:instrText> </w:instrText>
      </w:r>
      <w:r w:rsidR="00084F1C">
        <w:instrText>0.00003) due to injudicious choice of instrument. Moreover, when the observed F-statistic is larger than expected in a particular study, the causal estimate is more biased towards the observational association and its standard error is smaller. This correlation between causal estimate and standard error introduces a second source of bias into meta-analysis of Mendelian randomization studies. Bias can be alleviated in meta-analyses by using individual level data and by pooling genetic effects across studies.Conclusions Weak instrument bias is of practical importance for the design and analysis of Mendelian randomization studies. Post hoc choice of instruments, genetic models or data based on measured F-statistics can exacerbate bias. In particular, the commonly cited rule of thumb that F</w:instrText>
      </w:r>
      <w:r w:rsidR="00084F1C">
        <w:rPr>
          <w:rFonts w:ascii="Arial" w:hAnsi="Arial" w:cs="Arial"/>
        </w:rPr>
        <w:instrText> </w:instrText>
      </w:r>
      <w:r w:rsidR="00084F1C">
        <w:instrText>&amp;gt;</w:instrText>
      </w:r>
      <w:r w:rsidR="00084F1C">
        <w:rPr>
          <w:rFonts w:ascii="Arial" w:hAnsi="Arial" w:cs="Arial"/>
        </w:rPr>
        <w:instrText> </w:instrText>
      </w:r>
      <w:r w:rsidR="00084F1C">
        <w:instrText xml:space="preserve">10 avoids bias in IV analysis is misleading.","container-title":"International Journal of Epidemiology","DOI":"10.1093/ije/dyr036","ISSN":"0300-5771","issue":"3","journalAbbreviation":"International Journal of Epidemiology","page":"755-764","source":"Silverchair","title":"Avoiding bias from weak instruments in Mendelian randomization studies","volume":"40","author":[{"family":"Burgess","given":"Stephen"},{"family":"Thompson","given":"Simon G"},{"literal":"CRP CHD Genetics Collaboration"}],"issued":{"date-parts":[["2011",6,1]]},"citation-key":"burgessAvoidingBiasWeak2011"}}],"schema":"https://github.com/citation-style-language/schema/raw/master/csl-citation.json"} </w:instrText>
      </w:r>
      <w:r w:rsidR="00BA1574">
        <w:fldChar w:fldCharType="separate"/>
      </w:r>
      <w:r w:rsidR="00084F1C">
        <w:rPr>
          <w:noProof/>
        </w:rPr>
        <w:t>[9]</w:t>
      </w:r>
      <w:r w:rsidR="00BA1574">
        <w:fldChar w:fldCharType="end"/>
      </w:r>
      <w:r w:rsidR="00D26E8A">
        <w:t>. These are also well represented in the population (allele frequencies range from 30-35%).  This minimizes the risks of weak or rare instrument bias in our analyses.</w:t>
      </w:r>
      <w:r w:rsidR="00527731">
        <w:t xml:space="preserve">  </w:t>
      </w:r>
    </w:p>
    <w:p w14:paraId="7BCB350D" w14:textId="62D873EA" w:rsidR="00162FEC" w:rsidRDefault="00162FEC" w:rsidP="00162FEC">
      <w:r>
        <w:t xml:space="preserve">To confirm that these instrument are valid we performed a positive control analysis where genetically predicted serum Calcium from UK Biobank was used as the exposure and LabWAS serum Calcium was used as the outcome.  </w:t>
      </w:r>
      <w:r w:rsidR="00F44630">
        <w:t>We</w:t>
      </w:r>
      <w:r>
        <w:t xml:space="preserve"> found </w:t>
      </w:r>
      <w:r w:rsidR="00BE5F89">
        <w:t>a</w:t>
      </w:r>
      <w:r>
        <w:t xml:space="preserve"> 0.54 +/- 0.02 unit increase in calcium (</w:t>
      </w:r>
      <w:r w:rsidR="00BE5F89">
        <w:t>Lab</w:t>
      </w:r>
      <w:r>
        <w:t>WAS) per 1 unit increase in calcium (UK Biobank)</w:t>
      </w:r>
      <w:r w:rsidR="00BE5F89">
        <w:t xml:space="preserve"> via the IVW method</w:t>
      </w:r>
      <w:r w:rsidR="00F44630">
        <w:t xml:space="preserve"> (Supplementary Figure 2A).</w:t>
      </w:r>
      <w:r>
        <w:t xml:space="preserve"> This is statistically significant with a p-value of 6.2 x 10</w:t>
      </w:r>
      <w:r w:rsidRPr="00162FEC">
        <w:rPr>
          <w:vertAlign w:val="superscript"/>
        </w:rPr>
        <w:t>-119</w:t>
      </w:r>
      <w:r w:rsidR="006302AB">
        <w:rPr>
          <w:vertAlign w:val="superscript"/>
        </w:rPr>
        <w:t xml:space="preserve"> </w:t>
      </w:r>
      <w:r>
        <w:t xml:space="preserve">All four MR methods (IVW, weighted median, weighted mode, MR-Egger) gave consistent, significant causal estimates, confirming instrument validity and </w:t>
      </w:r>
      <w:r w:rsidR="006302AB">
        <w:t>harmonization (Supplementary Figure 2B)</w:t>
      </w:r>
      <w:r>
        <w:t xml:space="preserve">.  We found </w:t>
      </w:r>
      <w:r w:rsidR="005E6696">
        <w:t xml:space="preserve">evidence of </w:t>
      </w:r>
      <w:r>
        <w:t xml:space="preserve">small but significant negative </w:t>
      </w:r>
      <w:r w:rsidR="005E6696">
        <w:t xml:space="preserve">uncorrelated </w:t>
      </w:r>
      <w:r>
        <w:t>pleiotropy (</w:t>
      </w:r>
      <w:r w:rsidR="001C1657">
        <w:t>E</w:t>
      </w:r>
      <w:r>
        <w:t>gger intercept = 0.0040 +/- 0.0012; p = 0.0015)</w:t>
      </w:r>
      <w:r w:rsidR="00F81C7E">
        <w:t xml:space="preserve"> and SNP heterogeneity (Q=449; p=1.1 x 10 </w:t>
      </w:r>
      <w:r w:rsidR="00F81C7E" w:rsidRPr="00F81C7E">
        <w:rPr>
          <w:vertAlign w:val="superscript"/>
        </w:rPr>
        <w:t>-10</w:t>
      </w:r>
      <w:r w:rsidR="00F81C7E">
        <w:t xml:space="preserve">) as expected for a polygenic trait.  A leave-one-out analysis showed that IVW methods </w:t>
      </w:r>
      <w:r w:rsidR="006134CF">
        <w:t>were</w:t>
      </w:r>
      <w:r w:rsidR="00F81C7E">
        <w:t xml:space="preserve"> robust to influential SNPs.</w:t>
      </w:r>
    </w:p>
    <w:p w14:paraId="30355525" w14:textId="5B66AEA8" w:rsidR="00121C5B" w:rsidRDefault="008C6483" w:rsidP="00121C5B">
      <w:pPr>
        <w:pStyle w:val="Heading2"/>
      </w:pPr>
      <w:r>
        <w:lastRenderedPageBreak/>
        <w:t xml:space="preserve">Lack of </w:t>
      </w:r>
      <w:r w:rsidR="00121C5B">
        <w:t xml:space="preserve">Evidence for a Calcium -&gt; Cholesterol </w:t>
      </w:r>
      <w:r>
        <w:t>Effect</w:t>
      </w:r>
    </w:p>
    <w:p w14:paraId="05BBA6DF" w14:textId="12C20951" w:rsidR="0015153C" w:rsidRDefault="00D77C00" w:rsidP="00D77C00">
      <w:r>
        <w:t>For each of the four hypotheses tested we estimated beta-coefficients and confidence intervals using IVW and three supplementary methods (Figure 2A-D</w:t>
      </w:r>
      <w:r w:rsidR="00BF144E">
        <w:t xml:space="preserve"> and Table </w:t>
      </w:r>
      <w:r w:rsidR="008A46E9">
        <w:t>2</w:t>
      </w:r>
      <w:r>
        <w:t>).  Individual SNP effects in the exposure and outcome, as well as diagnostic volcano plots</w:t>
      </w:r>
      <w:r w:rsidR="00BE54CA">
        <w:t>, and leave-one-out analyses</w:t>
      </w:r>
      <w:r>
        <w:t xml:space="preserve"> for each </w:t>
      </w:r>
      <w:r w:rsidR="00487DB8">
        <w:t>comparison</w:t>
      </w:r>
      <w:r>
        <w:t xml:space="preserve"> can be found in Supplementary Figure </w:t>
      </w:r>
      <w:r w:rsidR="00BC224B">
        <w:t>3</w:t>
      </w:r>
      <w:r w:rsidR="003E1BBD">
        <w:t xml:space="preserve">.  </w:t>
      </w:r>
    </w:p>
    <w:p w14:paraId="76569931" w14:textId="7E76726E" w:rsidR="0015153C" w:rsidRDefault="0015153C" w:rsidP="00D77C00">
      <w:r>
        <w:t>We first evaluated SNP instruments for calcium, asking whether they were associated with cholesterol effects using LabWAS summary statistics.  There was no evidence of a significant association for either total cholesterol (</w:t>
      </w:r>
      <w:r w:rsidRPr="0015153C">
        <w:t>0.032</w:t>
      </w:r>
      <w:r>
        <w:t xml:space="preserve"> +/- </w:t>
      </w:r>
      <w:r w:rsidRPr="0015153C">
        <w:t>0.038</w:t>
      </w:r>
      <w:r>
        <w:t>, p=0.39 from IVW)</w:t>
      </w:r>
      <w:r w:rsidRPr="0015153C">
        <w:t xml:space="preserve"> </w:t>
      </w:r>
      <w:r>
        <w:t>or LDL cholesterol (</w:t>
      </w:r>
      <w:r w:rsidRPr="0015153C">
        <w:t>-0.001</w:t>
      </w:r>
      <w:r>
        <w:t xml:space="preserve"> +/- </w:t>
      </w:r>
      <w:r w:rsidRPr="0015153C">
        <w:t>0.038</w:t>
      </w:r>
      <w:r>
        <w:t>, p=</w:t>
      </w:r>
      <w:r w:rsidRPr="0015153C">
        <w:t>0.97</w:t>
      </w:r>
      <w:r>
        <w:t xml:space="preserve">).  This was consistent across analytic methods (Figure 2A-B).  We observed significant </w:t>
      </w:r>
      <w:r w:rsidR="00B77FB8">
        <w:t xml:space="preserve">and moderate </w:t>
      </w:r>
      <w:r>
        <w:t>heterogeneity for both effects (Q=633 and 604 for Total and LDL-cholesterol respectively; p&lt;0.001</w:t>
      </w:r>
      <w:r w:rsidR="00E916A3">
        <w:t>, see Figures 3A-B</w:t>
      </w:r>
      <w:r>
        <w:t xml:space="preserve">), but no </w:t>
      </w:r>
      <w:r w:rsidR="00E916A3">
        <w:t xml:space="preserve">significant </w:t>
      </w:r>
      <w:r>
        <w:t xml:space="preserve">evidence of </w:t>
      </w:r>
      <w:r w:rsidR="00385D8D">
        <w:t xml:space="preserve">directional uncorrelated </w:t>
      </w:r>
      <w:r>
        <w:t xml:space="preserve">pleiotropy (Egger’s intercept </w:t>
      </w:r>
      <w:r w:rsidRPr="0015153C">
        <w:t>0.00058</w:t>
      </w:r>
      <w:r>
        <w:t xml:space="preserve"> +/-</w:t>
      </w:r>
      <w:r w:rsidRPr="0015153C">
        <w:t>0.00208</w:t>
      </w:r>
      <w:r>
        <w:t>; p=</w:t>
      </w:r>
      <w:r w:rsidRPr="0015153C">
        <w:t>0.78</w:t>
      </w:r>
      <w:r>
        <w:t xml:space="preserve"> and </w:t>
      </w:r>
      <w:r w:rsidRPr="0015153C">
        <w:t>0.0019</w:t>
      </w:r>
      <w:r>
        <w:t xml:space="preserve"> +/- </w:t>
      </w:r>
      <w:r w:rsidRPr="0015153C">
        <w:t>0.002</w:t>
      </w:r>
      <w:r>
        <w:t>1; p=</w:t>
      </w:r>
      <w:r w:rsidRPr="0015153C">
        <w:t>0.361</w:t>
      </w:r>
      <w:r>
        <w:t xml:space="preserve"> respectively</w:t>
      </w:r>
      <w:r w:rsidR="00A2097B">
        <w:t xml:space="preserve">) with </w:t>
      </w:r>
      <w:r w:rsidR="00157115">
        <w:t>only a few low-precision</w:t>
      </w:r>
      <w:r w:rsidR="00A2097B">
        <w:t xml:space="preserve"> </w:t>
      </w:r>
      <w:r w:rsidR="00F12188">
        <w:t>SNPs</w:t>
      </w:r>
      <w:r w:rsidR="00A2097B">
        <w:t xml:space="preserve"> falling </w:t>
      </w:r>
      <w:r w:rsidR="00157115">
        <w:t>outside</w:t>
      </w:r>
      <w:r w:rsidR="00A2097B">
        <w:t xml:space="preserve"> the boundaries </w:t>
      </w:r>
      <w:r w:rsidR="00157115">
        <w:t>in</w:t>
      </w:r>
      <w:r w:rsidR="00A2097B">
        <w:t xml:space="preserve"> funnel plot</w:t>
      </w:r>
      <w:r w:rsidR="00157115">
        <w:t>s</w:t>
      </w:r>
      <w:r w:rsidR="00E916A3">
        <w:t xml:space="preserve"> </w:t>
      </w:r>
      <w:r w:rsidR="00A2097B">
        <w:t>(</w:t>
      </w:r>
      <w:r w:rsidR="00E916A3">
        <w:t>Supplementary Figures 3E-F)</w:t>
      </w:r>
      <w:r w:rsidR="0026580A">
        <w:t>.  Leave-one out analyses described in Supplementary Figures 3I and J show four influential SNPs that modestly change the IVW estimate when removed, but did reverse the direction or lack of significance of thes</w:t>
      </w:r>
      <w:r w:rsidR="00A763AC">
        <w:t>e</w:t>
      </w:r>
      <w:r w:rsidR="0026580A">
        <w:t xml:space="preserve"> relationships.</w:t>
      </w:r>
      <w:r w:rsidR="00676B8E">
        <w:t xml:space="preserve">  Overall</w:t>
      </w:r>
      <w:r w:rsidR="00A2097B">
        <w:t>,</w:t>
      </w:r>
      <w:r w:rsidR="00676B8E">
        <w:t xml:space="preserve"> these analyses do not support a causal relationship between genetically predicted serum calcium levels and total or LDL-cholesterol</w:t>
      </w:r>
      <w:r w:rsidR="00A763AC">
        <w:t>.</w:t>
      </w:r>
      <w:r w:rsidR="009E34EA">
        <w:t xml:space="preserve">  This is consistent with a prior MR analysis that also did not demonstrate an association between serum calcium and serum lipid levels </w:t>
      </w:r>
      <w:r w:rsidR="009E34EA">
        <w:fldChar w:fldCharType="begin"/>
      </w:r>
      <w:r w:rsidR="009E34EA">
        <w:instrText xml:space="preserve"> ADDIN ZOTERO_ITEM CSL_CITATION {"citationID":"BIrENf5i","properties":{"formattedCitation":"[10]","plainCitation":"[10]","noteIndex":0},"citationItems":[{"id":27133,"uris":["http://zotero.org/users/7317906/items/M5V8ZSLF"],"itemData":{"id":27133,"type":"article-journal","abstract":"IMPORTANCE: Serum calcium has been associated with cardiovascular disease in observational studies and evidence from randomized clinical trials indicates that calcium supplementation, which raises serum calcium levels, may increase the risk of cardiovascular events, particularly myocardial infarction.\nOBJECTIVE: To evaluate the potential causal association between genetic variants related to elevated serum calcium levels and risk of coronary artery disease (CAD) and myocardial infarction using mendelian randomization.\nDESIGN, SETTING, AND PARTICIPANTS: The analyses were performed using summary statistics obtained for single-nucleotide polymorphisms (SNPs) identified from a genome-wide association meta-analysis of serum calcium levels (N</w:instrText>
      </w:r>
      <w:r w:rsidR="009E34EA">
        <w:rPr>
          <w:rFonts w:ascii="Arial" w:hAnsi="Arial" w:cs="Arial"/>
        </w:rPr>
        <w:instrText> </w:instrText>
      </w:r>
      <w:r w:rsidR="009E34EA">
        <w:instrText>=</w:instrText>
      </w:r>
      <w:r w:rsidR="009E34EA">
        <w:rPr>
          <w:rFonts w:ascii="Arial" w:hAnsi="Arial" w:cs="Arial"/>
        </w:rPr>
        <w:instrText> </w:instrText>
      </w:r>
      <w:r w:rsidR="009E34EA">
        <w:instrText>up to 61</w:instrText>
      </w:r>
      <w:r w:rsidR="009E34EA">
        <w:rPr>
          <w:rFonts w:ascii="Arial" w:hAnsi="Arial" w:cs="Arial"/>
        </w:rPr>
        <w:instrText> </w:instrText>
      </w:r>
      <w:r w:rsidR="009E34EA">
        <w:instrText>079 individuals) and from the Coronary Artery Disease Genome-wide Replication and Meta-analysis Plus the Coronary Artery Disease Genetics (CardiogramplusC4D) consortium's 1000 genomes-based genome-wide association meta-analysis (N</w:instrText>
      </w:r>
      <w:r w:rsidR="009E34EA">
        <w:rPr>
          <w:rFonts w:ascii="Arial" w:hAnsi="Arial" w:cs="Arial"/>
        </w:rPr>
        <w:instrText> </w:instrText>
      </w:r>
      <w:r w:rsidR="009E34EA">
        <w:instrText>=</w:instrText>
      </w:r>
      <w:r w:rsidR="009E34EA">
        <w:rPr>
          <w:rFonts w:ascii="Arial" w:hAnsi="Arial" w:cs="Arial"/>
        </w:rPr>
        <w:instrText> </w:instrText>
      </w:r>
      <w:r w:rsidR="009E34EA">
        <w:instrText>up to 184</w:instrText>
      </w:r>
      <w:r w:rsidR="009E34EA">
        <w:rPr>
          <w:rFonts w:ascii="Arial" w:hAnsi="Arial" w:cs="Arial"/>
        </w:rPr>
        <w:instrText> </w:instrText>
      </w:r>
      <w:r w:rsidR="009E34EA">
        <w:instrText>305 individuals) that included cases (individuals with CAD and myocardial infarction) and noncases, with baseline data collected from 1948 and populations derived from across the globe. The association of each SNP with CAD and myocardial infarction was weighted by its association with serum calcium, and estimates were combined using an inverse-variance weighted meta-analysis.\nEXPOSURES: Genetic risk score based on genetic variants related to elevated serum calcium levels.\nMAIN OUTCOMES AND MEASURES: Co-primary outcomes were the odds of CAD and myocardial infarction.\nRESULTS: Among the mendelian randomized analytic sample of 184</w:instrText>
      </w:r>
      <w:r w:rsidR="009E34EA">
        <w:rPr>
          <w:rFonts w:ascii="Arial" w:hAnsi="Arial" w:cs="Arial"/>
        </w:rPr>
        <w:instrText> </w:instrText>
      </w:r>
      <w:r w:rsidR="009E34EA">
        <w:instrText>305 individuals (60</w:instrText>
      </w:r>
      <w:r w:rsidR="009E34EA">
        <w:rPr>
          <w:rFonts w:ascii="Arial" w:hAnsi="Arial" w:cs="Arial"/>
        </w:rPr>
        <w:instrText> </w:instrText>
      </w:r>
      <w:r w:rsidR="009E34EA">
        <w:instrText>801 CAD cases [approximately 70% with myocardial infarction] and 123</w:instrText>
      </w:r>
      <w:r w:rsidR="009E34EA">
        <w:rPr>
          <w:rFonts w:ascii="Arial" w:hAnsi="Arial" w:cs="Arial"/>
        </w:rPr>
        <w:instrText> </w:instrText>
      </w:r>
      <w:r w:rsidR="009E34EA">
        <w:instrText>504 noncases), the 6 SNPs related to serum calcium levels and without pleiotropic associations with potential confounders were estimated to explain about 0.8% of the variation in serum calcium levels. In the inverse-variance weighted meta-analysis (combining the estimates of the 6 SNPs), the odds ratios per 0.5-mg/dL increase (about 1 SD) in genetically predicted serum calcium levels were 1.25 (95% CI, 1.08-1.45; P</w:instrText>
      </w:r>
      <w:r w:rsidR="009E34EA">
        <w:rPr>
          <w:rFonts w:ascii="Arial" w:hAnsi="Arial" w:cs="Arial"/>
        </w:rPr>
        <w:instrText> </w:instrText>
      </w:r>
      <w:r w:rsidR="009E34EA">
        <w:instrText>=</w:instrText>
      </w:r>
      <w:r w:rsidR="009E34EA">
        <w:rPr>
          <w:rFonts w:ascii="Arial" w:hAnsi="Arial" w:cs="Arial"/>
        </w:rPr>
        <w:instrText> </w:instrText>
      </w:r>
      <w:r w:rsidR="009E34EA">
        <w:instrText>.003) for CAD and 1.24 (95% CI, 1.05-1.46; P</w:instrText>
      </w:r>
      <w:r w:rsidR="009E34EA">
        <w:rPr>
          <w:rFonts w:ascii="Arial" w:hAnsi="Arial" w:cs="Arial"/>
        </w:rPr>
        <w:instrText> </w:instrText>
      </w:r>
      <w:r w:rsidR="009E34EA">
        <w:instrText>=</w:instrText>
      </w:r>
      <w:r w:rsidR="009E34EA">
        <w:rPr>
          <w:rFonts w:ascii="Arial" w:hAnsi="Arial" w:cs="Arial"/>
        </w:rPr>
        <w:instrText> </w:instrText>
      </w:r>
      <w:r w:rsidR="009E34EA">
        <w:instrText xml:space="preserve">.009) for myocardial infarction.\nCONCLUSIONS AND RELEVANCE: A genetic predisposition to higher serum calcium levels was associated with increased risk of CAD and myocardial infarction. Whether the risk of CAD associated with lifelong genetic exposure to increased serum calcium levels can be translated to a risk associated with short-term to medium-term calcium supplementation is unknown.","container-title":"JAMA","DOI":"10.1001/jama.2017.8981","ISSN":"1538-3598","issue":"4","journalAbbreviation":"JAMA","language":"eng","note":"PMID: 28742912\nPMCID: PMC5817597","page":"371-380","source":"PubMed","title":"Association of Genetic Variants Related to Serum Calcium Levels With Coronary Artery Disease and Myocardial Infarction","volume":"318","author":[{"family":"Larsson","given":"Susanna C."},{"family":"Burgess","given":"Stephen"},{"family":"Michaëlsson","given":"Karl"}],"issued":{"date-parts":[["2017",7,25]]},"citation-key":"larssonAssociationGeneticVariants2017"}}],"schema":"https://github.com/citation-style-language/schema/raw/master/csl-citation.json"} </w:instrText>
      </w:r>
      <w:r w:rsidR="009E34EA">
        <w:fldChar w:fldCharType="separate"/>
      </w:r>
      <w:r w:rsidR="009E34EA">
        <w:rPr>
          <w:noProof/>
        </w:rPr>
        <w:t>[10]</w:t>
      </w:r>
      <w:r w:rsidR="009E34EA">
        <w:fldChar w:fldCharType="end"/>
      </w:r>
      <w:r w:rsidR="009E34EA">
        <w:t>.</w:t>
      </w:r>
    </w:p>
    <w:p w14:paraId="4DBDE2E2" w14:textId="71692E52" w:rsidR="00121C5B" w:rsidRDefault="00121C5B" w:rsidP="00121C5B">
      <w:pPr>
        <w:pStyle w:val="Heading2"/>
      </w:pPr>
      <w:r>
        <w:t xml:space="preserve">Evidence for a Cholesterol -&gt; Calcium </w:t>
      </w:r>
      <w:r w:rsidR="002E0DA6">
        <w:t>Effect</w:t>
      </w:r>
    </w:p>
    <w:p w14:paraId="2C74DB49" w14:textId="77777777" w:rsidR="001070FE" w:rsidRDefault="00067487" w:rsidP="00067487">
      <w:r>
        <w:t xml:space="preserve">We then tested the reverse hypothesis, that genetically predicted cholesterol levels could impact serum calcium levels.  As shown in Figures 2C-D and Table 2 IVW analyses show a significant positive relationship between </w:t>
      </w:r>
      <w:commentRangeStart w:id="0"/>
      <w:r>
        <w:t>both total cholesterol (</w:t>
      </w:r>
      <w:r w:rsidRPr="00067487">
        <w:t>0.065</w:t>
      </w:r>
      <w:r w:rsidRPr="00067487">
        <w:tab/>
      </w:r>
      <w:r>
        <w:t xml:space="preserve">-/+ </w:t>
      </w:r>
      <w:r w:rsidRPr="00067487">
        <w:t>0.019</w:t>
      </w:r>
      <w:r>
        <w:t xml:space="preserve"> p=</w:t>
      </w:r>
      <w:r w:rsidRPr="00067487">
        <w:t>0.0005</w:t>
      </w:r>
      <w:r>
        <w:t>8) and LDL-cholesterol (</w:t>
      </w:r>
      <w:r w:rsidRPr="00067487">
        <w:t>0.053</w:t>
      </w:r>
      <w:r>
        <w:t xml:space="preserve"> +/ </w:t>
      </w:r>
      <w:r w:rsidRPr="00067487">
        <w:t>0.019</w:t>
      </w:r>
      <w:r>
        <w:t xml:space="preserve"> p=</w:t>
      </w:r>
      <w:r w:rsidRPr="00067487">
        <w:t>0.0059</w:t>
      </w:r>
      <w:r>
        <w:t>) and calcium levels</w:t>
      </w:r>
      <w:commentRangeEnd w:id="0"/>
      <w:r w:rsidR="008274E7">
        <w:rPr>
          <w:rStyle w:val="CommentReference"/>
          <w:sz w:val="24"/>
          <w:szCs w:val="24"/>
        </w:rPr>
        <w:commentReference w:id="0"/>
      </w:r>
      <w:r>
        <w:t xml:space="preserve">.  </w:t>
      </w:r>
      <w:r w:rsidR="008274E7">
        <w:t xml:space="preserve">Each of the four MR methods used provided similar estimates in the same direction, though the lower-powered MR-Egger estimate did not reach statistical significance (p=0.21 and 0.08 for total and LDL-cholesterol respectively).  </w:t>
      </w:r>
    </w:p>
    <w:p w14:paraId="4F3F62CB" w14:textId="28AEFBB9" w:rsidR="00121C5B" w:rsidRDefault="001070FE" w:rsidP="00067487">
      <w:r>
        <w:t>As</w:t>
      </w:r>
      <w:r w:rsidR="00067487">
        <w:t xml:space="preserve"> expected for a complex trait we observed </w:t>
      </w:r>
      <w:r w:rsidR="00B77FB8">
        <w:t xml:space="preserve">low to moderate </w:t>
      </w:r>
      <w:r w:rsidR="00067487">
        <w:t>significant heterogeneity in SNP effects (Q=441 and 369</w:t>
      </w:r>
      <w:r w:rsidR="008274E7">
        <w:t xml:space="preserve"> respectively</w:t>
      </w:r>
      <w:r w:rsidR="00067487">
        <w:t xml:space="preserve">, p&lt;0.001 </w:t>
      </w:r>
      <w:r w:rsidR="008274E7">
        <w:t>for each</w:t>
      </w:r>
      <w:r w:rsidR="00067487">
        <w:t>)</w:t>
      </w:r>
      <w:r w:rsidR="002B3436">
        <w:t xml:space="preserve">, likely reflecting biological </w:t>
      </w:r>
      <w:r>
        <w:t>variation</w:t>
      </w:r>
      <w:r w:rsidR="00067487">
        <w:t xml:space="preserve">.  Scatter plots show that most variants were symmetrically distributed around the best fit line, suggesting a homogeneous causal signal, with most outliers being low-precision SNPs (Supplementary Figures 3C-D).  </w:t>
      </w:r>
      <w:r w:rsidR="006C0FB6">
        <w:t>Funnel</w:t>
      </w:r>
      <w:r w:rsidR="00067487">
        <w:t xml:space="preserve"> plots also </w:t>
      </w:r>
      <w:r w:rsidR="00D61072">
        <w:t>suggest</w:t>
      </w:r>
      <w:r w:rsidR="00067487">
        <w:t xml:space="preserve"> the absence of directional </w:t>
      </w:r>
      <w:r w:rsidR="00385D8D">
        <w:t xml:space="preserve">uncorrelated </w:t>
      </w:r>
      <w:r w:rsidR="00067487">
        <w:t>pleiotropy</w:t>
      </w:r>
      <w:r w:rsidR="00473DFB">
        <w:t xml:space="preserve"> (Supplementary Figures 3G and H)</w:t>
      </w:r>
      <w:r w:rsidR="00D61072">
        <w:t>, confirmed by small and non-significant Egger’s intercepts for both total (</w:t>
      </w:r>
      <w:r w:rsidR="00D61072" w:rsidRPr="00D61072">
        <w:t>0.0011</w:t>
      </w:r>
      <w:r w:rsidR="00D61072">
        <w:t xml:space="preserve"> +/- </w:t>
      </w:r>
      <w:r w:rsidR="00D61072" w:rsidRPr="00D61072">
        <w:t>0.0009</w:t>
      </w:r>
      <w:r w:rsidR="00D61072">
        <w:t>; p=</w:t>
      </w:r>
      <w:r w:rsidR="00D61072" w:rsidRPr="00D61072">
        <w:t>0.26</w:t>
      </w:r>
      <w:r w:rsidR="00D61072">
        <w:t>) and LDL-</w:t>
      </w:r>
      <w:r w:rsidR="00D61072">
        <w:lastRenderedPageBreak/>
        <w:t>cholesterol (</w:t>
      </w:r>
      <w:r w:rsidR="00D61072" w:rsidRPr="00D61072">
        <w:t>0.0001</w:t>
      </w:r>
      <w:r w:rsidR="00290744">
        <w:t>5</w:t>
      </w:r>
      <w:r w:rsidR="00D61072">
        <w:t xml:space="preserve"> +/- </w:t>
      </w:r>
      <w:r w:rsidR="00D61072" w:rsidRPr="00D61072">
        <w:t>0.0010</w:t>
      </w:r>
      <w:r w:rsidR="00D61072">
        <w:t>; p=</w:t>
      </w:r>
      <w:r w:rsidR="00D61072" w:rsidRPr="00D61072">
        <w:t>0.88</w:t>
      </w:r>
      <w:r w:rsidR="00D61072">
        <w:t>)</w:t>
      </w:r>
      <w:r w:rsidR="00473DFB">
        <w:t xml:space="preserve">.  This effect was not driven by </w:t>
      </w:r>
      <w:r w:rsidR="00873E8C">
        <w:t xml:space="preserve">any </w:t>
      </w:r>
      <w:r w:rsidR="00473DFB">
        <w:t>influential SNPs as leave-one-out analyses show that the significant IVW estimate</w:t>
      </w:r>
      <w:r w:rsidR="00873E8C">
        <w:t xml:space="preserve">s were </w:t>
      </w:r>
      <w:r w:rsidR="00473DFB">
        <w:t xml:space="preserve">robust to </w:t>
      </w:r>
      <w:r w:rsidR="00461C78">
        <w:t xml:space="preserve">individual </w:t>
      </w:r>
      <w:r w:rsidR="00473DFB">
        <w:t>SNP removal (Supplementary Figures 3K-L).</w:t>
      </w:r>
      <w:r w:rsidR="008274E7">
        <w:t xml:space="preserve">  Overall, these data do support </w:t>
      </w:r>
      <w:r w:rsidR="006C0FB6">
        <w:t>the hypothesis of a</w:t>
      </w:r>
      <w:r w:rsidR="008274E7">
        <w:t xml:space="preserve"> causal effect of cholesterol on calcium with slightly larger and more significant effects of total cholesterol as compared to LDL-cholesterol)</w:t>
      </w:r>
      <w:r w:rsidR="006C0FB6">
        <w:t>.</w:t>
      </w:r>
      <w:r w:rsidR="006C0FB6" w:rsidRPr="006C0FB6">
        <w:t xml:space="preserve"> These findings suggest that elevated cholesterol </w:t>
      </w:r>
      <w:r w:rsidR="006C0FB6">
        <w:t>could</w:t>
      </w:r>
      <w:r w:rsidR="006C0FB6" w:rsidRPr="006C0FB6">
        <w:t xml:space="preserve"> contribute to higher serum calcium concentrations</w:t>
      </w:r>
      <w:r w:rsidR="006C0FB6">
        <w:t>.</w:t>
      </w:r>
    </w:p>
    <w:p w14:paraId="3B9204CB" w14:textId="4EEB7E2F" w:rsidR="00B3420F" w:rsidRDefault="00B3420F"/>
    <w:p w14:paraId="7FAAEE21" w14:textId="5917F88A" w:rsidR="00806E4C" w:rsidRDefault="00806E4C" w:rsidP="009B3059">
      <w:pPr>
        <w:pStyle w:val="Heading1"/>
      </w:pPr>
      <w:r>
        <w:t>Discussion</w:t>
      </w:r>
    </w:p>
    <w:p w14:paraId="5C092266" w14:textId="13EF91F4" w:rsidR="00D004E7" w:rsidRDefault="00D004E7" w:rsidP="00806E4C">
      <w:r>
        <w:t>MR</w:t>
      </w:r>
      <w:r w:rsidR="00FD2498">
        <w:t xml:space="preserve"> is an epidemiological inferential that relies upon random segregation of SNPs to identify causal associations between traits, while limiting bias from unobserved confounding of that relationship </w:t>
      </w:r>
      <w:r w:rsidR="00FD2498">
        <w:fldChar w:fldCharType="begin"/>
      </w:r>
      <w:r w:rsidR="009E34EA">
        <w:instrText xml:space="preserve"> ADDIN ZOTERO_ITEM CSL_CITATION {"citationID":"60soaiRK","properties":{"formattedCitation":"[11]","plainCitation":"[11]","noteIndex":0},"citationItems":[{"id":27119,"uris":["http://zotero.org/users/7317906/items/WKT9NGK9"],"itemData":{"id":27119,"type":"article-journal","abstract":"Mendelian randomization (MR) is a term that applies to the use of genetic variation to address causal questions about how modifiable exposures influence different outcomes. The principles of MR are based on Mendel’s laws of inheritance and instrumental variable estimation methods, which enable the inference of causal effects in the presence of unobserved confounding. In this Primer, we outline the principles of MR, the instrumental variable conditions underlying MR estimation and some of the methods used for estimation. We go on to discuss how the assumptions underlying an MR study can be assessed and describe methods of estimation that are robust to certain violations of these assumptions. We give examples of a range of studies in which MR has been applied, the limitations of current methods of analysis and the outlook for MR in the future. The differences between the assumptions required for MR analysis and other forms of epidemiological studies means that MR can be used as part of a triangulation across multiple sources of evidence for causal inference.","container-title":"Nature Reviews Methods Primers","DOI":"10.1038/s43586-021-00092-5","ISSN":"2662-8449","issue":"1","journalAbbreviation":"Nat Rev Methods Primers","language":"en","license":"2022 Springer Nature Limited","note":"publisher: Nature Publishing Group","page":"6","source":"www.nature.com","title":"Mendelian randomization","volume":"2","author":[{"family":"Sanderson","given":"Eleanor"},{"family":"Glymour","given":"M. Maria"},{"family":"Holmes","given":"Michael V."},{"family":"Kang","given":"Hyunseung"},{"family":"Morrison","given":"Jean"},{"family":"Munafò","given":"Marcus R."},{"family":"Palmer","given":"Tom"},{"family":"Schooling","given":"C. Mary"},{"family":"Wallace","given":"Chris"},{"family":"Zhao","given":"Qingyuan"},{"family":"Davey Smith","given":"George"}],"issued":{"date-parts":[["2022",2,10]]},"citation-key":"sandersonMendelianRandomization2022"}}],"schema":"https://github.com/citation-style-language/schema/raw/master/csl-citation.json"} </w:instrText>
      </w:r>
      <w:r w:rsidR="00FD2498">
        <w:fldChar w:fldCharType="separate"/>
      </w:r>
      <w:r w:rsidR="009E34EA">
        <w:rPr>
          <w:noProof/>
        </w:rPr>
        <w:t>[11]</w:t>
      </w:r>
      <w:r w:rsidR="00FD2498">
        <w:fldChar w:fldCharType="end"/>
      </w:r>
      <w:r w:rsidR="00FD2498">
        <w:t>.  The key assumptions of MR include the relevance assumption, independence assumption and exclusion restriction assumptions.</w:t>
      </w:r>
    </w:p>
    <w:p w14:paraId="05621932" w14:textId="028356C2" w:rsidR="00D004E7" w:rsidRDefault="00DB7C86" w:rsidP="00806E4C">
      <w:r>
        <w:t>We have strong evidence for the r</w:t>
      </w:r>
      <w:r w:rsidR="00D004E7">
        <w:t>elevance assumption</w:t>
      </w:r>
      <w:r>
        <w:t>, or that SNPs are strongly associated with our exposure based both on the strong F-statistics (for each analysis substantially &gt;10; see Table 1) and with our positive control which demonstrates significant positive associations between SNPs in UK Biobank vs MGI-BioVU LabWAS.</w:t>
      </w:r>
    </w:p>
    <w:p w14:paraId="0193638F" w14:textId="6388F841" w:rsidR="00D004E7" w:rsidRDefault="00D004E7" w:rsidP="00806E4C">
      <w:r>
        <w:t>Independence assumption</w:t>
      </w:r>
    </w:p>
    <w:p w14:paraId="6D32467F" w14:textId="381DBD76" w:rsidR="00D004E7" w:rsidRDefault="00D004E7" w:rsidP="00806E4C">
      <w:r>
        <w:t xml:space="preserve">There is little evidence for violation of the exclusion restriction criteria in our </w:t>
      </w:r>
      <w:r w:rsidR="00710EE5">
        <w:t>analysis</w:t>
      </w:r>
      <w:r>
        <w:t xml:space="preserve"> given the lack of significant directional uncorrelated horizontal pleiotropy detected in our sensitivity analyses</w:t>
      </w:r>
      <w:r w:rsidR="001F20D2">
        <w:t xml:space="preserve"> (Egger’s intercepts were small and p&gt;0.</w:t>
      </w:r>
      <w:r w:rsidR="00B61D00">
        <w:t>2</w:t>
      </w:r>
      <w:r w:rsidR="001F20D2">
        <w:t xml:space="preserve">5 for </w:t>
      </w:r>
      <w:r w:rsidR="00B61D00">
        <w:t>all</w:t>
      </w:r>
      <w:r w:rsidR="001F20D2">
        <w:t xml:space="preserve"> </w:t>
      </w:r>
      <w:r w:rsidR="00B61D00">
        <w:t>analyses</w:t>
      </w:r>
      <w:r w:rsidR="001F20D2">
        <w:t>).  Furthermore</w:t>
      </w:r>
      <w:r w:rsidR="000E3BFB">
        <w:t xml:space="preserve">, </w:t>
      </w:r>
      <w:r w:rsidR="001F20D2">
        <w:t>we</w:t>
      </w:r>
      <w:r w:rsidR="00DB7C86">
        <w:t xml:space="preserve"> </w:t>
      </w:r>
      <w:r w:rsidR="001F20D2">
        <w:t>found</w:t>
      </w:r>
      <w:r w:rsidR="00DB7C86">
        <w:t xml:space="preserve"> similarity between IVW and MR-PRESSO estimates and other methods that are less sensitive to pleiotropy (weighted median, weighted mode and MR-RAPS)</w:t>
      </w:r>
      <w:r>
        <w:t>.</w:t>
      </w:r>
      <w:r w:rsidR="00DB7C86">
        <w:t xml:space="preserve">  </w:t>
      </w:r>
      <w:r w:rsidR="001F20D2">
        <w:t xml:space="preserve">Finally, </w:t>
      </w:r>
      <w:r w:rsidR="00DB7C86">
        <w:t xml:space="preserve">funnel and scatter plots do </w:t>
      </w:r>
      <w:r w:rsidR="00FA10DA">
        <w:t xml:space="preserve">not </w:t>
      </w:r>
      <w:r w:rsidR="00FD2498">
        <w:t>show clear</w:t>
      </w:r>
      <w:r w:rsidR="00DB7C86">
        <w:t xml:space="preserve"> visual evidence of uncorrelated pleiotropy.</w:t>
      </w:r>
    </w:p>
    <w:p w14:paraId="3314BFDD" w14:textId="69DF2D0D" w:rsidR="00D004E7" w:rsidRDefault="00DB7C86" w:rsidP="00806E4C">
      <w:r>
        <w:t>Two sample</w:t>
      </w:r>
      <w:r w:rsidR="008E002E">
        <w:t xml:space="preserve"> advantages</w:t>
      </w:r>
    </w:p>
    <w:p w14:paraId="21364377" w14:textId="5DA7F12D" w:rsidR="00D004E7" w:rsidRDefault="00D004E7" w:rsidP="00806E4C">
      <w:r>
        <w:t>White EUR</w:t>
      </w:r>
    </w:p>
    <w:p w14:paraId="2272D5AB" w14:textId="31D06AE5" w:rsidR="00806E4C" w:rsidRDefault="00806E4C" w:rsidP="00806E4C">
      <w:r>
        <w:t xml:space="preserve">One </w:t>
      </w:r>
      <w:r w:rsidR="00B972C6">
        <w:t xml:space="preserve">modest </w:t>
      </w:r>
      <w:r>
        <w:t xml:space="preserve">limitation </w:t>
      </w:r>
      <w:r w:rsidR="00E45277">
        <w:t xml:space="preserve">of this work is that the SNP instruments for calcium were </w:t>
      </w:r>
      <w:r w:rsidR="002322AB">
        <w:t>slightly</w:t>
      </w:r>
      <w:r w:rsidR="00E45277">
        <w:t xml:space="preserve"> weaker than those for LDL or Total Cholesterol, explaining only 6.4% (compared to 8.9 or 9.7%) of the overall variance (Table 1)</w:t>
      </w:r>
      <w:r w:rsidR="00D74E0D">
        <w:t>, leading to more variance in point estimates</w:t>
      </w:r>
      <w:r w:rsidR="00E45277">
        <w:t xml:space="preserve">.  While </w:t>
      </w:r>
      <w:r w:rsidR="00420202">
        <w:t>the calcium SNPS</w:t>
      </w:r>
      <w:r w:rsidR="00E45277">
        <w:t xml:space="preserve"> are still very </w:t>
      </w:r>
      <w:r w:rsidR="00420202">
        <w:t xml:space="preserve">strong </w:t>
      </w:r>
      <w:r w:rsidR="00E45277">
        <w:t xml:space="preserve">instruments by MR standards, it is possible (though we think unlikely) that their </w:t>
      </w:r>
      <w:r w:rsidR="00D74E0D">
        <w:t xml:space="preserve">relative </w:t>
      </w:r>
      <w:r w:rsidR="00E45277">
        <w:t xml:space="preserve">weakness </w:t>
      </w:r>
      <w:r w:rsidR="00095F97">
        <w:t>could</w:t>
      </w:r>
      <w:r w:rsidR="00E45277">
        <w:t xml:space="preserve"> partially underlie </w:t>
      </w:r>
      <w:r w:rsidR="00420202">
        <w:t>our inability to detect</w:t>
      </w:r>
      <w:r w:rsidR="00E45277">
        <w:t xml:space="preserve"> a calcium to cholesterol effect.</w:t>
      </w:r>
    </w:p>
    <w:p w14:paraId="21494033" w14:textId="77777777" w:rsidR="009E34EA" w:rsidRDefault="009E34EA" w:rsidP="00806E4C"/>
    <w:p w14:paraId="6DAE8B3F" w14:textId="71D0DC77" w:rsidR="009E34EA" w:rsidRDefault="009E34EA" w:rsidP="00806E4C">
      <w:r>
        <w:t xml:space="preserve">While this study found no evidence of a causal association between serum calcium and LDL-C or total cholesterol levels, this relationship is still likely important.  Calcium levels in blood are associated with an increased risk of both arterial calcification and coronary artery disease </w:t>
      </w:r>
      <w:r>
        <w:fldChar w:fldCharType="begin"/>
      </w:r>
      <w:r>
        <w:instrText xml:space="preserve"> ADDIN ZOTERO_ITEM CSL_CITATION {"citationID":"qfMVi6wV","properties":{"formattedCitation":"[12,13]","plainCitation":"[12,13]","noteIndex":0},"citationItems":[{"id":9407,"uris":["http://zotero.org/users/7317906/items/PNCI3UN4"],"itemData":{"id":9407,"type":"article-journal","abstract":"Background\nCalcium-phosphate levels, linked to vascular dysfunction in chronic kidney disease, may represent novel risk factors for coronary heart disease, stroke, and death in community-dwelling adults.\nMethods\nWe tested this hypothesis over 12.6 years of follow-up in the prospective, community-based Atherosclerosis Risk in Communities Study (n = 15,732).\nResults\nAt baseline, mean (SD) values were 9.8 (0.4) mg/dL for serum calcium, 3.4 (0.5) mg/dL for serum phosphate, 33.6 (5.3) mg2/dL2 for calcium-phosphate product, 54.2 (5.7) years for age, and 93.1 (21.5) mL/min per 1.73 m2 for glomerular filtration rate (GFR). Shared associations of calcium, phosphate, and calcium-phosphate product included older age, female sex, African American race, cigarette-years, current cigarette smoking, low body mass index, low-density lipoprotein cholesterol, high-density lipoprotein cholesterol, triglycerides, low serum albumin, low GFR, low caloric intake, and phosphorus intake. With adjustment for age, demographic characteristics, comorbid conditions, albumin, and GFR, calcium-associated hazards ratios for coronary heart disease, stroke, and death were, respectively, 1.01 (95% confidence interval 0.96-1.06), 1.16 (1.07-1.26, P = .0005), and 1.03 (0.98-1.08); phosphate-associated hazards ratios were 1.03 (0.98-1.08), 1.11 (1.02-1.21, P = .0219), and 1.14 (1.09-1.20, P &lt; .0001); calcium-phosphate product-associated hazards ratios were 1.03 (0.98-1.08), 1.15 (1.05-1.26, P = .0017), and 1.15 (1.09-1.20, P &lt; .0001).\nConclusions\nAlthough calcium, phosphate, and calcium-phosphate product levels exhibit complex associations with traditional cardiovascular risk factors and outcomes, they may be potentially modifiable risk factors for stroke and death in community-dwelling adults.","container-title":"American Heart Journal","DOI":"10.1016/j.ahj.2008.05.016","ISSN":"0002-8703","issue":"3","journalAbbreviation":"American Heart Journal","language":"en","page":"556-563","source":"ScienceDirect","title":"Calcium-phosphate levels and cardiovascular disease in community-dwelling adults: The Atherosclerosis Risk in Communities (ARIC) Study","title-short":"Calcium-phosphate levels and cardiovascular disease in community-dwelling adults","volume":"156","author":[{"family":"Foley","given":"Robert N."},{"family":"Collins","given":"Allan J."},{"family":"Ishani","given":"Areef"},{"family":"Kalra","given":"Philip A."}],"issued":{"date-parts":[["2008",9,1]]},"citation-key":"foleyCalciumphosphateLevelsCardiovascular2008"}},{"id":9408,"uris":["http://zotero.org/users/7317906/items/PPSCBETR"],"itemData":{"id":9408,"type":"article-journal","abstract":"—Total serum calcium levels were measured in 12 865 men and 14 293 women, between the ages of 25 and 97 years, in the Tromsø Study during 1994 and 1995. With the use of a sex-specific multiple linear regression model with age, calcium, body mass index, cholesterol, HDL cholesterol, triglycerides, systolic and diastolic blood pressure, and pulse as possible covariates, serum calcium was significantly (P&lt;0.001) and positively associated with systolic and diastolic blood pressure, serum cholesterol, and HDL cholesterol in both sexes. A similar but weaker association was observed between serum calcium and triglycerides in men (P&lt;0.01). In all age groups, serum calcium levels were higher in men with a history of myocardial infarction than in those without, and the difference was significant (P&lt;0.0001) in a linear regression analysis adjusted for age. When all the other variables were also included in a logistic regression model, serum calcium was a highly significant (P&lt;0.0001) predictor of myocardial infarction in men, with an odds ratio of 1.2 per 0.1 mmol/L increase in serum calcium. In women, a nonsignificant trend was again seen. Because the free or ionized form of calcium is the physiologically important form and serum calcium was not corrected for serum albumin in our study, the results must be interpreted with caution. However, it appears likely that serum calcium is a predictor of cardiovascular disease in men.","container-title":"Hypertension","DOI":"10.1161/01.HYP.34.3.484","issue":"3","note":"publisher: American Heart Association","page":"484-490","source":"ahajournals.org (Atypon)","title":"Serum Calcium and Cardiovascular Risk Factors and Diseases","volume":"34","author":[{"family":"Jorde","given":"Rolf"},{"family":"Sundsfjord","given":"Johan"},{"family":"Fitzgerald","given":"Patrick"},{"family":"Bønaa","given":"Kaare H."}],"issued":{"date-parts":[["1999",9]]},"citation-key":"jordeSerumCalciumCardiovascular1999"}}],"schema":"https://github.com/citation-style-language/schema/raw/master/csl-citation.json"} </w:instrText>
      </w:r>
      <w:r>
        <w:fldChar w:fldCharType="separate"/>
      </w:r>
      <w:r>
        <w:rPr>
          <w:noProof/>
        </w:rPr>
        <w:t>[12,13]</w:t>
      </w:r>
      <w:r>
        <w:fldChar w:fldCharType="end"/>
      </w:r>
      <w:r>
        <w:t xml:space="preserve">.  Furthermore a separate MR analysis demonstrated that a 1 SD increase in serum calcium is associated with a 25% increased risk of coronary artery disease </w:t>
      </w:r>
      <w:r>
        <w:fldChar w:fldCharType="begin"/>
      </w:r>
      <w:r>
        <w:instrText xml:space="preserve"> ADDIN ZOTERO_ITEM CSL_CITATION {"citationID":"pP9FZDUD","properties":{"formattedCitation":"[10]","plainCitation":"[10]","noteIndex":0},"citationItems":[{"id":27133,"uris":["http://zotero.org/users/7317906/items/M5V8ZSLF"],"itemData":{"id":27133,"type":"article-journal","abstract":"IMPORTANCE: Serum calcium has been associated with cardiovascular disease in observational studies and evidence from randomized clinical trials indicates that calcium supplementation, which raises serum calcium levels, may increase the risk of cardiovascular events, particularly myocardial infarction.\nOBJECTIVE: To evaluate the potential causal association between genetic variants related to elevated serum calcium levels and risk of coronary artery disease (CAD) and myocardial infarction using mendelian randomization.\nDESIGN, SETTING, AND PARTICIPANTS: The analyses were performed using summary statistics obtained for single-nucleotide polymorphisms (SNPs) identified from a genome-wide association meta-analysis of serum calcium levels (N</w:instrText>
      </w:r>
      <w:r>
        <w:rPr>
          <w:rFonts w:ascii="Arial" w:hAnsi="Arial" w:cs="Arial"/>
        </w:rPr>
        <w:instrText> </w:instrText>
      </w:r>
      <w:r>
        <w:instrText>=</w:instrText>
      </w:r>
      <w:r>
        <w:rPr>
          <w:rFonts w:ascii="Arial" w:hAnsi="Arial" w:cs="Arial"/>
        </w:rPr>
        <w:instrText> </w:instrText>
      </w:r>
      <w:r>
        <w:instrText>up to 61</w:instrText>
      </w:r>
      <w:r>
        <w:rPr>
          <w:rFonts w:ascii="Arial" w:hAnsi="Arial" w:cs="Arial"/>
        </w:rPr>
        <w:instrText> </w:instrText>
      </w:r>
      <w:r>
        <w:instrText>079 individuals) and from the Coronary Artery Disease Genome-wide Replication and Meta-analysis Plus the Coronary Artery Disease Genetics (CardiogramplusC4D) consortium's 1000 genomes-based genome-wide association meta-analysis (N</w:instrText>
      </w:r>
      <w:r>
        <w:rPr>
          <w:rFonts w:ascii="Arial" w:hAnsi="Arial" w:cs="Arial"/>
        </w:rPr>
        <w:instrText> </w:instrText>
      </w:r>
      <w:r>
        <w:instrText>=</w:instrText>
      </w:r>
      <w:r>
        <w:rPr>
          <w:rFonts w:ascii="Arial" w:hAnsi="Arial" w:cs="Arial"/>
        </w:rPr>
        <w:instrText> </w:instrText>
      </w:r>
      <w:r>
        <w:instrText>up to 184</w:instrText>
      </w:r>
      <w:r>
        <w:rPr>
          <w:rFonts w:ascii="Arial" w:hAnsi="Arial" w:cs="Arial"/>
        </w:rPr>
        <w:instrText> </w:instrText>
      </w:r>
      <w:r>
        <w:instrText>305 individuals) that included cases (individuals with CAD and myocardial infarction) and noncases, with baseline data collected from 1948 and populations derived from across the globe. The association of each SNP with CAD and myocardial infarction was weighted by its association with serum calcium, and estimates were combined using an inverse-variance weighted meta-analysis.\nEXPOSURES: Genetic risk score based on genetic variants related to elevated serum calcium levels.\nMAIN OUTCOMES AND MEASURES: Co-primary outcomes were the odds of CAD and myocardial infarction.\nRESULTS: Among the mendelian randomized analytic sample of 184</w:instrText>
      </w:r>
      <w:r>
        <w:rPr>
          <w:rFonts w:ascii="Arial" w:hAnsi="Arial" w:cs="Arial"/>
        </w:rPr>
        <w:instrText> </w:instrText>
      </w:r>
      <w:r>
        <w:instrText>305 individuals (60</w:instrText>
      </w:r>
      <w:r>
        <w:rPr>
          <w:rFonts w:ascii="Arial" w:hAnsi="Arial" w:cs="Arial"/>
        </w:rPr>
        <w:instrText> </w:instrText>
      </w:r>
      <w:r>
        <w:instrText>801 CAD cases [approximately 70% with myocardial infarction] and 123</w:instrText>
      </w:r>
      <w:r>
        <w:rPr>
          <w:rFonts w:ascii="Arial" w:hAnsi="Arial" w:cs="Arial"/>
        </w:rPr>
        <w:instrText> </w:instrText>
      </w:r>
      <w:r>
        <w:instrText>504 noncases), the 6 SNPs related to serum calcium levels and without pleiotropic associations with potential confounders were estimated to explain about 0.8% of the variation in serum calcium levels. In the inverse-variance weighted meta-analysis (combining the estimates of the 6 SNPs), the odds ratios per 0.5-mg/dL increase (about 1 SD) in genetically predicted serum calcium levels were 1.25 (95% CI, 1.08-1.45; P</w:instrText>
      </w:r>
      <w:r>
        <w:rPr>
          <w:rFonts w:ascii="Arial" w:hAnsi="Arial" w:cs="Arial"/>
        </w:rPr>
        <w:instrText> </w:instrText>
      </w:r>
      <w:r>
        <w:instrText>=</w:instrText>
      </w:r>
      <w:r>
        <w:rPr>
          <w:rFonts w:ascii="Arial" w:hAnsi="Arial" w:cs="Arial"/>
        </w:rPr>
        <w:instrText> </w:instrText>
      </w:r>
      <w:r>
        <w:instrText>.003) for CAD and 1.24 (95% CI, 1.05-1.46; P</w:instrText>
      </w:r>
      <w:r>
        <w:rPr>
          <w:rFonts w:ascii="Arial" w:hAnsi="Arial" w:cs="Arial"/>
        </w:rPr>
        <w:instrText> </w:instrText>
      </w:r>
      <w:r>
        <w:instrText>=</w:instrText>
      </w:r>
      <w:r>
        <w:rPr>
          <w:rFonts w:ascii="Arial" w:hAnsi="Arial" w:cs="Arial"/>
        </w:rPr>
        <w:instrText> </w:instrText>
      </w:r>
      <w:r>
        <w:instrText xml:space="preserve">.009) for myocardial infarction.\nCONCLUSIONS AND RELEVANCE: A genetic predisposition to higher serum calcium levels was associated with increased risk of CAD and myocardial infarction. Whether the risk of CAD associated with lifelong genetic exposure to increased serum calcium levels can be translated to a risk associated with short-term to medium-term calcium supplementation is unknown.","container-title":"JAMA","DOI":"10.1001/jama.2017.8981","ISSN":"1538-3598","issue":"4","journalAbbreviation":"JAMA","language":"eng","note":"PMID: 28742912\nPMCID: PMC5817597","page":"371-380","source":"PubMed","title":"Association of Genetic Variants Related to Serum Calcium Levels With Coronary Artery Disease and Myocardial Infarction","volume":"318","author":[{"family":"Larsson","given":"Susanna C."},{"family":"Burgess","given":"Stephen"},{"family":"Michaëlsson","given":"Karl"}],"issued":{"date-parts":[["2017",7,25]]},"citation-key":"larssonAssociationGeneticVariants2017"}}],"schema":"https://github.com/citation-style-language/schema/raw/master/csl-citation.json"} </w:instrText>
      </w:r>
      <w:r>
        <w:fldChar w:fldCharType="separate"/>
      </w:r>
      <w:r>
        <w:rPr>
          <w:noProof/>
        </w:rPr>
        <w:t>[10]</w:t>
      </w:r>
      <w:r>
        <w:fldChar w:fldCharType="end"/>
      </w:r>
      <w:r>
        <w:t>.</w:t>
      </w:r>
      <w:r w:rsidR="00587FF2">
        <w:t xml:space="preserve">  We therefore posit a model wherein elevations in serum cholesterol result in increases in serum calcium, and those two factors combine to enhance cardiovascular disease risk.  This model is supported by several studies showing that statin treatment reduces both fracture risk and increases BMD, consistent with reduced bone-demineralization induced calcium release </w:t>
      </w:r>
      <w:r w:rsidR="00587FF2">
        <w:fldChar w:fldCharType="begin"/>
      </w:r>
      <w:r w:rsidR="00587FF2">
        <w:instrText xml:space="preserve"> ADDIN ZOTERO_ITEM CSL_CITATION {"citationID":"mdTcmh0L","properties":{"formattedCitation":"[14\\uc0\\u8211{}16]","plainCitation":"[14–16]","noteIndex":0},"citationItems":[{"id":27342,"uris":["http://zotero.org/users/7317906/items/7TZD8CS8"],"itemData":{"id":27342,"type":"article-journal","abstract":"The lipophilic statin as moderate to high dose of simvastatin had beneficial positive effect to increasing BMD and could be additive use for prevention of bone loss in hyperlipidemia patients.","container-title":"Bone","issue":"4","language":"en","page":"1011-5","source":"pubmed.ncbi.nlm.nih.gov","title":"Effects of statins vs. non-statin lipid-lowering therapy on bone formation and bone mineral density biomarkers in patients with hyperlipidemia","volume":"46","author":[{"family":"Chuengsamarn","given":"S"},{"family":"Rattanamongkoulgul","given":"S"},{"family":"Suwanwalaikorn","given":"S"},{"family":"Wattanasirichaigoon","given":"S"},{"family":"Kaufman","given":"L"}],"issued":{"date-parts":[["2010"]]},"citation-key":"chuengsamarnEffectsStatinsVs2010"}},{"id":27344,"uris":["http://zotero.org/users/7317906/items/YERIHVQF"],"itemData":{"id":27344,"type":"article-journal","abstract":"Statins can help maintain or increase bone mass of hypercholesterolemic menopausal women through promoting bone synthesis.","container-title":"Zhonghua Yi Xue Za Zhi.","issue":"29","language":"en","page":"2309-11","source":"pubmed.ncbi.nlm.nih.gov","title":"[Effects of statins upon bone mineral density in postmenopausal women with hypercholesterolemia]","volume":"93","author":[{"family":"Zhao","given":"C"},{"family":"Bi","given":"Q"},{"family":"Hu","given":"J.T."},{"family":"Xia","given":"B."},{"family":"Ying","given":"Q.F."},{"family":"Zhu","given":"D.J."},{"family":"Zhang","given":"S.J."},{"family":"Gu","given":"H.F."},{"family":"Hong","given":"J"},{"family":"Qui","given":"B"},{"family":"Yu","given":"Chen"}],"issued":{"date-parts":[["2013"]]},"citation-key":"zhaoEffectsStatinsBone2013"}},{"id":27336,"uris":["http://zotero.org/users/7317906/items/HD5W5LBP"],"itemData":{"id":27336,"type":"article-journal","abstract":"Supplemental Digital Content is available in the text, Although observational studies have identified the protective effect of statins on bone health, the effects remain controversial in randomized controlled trials (RCTs). We conducted a meta-analysis of RCTs to evaluate the effects of statins on bone mineral density (BMD) and fracture risk among adults., We searched electronic databases of Medline, Embase, and the Cochrane Central Register of Controlled Trials (CENTRAL) and conducted a bibliography review to identify articles published until May, 2015., Studies included in this meta-analysis should be randomized controlled trials conducted in adults, using statins in the intervention group. Information on changes in BMD or odds ratio, relative risk or hazard ratio (HR) for fracture risk with the corresponding 95% confidence interval (CI) was provided., Two investigators independently reviewed the title or abstract, further reviewed the full-texts and extracted information on study characteristics and study outcomes. Net change estimates of BMD and pooled HR of fracture risk comparing the intervention group with the control group were estimated across trials using random-effects models., Of the relevant 334 citations, 7 trials (including 27,900 randomized participants in total) meeting the eligibility criteria were included. Of the 7 trials, 5 were conducted to assess the association of statins use with BMD change and 2 with fracture risk. Compared with the control group, statins use was associated with significant increase in BMD of 0.03</w:instrText>
      </w:r>
      <w:r w:rsidR="00587FF2">
        <w:rPr>
          <w:rFonts w:ascii="Arial" w:hAnsi="Arial" w:cs="Arial"/>
        </w:rPr>
        <w:instrText> </w:instrText>
      </w:r>
      <w:r w:rsidR="00587FF2">
        <w:instrText>g/cm2 (95% CI: 0.006, 0.053; I2</w:instrText>
      </w:r>
      <w:r w:rsidR="00587FF2">
        <w:rPr>
          <w:rFonts w:ascii="Arial" w:hAnsi="Arial" w:cs="Arial"/>
        </w:rPr>
        <w:instrText> </w:instrText>
      </w:r>
      <w:r w:rsidR="00587FF2">
        <w:instrText>=</w:instrText>
      </w:r>
      <w:r w:rsidR="00587FF2">
        <w:rPr>
          <w:rFonts w:ascii="Arial" w:hAnsi="Arial" w:cs="Arial"/>
        </w:rPr>
        <w:instrText> </w:instrText>
      </w:r>
      <w:r w:rsidR="00587FF2">
        <w:instrText>99.2%; P</w:instrText>
      </w:r>
      <w:r w:rsidR="00587FF2">
        <w:rPr>
          <w:rFonts w:ascii="Arial" w:hAnsi="Arial" w:cs="Arial"/>
        </w:rPr>
        <w:instrText> </w:instrText>
      </w:r>
      <w:r w:rsidR="00587FF2">
        <w:instrText>&lt;</w:instrText>
      </w:r>
      <w:r w:rsidR="00587FF2">
        <w:rPr>
          <w:rFonts w:ascii="Arial" w:hAnsi="Arial" w:cs="Arial"/>
        </w:rPr>
        <w:instrText> </w:instrText>
      </w:r>
      <w:r w:rsidR="00587FF2">
        <w:instrText>0.001), but null association with fracture risk, with the pooled HR of 1.00 (95% CI: 0.87, 1.15; I2</w:instrText>
      </w:r>
      <w:r w:rsidR="00587FF2">
        <w:rPr>
          <w:rFonts w:ascii="Arial" w:hAnsi="Arial" w:cs="Arial"/>
        </w:rPr>
        <w:instrText> </w:instrText>
      </w:r>
      <w:r w:rsidR="00587FF2">
        <w:instrText>=</w:instrText>
      </w:r>
      <w:r w:rsidR="00587FF2">
        <w:rPr>
          <w:rFonts w:ascii="Arial" w:hAnsi="Arial" w:cs="Arial"/>
        </w:rPr>
        <w:instrText> </w:instrText>
      </w:r>
      <w:r w:rsidR="00587FF2">
        <w:instrText>0; P</w:instrText>
      </w:r>
      <w:r w:rsidR="00587FF2">
        <w:rPr>
          <w:rFonts w:ascii="Arial" w:hAnsi="Arial" w:cs="Arial"/>
        </w:rPr>
        <w:instrText> </w:instrText>
      </w:r>
      <w:r w:rsidR="00587FF2">
        <w:instrText>=</w:instrText>
      </w:r>
      <w:r w:rsidR="00587FF2">
        <w:rPr>
          <w:rFonts w:ascii="Arial" w:hAnsi="Arial" w:cs="Arial"/>
        </w:rPr>
        <w:instrText> </w:instrText>
      </w:r>
      <w:r w:rsidR="00587FF2">
        <w:instrText xml:space="preserve">0.396). Sensitivity analyses revealed that the associations were consistent and robust., The effect of statins use on bone health among subpopulation could not be identified due to limited number of trials., These findings provide evidence that statins could be used to increase BMD other than decreasing fracture risk in participant with dyslipidemia. In addition, further trials with the primary outcome of bone health-related measurements in subpopulation are warranted to ensure the effect of statins use.","container-title":"Medicine","DOI":"10.1097/MD.0000000000003042","ISSN":"0025-7974","issue":"22","journalAbbreviation":"Medicine (Baltimore)","note":"PMID: 27258488\nPMCID: PMC4900696","page":"e3042","source":"PubMed Central","title":"Effects of Statins on Bone Mineral Density and Fracture Risk","volume":"95","author":[{"family":"Wang","given":"Zongze"},{"family":"Li","given":"Ying"},{"family":"Zhou","given":"Fengxin"},{"family":"Piao","given":"Zhe"},{"family":"Hao","given":"Jian"}],"issued":{"date-parts":[["2016",6,3]]},"citation-key":"wangEffectsStatinsBone2016"}}],"schema":"https://github.com/citation-style-language/schema/raw/master/csl-citation.json"} </w:instrText>
      </w:r>
      <w:r w:rsidR="00587FF2">
        <w:fldChar w:fldCharType="separate"/>
      </w:r>
      <w:r w:rsidR="00587FF2" w:rsidRPr="00587FF2">
        <w:rPr>
          <w:rFonts w:ascii="Aptos" w:cs="Times New Roman"/>
          <w:kern w:val="0"/>
        </w:rPr>
        <w:t>[14–16]</w:t>
      </w:r>
      <w:r w:rsidR="00587FF2">
        <w:fldChar w:fldCharType="end"/>
      </w:r>
      <w:r w:rsidR="00587FF2">
        <w:t>.</w:t>
      </w:r>
    </w:p>
    <w:p w14:paraId="7FE1F2BB" w14:textId="10631EFF" w:rsidR="006C3DBD" w:rsidRPr="00806E4C" w:rsidRDefault="006C3DBD" w:rsidP="006C3DBD">
      <w:pPr>
        <w:pStyle w:val="ListParagraph"/>
        <w:numPr>
          <w:ilvl w:val="0"/>
          <w:numId w:val="1"/>
        </w:numPr>
      </w:pPr>
      <w:r>
        <w:t>Stronger effect for total than LDLC</w:t>
      </w:r>
      <w:r w:rsidR="00523E8E">
        <w:t xml:space="preserve"> on calcium levels</w:t>
      </w:r>
    </w:p>
    <w:p w14:paraId="7A786C21" w14:textId="34356686" w:rsidR="00871606" w:rsidRDefault="00B3420F" w:rsidP="009B3059">
      <w:pPr>
        <w:pStyle w:val="Heading1"/>
      </w:pPr>
      <w:r>
        <w:t>References</w:t>
      </w:r>
    </w:p>
    <w:p w14:paraId="2B5178EB" w14:textId="77777777" w:rsidR="00587FF2" w:rsidRPr="00587FF2" w:rsidRDefault="006C0229" w:rsidP="00587FF2">
      <w:pPr>
        <w:pStyle w:val="Bibliography"/>
        <w:rPr>
          <w:rFonts w:ascii="Aptos"/>
        </w:rPr>
      </w:pPr>
      <w:r>
        <w:fldChar w:fldCharType="begin"/>
      </w:r>
      <w:r>
        <w:instrText xml:space="preserve"> ADDIN ZOTERO_BIBL {"uncited":[],"omitted":[],"custom":[]} CSL_BIBLIOGRAPHY </w:instrText>
      </w:r>
      <w:r>
        <w:fldChar w:fldCharType="separate"/>
      </w:r>
      <w:r w:rsidR="00587FF2" w:rsidRPr="00587FF2">
        <w:rPr>
          <w:rFonts w:ascii="Aptos"/>
        </w:rPr>
        <w:t xml:space="preserve">1. </w:t>
      </w:r>
      <w:r w:rsidR="00587FF2" w:rsidRPr="00587FF2">
        <w:rPr>
          <w:rFonts w:ascii="Aptos"/>
        </w:rPr>
        <w:tab/>
        <w:t xml:space="preserve">Skrivankova, V.W.; Richmond, R.C.; Woolf, B.A.R.; Davies, N.M.; Swanson, S.A.; VanderWeele, T.J.; Timpson, N.J.; Higgins, J.P.T.; Dimou, N.; Langenberg, C.; et al. Strengthening the Reporting of Observational Studies in Epidemiology Using Mendelian Randomisation (STROBE-MR): Explanation and Elaboration. </w:t>
      </w:r>
      <w:r w:rsidR="00587FF2" w:rsidRPr="00587FF2">
        <w:rPr>
          <w:rFonts w:ascii="Aptos"/>
          <w:i/>
          <w:iCs/>
        </w:rPr>
        <w:t>BMJ</w:t>
      </w:r>
      <w:r w:rsidR="00587FF2" w:rsidRPr="00587FF2">
        <w:rPr>
          <w:rFonts w:ascii="Aptos"/>
        </w:rPr>
        <w:t xml:space="preserve"> </w:t>
      </w:r>
      <w:r w:rsidR="00587FF2" w:rsidRPr="00587FF2">
        <w:rPr>
          <w:rFonts w:ascii="Aptos"/>
          <w:b/>
          <w:bCs/>
        </w:rPr>
        <w:t>2021</w:t>
      </w:r>
      <w:r w:rsidR="00587FF2" w:rsidRPr="00587FF2">
        <w:rPr>
          <w:rFonts w:ascii="Aptos"/>
        </w:rPr>
        <w:t xml:space="preserve">, </w:t>
      </w:r>
      <w:r w:rsidR="00587FF2" w:rsidRPr="00587FF2">
        <w:rPr>
          <w:rFonts w:ascii="Aptos"/>
          <w:i/>
          <w:iCs/>
        </w:rPr>
        <w:t>375</w:t>
      </w:r>
      <w:r w:rsidR="00587FF2" w:rsidRPr="00587FF2">
        <w:rPr>
          <w:rFonts w:ascii="Aptos"/>
        </w:rPr>
        <w:t>, n2233, doi:10.1136/bmj.n2233.</w:t>
      </w:r>
    </w:p>
    <w:p w14:paraId="6F988804" w14:textId="77777777" w:rsidR="00587FF2" w:rsidRPr="00587FF2" w:rsidRDefault="00587FF2" w:rsidP="00587FF2">
      <w:pPr>
        <w:pStyle w:val="Bibliography"/>
        <w:rPr>
          <w:rFonts w:ascii="Aptos"/>
        </w:rPr>
      </w:pPr>
      <w:r w:rsidRPr="00587FF2">
        <w:rPr>
          <w:rFonts w:ascii="Aptos"/>
        </w:rPr>
        <w:t xml:space="preserve">2. </w:t>
      </w:r>
      <w:r w:rsidRPr="00587FF2">
        <w:rPr>
          <w:rFonts w:ascii="Aptos"/>
        </w:rPr>
        <w:tab/>
        <w:t xml:space="preserve">Skrivankova, V.W.; Richmond, R.C.; Woolf, B.A.R.; Yarmolinsky, J.; Davies, N.M.; Swanson, S.A.; VanderWeele, T.J.; Higgins, J.P.T.; Timpson, N.J.; Dimou, N.; et al. Strengthening the Reporting of Observational Studies in Epidemiology Using Mendelian Randomization: The STROBE-MR Statement. </w:t>
      </w:r>
      <w:r w:rsidRPr="00587FF2">
        <w:rPr>
          <w:rFonts w:ascii="Aptos"/>
          <w:i/>
          <w:iCs/>
        </w:rPr>
        <w:t>JAMA</w:t>
      </w:r>
      <w:r w:rsidRPr="00587FF2">
        <w:rPr>
          <w:rFonts w:ascii="Aptos"/>
        </w:rPr>
        <w:t xml:space="preserve"> </w:t>
      </w:r>
      <w:r w:rsidRPr="00587FF2">
        <w:rPr>
          <w:rFonts w:ascii="Aptos"/>
          <w:b/>
          <w:bCs/>
        </w:rPr>
        <w:t>2021</w:t>
      </w:r>
      <w:r w:rsidRPr="00587FF2">
        <w:rPr>
          <w:rFonts w:ascii="Aptos"/>
        </w:rPr>
        <w:t xml:space="preserve">, </w:t>
      </w:r>
      <w:r w:rsidRPr="00587FF2">
        <w:rPr>
          <w:rFonts w:ascii="Aptos"/>
          <w:i/>
          <w:iCs/>
        </w:rPr>
        <w:t>326</w:t>
      </w:r>
      <w:r w:rsidRPr="00587FF2">
        <w:rPr>
          <w:rFonts w:ascii="Aptos"/>
        </w:rPr>
        <w:t>, 1614–1621, doi:10.1001/jama.2021.18236.</w:t>
      </w:r>
    </w:p>
    <w:p w14:paraId="49A6E795" w14:textId="77777777" w:rsidR="00587FF2" w:rsidRPr="00587FF2" w:rsidRDefault="00587FF2" w:rsidP="00587FF2">
      <w:pPr>
        <w:pStyle w:val="Bibliography"/>
        <w:rPr>
          <w:rFonts w:ascii="Aptos"/>
        </w:rPr>
      </w:pPr>
      <w:r w:rsidRPr="00587FF2">
        <w:rPr>
          <w:rFonts w:ascii="Aptos"/>
        </w:rPr>
        <w:t xml:space="preserve">3. </w:t>
      </w:r>
      <w:r w:rsidRPr="00587FF2">
        <w:rPr>
          <w:rFonts w:ascii="Aptos"/>
        </w:rPr>
        <w:tab/>
        <w:t xml:space="preserve">Bycroft, C.; Freeman, C.; Petkova, D.; Band, G.; Elliott, L.T.; Sharp, K.; Motyer, A.; Vukcevic, D.; Delaneau, O.; O’Connell, J.; et al. The UK Biobank Resource with Deep Phenotyping and Genomic Data. </w:t>
      </w:r>
      <w:r w:rsidRPr="00587FF2">
        <w:rPr>
          <w:rFonts w:ascii="Aptos"/>
          <w:i/>
          <w:iCs/>
        </w:rPr>
        <w:t>Nature</w:t>
      </w:r>
      <w:r w:rsidRPr="00587FF2">
        <w:rPr>
          <w:rFonts w:ascii="Aptos"/>
        </w:rPr>
        <w:t xml:space="preserve"> </w:t>
      </w:r>
      <w:r w:rsidRPr="00587FF2">
        <w:rPr>
          <w:rFonts w:ascii="Aptos"/>
          <w:b/>
          <w:bCs/>
        </w:rPr>
        <w:t>2018</w:t>
      </w:r>
      <w:r w:rsidRPr="00587FF2">
        <w:rPr>
          <w:rFonts w:ascii="Aptos"/>
        </w:rPr>
        <w:t xml:space="preserve">, </w:t>
      </w:r>
      <w:r w:rsidRPr="00587FF2">
        <w:rPr>
          <w:rFonts w:ascii="Aptos"/>
          <w:i/>
          <w:iCs/>
        </w:rPr>
        <w:t>562</w:t>
      </w:r>
      <w:r w:rsidRPr="00587FF2">
        <w:rPr>
          <w:rFonts w:ascii="Aptos"/>
        </w:rPr>
        <w:t>, 203–209, doi:10.1038/s41586-018-0579-z.</w:t>
      </w:r>
    </w:p>
    <w:p w14:paraId="230F08C9" w14:textId="77777777" w:rsidR="00587FF2" w:rsidRPr="00587FF2" w:rsidRDefault="00587FF2" w:rsidP="00587FF2">
      <w:pPr>
        <w:pStyle w:val="Bibliography"/>
        <w:rPr>
          <w:rFonts w:ascii="Aptos"/>
        </w:rPr>
      </w:pPr>
      <w:r w:rsidRPr="00587FF2">
        <w:rPr>
          <w:rFonts w:ascii="Aptos"/>
        </w:rPr>
        <w:t xml:space="preserve">4. </w:t>
      </w:r>
      <w:r w:rsidRPr="00587FF2">
        <w:rPr>
          <w:rFonts w:ascii="Aptos"/>
        </w:rPr>
        <w:tab/>
        <w:t xml:space="preserve">Hemani, G.; Zheng, J.; Elsworth, B.; Wade, K.H.; Haberland, V.; Baird, D.; Laurin, C.; Burgess, S.; Bowden, J.; Langdon, R.; et al. The MR-Base Platform Supports Systematic Causal Inference across the Human Phenome. </w:t>
      </w:r>
      <w:r w:rsidRPr="00587FF2">
        <w:rPr>
          <w:rFonts w:ascii="Aptos"/>
          <w:i/>
          <w:iCs/>
        </w:rPr>
        <w:t>eLife</w:t>
      </w:r>
      <w:r w:rsidRPr="00587FF2">
        <w:rPr>
          <w:rFonts w:ascii="Aptos"/>
        </w:rPr>
        <w:t xml:space="preserve"> </w:t>
      </w:r>
      <w:r w:rsidRPr="00587FF2">
        <w:rPr>
          <w:rFonts w:ascii="Aptos"/>
          <w:b/>
          <w:bCs/>
        </w:rPr>
        <w:t>2018</w:t>
      </w:r>
      <w:r w:rsidRPr="00587FF2">
        <w:rPr>
          <w:rFonts w:ascii="Aptos"/>
        </w:rPr>
        <w:t xml:space="preserve">, </w:t>
      </w:r>
      <w:r w:rsidRPr="00587FF2">
        <w:rPr>
          <w:rFonts w:ascii="Aptos"/>
          <w:i/>
          <w:iCs/>
        </w:rPr>
        <w:t>7</w:t>
      </w:r>
      <w:r w:rsidRPr="00587FF2">
        <w:rPr>
          <w:rFonts w:ascii="Aptos"/>
        </w:rPr>
        <w:t>, e34408, doi:10.7554/eLife.34408.</w:t>
      </w:r>
    </w:p>
    <w:p w14:paraId="12D0CFB4" w14:textId="77777777" w:rsidR="00587FF2" w:rsidRPr="00587FF2" w:rsidRDefault="00587FF2" w:rsidP="00587FF2">
      <w:pPr>
        <w:pStyle w:val="Bibliography"/>
        <w:rPr>
          <w:rFonts w:ascii="Aptos"/>
        </w:rPr>
      </w:pPr>
      <w:r w:rsidRPr="00587FF2">
        <w:rPr>
          <w:rFonts w:ascii="Aptos"/>
        </w:rPr>
        <w:t xml:space="preserve">5. </w:t>
      </w:r>
      <w:r w:rsidRPr="00587FF2">
        <w:rPr>
          <w:rFonts w:ascii="Aptos"/>
        </w:rPr>
        <w:tab/>
        <w:t xml:space="preserve">Chang, C.C.; Chow, C.C.; Tellier, L.C.; Vattikuti, S.; Purcell, S.M.; Lee, J.J. Second-Generation PLINK: Rising to the Challenge of Larger and Richer Datasets. </w:t>
      </w:r>
      <w:r w:rsidRPr="00587FF2">
        <w:rPr>
          <w:rFonts w:ascii="Aptos"/>
          <w:i/>
          <w:iCs/>
        </w:rPr>
        <w:t>GigaScience</w:t>
      </w:r>
      <w:r w:rsidRPr="00587FF2">
        <w:rPr>
          <w:rFonts w:ascii="Aptos"/>
        </w:rPr>
        <w:t xml:space="preserve"> </w:t>
      </w:r>
      <w:r w:rsidRPr="00587FF2">
        <w:rPr>
          <w:rFonts w:ascii="Aptos"/>
          <w:b/>
          <w:bCs/>
        </w:rPr>
        <w:t>2015</w:t>
      </w:r>
      <w:r w:rsidRPr="00587FF2">
        <w:rPr>
          <w:rFonts w:ascii="Aptos"/>
        </w:rPr>
        <w:t xml:space="preserve">, </w:t>
      </w:r>
      <w:r w:rsidRPr="00587FF2">
        <w:rPr>
          <w:rFonts w:ascii="Aptos"/>
          <w:i/>
          <w:iCs/>
        </w:rPr>
        <w:t>4</w:t>
      </w:r>
      <w:r w:rsidRPr="00587FF2">
        <w:rPr>
          <w:rFonts w:ascii="Aptos"/>
        </w:rPr>
        <w:t>, 7, doi:10.1186/s13742-015-0047-8.</w:t>
      </w:r>
    </w:p>
    <w:p w14:paraId="6FBCE735" w14:textId="77777777" w:rsidR="00587FF2" w:rsidRPr="00587FF2" w:rsidRDefault="00587FF2" w:rsidP="00587FF2">
      <w:pPr>
        <w:pStyle w:val="Bibliography"/>
        <w:rPr>
          <w:rFonts w:ascii="Aptos"/>
        </w:rPr>
      </w:pPr>
      <w:r w:rsidRPr="00587FF2">
        <w:rPr>
          <w:rFonts w:ascii="Aptos"/>
        </w:rPr>
        <w:t xml:space="preserve">6. </w:t>
      </w:r>
      <w:r w:rsidRPr="00587FF2">
        <w:rPr>
          <w:rFonts w:ascii="Aptos"/>
        </w:rPr>
        <w:tab/>
        <w:t xml:space="preserve">1000 Genomes Project Consortium; Auton, A.; Brooks, L.D.; Durbin, R.M.; Garrison, E.P.; Kang, H.M.; Korbel, J.O.; Marchini, J.L.; McCarthy, S.; McVean, G.A.; et al. A Global Reference for Human Genetic Variation. </w:t>
      </w:r>
      <w:r w:rsidRPr="00587FF2">
        <w:rPr>
          <w:rFonts w:ascii="Aptos"/>
          <w:i/>
          <w:iCs/>
        </w:rPr>
        <w:t>Nature</w:t>
      </w:r>
      <w:r w:rsidRPr="00587FF2">
        <w:rPr>
          <w:rFonts w:ascii="Aptos"/>
        </w:rPr>
        <w:t xml:space="preserve"> </w:t>
      </w:r>
      <w:r w:rsidRPr="00587FF2">
        <w:rPr>
          <w:rFonts w:ascii="Aptos"/>
          <w:b/>
          <w:bCs/>
        </w:rPr>
        <w:t>2015</w:t>
      </w:r>
      <w:r w:rsidRPr="00587FF2">
        <w:rPr>
          <w:rFonts w:ascii="Aptos"/>
        </w:rPr>
        <w:t xml:space="preserve">, </w:t>
      </w:r>
      <w:r w:rsidRPr="00587FF2">
        <w:rPr>
          <w:rFonts w:ascii="Aptos"/>
          <w:i/>
          <w:iCs/>
        </w:rPr>
        <w:t>526</w:t>
      </w:r>
      <w:r w:rsidRPr="00587FF2">
        <w:rPr>
          <w:rFonts w:ascii="Aptos"/>
        </w:rPr>
        <w:t>, 68–74, doi:10.1038/nature15393.</w:t>
      </w:r>
    </w:p>
    <w:p w14:paraId="3CFECCA6" w14:textId="77777777" w:rsidR="00587FF2" w:rsidRPr="00587FF2" w:rsidRDefault="00587FF2" w:rsidP="00587FF2">
      <w:pPr>
        <w:pStyle w:val="Bibliography"/>
        <w:rPr>
          <w:rFonts w:ascii="Aptos"/>
        </w:rPr>
      </w:pPr>
      <w:r w:rsidRPr="00587FF2">
        <w:rPr>
          <w:rFonts w:ascii="Aptos"/>
        </w:rPr>
        <w:lastRenderedPageBreak/>
        <w:t xml:space="preserve">7. </w:t>
      </w:r>
      <w:r w:rsidRPr="00587FF2">
        <w:rPr>
          <w:rFonts w:ascii="Aptos"/>
        </w:rPr>
        <w:tab/>
        <w:t xml:space="preserve">Goldstein, J.A.; Weinstock, J.S.; Bastarache, L.A.; Larach, D.B.; Fritsche, L.G.; Schmidt, E.M.; Brummett, C.M.; Kheterpal, S.; Abecasis, G.R.; Denny, J.C.; et al. LabWAS: Novel Findings and Study Design Recommendations from a Meta-Analysis of Clinical Labs in Two Independent Biobanks. </w:t>
      </w:r>
      <w:r w:rsidRPr="00587FF2">
        <w:rPr>
          <w:rFonts w:ascii="Aptos"/>
          <w:i/>
          <w:iCs/>
        </w:rPr>
        <w:t>PLoS Genet.</w:t>
      </w:r>
      <w:r w:rsidRPr="00587FF2">
        <w:rPr>
          <w:rFonts w:ascii="Aptos"/>
        </w:rPr>
        <w:t xml:space="preserve"> </w:t>
      </w:r>
      <w:r w:rsidRPr="00587FF2">
        <w:rPr>
          <w:rFonts w:ascii="Aptos"/>
          <w:b/>
          <w:bCs/>
        </w:rPr>
        <w:t>2020</w:t>
      </w:r>
      <w:r w:rsidRPr="00587FF2">
        <w:rPr>
          <w:rFonts w:ascii="Aptos"/>
        </w:rPr>
        <w:t xml:space="preserve">, </w:t>
      </w:r>
      <w:r w:rsidRPr="00587FF2">
        <w:rPr>
          <w:rFonts w:ascii="Aptos"/>
          <w:i/>
          <w:iCs/>
        </w:rPr>
        <w:t>16</w:t>
      </w:r>
      <w:r w:rsidRPr="00587FF2">
        <w:rPr>
          <w:rFonts w:ascii="Aptos"/>
        </w:rPr>
        <w:t>, e1009077, doi:10.1371/journal.pgen.1009077.</w:t>
      </w:r>
    </w:p>
    <w:p w14:paraId="15FDC177" w14:textId="77777777" w:rsidR="00587FF2" w:rsidRPr="00587FF2" w:rsidRDefault="00587FF2" w:rsidP="00587FF2">
      <w:pPr>
        <w:pStyle w:val="Bibliography"/>
        <w:rPr>
          <w:rFonts w:ascii="Aptos"/>
        </w:rPr>
      </w:pPr>
      <w:r w:rsidRPr="00587FF2">
        <w:rPr>
          <w:rFonts w:ascii="Aptos"/>
        </w:rPr>
        <w:t xml:space="preserve">8. </w:t>
      </w:r>
      <w:r w:rsidRPr="00587FF2">
        <w:rPr>
          <w:rFonts w:ascii="Aptos"/>
        </w:rPr>
        <w:tab/>
        <w:t xml:space="preserve">Zawistowski, M.; Fritsche, L.G.; Pandit, A.; Vanderwerff, B.; Patil, S.; Schmidt, E.M.; VandeHaar, P.; Willer, C.J.; Brummett, C.M.; Kheterpal, S.; et al. The Michigan Genomics Initiative: A Biobank Linking Genotypes and Electronic Clinical Records in Michigan Medicine Patients. </w:t>
      </w:r>
      <w:r w:rsidRPr="00587FF2">
        <w:rPr>
          <w:rFonts w:ascii="Aptos"/>
          <w:i/>
          <w:iCs/>
        </w:rPr>
        <w:t>Cell Genomics</w:t>
      </w:r>
      <w:r w:rsidRPr="00587FF2">
        <w:rPr>
          <w:rFonts w:ascii="Aptos"/>
        </w:rPr>
        <w:t xml:space="preserve"> </w:t>
      </w:r>
      <w:r w:rsidRPr="00587FF2">
        <w:rPr>
          <w:rFonts w:ascii="Aptos"/>
          <w:b/>
          <w:bCs/>
        </w:rPr>
        <w:t>2023</w:t>
      </w:r>
      <w:r w:rsidRPr="00587FF2">
        <w:rPr>
          <w:rFonts w:ascii="Aptos"/>
        </w:rPr>
        <w:t xml:space="preserve">, </w:t>
      </w:r>
      <w:r w:rsidRPr="00587FF2">
        <w:rPr>
          <w:rFonts w:ascii="Aptos"/>
          <w:i/>
          <w:iCs/>
        </w:rPr>
        <w:t>3</w:t>
      </w:r>
      <w:r w:rsidRPr="00587FF2">
        <w:rPr>
          <w:rFonts w:ascii="Aptos"/>
        </w:rPr>
        <w:t>, 100257, doi:10.1016/j.xgen.2023.100257.</w:t>
      </w:r>
    </w:p>
    <w:p w14:paraId="42F3BECF" w14:textId="77777777" w:rsidR="00587FF2" w:rsidRPr="00587FF2" w:rsidRDefault="00587FF2" w:rsidP="00587FF2">
      <w:pPr>
        <w:pStyle w:val="Bibliography"/>
        <w:rPr>
          <w:rFonts w:ascii="Aptos"/>
        </w:rPr>
      </w:pPr>
      <w:r w:rsidRPr="00587FF2">
        <w:rPr>
          <w:rFonts w:ascii="Aptos"/>
        </w:rPr>
        <w:t xml:space="preserve">9. </w:t>
      </w:r>
      <w:r w:rsidRPr="00587FF2">
        <w:rPr>
          <w:rFonts w:ascii="Aptos"/>
        </w:rPr>
        <w:tab/>
        <w:t xml:space="preserve">Burgess, S.; Thompson, S.G.; CRP CHD Genetics Collaboration Avoiding Bias from Weak Instruments in Mendelian Randomization Studies. </w:t>
      </w:r>
      <w:r w:rsidRPr="00587FF2">
        <w:rPr>
          <w:rFonts w:ascii="Aptos"/>
          <w:i/>
          <w:iCs/>
        </w:rPr>
        <w:t>Int. J. Epidemiol.</w:t>
      </w:r>
      <w:r w:rsidRPr="00587FF2">
        <w:rPr>
          <w:rFonts w:ascii="Aptos"/>
        </w:rPr>
        <w:t xml:space="preserve"> </w:t>
      </w:r>
      <w:r w:rsidRPr="00587FF2">
        <w:rPr>
          <w:rFonts w:ascii="Aptos"/>
          <w:b/>
          <w:bCs/>
        </w:rPr>
        <w:t>2011</w:t>
      </w:r>
      <w:r w:rsidRPr="00587FF2">
        <w:rPr>
          <w:rFonts w:ascii="Aptos"/>
        </w:rPr>
        <w:t xml:space="preserve">, </w:t>
      </w:r>
      <w:r w:rsidRPr="00587FF2">
        <w:rPr>
          <w:rFonts w:ascii="Aptos"/>
          <w:i/>
          <w:iCs/>
        </w:rPr>
        <w:t>40</w:t>
      </w:r>
      <w:r w:rsidRPr="00587FF2">
        <w:rPr>
          <w:rFonts w:ascii="Aptos"/>
        </w:rPr>
        <w:t>, 755–764, doi:10.1093/ije/dyr036.</w:t>
      </w:r>
    </w:p>
    <w:p w14:paraId="1BEBD71B" w14:textId="77777777" w:rsidR="00587FF2" w:rsidRPr="00587FF2" w:rsidRDefault="00587FF2" w:rsidP="00587FF2">
      <w:pPr>
        <w:pStyle w:val="Bibliography"/>
        <w:rPr>
          <w:rFonts w:ascii="Aptos"/>
        </w:rPr>
      </w:pPr>
      <w:r w:rsidRPr="00587FF2">
        <w:rPr>
          <w:rFonts w:ascii="Aptos"/>
        </w:rPr>
        <w:t xml:space="preserve">10. </w:t>
      </w:r>
      <w:r w:rsidRPr="00587FF2">
        <w:rPr>
          <w:rFonts w:ascii="Aptos"/>
        </w:rPr>
        <w:tab/>
        <w:t xml:space="preserve">Larsson, S.C.; Burgess, S.; Michaëlsson, K. Association of Genetic Variants Related to Serum Calcium Levels With Coronary Artery Disease and Myocardial Infarction. </w:t>
      </w:r>
      <w:r w:rsidRPr="00587FF2">
        <w:rPr>
          <w:rFonts w:ascii="Aptos"/>
          <w:i/>
          <w:iCs/>
        </w:rPr>
        <w:t>JAMA</w:t>
      </w:r>
      <w:r w:rsidRPr="00587FF2">
        <w:rPr>
          <w:rFonts w:ascii="Aptos"/>
        </w:rPr>
        <w:t xml:space="preserve"> </w:t>
      </w:r>
      <w:r w:rsidRPr="00587FF2">
        <w:rPr>
          <w:rFonts w:ascii="Aptos"/>
          <w:b/>
          <w:bCs/>
        </w:rPr>
        <w:t>2017</w:t>
      </w:r>
      <w:r w:rsidRPr="00587FF2">
        <w:rPr>
          <w:rFonts w:ascii="Aptos"/>
        </w:rPr>
        <w:t xml:space="preserve">, </w:t>
      </w:r>
      <w:r w:rsidRPr="00587FF2">
        <w:rPr>
          <w:rFonts w:ascii="Aptos"/>
          <w:i/>
          <w:iCs/>
        </w:rPr>
        <w:t>318</w:t>
      </w:r>
      <w:r w:rsidRPr="00587FF2">
        <w:rPr>
          <w:rFonts w:ascii="Aptos"/>
        </w:rPr>
        <w:t>, 371–380, doi:10.1001/jama.2017.8981.</w:t>
      </w:r>
    </w:p>
    <w:p w14:paraId="41A7DA5C" w14:textId="77777777" w:rsidR="00587FF2" w:rsidRPr="00587FF2" w:rsidRDefault="00587FF2" w:rsidP="00587FF2">
      <w:pPr>
        <w:pStyle w:val="Bibliography"/>
        <w:rPr>
          <w:rFonts w:ascii="Aptos"/>
        </w:rPr>
      </w:pPr>
      <w:r w:rsidRPr="00587FF2">
        <w:rPr>
          <w:rFonts w:ascii="Aptos"/>
        </w:rPr>
        <w:t xml:space="preserve">11. </w:t>
      </w:r>
      <w:r w:rsidRPr="00587FF2">
        <w:rPr>
          <w:rFonts w:ascii="Aptos"/>
        </w:rPr>
        <w:tab/>
        <w:t xml:space="preserve">Sanderson, E.; Glymour, M.M.; Holmes, M.V.; Kang, H.; Morrison, J.; Munafò, M.R.; Palmer, T.; Schooling, C.M.; Wallace, C.; Zhao, Q.; et al. Mendelian Randomization. </w:t>
      </w:r>
      <w:r w:rsidRPr="00587FF2">
        <w:rPr>
          <w:rFonts w:ascii="Aptos"/>
          <w:i/>
          <w:iCs/>
        </w:rPr>
        <w:t>Nat. Rev. Methods Primer</w:t>
      </w:r>
      <w:r w:rsidRPr="00587FF2">
        <w:rPr>
          <w:rFonts w:ascii="Aptos"/>
        </w:rPr>
        <w:t xml:space="preserve"> </w:t>
      </w:r>
      <w:r w:rsidRPr="00587FF2">
        <w:rPr>
          <w:rFonts w:ascii="Aptos"/>
          <w:b/>
          <w:bCs/>
        </w:rPr>
        <w:t>2022</w:t>
      </w:r>
      <w:r w:rsidRPr="00587FF2">
        <w:rPr>
          <w:rFonts w:ascii="Aptos"/>
        </w:rPr>
        <w:t xml:space="preserve">, </w:t>
      </w:r>
      <w:r w:rsidRPr="00587FF2">
        <w:rPr>
          <w:rFonts w:ascii="Aptos"/>
          <w:i/>
          <w:iCs/>
        </w:rPr>
        <w:t>2</w:t>
      </w:r>
      <w:r w:rsidRPr="00587FF2">
        <w:rPr>
          <w:rFonts w:ascii="Aptos"/>
        </w:rPr>
        <w:t>, 6, doi:10.1038/s43586-021-00092-5.</w:t>
      </w:r>
    </w:p>
    <w:p w14:paraId="5F70D40F" w14:textId="77777777" w:rsidR="00587FF2" w:rsidRPr="00587FF2" w:rsidRDefault="00587FF2" w:rsidP="00587FF2">
      <w:pPr>
        <w:pStyle w:val="Bibliography"/>
        <w:rPr>
          <w:rFonts w:ascii="Aptos"/>
        </w:rPr>
      </w:pPr>
      <w:r w:rsidRPr="00587FF2">
        <w:rPr>
          <w:rFonts w:ascii="Aptos"/>
        </w:rPr>
        <w:t xml:space="preserve">12. </w:t>
      </w:r>
      <w:r w:rsidRPr="00587FF2">
        <w:rPr>
          <w:rFonts w:ascii="Aptos"/>
        </w:rPr>
        <w:tab/>
        <w:t xml:space="preserve">Foley, R.N.; Collins, A.J.; Ishani, A.; Kalra, P.A. Calcium-Phosphate Levels and Cardiovascular Disease in Community-Dwelling Adults: The Atherosclerosis Risk in Communities (ARIC) Study. </w:t>
      </w:r>
      <w:r w:rsidRPr="00587FF2">
        <w:rPr>
          <w:rFonts w:ascii="Aptos"/>
          <w:i/>
          <w:iCs/>
        </w:rPr>
        <w:t>Am. Heart J.</w:t>
      </w:r>
      <w:r w:rsidRPr="00587FF2">
        <w:rPr>
          <w:rFonts w:ascii="Aptos"/>
        </w:rPr>
        <w:t xml:space="preserve"> </w:t>
      </w:r>
      <w:r w:rsidRPr="00587FF2">
        <w:rPr>
          <w:rFonts w:ascii="Aptos"/>
          <w:b/>
          <w:bCs/>
        </w:rPr>
        <w:t>2008</w:t>
      </w:r>
      <w:r w:rsidRPr="00587FF2">
        <w:rPr>
          <w:rFonts w:ascii="Aptos"/>
        </w:rPr>
        <w:t xml:space="preserve">, </w:t>
      </w:r>
      <w:r w:rsidRPr="00587FF2">
        <w:rPr>
          <w:rFonts w:ascii="Aptos"/>
          <w:i/>
          <w:iCs/>
        </w:rPr>
        <w:t>156</w:t>
      </w:r>
      <w:r w:rsidRPr="00587FF2">
        <w:rPr>
          <w:rFonts w:ascii="Aptos"/>
        </w:rPr>
        <w:t>, 556–563, doi:10.1016/j.ahj.2008.05.016.</w:t>
      </w:r>
    </w:p>
    <w:p w14:paraId="06843F16" w14:textId="77777777" w:rsidR="00587FF2" w:rsidRPr="00587FF2" w:rsidRDefault="00587FF2" w:rsidP="00587FF2">
      <w:pPr>
        <w:pStyle w:val="Bibliography"/>
        <w:rPr>
          <w:rFonts w:ascii="Aptos"/>
        </w:rPr>
      </w:pPr>
      <w:r w:rsidRPr="00587FF2">
        <w:rPr>
          <w:rFonts w:ascii="Aptos"/>
        </w:rPr>
        <w:t xml:space="preserve">13. </w:t>
      </w:r>
      <w:r w:rsidRPr="00587FF2">
        <w:rPr>
          <w:rFonts w:ascii="Aptos"/>
        </w:rPr>
        <w:tab/>
        <w:t xml:space="preserve">Jorde, R.; Sundsfjord, J.; Fitzgerald, P.; Bønaa, K.H. Serum Calcium and Cardiovascular Risk Factors and Diseases. </w:t>
      </w:r>
      <w:r w:rsidRPr="00587FF2">
        <w:rPr>
          <w:rFonts w:ascii="Aptos"/>
          <w:i/>
          <w:iCs/>
        </w:rPr>
        <w:t>Hypertension</w:t>
      </w:r>
      <w:r w:rsidRPr="00587FF2">
        <w:rPr>
          <w:rFonts w:ascii="Aptos"/>
        </w:rPr>
        <w:t xml:space="preserve"> </w:t>
      </w:r>
      <w:r w:rsidRPr="00587FF2">
        <w:rPr>
          <w:rFonts w:ascii="Aptos"/>
          <w:b/>
          <w:bCs/>
        </w:rPr>
        <w:t>1999</w:t>
      </w:r>
      <w:r w:rsidRPr="00587FF2">
        <w:rPr>
          <w:rFonts w:ascii="Aptos"/>
        </w:rPr>
        <w:t xml:space="preserve">, </w:t>
      </w:r>
      <w:r w:rsidRPr="00587FF2">
        <w:rPr>
          <w:rFonts w:ascii="Aptos"/>
          <w:i/>
          <w:iCs/>
        </w:rPr>
        <w:t>34</w:t>
      </w:r>
      <w:r w:rsidRPr="00587FF2">
        <w:rPr>
          <w:rFonts w:ascii="Aptos"/>
        </w:rPr>
        <w:t>, 484–490, doi:10.1161/01.HYP.34.3.484.</w:t>
      </w:r>
    </w:p>
    <w:p w14:paraId="1A74D73B" w14:textId="77777777" w:rsidR="00587FF2" w:rsidRPr="00587FF2" w:rsidRDefault="00587FF2" w:rsidP="00587FF2">
      <w:pPr>
        <w:pStyle w:val="Bibliography"/>
        <w:rPr>
          <w:rFonts w:ascii="Aptos"/>
        </w:rPr>
      </w:pPr>
      <w:r w:rsidRPr="00587FF2">
        <w:rPr>
          <w:rFonts w:ascii="Aptos"/>
        </w:rPr>
        <w:t xml:space="preserve">14. </w:t>
      </w:r>
      <w:r w:rsidRPr="00587FF2">
        <w:rPr>
          <w:rFonts w:ascii="Aptos"/>
        </w:rPr>
        <w:tab/>
        <w:t xml:space="preserve">Chuengsamarn, S.; Rattanamongkoulgul, S.; Suwanwalaikorn, S.; Wattanasirichaigoon, S.; Kaufman, L. Effects of Statins vs. Non-Statin Lipid-Lowering Therapy on Bone Formation and Bone Mineral Density Biomarkers in Patients with Hyperlipidemia. </w:t>
      </w:r>
      <w:r w:rsidRPr="00587FF2">
        <w:rPr>
          <w:rFonts w:ascii="Aptos"/>
          <w:i/>
          <w:iCs/>
        </w:rPr>
        <w:t>Bone</w:t>
      </w:r>
      <w:r w:rsidRPr="00587FF2">
        <w:rPr>
          <w:rFonts w:ascii="Aptos"/>
        </w:rPr>
        <w:t xml:space="preserve"> </w:t>
      </w:r>
      <w:r w:rsidRPr="00587FF2">
        <w:rPr>
          <w:rFonts w:ascii="Aptos"/>
          <w:b/>
          <w:bCs/>
        </w:rPr>
        <w:t>2010</w:t>
      </w:r>
      <w:r w:rsidRPr="00587FF2">
        <w:rPr>
          <w:rFonts w:ascii="Aptos"/>
        </w:rPr>
        <w:t xml:space="preserve">, </w:t>
      </w:r>
      <w:r w:rsidRPr="00587FF2">
        <w:rPr>
          <w:rFonts w:ascii="Aptos"/>
          <w:i/>
          <w:iCs/>
        </w:rPr>
        <w:t>46</w:t>
      </w:r>
      <w:r w:rsidRPr="00587FF2">
        <w:rPr>
          <w:rFonts w:ascii="Aptos"/>
        </w:rPr>
        <w:t>, 1011–1015.</w:t>
      </w:r>
    </w:p>
    <w:p w14:paraId="0F71BAAB" w14:textId="77777777" w:rsidR="00587FF2" w:rsidRPr="00587FF2" w:rsidRDefault="00587FF2" w:rsidP="00587FF2">
      <w:pPr>
        <w:pStyle w:val="Bibliography"/>
        <w:rPr>
          <w:rFonts w:ascii="Aptos"/>
        </w:rPr>
      </w:pPr>
      <w:r w:rsidRPr="00587FF2">
        <w:rPr>
          <w:rFonts w:ascii="Aptos"/>
        </w:rPr>
        <w:t xml:space="preserve">15. </w:t>
      </w:r>
      <w:r w:rsidRPr="00587FF2">
        <w:rPr>
          <w:rFonts w:ascii="Aptos"/>
        </w:rPr>
        <w:tab/>
        <w:t xml:space="preserve">Zhao, C.; Bi, Q.; Hu, J.T.; Xia, B.; Ying, Q.F.; Zhu, D.J.; Zhang, S.J.; Gu, H.F.; Hong, J.; Qui, B.; et al. [Effects of Statins upon Bone Mineral Density in Postmenopausal Women with Hypercholesterolemia]. </w:t>
      </w:r>
      <w:r w:rsidRPr="00587FF2">
        <w:rPr>
          <w:rFonts w:ascii="Aptos"/>
          <w:i/>
          <w:iCs/>
        </w:rPr>
        <w:t>Zhonghua Yi Xue Za Zhi</w:t>
      </w:r>
      <w:r w:rsidRPr="00587FF2">
        <w:rPr>
          <w:rFonts w:ascii="Aptos"/>
        </w:rPr>
        <w:t xml:space="preserve"> </w:t>
      </w:r>
      <w:r w:rsidRPr="00587FF2">
        <w:rPr>
          <w:rFonts w:ascii="Aptos"/>
          <w:b/>
          <w:bCs/>
        </w:rPr>
        <w:t>2013</w:t>
      </w:r>
      <w:r w:rsidRPr="00587FF2">
        <w:rPr>
          <w:rFonts w:ascii="Aptos"/>
        </w:rPr>
        <w:t xml:space="preserve">, </w:t>
      </w:r>
      <w:r w:rsidRPr="00587FF2">
        <w:rPr>
          <w:rFonts w:ascii="Aptos"/>
          <w:i/>
          <w:iCs/>
        </w:rPr>
        <w:t>93</w:t>
      </w:r>
      <w:r w:rsidRPr="00587FF2">
        <w:rPr>
          <w:rFonts w:ascii="Aptos"/>
        </w:rPr>
        <w:t>, 2309–2311.</w:t>
      </w:r>
    </w:p>
    <w:p w14:paraId="1912E97F" w14:textId="77777777" w:rsidR="00587FF2" w:rsidRPr="00587FF2" w:rsidRDefault="00587FF2" w:rsidP="00587FF2">
      <w:pPr>
        <w:pStyle w:val="Bibliography"/>
        <w:rPr>
          <w:rFonts w:ascii="Aptos"/>
        </w:rPr>
      </w:pPr>
      <w:r w:rsidRPr="00587FF2">
        <w:rPr>
          <w:rFonts w:ascii="Aptos"/>
        </w:rPr>
        <w:t xml:space="preserve">16. </w:t>
      </w:r>
      <w:r w:rsidRPr="00587FF2">
        <w:rPr>
          <w:rFonts w:ascii="Aptos"/>
        </w:rPr>
        <w:tab/>
        <w:t xml:space="preserve">Wang, Z.; Li, Y.; Zhou, F.; Piao, Z.; Hao, J. Effects of Statins on Bone Mineral Density and Fracture Risk. </w:t>
      </w:r>
      <w:r w:rsidRPr="00587FF2">
        <w:rPr>
          <w:rFonts w:ascii="Aptos"/>
          <w:i/>
          <w:iCs/>
        </w:rPr>
        <w:t>Medicine (Baltimore)</w:t>
      </w:r>
      <w:r w:rsidRPr="00587FF2">
        <w:rPr>
          <w:rFonts w:ascii="Aptos"/>
        </w:rPr>
        <w:t xml:space="preserve"> </w:t>
      </w:r>
      <w:r w:rsidRPr="00587FF2">
        <w:rPr>
          <w:rFonts w:ascii="Aptos"/>
          <w:b/>
          <w:bCs/>
        </w:rPr>
        <w:t>2016</w:t>
      </w:r>
      <w:r w:rsidRPr="00587FF2">
        <w:rPr>
          <w:rFonts w:ascii="Aptos"/>
        </w:rPr>
        <w:t xml:space="preserve">, </w:t>
      </w:r>
      <w:r w:rsidRPr="00587FF2">
        <w:rPr>
          <w:rFonts w:ascii="Aptos"/>
          <w:i/>
          <w:iCs/>
        </w:rPr>
        <w:t>95</w:t>
      </w:r>
      <w:r w:rsidRPr="00587FF2">
        <w:rPr>
          <w:rFonts w:ascii="Aptos"/>
        </w:rPr>
        <w:t>, e3042, doi:10.1097/MD.0000000000003042.</w:t>
      </w:r>
    </w:p>
    <w:p w14:paraId="20AA6B59" w14:textId="05946988" w:rsidR="00871606" w:rsidRDefault="006C0229" w:rsidP="00587FF2">
      <w:pPr>
        <w:pStyle w:val="Bibliography"/>
      </w:pPr>
      <w:r>
        <w:fldChar w:fldCharType="end"/>
      </w:r>
      <w:r w:rsidR="00871606">
        <w:br w:type="page"/>
      </w:r>
    </w:p>
    <w:p w14:paraId="3908CE4E" w14:textId="555293DA" w:rsidR="00871606" w:rsidRDefault="00871606" w:rsidP="002310F5">
      <w:pPr>
        <w:pStyle w:val="Heading1"/>
      </w:pPr>
      <w:r>
        <w:lastRenderedPageBreak/>
        <w:t>Figure and Table Legends</w:t>
      </w:r>
    </w:p>
    <w:p w14:paraId="46BDB0D8" w14:textId="77777777" w:rsidR="00EF283B" w:rsidRDefault="00EF283B"/>
    <w:p w14:paraId="5FEEA34B" w14:textId="68671816" w:rsidR="002E3FE2" w:rsidRDefault="002E3FE2">
      <w:pPr>
        <w:rPr>
          <w:b/>
          <w:bCs/>
        </w:rPr>
      </w:pPr>
      <w:r>
        <w:rPr>
          <w:b/>
          <w:bCs/>
        </w:rPr>
        <w:t>Figure 1: Overview of the present study and populations used</w:t>
      </w:r>
    </w:p>
    <w:p w14:paraId="6FB5B8AE" w14:textId="191C1689" w:rsidR="002E3FE2" w:rsidRPr="00E63B8D" w:rsidRDefault="002E3FE2">
      <w:r>
        <w:rPr>
          <w:b/>
          <w:bCs/>
        </w:rPr>
        <w:t xml:space="preserve">Figure 2: </w:t>
      </w:r>
      <w:r w:rsidR="00E63B8D">
        <w:rPr>
          <w:b/>
          <w:bCs/>
        </w:rPr>
        <w:t xml:space="preserve">Bidirectional Mendelian Randomization results.  </w:t>
      </w:r>
      <w:r w:rsidR="00E63B8D">
        <w:t>Point estimates and 95% confidence intervals for each of our primary (inverse variance weighted) and secondary analytic (MR-Egger, Weighted Mean and Weighted Mode) methods.</w:t>
      </w:r>
    </w:p>
    <w:p w14:paraId="168FD20E" w14:textId="4DB2D051" w:rsidR="00EF283B" w:rsidRDefault="00EF283B">
      <w:r w:rsidRPr="00EF283B">
        <w:rPr>
          <w:b/>
          <w:bCs/>
        </w:rPr>
        <w:t>Table 1: Instrument summary statistics for each exposure.</w:t>
      </w:r>
      <w:r w:rsidR="00C366BF">
        <w:rPr>
          <w:b/>
          <w:bCs/>
        </w:rPr>
        <w:t xml:space="preserve">  </w:t>
      </w:r>
      <w:r w:rsidR="00C366BF">
        <w:t>Post-harmonization statistics for each set of exposure instruments</w:t>
      </w:r>
    </w:p>
    <w:p w14:paraId="5FA51A20" w14:textId="65AF05EC" w:rsidR="00BF144E" w:rsidRPr="008102CE" w:rsidRDefault="00BF144E">
      <w:r w:rsidRPr="00BF144E">
        <w:rPr>
          <w:b/>
          <w:bCs/>
        </w:rPr>
        <w:t>Table 2: Summary of bidirectional MR results.</w:t>
      </w:r>
      <w:r w:rsidR="008102CE">
        <w:rPr>
          <w:b/>
          <w:bCs/>
        </w:rPr>
        <w:t xml:space="preserve">  </w:t>
      </w:r>
      <w:r w:rsidR="008102CE">
        <w:t>Results from inverse variance weighted analyses for each comparison.</w:t>
      </w:r>
    </w:p>
    <w:p w14:paraId="5BFEF22D" w14:textId="77777777" w:rsidR="00871606" w:rsidRDefault="00871606">
      <w:r>
        <w:br w:type="page"/>
      </w:r>
    </w:p>
    <w:p w14:paraId="283D5E2C" w14:textId="7AC71C1E" w:rsidR="00871606" w:rsidRDefault="00871606" w:rsidP="002310F5">
      <w:pPr>
        <w:pStyle w:val="Heading1"/>
      </w:pPr>
      <w:r>
        <w:lastRenderedPageBreak/>
        <w:t>Supplementary Figure and Table Legends</w:t>
      </w:r>
    </w:p>
    <w:p w14:paraId="550D01C2" w14:textId="77777777" w:rsidR="00871606" w:rsidRDefault="00871606"/>
    <w:p w14:paraId="5370CD09" w14:textId="32FCABE1" w:rsidR="00871606" w:rsidRDefault="00871606">
      <w:r w:rsidRPr="00871606">
        <w:rPr>
          <w:b/>
          <w:bCs/>
        </w:rPr>
        <w:t>Supplementary Figure 1: Instrument selection summary.</w:t>
      </w:r>
      <w:r>
        <w:t xml:space="preserve">  SNP instruments were selected from UK Biobank for each exposure via filtering for association, LD clumping, MAF filtering and then harmonization with data from MGI-BioVU LabWAS</w:t>
      </w:r>
      <w:r w:rsidR="004E4264">
        <w:t>.</w:t>
      </w:r>
    </w:p>
    <w:p w14:paraId="4F5CFE4D" w14:textId="55F4C2C5" w:rsidR="00C463BB" w:rsidRDefault="00B87D3D">
      <w:r w:rsidRPr="00B87D3D">
        <w:rPr>
          <w:b/>
          <w:bCs/>
        </w:rPr>
        <w:t xml:space="preserve">Supplementary Figure 2: Positive control analysis of the </w:t>
      </w:r>
      <w:r>
        <w:rPr>
          <w:b/>
          <w:bCs/>
        </w:rPr>
        <w:t>concordance</w:t>
      </w:r>
      <w:r w:rsidRPr="00B87D3D">
        <w:rPr>
          <w:b/>
          <w:bCs/>
        </w:rPr>
        <w:t xml:space="preserve"> between UK Biobank vs MGI-BioVU LabWAS</w:t>
      </w:r>
      <w:r>
        <w:rPr>
          <w:b/>
          <w:bCs/>
        </w:rPr>
        <w:t xml:space="preserve"> for serum Calcium</w:t>
      </w:r>
      <w:r w:rsidRPr="00B87D3D">
        <w:rPr>
          <w:b/>
          <w:bCs/>
        </w:rPr>
        <w:t>.</w:t>
      </w:r>
      <w:r>
        <w:t xml:space="preserve">  A) Effect sizes for each instrument in the exposure (UK Biobank) and outcome (LabWAS).  B) Effect estimates from different MR methods, with the dashed line indicating no effect.</w:t>
      </w:r>
      <w:r w:rsidR="00283D08">
        <w:t xml:space="preserve"> C)</w:t>
      </w:r>
      <w:r w:rsidR="00050E3C">
        <w:t xml:space="preserve"> Leave-one-out analysis using IVW methodology.  </w:t>
      </w:r>
      <w:r w:rsidR="00B2640E">
        <w:t xml:space="preserve">D) Funnel plot, with the IVW estimate in orange, and 95% pseudo-confidence </w:t>
      </w:r>
      <w:r w:rsidR="00953D98">
        <w:t>boundaries</w:t>
      </w:r>
      <w:r w:rsidR="00B2640E">
        <w:t xml:space="preserve"> as dashed lines.</w:t>
      </w:r>
    </w:p>
    <w:p w14:paraId="3D9D4CBC" w14:textId="08D7400D" w:rsidR="00D77C00" w:rsidRPr="00BF144E" w:rsidRDefault="00D77C00">
      <w:r w:rsidRPr="00D77C00">
        <w:rPr>
          <w:b/>
          <w:bCs/>
        </w:rPr>
        <w:t>Supplementary Figure 3: Scatter</w:t>
      </w:r>
      <w:r w:rsidR="00BF144E">
        <w:rPr>
          <w:b/>
          <w:bCs/>
        </w:rPr>
        <w:t>, leave-one-out analyses,</w:t>
      </w:r>
      <w:r w:rsidRPr="00D77C00">
        <w:rPr>
          <w:b/>
          <w:bCs/>
        </w:rPr>
        <w:t xml:space="preserve"> </w:t>
      </w:r>
      <w:r w:rsidR="00AE265B">
        <w:rPr>
          <w:b/>
          <w:bCs/>
        </w:rPr>
        <w:t xml:space="preserve">and funnel </w:t>
      </w:r>
      <w:r w:rsidRPr="00D77C00">
        <w:rPr>
          <w:b/>
          <w:bCs/>
        </w:rPr>
        <w:t>plots for each cholesterol/calcium analysis.</w:t>
      </w:r>
      <w:r w:rsidR="00BF144E">
        <w:rPr>
          <w:b/>
          <w:bCs/>
        </w:rPr>
        <w:t xml:space="preserve">  </w:t>
      </w:r>
      <w:r w:rsidR="00BF144E">
        <w:t xml:space="preserve">Scatter plots showing effect estimates in the exposure (UKBB) and outcome (LabWAS) cohorts with beta-coefficients and 95% confidence intervals (A-D).  Leave-one-out analyses showing the IVW estimates for each comparison sequentially removing each SNP (E-H).  Funnel plot </w:t>
      </w:r>
      <w:r w:rsidR="00A36B6F">
        <w:t>describing each variant’s estimate and precision relative to the IVW estimate (in orange)</w:t>
      </w:r>
      <w:r w:rsidR="00BF144E">
        <w:t xml:space="preserve"> </w:t>
      </w:r>
      <w:r w:rsidR="00A36B6F">
        <w:t xml:space="preserve">and 95% pseudo-confidence </w:t>
      </w:r>
      <w:r w:rsidR="00FE66FA">
        <w:t>boundaries</w:t>
      </w:r>
      <w:r w:rsidR="00A36B6F">
        <w:t xml:space="preserve"> (dashed lines).</w:t>
      </w:r>
    </w:p>
    <w:p w14:paraId="0C5755D3" w14:textId="33D5FD2D" w:rsidR="00C463BB" w:rsidRDefault="00C463BB">
      <w:r w:rsidRPr="00F95B9E">
        <w:rPr>
          <w:b/>
          <w:bCs/>
        </w:rPr>
        <w:t xml:space="preserve">Supplementary Table 1: </w:t>
      </w:r>
      <w:r w:rsidR="00F95B9E" w:rsidRPr="00F95B9E">
        <w:rPr>
          <w:b/>
          <w:bCs/>
        </w:rPr>
        <w:t>Full instrument list</w:t>
      </w:r>
      <w:r w:rsidR="00F95B9E">
        <w:t>.  Instruments used for each exposure after filtering and harmonization.  The alleles</w:t>
      </w:r>
      <w:r w:rsidR="00610487">
        <w:t>, beta coefficients</w:t>
      </w:r>
      <w:r w:rsidR="00F53B39">
        <w:t xml:space="preserve">, </w:t>
      </w:r>
      <w:r w:rsidR="00610487">
        <w:t>p-values</w:t>
      </w:r>
      <w:r w:rsidR="00F53B39">
        <w:t xml:space="preserve">, and estimated allele frequencies (eaf), as well as the </w:t>
      </w:r>
      <w:r w:rsidR="00F53B39" w:rsidRPr="00F53B39">
        <w:rPr>
          <w:i/>
          <w:iCs/>
        </w:rPr>
        <w:t>F</w:t>
      </w:r>
      <w:r w:rsidR="00F53B39">
        <w:t xml:space="preserve"> statistic</w:t>
      </w:r>
      <w:r w:rsidR="00BE2AAF">
        <w:t>s</w:t>
      </w:r>
      <w:r w:rsidR="00F53B39">
        <w:t xml:space="preserve"> and R</w:t>
      </w:r>
      <w:r w:rsidR="00F53B39" w:rsidRPr="00F53B39">
        <w:rPr>
          <w:vertAlign w:val="superscript"/>
        </w:rPr>
        <w:t>2</w:t>
      </w:r>
      <w:r w:rsidR="00610487">
        <w:t xml:space="preserve"> </w:t>
      </w:r>
      <w:r w:rsidR="00F95B9E">
        <w:t>are reported</w:t>
      </w:r>
      <w:r w:rsidR="00610487">
        <w:t xml:space="preserve"> </w:t>
      </w:r>
      <w:r w:rsidR="00F53B39">
        <w:t>with respect to</w:t>
      </w:r>
      <w:r w:rsidR="00610487">
        <w:t xml:space="preserve"> the exposure data</w:t>
      </w:r>
      <w:r w:rsidR="007722E7">
        <w:t xml:space="preserve"> (UK Biobank)</w:t>
      </w:r>
      <w:r w:rsidR="00610487">
        <w:t>.</w:t>
      </w:r>
    </w:p>
    <w:p w14:paraId="1AF4F8F8" w14:textId="02607304" w:rsidR="006A57E2" w:rsidRPr="00EF283B" w:rsidRDefault="006A57E2">
      <w:r w:rsidRPr="006A57E2">
        <w:rPr>
          <w:b/>
          <w:bCs/>
        </w:rPr>
        <w:t>Supplementary Table 2: Summary statistics for</w:t>
      </w:r>
      <w:r w:rsidR="00A854F3">
        <w:rPr>
          <w:b/>
          <w:bCs/>
        </w:rPr>
        <w:t xml:space="preserve"> SNP</w:t>
      </w:r>
      <w:r w:rsidRPr="006A57E2">
        <w:rPr>
          <w:b/>
          <w:bCs/>
        </w:rPr>
        <w:t xml:space="preserve"> instruments prior to harmonization.  </w:t>
      </w:r>
      <w:r w:rsidR="00EF283B">
        <w:t>Post-harmonization summary statistics are provided in Table 1</w:t>
      </w:r>
    </w:p>
    <w:p w14:paraId="3D3C6CCB" w14:textId="530FD9CF" w:rsidR="002B35C8" w:rsidRDefault="002B35C8"/>
    <w:sectPr w:rsidR="002B35C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e Bridges" w:date="2025-10-19T09:46:00Z" w:initials="DB">
    <w:p w14:paraId="58E8312F" w14:textId="77777777" w:rsidR="008274E7" w:rsidRDefault="008274E7" w:rsidP="008274E7">
      <w:r>
        <w:rPr>
          <w:rStyle w:val="CommentReference"/>
        </w:rPr>
        <w:annotationRef/>
      </w:r>
      <w:r>
        <w:rPr>
          <w:sz w:val="20"/>
          <w:szCs w:val="20"/>
        </w:rPr>
        <w:t>Needs units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E831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604B3E" w16cex:dateUtc="2025-10-19T1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E8312F" w16cid:durableId="3F604B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D0A90"/>
    <w:multiLevelType w:val="hybridMultilevel"/>
    <w:tmpl w:val="D59AE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79378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e Bridges">
    <w15:presenceInfo w15:providerId="None" w15:userId="Dave Bridg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5E6"/>
    <w:rsid w:val="00001178"/>
    <w:rsid w:val="00011DCF"/>
    <w:rsid w:val="00013D09"/>
    <w:rsid w:val="000211F7"/>
    <w:rsid w:val="00050E3C"/>
    <w:rsid w:val="0006637A"/>
    <w:rsid w:val="00067487"/>
    <w:rsid w:val="000725D7"/>
    <w:rsid w:val="00072D8C"/>
    <w:rsid w:val="00084F1C"/>
    <w:rsid w:val="0008602F"/>
    <w:rsid w:val="00087B01"/>
    <w:rsid w:val="00091D69"/>
    <w:rsid w:val="0009550C"/>
    <w:rsid w:val="00095F97"/>
    <w:rsid w:val="000A3109"/>
    <w:rsid w:val="000A32E7"/>
    <w:rsid w:val="000B5661"/>
    <w:rsid w:val="000C7A6D"/>
    <w:rsid w:val="000D0655"/>
    <w:rsid w:val="000D3297"/>
    <w:rsid w:val="000D6A57"/>
    <w:rsid w:val="000E1126"/>
    <w:rsid w:val="000E114C"/>
    <w:rsid w:val="000E3BFB"/>
    <w:rsid w:val="000E431E"/>
    <w:rsid w:val="001070FE"/>
    <w:rsid w:val="00111879"/>
    <w:rsid w:val="00115D9B"/>
    <w:rsid w:val="00117948"/>
    <w:rsid w:val="00121C5B"/>
    <w:rsid w:val="00141C21"/>
    <w:rsid w:val="00146173"/>
    <w:rsid w:val="0015153C"/>
    <w:rsid w:val="001515AD"/>
    <w:rsid w:val="00157115"/>
    <w:rsid w:val="00162FEC"/>
    <w:rsid w:val="00165647"/>
    <w:rsid w:val="001C1657"/>
    <w:rsid w:val="001C5750"/>
    <w:rsid w:val="001C657B"/>
    <w:rsid w:val="001D2B81"/>
    <w:rsid w:val="001D4725"/>
    <w:rsid w:val="001E1D57"/>
    <w:rsid w:val="001E3F4F"/>
    <w:rsid w:val="001E5F79"/>
    <w:rsid w:val="001F149F"/>
    <w:rsid w:val="001F20D2"/>
    <w:rsid w:val="001F2A30"/>
    <w:rsid w:val="001F2B27"/>
    <w:rsid w:val="001F3717"/>
    <w:rsid w:val="001F37CB"/>
    <w:rsid w:val="00211C64"/>
    <w:rsid w:val="002220E7"/>
    <w:rsid w:val="0022433B"/>
    <w:rsid w:val="002310F5"/>
    <w:rsid w:val="002322AB"/>
    <w:rsid w:val="00244F96"/>
    <w:rsid w:val="00250B3C"/>
    <w:rsid w:val="00251095"/>
    <w:rsid w:val="00251B10"/>
    <w:rsid w:val="0025516C"/>
    <w:rsid w:val="00257105"/>
    <w:rsid w:val="00263D7A"/>
    <w:rsid w:val="0026580A"/>
    <w:rsid w:val="0028006B"/>
    <w:rsid w:val="002820CC"/>
    <w:rsid w:val="002827EA"/>
    <w:rsid w:val="00283D08"/>
    <w:rsid w:val="00290744"/>
    <w:rsid w:val="00293D99"/>
    <w:rsid w:val="002964F2"/>
    <w:rsid w:val="002A005D"/>
    <w:rsid w:val="002B3436"/>
    <w:rsid w:val="002B35C8"/>
    <w:rsid w:val="002C45CD"/>
    <w:rsid w:val="002D19E7"/>
    <w:rsid w:val="002D2E10"/>
    <w:rsid w:val="002D4286"/>
    <w:rsid w:val="002D4F83"/>
    <w:rsid w:val="002E0DA6"/>
    <w:rsid w:val="002E3F3F"/>
    <w:rsid w:val="002E3FE2"/>
    <w:rsid w:val="002E557E"/>
    <w:rsid w:val="002F3DB8"/>
    <w:rsid w:val="002F563D"/>
    <w:rsid w:val="00300DA1"/>
    <w:rsid w:val="00327582"/>
    <w:rsid w:val="00330AF2"/>
    <w:rsid w:val="003376C5"/>
    <w:rsid w:val="00347044"/>
    <w:rsid w:val="00357A9C"/>
    <w:rsid w:val="00357D5C"/>
    <w:rsid w:val="00364B2E"/>
    <w:rsid w:val="00366F5C"/>
    <w:rsid w:val="003734AC"/>
    <w:rsid w:val="00382FE3"/>
    <w:rsid w:val="00385D8D"/>
    <w:rsid w:val="00392C7F"/>
    <w:rsid w:val="00392FE2"/>
    <w:rsid w:val="00395991"/>
    <w:rsid w:val="00397C62"/>
    <w:rsid w:val="003A12D2"/>
    <w:rsid w:val="003B3419"/>
    <w:rsid w:val="003B74B2"/>
    <w:rsid w:val="003C031C"/>
    <w:rsid w:val="003C0A11"/>
    <w:rsid w:val="003D16DC"/>
    <w:rsid w:val="003E1BBD"/>
    <w:rsid w:val="003E5857"/>
    <w:rsid w:val="003F09D7"/>
    <w:rsid w:val="003F6B95"/>
    <w:rsid w:val="003F6EB0"/>
    <w:rsid w:val="00406C2E"/>
    <w:rsid w:val="00420202"/>
    <w:rsid w:val="00421B63"/>
    <w:rsid w:val="00461C78"/>
    <w:rsid w:val="00462BF2"/>
    <w:rsid w:val="00465D5F"/>
    <w:rsid w:val="004709DD"/>
    <w:rsid w:val="00473DFB"/>
    <w:rsid w:val="004777E7"/>
    <w:rsid w:val="00484144"/>
    <w:rsid w:val="00484410"/>
    <w:rsid w:val="00487DB8"/>
    <w:rsid w:val="00491DC5"/>
    <w:rsid w:val="004A23A7"/>
    <w:rsid w:val="004B19B0"/>
    <w:rsid w:val="004C095B"/>
    <w:rsid w:val="004C2F28"/>
    <w:rsid w:val="004C6219"/>
    <w:rsid w:val="004D346F"/>
    <w:rsid w:val="004E3BB2"/>
    <w:rsid w:val="004E4264"/>
    <w:rsid w:val="004F6EB4"/>
    <w:rsid w:val="0050389F"/>
    <w:rsid w:val="00506077"/>
    <w:rsid w:val="005100C2"/>
    <w:rsid w:val="005123D2"/>
    <w:rsid w:val="00512484"/>
    <w:rsid w:val="00513628"/>
    <w:rsid w:val="005175C1"/>
    <w:rsid w:val="00523070"/>
    <w:rsid w:val="00523E8E"/>
    <w:rsid w:val="005245FA"/>
    <w:rsid w:val="00527731"/>
    <w:rsid w:val="00531147"/>
    <w:rsid w:val="00532FC4"/>
    <w:rsid w:val="00535314"/>
    <w:rsid w:val="00537BCF"/>
    <w:rsid w:val="00544AC6"/>
    <w:rsid w:val="00556C78"/>
    <w:rsid w:val="00576DB5"/>
    <w:rsid w:val="005821FA"/>
    <w:rsid w:val="00587FF2"/>
    <w:rsid w:val="00590023"/>
    <w:rsid w:val="00590933"/>
    <w:rsid w:val="005A7782"/>
    <w:rsid w:val="005B517E"/>
    <w:rsid w:val="005B5A17"/>
    <w:rsid w:val="005C51F7"/>
    <w:rsid w:val="005C6416"/>
    <w:rsid w:val="005C770F"/>
    <w:rsid w:val="005D20D7"/>
    <w:rsid w:val="005D2153"/>
    <w:rsid w:val="005E1842"/>
    <w:rsid w:val="005E1BF2"/>
    <w:rsid w:val="005E5E64"/>
    <w:rsid w:val="005E6696"/>
    <w:rsid w:val="005F2A7E"/>
    <w:rsid w:val="00607605"/>
    <w:rsid w:val="00610487"/>
    <w:rsid w:val="00610F74"/>
    <w:rsid w:val="006134CF"/>
    <w:rsid w:val="0061406A"/>
    <w:rsid w:val="00623FB0"/>
    <w:rsid w:val="00624300"/>
    <w:rsid w:val="00624349"/>
    <w:rsid w:val="0062674E"/>
    <w:rsid w:val="006302AB"/>
    <w:rsid w:val="00630F22"/>
    <w:rsid w:val="00637BDD"/>
    <w:rsid w:val="006474D9"/>
    <w:rsid w:val="006532F6"/>
    <w:rsid w:val="0067322A"/>
    <w:rsid w:val="00676B8E"/>
    <w:rsid w:val="00690A4D"/>
    <w:rsid w:val="0069411B"/>
    <w:rsid w:val="00697760"/>
    <w:rsid w:val="006A5207"/>
    <w:rsid w:val="006A5655"/>
    <w:rsid w:val="006A57E2"/>
    <w:rsid w:val="006B660D"/>
    <w:rsid w:val="006C0229"/>
    <w:rsid w:val="006C0FB6"/>
    <w:rsid w:val="006C3DBD"/>
    <w:rsid w:val="006D3471"/>
    <w:rsid w:val="006D491E"/>
    <w:rsid w:val="006D6F09"/>
    <w:rsid w:val="006E3BB1"/>
    <w:rsid w:val="006E63C3"/>
    <w:rsid w:val="006F63F4"/>
    <w:rsid w:val="006F745F"/>
    <w:rsid w:val="00701106"/>
    <w:rsid w:val="007067B2"/>
    <w:rsid w:val="00707168"/>
    <w:rsid w:val="00710EE5"/>
    <w:rsid w:val="007277E3"/>
    <w:rsid w:val="00745F22"/>
    <w:rsid w:val="007513E1"/>
    <w:rsid w:val="0075342D"/>
    <w:rsid w:val="007563ED"/>
    <w:rsid w:val="00757F8B"/>
    <w:rsid w:val="00760470"/>
    <w:rsid w:val="00762DC2"/>
    <w:rsid w:val="00766990"/>
    <w:rsid w:val="0076763C"/>
    <w:rsid w:val="007722E7"/>
    <w:rsid w:val="0077268E"/>
    <w:rsid w:val="007762DE"/>
    <w:rsid w:val="007778CD"/>
    <w:rsid w:val="0078085F"/>
    <w:rsid w:val="00796C46"/>
    <w:rsid w:val="007A380F"/>
    <w:rsid w:val="007A3FE5"/>
    <w:rsid w:val="007A68CC"/>
    <w:rsid w:val="007B483A"/>
    <w:rsid w:val="007C359B"/>
    <w:rsid w:val="007C7FAA"/>
    <w:rsid w:val="007D3CC9"/>
    <w:rsid w:val="007F1332"/>
    <w:rsid w:val="007F7E35"/>
    <w:rsid w:val="008002BF"/>
    <w:rsid w:val="00806E4C"/>
    <w:rsid w:val="008102CE"/>
    <w:rsid w:val="00813302"/>
    <w:rsid w:val="008174BE"/>
    <w:rsid w:val="00823B54"/>
    <w:rsid w:val="00824978"/>
    <w:rsid w:val="008263E3"/>
    <w:rsid w:val="008274E7"/>
    <w:rsid w:val="00833E08"/>
    <w:rsid w:val="008461E9"/>
    <w:rsid w:val="00856B5B"/>
    <w:rsid w:val="00862CD1"/>
    <w:rsid w:val="0087149B"/>
    <w:rsid w:val="00871606"/>
    <w:rsid w:val="00871AD9"/>
    <w:rsid w:val="00873E8C"/>
    <w:rsid w:val="00877754"/>
    <w:rsid w:val="008778C4"/>
    <w:rsid w:val="0088544C"/>
    <w:rsid w:val="008A2BDA"/>
    <w:rsid w:val="008A349D"/>
    <w:rsid w:val="008A46E9"/>
    <w:rsid w:val="008C3302"/>
    <w:rsid w:val="008C6483"/>
    <w:rsid w:val="008E002E"/>
    <w:rsid w:val="008E0C96"/>
    <w:rsid w:val="008E3845"/>
    <w:rsid w:val="008F4A4D"/>
    <w:rsid w:val="008F5172"/>
    <w:rsid w:val="008F5461"/>
    <w:rsid w:val="008F74D5"/>
    <w:rsid w:val="009030CE"/>
    <w:rsid w:val="00906A0F"/>
    <w:rsid w:val="00907AA6"/>
    <w:rsid w:val="00926BC0"/>
    <w:rsid w:val="00945DFB"/>
    <w:rsid w:val="009476BC"/>
    <w:rsid w:val="0095035A"/>
    <w:rsid w:val="00951FF9"/>
    <w:rsid w:val="0095308E"/>
    <w:rsid w:val="00953D98"/>
    <w:rsid w:val="0095434B"/>
    <w:rsid w:val="00967922"/>
    <w:rsid w:val="0097297D"/>
    <w:rsid w:val="00973DF3"/>
    <w:rsid w:val="0097647B"/>
    <w:rsid w:val="00976AD7"/>
    <w:rsid w:val="00980D41"/>
    <w:rsid w:val="00990A8A"/>
    <w:rsid w:val="00992B19"/>
    <w:rsid w:val="0099707F"/>
    <w:rsid w:val="009A1E34"/>
    <w:rsid w:val="009A5656"/>
    <w:rsid w:val="009B3059"/>
    <w:rsid w:val="009B7D61"/>
    <w:rsid w:val="009D20E5"/>
    <w:rsid w:val="009D5C66"/>
    <w:rsid w:val="009D7F38"/>
    <w:rsid w:val="009E34EA"/>
    <w:rsid w:val="009E4E77"/>
    <w:rsid w:val="009F2F1E"/>
    <w:rsid w:val="00A01365"/>
    <w:rsid w:val="00A066E7"/>
    <w:rsid w:val="00A12A68"/>
    <w:rsid w:val="00A2097B"/>
    <w:rsid w:val="00A213E8"/>
    <w:rsid w:val="00A30264"/>
    <w:rsid w:val="00A36B6F"/>
    <w:rsid w:val="00A4251B"/>
    <w:rsid w:val="00A458DF"/>
    <w:rsid w:val="00A55A54"/>
    <w:rsid w:val="00A67A5F"/>
    <w:rsid w:val="00A72D3E"/>
    <w:rsid w:val="00A763AC"/>
    <w:rsid w:val="00A854F3"/>
    <w:rsid w:val="00A95A18"/>
    <w:rsid w:val="00A9666F"/>
    <w:rsid w:val="00AA5F56"/>
    <w:rsid w:val="00AA6407"/>
    <w:rsid w:val="00AC5992"/>
    <w:rsid w:val="00AD24F0"/>
    <w:rsid w:val="00AD3EA3"/>
    <w:rsid w:val="00AE265B"/>
    <w:rsid w:val="00AE3366"/>
    <w:rsid w:val="00AE722C"/>
    <w:rsid w:val="00AE7A00"/>
    <w:rsid w:val="00AF7C3C"/>
    <w:rsid w:val="00B120BC"/>
    <w:rsid w:val="00B1299C"/>
    <w:rsid w:val="00B13840"/>
    <w:rsid w:val="00B13E52"/>
    <w:rsid w:val="00B25EBD"/>
    <w:rsid w:val="00B2640E"/>
    <w:rsid w:val="00B32E48"/>
    <w:rsid w:val="00B3420F"/>
    <w:rsid w:val="00B46D8E"/>
    <w:rsid w:val="00B5317F"/>
    <w:rsid w:val="00B61D00"/>
    <w:rsid w:val="00B7621D"/>
    <w:rsid w:val="00B77FB8"/>
    <w:rsid w:val="00B82286"/>
    <w:rsid w:val="00B83F54"/>
    <w:rsid w:val="00B87D3D"/>
    <w:rsid w:val="00B917E0"/>
    <w:rsid w:val="00B972C6"/>
    <w:rsid w:val="00BA1574"/>
    <w:rsid w:val="00BA26CD"/>
    <w:rsid w:val="00BB142D"/>
    <w:rsid w:val="00BC224B"/>
    <w:rsid w:val="00BE2AAF"/>
    <w:rsid w:val="00BE54CA"/>
    <w:rsid w:val="00BE5F89"/>
    <w:rsid w:val="00BF144E"/>
    <w:rsid w:val="00BF48EC"/>
    <w:rsid w:val="00BF6701"/>
    <w:rsid w:val="00C120C9"/>
    <w:rsid w:val="00C16149"/>
    <w:rsid w:val="00C17174"/>
    <w:rsid w:val="00C17BC9"/>
    <w:rsid w:val="00C363FB"/>
    <w:rsid w:val="00C366BF"/>
    <w:rsid w:val="00C452F2"/>
    <w:rsid w:val="00C463BB"/>
    <w:rsid w:val="00C47B8B"/>
    <w:rsid w:val="00C530B0"/>
    <w:rsid w:val="00C53982"/>
    <w:rsid w:val="00C56278"/>
    <w:rsid w:val="00C56731"/>
    <w:rsid w:val="00C6034C"/>
    <w:rsid w:val="00C60D56"/>
    <w:rsid w:val="00C6526C"/>
    <w:rsid w:val="00C71CFA"/>
    <w:rsid w:val="00C768F8"/>
    <w:rsid w:val="00C77D95"/>
    <w:rsid w:val="00C910F4"/>
    <w:rsid w:val="00CA30B0"/>
    <w:rsid w:val="00CA6AA1"/>
    <w:rsid w:val="00CB1DEF"/>
    <w:rsid w:val="00CB34F2"/>
    <w:rsid w:val="00CC022F"/>
    <w:rsid w:val="00CC183C"/>
    <w:rsid w:val="00CC7459"/>
    <w:rsid w:val="00CD04B1"/>
    <w:rsid w:val="00CD286D"/>
    <w:rsid w:val="00CD5385"/>
    <w:rsid w:val="00CD7E21"/>
    <w:rsid w:val="00CE39F7"/>
    <w:rsid w:val="00CE7389"/>
    <w:rsid w:val="00D004E7"/>
    <w:rsid w:val="00D04751"/>
    <w:rsid w:val="00D05C4D"/>
    <w:rsid w:val="00D06B2A"/>
    <w:rsid w:val="00D11E7C"/>
    <w:rsid w:val="00D21775"/>
    <w:rsid w:val="00D24A48"/>
    <w:rsid w:val="00D25FD9"/>
    <w:rsid w:val="00D26E8A"/>
    <w:rsid w:val="00D374A8"/>
    <w:rsid w:val="00D37846"/>
    <w:rsid w:val="00D42F34"/>
    <w:rsid w:val="00D47381"/>
    <w:rsid w:val="00D52FF1"/>
    <w:rsid w:val="00D54B93"/>
    <w:rsid w:val="00D61072"/>
    <w:rsid w:val="00D61241"/>
    <w:rsid w:val="00D6267F"/>
    <w:rsid w:val="00D63F7D"/>
    <w:rsid w:val="00D64C42"/>
    <w:rsid w:val="00D72666"/>
    <w:rsid w:val="00D74E0D"/>
    <w:rsid w:val="00D77C00"/>
    <w:rsid w:val="00D808B0"/>
    <w:rsid w:val="00D9027A"/>
    <w:rsid w:val="00D92D6A"/>
    <w:rsid w:val="00D92F6A"/>
    <w:rsid w:val="00D94528"/>
    <w:rsid w:val="00D94DFE"/>
    <w:rsid w:val="00DA5579"/>
    <w:rsid w:val="00DB1E56"/>
    <w:rsid w:val="00DB7C86"/>
    <w:rsid w:val="00DC6771"/>
    <w:rsid w:val="00DC6EFA"/>
    <w:rsid w:val="00DC7DB2"/>
    <w:rsid w:val="00DE29C9"/>
    <w:rsid w:val="00DE3FF2"/>
    <w:rsid w:val="00DE6AEE"/>
    <w:rsid w:val="00E0079E"/>
    <w:rsid w:val="00E00F5E"/>
    <w:rsid w:val="00E17F7E"/>
    <w:rsid w:val="00E26C14"/>
    <w:rsid w:val="00E37E42"/>
    <w:rsid w:val="00E45277"/>
    <w:rsid w:val="00E46FD8"/>
    <w:rsid w:val="00E539D6"/>
    <w:rsid w:val="00E63B8D"/>
    <w:rsid w:val="00E644BF"/>
    <w:rsid w:val="00E916A3"/>
    <w:rsid w:val="00EA6CE9"/>
    <w:rsid w:val="00ED1443"/>
    <w:rsid w:val="00EE4FAC"/>
    <w:rsid w:val="00EF05E6"/>
    <w:rsid w:val="00EF21C3"/>
    <w:rsid w:val="00EF283B"/>
    <w:rsid w:val="00F00934"/>
    <w:rsid w:val="00F01EE3"/>
    <w:rsid w:val="00F02252"/>
    <w:rsid w:val="00F051E9"/>
    <w:rsid w:val="00F12188"/>
    <w:rsid w:val="00F153C5"/>
    <w:rsid w:val="00F247B6"/>
    <w:rsid w:val="00F3431B"/>
    <w:rsid w:val="00F41EEB"/>
    <w:rsid w:val="00F44630"/>
    <w:rsid w:val="00F53B39"/>
    <w:rsid w:val="00F541B2"/>
    <w:rsid w:val="00F603A0"/>
    <w:rsid w:val="00F67CDF"/>
    <w:rsid w:val="00F81C7E"/>
    <w:rsid w:val="00F823CE"/>
    <w:rsid w:val="00F93FE3"/>
    <w:rsid w:val="00F95B9E"/>
    <w:rsid w:val="00F97358"/>
    <w:rsid w:val="00FA10DA"/>
    <w:rsid w:val="00FB04DA"/>
    <w:rsid w:val="00FB3A40"/>
    <w:rsid w:val="00FC0A4C"/>
    <w:rsid w:val="00FC7A07"/>
    <w:rsid w:val="00FD2498"/>
    <w:rsid w:val="00FE66FA"/>
    <w:rsid w:val="00FF1D3C"/>
    <w:rsid w:val="00FF3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077337"/>
  <w15:chartTrackingRefBased/>
  <w15:docId w15:val="{9169ADE7-4706-4E44-97D7-8FA7E2076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0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0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5E6"/>
    <w:rPr>
      <w:rFonts w:eastAsiaTheme="majorEastAsia" w:cstheme="majorBidi"/>
      <w:color w:val="272727" w:themeColor="text1" w:themeTint="D8"/>
    </w:rPr>
  </w:style>
  <w:style w:type="paragraph" w:styleId="Title">
    <w:name w:val="Title"/>
    <w:basedOn w:val="Normal"/>
    <w:next w:val="Normal"/>
    <w:link w:val="TitleChar"/>
    <w:uiPriority w:val="10"/>
    <w:qFormat/>
    <w:rsid w:val="00EF0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5E6"/>
    <w:pPr>
      <w:spacing w:before="160"/>
      <w:jc w:val="center"/>
    </w:pPr>
    <w:rPr>
      <w:i/>
      <w:iCs/>
      <w:color w:val="404040" w:themeColor="text1" w:themeTint="BF"/>
    </w:rPr>
  </w:style>
  <w:style w:type="character" w:customStyle="1" w:styleId="QuoteChar">
    <w:name w:val="Quote Char"/>
    <w:basedOn w:val="DefaultParagraphFont"/>
    <w:link w:val="Quote"/>
    <w:uiPriority w:val="29"/>
    <w:rsid w:val="00EF05E6"/>
    <w:rPr>
      <w:i/>
      <w:iCs/>
      <w:color w:val="404040" w:themeColor="text1" w:themeTint="BF"/>
    </w:rPr>
  </w:style>
  <w:style w:type="paragraph" w:styleId="ListParagraph">
    <w:name w:val="List Paragraph"/>
    <w:basedOn w:val="Normal"/>
    <w:uiPriority w:val="34"/>
    <w:qFormat/>
    <w:rsid w:val="00EF05E6"/>
    <w:pPr>
      <w:ind w:left="720"/>
      <w:contextualSpacing/>
    </w:pPr>
  </w:style>
  <w:style w:type="character" w:styleId="IntenseEmphasis">
    <w:name w:val="Intense Emphasis"/>
    <w:basedOn w:val="DefaultParagraphFont"/>
    <w:uiPriority w:val="21"/>
    <w:qFormat/>
    <w:rsid w:val="00EF05E6"/>
    <w:rPr>
      <w:i/>
      <w:iCs/>
      <w:color w:val="0F4761" w:themeColor="accent1" w:themeShade="BF"/>
    </w:rPr>
  </w:style>
  <w:style w:type="paragraph" w:styleId="IntenseQuote">
    <w:name w:val="Intense Quote"/>
    <w:basedOn w:val="Normal"/>
    <w:next w:val="Normal"/>
    <w:link w:val="IntenseQuoteChar"/>
    <w:uiPriority w:val="30"/>
    <w:qFormat/>
    <w:rsid w:val="00EF0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5E6"/>
    <w:rPr>
      <w:i/>
      <w:iCs/>
      <w:color w:val="0F4761" w:themeColor="accent1" w:themeShade="BF"/>
    </w:rPr>
  </w:style>
  <w:style w:type="character" w:styleId="IntenseReference">
    <w:name w:val="Intense Reference"/>
    <w:basedOn w:val="DefaultParagraphFont"/>
    <w:uiPriority w:val="32"/>
    <w:qFormat/>
    <w:rsid w:val="00EF05E6"/>
    <w:rPr>
      <w:b/>
      <w:bCs/>
      <w:smallCaps/>
      <w:color w:val="0F4761" w:themeColor="accent1" w:themeShade="BF"/>
      <w:spacing w:val="5"/>
    </w:rPr>
  </w:style>
  <w:style w:type="paragraph" w:styleId="Bibliography">
    <w:name w:val="Bibliography"/>
    <w:basedOn w:val="Normal"/>
    <w:next w:val="Normal"/>
    <w:uiPriority w:val="37"/>
    <w:unhideWhenUsed/>
    <w:rsid w:val="00B3420F"/>
    <w:pPr>
      <w:tabs>
        <w:tab w:val="left" w:pos="380"/>
      </w:tabs>
      <w:spacing w:after="0" w:line="240" w:lineRule="auto"/>
      <w:ind w:left="384" w:hanging="384"/>
    </w:pPr>
  </w:style>
  <w:style w:type="character" w:styleId="CommentReference">
    <w:name w:val="annotation reference"/>
    <w:basedOn w:val="DefaultParagraphFont"/>
    <w:uiPriority w:val="99"/>
    <w:semiHidden/>
    <w:unhideWhenUsed/>
    <w:rsid w:val="006B660D"/>
    <w:rPr>
      <w:sz w:val="16"/>
      <w:szCs w:val="16"/>
    </w:rPr>
  </w:style>
  <w:style w:type="paragraph" w:styleId="CommentText">
    <w:name w:val="annotation text"/>
    <w:basedOn w:val="Normal"/>
    <w:link w:val="CommentTextChar"/>
    <w:uiPriority w:val="99"/>
    <w:semiHidden/>
    <w:unhideWhenUsed/>
    <w:rsid w:val="006B660D"/>
    <w:pPr>
      <w:spacing w:line="240" w:lineRule="auto"/>
    </w:pPr>
    <w:rPr>
      <w:sz w:val="20"/>
      <w:szCs w:val="20"/>
    </w:rPr>
  </w:style>
  <w:style w:type="character" w:customStyle="1" w:styleId="CommentTextChar">
    <w:name w:val="Comment Text Char"/>
    <w:basedOn w:val="DefaultParagraphFont"/>
    <w:link w:val="CommentText"/>
    <w:uiPriority w:val="99"/>
    <w:semiHidden/>
    <w:rsid w:val="006B660D"/>
    <w:rPr>
      <w:sz w:val="20"/>
      <w:szCs w:val="20"/>
    </w:rPr>
  </w:style>
  <w:style w:type="paragraph" w:styleId="CommentSubject">
    <w:name w:val="annotation subject"/>
    <w:basedOn w:val="CommentText"/>
    <w:next w:val="CommentText"/>
    <w:link w:val="CommentSubjectChar"/>
    <w:uiPriority w:val="99"/>
    <w:semiHidden/>
    <w:unhideWhenUsed/>
    <w:rsid w:val="006B660D"/>
    <w:rPr>
      <w:b/>
      <w:bCs/>
    </w:rPr>
  </w:style>
  <w:style w:type="character" w:customStyle="1" w:styleId="CommentSubjectChar">
    <w:name w:val="Comment Subject Char"/>
    <w:basedOn w:val="CommentTextChar"/>
    <w:link w:val="CommentSubject"/>
    <w:uiPriority w:val="99"/>
    <w:semiHidden/>
    <w:rsid w:val="006B660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8</Pages>
  <Words>9522</Words>
  <Characters>54278</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Bridges</dc:creator>
  <cp:keywords/>
  <dc:description/>
  <cp:lastModifiedBy>Dave Bridges</cp:lastModifiedBy>
  <cp:revision>117</cp:revision>
  <dcterms:created xsi:type="dcterms:W3CDTF">2025-10-10T14:20:00Z</dcterms:created>
  <dcterms:modified xsi:type="dcterms:W3CDTF">2025-11-26T15:41:00Z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id="m1XgCDqx"/&gt;&lt;style id="http://www.zotero.org/styles/nutrients" hasBibliography="1" bibliographyStyleHasBeenSet="1"/&gt;&lt;prefs&gt;&lt;pref name="fieldType" value="Field"/&gt;&lt;pref name="automaticJournalAbbrevi</vt:lpwstr>
  </property>
  <property fmtid="{D5CDD505-2E9C-101B-9397-08002B2CF9AE}" pid="3" name="ZOTERO_PREF_2">
    <vt:lpwstr>ations" value="true"/&gt;&lt;/prefs&gt;&lt;/data&gt;</vt:lpwstr>
  </property>
</Properties>
</file>