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50BB6BE6"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08C60E30"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57454D">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57454D">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49FEE8E"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57454D">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adolescent weight </w:t>
      </w:r>
      <w:r w:rsidR="00865166">
        <w:fldChar w:fldCharType="begin" w:fldLock="1"/>
      </w:r>
      <w:r w:rsidR="0057454D">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"[5]" }, "properties" : { "noteIndex" : 0 }, "schema" : "https://github.com/citation-style-language/schema/raw/master/csl-citation.json" }</w:instrText>
      </w:r>
      <w:r w:rsidR="00865166">
        <w:fldChar w:fldCharType="separate"/>
      </w:r>
      <w:r w:rsidR="004157E4" w:rsidRPr="004157E4">
        <w:rPr>
          <w:noProof/>
        </w:rPr>
        <w:t>[5]</w:t>
      </w:r>
      <w:r w:rsidR="00865166">
        <w:fldChar w:fldCharType="end"/>
      </w:r>
      <w:r w:rsidR="004157E4">
        <w:t>,</w:t>
      </w:r>
      <w:r w:rsidR="00865166">
        <w:t xml:space="preserve"> </w:t>
      </w:r>
      <w:r w:rsidR="004157E4">
        <w:t xml:space="preserve">leptin </w:t>
      </w:r>
      <w:r w:rsidR="004157E4">
        <w:fldChar w:fldCharType="begin" w:fldLock="1"/>
      </w:r>
      <w:r w:rsidR="0057454D">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"[6, 7]" }, "properties" : { "noteIndex" : 0 }, "schema" : "https://github.com/citation-style-language/schema/raw/master/csl-citation.json" }</w:instrText>
      </w:r>
      <w:r w:rsidR="004157E4">
        <w:fldChar w:fldCharType="separate"/>
      </w:r>
      <w:r w:rsidR="004157E4" w:rsidRPr="004157E4">
        <w:rPr>
          <w:noProof/>
        </w:rPr>
        <w:t>[6, 7]</w:t>
      </w:r>
      <w:r w:rsidR="004157E4">
        <w:fldChar w:fldCharType="end"/>
      </w:r>
      <w:r w:rsidR="004157E4">
        <w:t xml:space="preserve">, </w:t>
      </w:r>
      <w:r w:rsidR="00865166">
        <w:t xml:space="preserve">and binge eating </w:t>
      </w:r>
      <w:r w:rsidR="00B12DDE">
        <w:fldChar w:fldCharType="begin" w:fldLock="1"/>
      </w:r>
      <w:r w:rsidR="0057454D">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"[5, 8]" }, "properties" : { "noteIndex" : 0 }, "schema" : "https://github.com/citation-style-language/schema/raw/master/csl-citation.json" }</w:instrText>
      </w:r>
      <w:r w:rsidR="00B12DDE">
        <w:fldChar w:fldCharType="separate"/>
      </w:r>
      <w:r w:rsidR="004157E4" w:rsidRPr="004157E4">
        <w:rPr>
          <w:noProof/>
        </w:rPr>
        <w:t>[5,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5D902CBB" w14:textId="62B51F3B" w:rsidR="0057454D"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57454D">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w:t>
      </w:r>
      <w:r w:rsidR="00C47379">
        <w:lastRenderedPageBreak/>
        <w:t xml:space="preserve">study identified variable responses to weight gain in inbred C57BL/6J mice and suggested that this was established early in life, shortly after weaning </w:t>
      </w:r>
      <w:r w:rsidR="00C47379">
        <w:fldChar w:fldCharType="begin" w:fldLock="1"/>
      </w:r>
      <w:r w:rsidR="0057454D">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C47379">
        <w:t xml:space="preserve">.  </w:t>
      </w:r>
      <w:r w:rsidR="0057454D">
        <w:t xml:space="preserve"> Previously, </w:t>
      </w:r>
      <w:r w:rsidR="00133D74">
        <w:t xml:space="preserve">studies on </w:t>
      </w:r>
      <w:r w:rsidR="0057454D">
        <w:t>rodent mo</w:t>
      </w:r>
      <w:r w:rsidR="00133D74">
        <w:t>dels of diet-induced obesity have</w:t>
      </w:r>
      <w:r w:rsidR="0057454D">
        <w:t xml:space="preserve"> described a set point in which animals defend their homeostatic body weight </w:t>
      </w:r>
      <w:r w:rsidR="0057454D">
        <w:fldChar w:fldCharType="begin" w:fldLock="1"/>
      </w:r>
      <w:r w:rsidR="0057454D">
        <w:instrText>ADDIN CSL_CITATION { "citationItems" : [ { "id" : "ITEM-1", "itemData" : { "ISSN" : "0002-9513", "PMID" : "9486299", "abstract" : "Among outbred Sprague-Dawley rats, approximately one-half develop diet-induced obesity (DIO) and one-half are diet resistant (DR) on a diet relatively high in fat and energy content (HE diet). Here we examined the defense of body weight in these two phenotypes. After HE diet for 13 wk, followed by chow for 6 wk, DR rats gained weight comparably but their plasma leptin levels fell to 54% of chow-fed controls. When a palatable liquid diet (Ensure) was added for 13 wk, other DR rats became obese. But when switched to chow, their intakes fell by 60%, and body and retroperitoneal (RP) fat pad weights and plasma leptin and insulin levels all declined for 2 wk and then stabilized at control levels after 6 wk. In contrast, comparably obese DIO rats decreased their intake by only 20%, and their weights plateaued when they were switched to chow after 13 wk on HE diet. When a subgroup of these DIO rats was restricted to 60% of prior intake, their weights fell to chow-fed control levels over 2 wk. But their leptin and insulin levels both fell disproportionately to 30% of controls. When no longer restricted, their intake and feed efficiency rose immediately, and their body and RP pad weights and leptin and insulin levels rose to those of unrestricted DIO rats within 2 wk. Thus diet and genetic background interact to establish high (DIO) or low (DR) body weight set points, which are then defended against subsequent changes in diet composition and/or energy availability. If leptin affects energy homeostasis, it does so differentially in DIO vs. DR rats since comparably low and high levels were associated with differing patterns of weight change between the two phenotypes.", "author" : [ { "dropping-particle" : "", "family" : "Levin", "given" : "B E", "non-dropping-particle" : "", "parse-names" : false, "suffix" : "" }, { "dropping-particle" : "", "family" : "Keesey", "given" : "R E", "non-dropping-particle" : "", "parse-names" : false, "suffix" : "" } ], "container-title" : "The American journal of physiology", "id" : "ITEM-1", "issue" : "2 Pt 2", "issued" : { "date-parts" : [ [ "1998", "3" ] ] }, "page" : "R412-9", "title" : "Defense of differing body weight set points in diet-induced obese and resistant rats.", "type" : "article-journal", "volume" : "274" }, "uris" : [ "http://www.mendeley.com/documents/?uuid=05ad3921-9e6d-43f5-90b6-0c3f6f81db6e" ] }, { "id" : "ITEM-2", "itemData" : { "ISSN" : "0363-6119", "PMID" : "10644644", "abstract" : "Half of Sprague-Dawley rats develop and defend diet-induced obesity (DIO) or diet resistance (DR) when fed a high-energy (HE) diet. Here, adult male rats were made DIO or DR after 10 wk on HE diet. Then half of each group was food restricted for 8 wk on chow to maintain their body weights at 90% of their respective baselines. Rate and magnitude of weight loss were comparable, but maintenance energy intake and the degree of sympathetic activity (24-h urine norepinephrine) inhibition were 17 and 29% lower, respectively, in restricted DR than DIO rats. Restricted DIO rats reduced adipose depot weights, plasma leptin, and insulin levels by 35%. Restricted DR rats reduced none of these. When fed ad libitum, both DR and DIO rats returned to the body weights of their respective chow-fed phenotype controls within 2 wk. This was associated with increased adipose mass and leptin and insulin levels only in DIO rats. Thus DR rats appear to alter primarily their lean body mass, whereas DIO rats primarily alter their adipose mass during chronic caloric restriction and refeeding.", "author" : [ { "dropping-particle" : "", "family" : "Levin", "given" : "B E", "non-dropping-particle" : "", "parse-names" : false, "suffix" : "" }, { "dropping-particle" : "", "family" : "Dunn-Meynell", "given" : "a a", "non-dropping-particle" : "", "parse-names" : false, "suffix" : "" } ], "container-title" : "American journal of physiology. Regulatory, integrative and comparative physiology", "id" : "ITEM-2", "issue" : "1", "issued" : { "date-parts" : [ [ "2000", "1" ] ] }, "page" : "R231-7", "title" : "Defense of body weight against chronic caloric restriction in obesity-prone and -resistant rats.", "type" : "article-journal", "volume" : "278" }, "uris" : [ "http://www.mendeley.com/documents/?uuid=3d95caae-6e17-459a-bfe8-5bca70a267d7" ] } ], "mendeley" : { "previouslyFormattedCitation" : "[14, 15]" }, "properties" : { "noteIndex" : 0 }, "schema" : "https://github.com/citation-style-language/schema/raw/master/csl-citation.json" }</w:instrText>
      </w:r>
      <w:r w:rsidR="0057454D">
        <w:fldChar w:fldCharType="separate"/>
      </w:r>
      <w:r w:rsidR="0057454D" w:rsidRPr="0057454D">
        <w:rPr>
          <w:noProof/>
        </w:rPr>
        <w:t>[14, 15]</w:t>
      </w:r>
      <w:r w:rsidR="0057454D">
        <w:fldChar w:fldCharType="end"/>
      </w:r>
      <w:r w:rsidR="0057454D">
        <w:t>.</w:t>
      </w:r>
      <w:r w:rsidR="00F10087">
        <w:t xml:space="preserve">  In this study we examine body weight defense, as measured by weight reductions </w:t>
      </w:r>
      <w:r w:rsidR="00133D74">
        <w:t>during fasting, to test whether set point maintenance correlates with weight gain.</w:t>
      </w:r>
      <w:bookmarkStart w:id="0" w:name="_GoBack"/>
      <w:bookmarkEnd w:id="0"/>
    </w:p>
    <w:p w14:paraId="46D73510" w14:textId="77777777" w:rsidR="0057454D" w:rsidRDefault="0057454D" w:rsidP="00235AFE">
      <w:pPr>
        <w:spacing w:line="480" w:lineRule="auto"/>
      </w:pPr>
    </w:p>
    <w:p w14:paraId="26A9E151" w14:textId="00A46449" w:rsidR="00A616F7" w:rsidRDefault="0057454D" w:rsidP="00235AFE">
      <w:pPr>
        <w:spacing w:line="480" w:lineRule="auto"/>
      </w:pPr>
      <w:r>
        <w:t xml:space="preserve">To test predictive variables that denote susceptibility </w:t>
      </w:r>
      <w:r w:rsidR="007C2473">
        <w:t xml:space="preserve">in an inbred mouse strain we performed diet and genetic induced obesity studies on inbred </w:t>
      </w:r>
      <w:r w:rsidR="00C963D4">
        <w:t>mice in animal facilities</w:t>
      </w:r>
      <w:r w:rsidR="007C2473">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 xml:space="preserve">we examined </w:t>
      </w:r>
      <w:proofErr w:type="gramStart"/>
      <w:r w:rsidR="002E070F">
        <w:t>both</w:t>
      </w:r>
      <w:proofErr w:type="gramEnd"/>
      <w:r w:rsidR="002E070F">
        <w:t xml:space="preserve"> changes in their physiology and prospective determinants of weight gain.</w:t>
      </w:r>
      <w:r>
        <w:t xml:space="preserve">  </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Teklad diet, and therefore these numbers are </w:t>
      </w:r>
      <w:r w:rsidR="00760733">
        <w:lastRenderedPageBreak/>
        <w:t xml:space="preserve">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w:t>
      </w:r>
      <w:r>
        <w:lastRenderedPageBreak/>
        <w:t xml:space="preserve">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3293E869" w:rsidR="00A708F6" w:rsidRDefault="00A708F6" w:rsidP="00235AFE">
      <w:pPr>
        <w:spacing w:line="480" w:lineRule="auto"/>
      </w:pPr>
      <w:r>
        <w:t>All statistical analyses were performed using R version 3</w:t>
      </w:r>
      <w:r w:rsidR="004D1AF6">
        <w:t>.1.0</w:t>
      </w:r>
      <w:r w:rsidR="00B96C88">
        <w:fldChar w:fldCharType="begin" w:fldLock="1"/>
      </w:r>
      <w:r w:rsidR="0057454D">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"[16]" }, "properties" : { "noteIndex" : 0 }, "schema" : "https://github.com/citation-style-language/schema/raw/master/csl-citation.json" }</w:instrText>
      </w:r>
      <w:r w:rsidR="00B96C88">
        <w:fldChar w:fldCharType="separate"/>
      </w:r>
      <w:r w:rsidR="0057454D" w:rsidRPr="0057454D">
        <w:rPr>
          <w:noProof/>
        </w:rPr>
        <w:t>[16]</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57454D">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"[17]" }, "properties" : { "noteIndex" : 0 }, "schema" : "https://github.com/citation-style-language/schema/raw/master/csl-citation.json" }</w:instrText>
      </w:r>
      <w:r w:rsidR="00B96C88">
        <w:fldChar w:fldCharType="separate"/>
      </w:r>
      <w:r w:rsidR="0057454D" w:rsidRPr="0057454D">
        <w:rPr>
          <w:noProof/>
        </w:rPr>
        <w:t>[17]</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w:t>
      </w:r>
      <w:r>
        <w:lastRenderedPageBreak/>
        <w:t xml:space="preserve">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57454D">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"[18]" }, "properties" : { "noteIndex" : 0 }, "schema" : "https://github.com/citation-style-language/schema/raw/master/csl-citation.json" }</w:instrText>
      </w:r>
      <w:r w:rsidR="00B96C88">
        <w:fldChar w:fldCharType="separate"/>
      </w:r>
      <w:r w:rsidR="0057454D" w:rsidRPr="0057454D">
        <w:rPr>
          <w:noProof/>
        </w:rPr>
        <w:t>[18]</w:t>
      </w:r>
      <w:r w:rsidR="00B96C88">
        <w:fldChar w:fldCharType="end"/>
      </w:r>
      <w:r>
        <w:t>).</w:t>
      </w:r>
    </w:p>
    <w:p w14:paraId="329D3DFA" w14:textId="77777777" w:rsidR="00A708F6" w:rsidRDefault="00A708F6" w:rsidP="00235AFE">
      <w:pPr>
        <w:spacing w:line="480" w:lineRule="auto"/>
      </w:pPr>
    </w:p>
    <w:p w14:paraId="02919AED" w14:textId="123C3104"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57454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B60E3C">
        <w:fldChar w:fldCharType="separate"/>
      </w:r>
      <w:r w:rsidR="0057454D" w:rsidRPr="0057454D">
        <w:rPr>
          <w:noProof/>
        </w:rPr>
        <w:t>[19]</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Kruskal-Wallis test, depending on whether the data were normally distributed (p&gt;0.05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lastRenderedPageBreak/>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04B1282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B7258">
        <w:lastRenderedPageBreak/>
        <w:t>(</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6BB81406"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57454D">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"[20, 21]" }, "properties" : { "noteIndex" : 0 }, "schema" : "https://github.com/citation-style-language/schema/raw/master/csl-citation.json" }</w:instrText>
      </w:r>
      <w:r w:rsidR="0019180D">
        <w:fldChar w:fldCharType="separate"/>
      </w:r>
      <w:r w:rsidR="0057454D" w:rsidRPr="0057454D">
        <w:rPr>
          <w:noProof/>
        </w:rPr>
        <w:t>[20, 21]</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57454D">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"[22\u201325]" }, "properties" : { "noteIndex" : 0 }, "schema" : "https://github.com/citation-style-language/schema/raw/master/csl-citation.json" }</w:instrText>
      </w:r>
      <w:r w:rsidR="00F5171A">
        <w:fldChar w:fldCharType="separate"/>
      </w:r>
      <w:r w:rsidR="0057454D" w:rsidRPr="0057454D">
        <w:rPr>
          <w:noProof/>
        </w:rPr>
        <w:t>[22–25]</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r>
        <w:t>Predictors of Weight Gain</w:t>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t>
      </w:r>
      <w:r w:rsidR="00A20612">
        <w:lastRenderedPageBreak/>
        <w:t>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proofErr w:type="gramStart"/>
      <w:r w:rsidR="0052115C">
        <w:t>diet induced</w:t>
      </w:r>
      <w:proofErr w:type="gramEnd"/>
      <w:r w:rsidR="0052115C">
        <w:t xml:space="preserve"> obesity</w:t>
      </w:r>
      <w:r>
        <w:t xml:space="preserve">. </w:t>
      </w:r>
      <w:r w:rsidR="00065CCA">
        <w:t xml:space="preserve">To do this, we deprived mice of food for 16h both before the dietary </w:t>
      </w:r>
      <w:r w:rsidR="00065CCA">
        <w:lastRenderedPageBreak/>
        <w:t xml:space="preserve">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w:t>
      </w:r>
      <w:r w:rsidR="005D6B00">
        <w:lastRenderedPageBreak/>
        <w:t xml:space="preserve">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40EB90B5" w:rsidR="00731EDF" w:rsidRPr="00351436" w:rsidRDefault="00351436" w:rsidP="00235AFE">
      <w:pPr>
        <w:spacing w:line="480" w:lineRule="auto"/>
      </w:pPr>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proofErr w:type="gramStart"/>
      <w:r w:rsidR="00C10601" w:rsidRPr="004C32E5">
        <w:rPr>
          <w:i/>
        </w:rPr>
        <w:t>ob</w:t>
      </w:r>
      <w:proofErr w:type="gramEnd"/>
      <w:r w:rsidR="00C10601" w:rsidRPr="004C32E5">
        <w:rPr>
          <w:i/>
        </w:rPr>
        <w:t xml:space="preserve">/ob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57454D">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"[26\u201329]" }, "properties" : { "noteIndex" : 0 }, "schema" : "https://github.com/citation-style-language/schema/raw/master/csl-citation.json" }</w:instrText>
      </w:r>
      <w:r w:rsidR="00C10601">
        <w:fldChar w:fldCharType="separate"/>
      </w:r>
      <w:r w:rsidR="0057454D" w:rsidRPr="0057454D">
        <w:rPr>
          <w:noProof/>
        </w:rPr>
        <w:t>[26–29]</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CE2BE9E"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 xml:space="preserve">exhibited </w:t>
      </w:r>
      <w:r w:rsidR="00537E56">
        <w:lastRenderedPageBreak/>
        <w:t>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0759CF">
        <w:t>37</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0759CF">
        <w:t>11</w:t>
      </w:r>
      <w:r w:rsidR="007C0CB5">
        <w:t>, p=0.0</w:t>
      </w:r>
      <w:r w:rsidR="000759CF">
        <w:t>54</w:t>
      </w:r>
      <w:r w:rsidR="00377740">
        <w:t>).</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1486C1E"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w:t>
      </w:r>
      <w:r w:rsidR="00422A30">
        <w:lastRenderedPageBreak/>
        <w:t>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57454D">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"[30]" }, "properties" : { "noteIndex" : 0 }, "schema" : "https://github.com/citation-style-language/schema/raw/master/csl-citation.json" }</w:instrText>
      </w:r>
      <w:r w:rsidR="00030090">
        <w:fldChar w:fldCharType="separate"/>
      </w:r>
      <w:r w:rsidR="0057454D" w:rsidRPr="0057454D">
        <w:rPr>
          <w:noProof/>
        </w:rPr>
        <w:t>[30]</w:t>
      </w:r>
      <w:r w:rsidR="00030090">
        <w:fldChar w:fldCharType="end"/>
      </w:r>
      <w:r w:rsidR="00C41921">
        <w:t>.</w:t>
      </w:r>
      <w:r w:rsidR="0066771A">
        <w:t xml:space="preserve">  </w:t>
      </w:r>
      <w:r w:rsidR="000759CF">
        <w:t xml:space="preserve">The </w:t>
      </w:r>
      <w:r w:rsidR="00DB25EF">
        <w:t xml:space="preserve">negative </w:t>
      </w:r>
      <w:r w:rsidR="000759CF">
        <w:t xml:space="preserve">relationship between fasting responses and weight gain is similar in magnitude to the </w:t>
      </w:r>
      <w:r w:rsidR="00DB25EF">
        <w:t xml:space="preserve">positive </w:t>
      </w:r>
      <w:r w:rsidR="000759CF">
        <w:t xml:space="preserve">relationship between absolute fat mass on HFD-induced weight gain in mice </w:t>
      </w:r>
      <w:r w:rsidR="000759CF">
        <w:fldChar w:fldCharType="begin" w:fldLock="1"/>
      </w:r>
      <w:r w:rsidR="0057454D">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"[12, 13]" }, "properties" : { "noteIndex" : 0 }, "schema" : "https://github.com/citation-style-language/schema/raw/master/csl-citation.json" }</w:instrText>
      </w:r>
      <w:r w:rsidR="000759CF">
        <w:fldChar w:fldCharType="separate"/>
      </w:r>
      <w:r w:rsidR="00077178" w:rsidRPr="00077178">
        <w:rPr>
          <w:noProof/>
        </w:rPr>
        <w:t>[12, 13]</w:t>
      </w:r>
      <w:r w:rsidR="000759CF">
        <w:fldChar w:fldCharType="end"/>
      </w:r>
      <w:r w:rsidR="000759CF">
        <w:t>. It</w:t>
      </w:r>
      <w:r w:rsidR="00DB25EF">
        <w:t xml:space="preserve"> is possible that </w:t>
      </w:r>
      <w:r w:rsidR="0016440D">
        <w:t>young mice that have larger fat stores</w:t>
      </w:r>
      <w:r w:rsidR="00DB25EF">
        <w:t xml:space="preserve"> are able to lose more weight in response to fasting than lean mice</w:t>
      </w:r>
      <w:r w:rsidR="0016440D">
        <w:t xml:space="preserve"> and that fasting responses and fat mass levels are related, both to teach other and to predicting weight gain during HFD feeding.</w:t>
      </w:r>
    </w:p>
    <w:p w14:paraId="2CD6D8DC" w14:textId="77777777" w:rsidR="00422A30" w:rsidRDefault="00422A30" w:rsidP="00235AFE">
      <w:pPr>
        <w:spacing w:line="480" w:lineRule="auto"/>
      </w:pPr>
    </w:p>
    <w:p w14:paraId="19588F4F" w14:textId="450EBA3E" w:rsidR="0023375D" w:rsidRDefault="00422A30" w:rsidP="00235AFE">
      <w:pPr>
        <w:spacing w:line="480" w:lineRule="auto"/>
      </w:pPr>
      <w:r>
        <w:t xml:space="preserve">This study does not </w:t>
      </w:r>
      <w:r w:rsidR="000A0B84">
        <w:t xml:space="preserve">attempt to address the underlying </w:t>
      </w:r>
      <w:r w:rsidR="0016440D">
        <w:t>molecular</w:t>
      </w:r>
      <w:r w:rsidR="001A39F5">
        <w:t xml:space="preserve"> </w:t>
      </w:r>
      <w:r w:rsidR="000A0B84">
        <w:t>mechanism</w:t>
      </w:r>
      <w:r w:rsidR="001A39F5">
        <w:t>s</w:t>
      </w:r>
      <w:r w:rsidR="000A0B84">
        <w:t xml:space="preserve"> for these </w:t>
      </w:r>
      <w:r w:rsidR="0016440D">
        <w:t>differences in fasting responses</w:t>
      </w:r>
      <w:r w:rsidR="000A0B84">
        <w:t xml:space="preserve">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57454D">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"[31, 32]" }, "properties" : { "noteIndex" : 0 }, "schema" : "https://github.com/citation-style-language/schema/raw/master/csl-citation.json" }</w:instrText>
      </w:r>
      <w:r w:rsidR="00030090">
        <w:fldChar w:fldCharType="separate"/>
      </w:r>
      <w:r w:rsidR="0057454D" w:rsidRPr="0057454D">
        <w:rPr>
          <w:noProof/>
        </w:rPr>
        <w:t>[31, 32]</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235AFE">
      <w:pPr>
        <w:spacing w:line="480" w:lineRule="auto"/>
      </w:pPr>
    </w:p>
    <w:p w14:paraId="067F72D6" w14:textId="14F1B6D9"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57454D">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"[33, 34]" }, "properties" : { "noteIndex" : 0 }, "schema" : "https://github.com/citation-style-language/schema/raw/master/csl-citation.json" }</w:instrText>
      </w:r>
      <w:r>
        <w:fldChar w:fldCharType="separate"/>
      </w:r>
      <w:r w:rsidR="0057454D" w:rsidRPr="0057454D">
        <w:rPr>
          <w:noProof/>
        </w:rPr>
        <w:t>[33, 34]</w:t>
      </w:r>
      <w:r>
        <w:fldChar w:fldCharType="end"/>
      </w:r>
      <w:r>
        <w:t xml:space="preserve">.  In this way, our protocol for food deprivation is likely to engage all of these pathways to defend body weight in </w:t>
      </w:r>
      <w:r>
        <w:lastRenderedPageBreak/>
        <w:t xml:space="preserve">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5745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"[35, 36]" }, "properties" : { "noteIndex" : 0 }, "schema" : "https://github.com/citation-style-language/schema/raw/master/csl-citation.json" }</w:instrText>
      </w:r>
      <w:r w:rsidR="00030090">
        <w:fldChar w:fldCharType="separate"/>
      </w:r>
      <w:r w:rsidR="0057454D" w:rsidRPr="0057454D">
        <w:rPr>
          <w:noProof/>
        </w:rPr>
        <w:t>[35, 36]</w:t>
      </w:r>
      <w:r w:rsidR="00030090">
        <w:fldChar w:fldCharType="end"/>
      </w:r>
      <w:r w:rsidR="006859DB">
        <w:t xml:space="preserve"> to the extent that reductions in metabolic rates in pediatric populations are predictive of obesity </w:t>
      </w:r>
      <w:r w:rsidR="006859DB">
        <w:fldChar w:fldCharType="begin" w:fldLock="1"/>
      </w:r>
      <w:r w:rsidR="0057454D">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"[31, 32]" }, "properties" : { "noteIndex" : 0 }, "schema" : "https://github.com/citation-style-language/schema/raw/master/csl-citation.json" }</w:instrText>
      </w:r>
      <w:r w:rsidR="006859DB">
        <w:fldChar w:fldCharType="separate"/>
      </w:r>
      <w:r w:rsidR="0057454D" w:rsidRPr="0057454D">
        <w:rPr>
          <w:noProof/>
        </w:rPr>
        <w:t>[31, 32]</w:t>
      </w:r>
      <w:r w:rsidR="006859DB">
        <w:fldChar w:fldCharType="end"/>
      </w:r>
      <w:r w:rsidR="006859DB">
        <w:t xml:space="preserve">. </w:t>
      </w:r>
      <w:r w:rsidR="00D7401A">
        <w:t xml:space="preserve">  </w:t>
      </w:r>
      <w:r w:rsidR="00B07AD1">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5C30A747" w14:textId="77777777" w:rsidR="006859DB" w:rsidRDefault="006859DB" w:rsidP="00235AFE">
      <w:pPr>
        <w:spacing w:line="480" w:lineRule="auto"/>
      </w:pPr>
    </w:p>
    <w:p w14:paraId="36963E26" w14:textId="1D67D603"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57454D">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w:t>
      </w:r>
      <w:r w:rsidR="00A66F9F">
        <w:lastRenderedPageBreak/>
        <w:t xml:space="preserve">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1328AE">
      <w:pPr>
        <w:pStyle w:val="Heading1"/>
        <w:spacing w:line="480" w:lineRule="auto"/>
      </w:pPr>
      <w:r>
        <w:t>Conflict of Interest Statement</w:t>
      </w: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1CADBC0" w14:textId="51205259" w:rsidR="0057454D" w:rsidRPr="0057454D" w:rsidRDefault="00F32E39">
      <w:pPr>
        <w:pStyle w:val="NormalWeb"/>
        <w:ind w:left="640" w:hanging="640"/>
        <w:divId w:val="864636641"/>
        <w:rPr>
          <w:rFonts w:ascii="Cambria" w:hAnsi="Cambria"/>
          <w:noProof/>
          <w:sz w:val="24"/>
        </w:rPr>
      </w:pPr>
      <w:r>
        <w:fldChar w:fldCharType="begin" w:fldLock="1"/>
      </w:r>
      <w:r>
        <w:instrText xml:space="preserve">ADDIN Mendeley Bibliography CSL_BIBLIOGRAPHY </w:instrText>
      </w:r>
      <w:r>
        <w:fldChar w:fldCharType="separate"/>
      </w:r>
      <w:r w:rsidR="0057454D" w:rsidRPr="0057454D">
        <w:rPr>
          <w:rFonts w:ascii="Cambria" w:hAnsi="Cambria"/>
          <w:noProof/>
          <w:sz w:val="24"/>
        </w:rPr>
        <w:t>1.</w:t>
      </w:r>
      <w:r w:rsidR="0057454D" w:rsidRPr="0057454D">
        <w:rPr>
          <w:rFonts w:ascii="Cambria" w:hAnsi="Cambria"/>
          <w:noProof/>
          <w:sz w:val="24"/>
        </w:rPr>
        <w:tab/>
        <w:t>World Health Organization (2013). Obesity and Overweight. Available at: http://www.who.int/mediacentre/factsheets/fs311/en/.</w:t>
      </w:r>
    </w:p>
    <w:p w14:paraId="6E5D38C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w:t>
      </w:r>
      <w:r w:rsidRPr="0057454D">
        <w:rPr>
          <w:rFonts w:ascii="Cambria" w:hAnsi="Cambria"/>
          <w:noProof/>
          <w:sz w:val="24"/>
        </w:rPr>
        <w:tab/>
        <w:t xml:space="preserve">El-Sayed Moustafa, J. S., and Froguel, P. (2013). From obesity genetics to the future of personalized obesity therapy. Nat. Rev. Endocrinol. </w:t>
      </w:r>
      <w:r w:rsidRPr="0057454D">
        <w:rPr>
          <w:rFonts w:ascii="Cambria" w:hAnsi="Cambria"/>
          <w:i/>
          <w:iCs/>
          <w:noProof/>
          <w:sz w:val="24"/>
        </w:rPr>
        <w:t>9</w:t>
      </w:r>
      <w:r w:rsidRPr="0057454D">
        <w:rPr>
          <w:rFonts w:ascii="Cambria" w:hAnsi="Cambria"/>
          <w:noProof/>
          <w:sz w:val="24"/>
        </w:rPr>
        <w:t>, 402–13.</w:t>
      </w:r>
    </w:p>
    <w:p w14:paraId="095816F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w:t>
      </w:r>
      <w:r w:rsidRPr="0057454D">
        <w:rPr>
          <w:rFonts w:ascii="Cambria" w:hAnsi="Cambria"/>
          <w:noProof/>
          <w:sz w:val="24"/>
        </w:rPr>
        <w:tab/>
        <w:t xml:space="preserve">Yu, Z. B., Han, S. P., Zhu, G. Z., Zhu, C., Wang, X. J., Cao, X. G., and Guo, X. R. (2011). Birth weight and subsequent risk of obesity: a systematic review and meta-analysis. Obes. Rev. </w:t>
      </w:r>
      <w:r w:rsidRPr="0057454D">
        <w:rPr>
          <w:rFonts w:ascii="Cambria" w:hAnsi="Cambria"/>
          <w:i/>
          <w:iCs/>
          <w:noProof/>
          <w:sz w:val="24"/>
        </w:rPr>
        <w:t>12</w:t>
      </w:r>
      <w:r w:rsidRPr="0057454D">
        <w:rPr>
          <w:rFonts w:ascii="Cambria" w:hAnsi="Cambria"/>
          <w:noProof/>
          <w:sz w:val="24"/>
        </w:rPr>
        <w:t>, 525–42.</w:t>
      </w:r>
    </w:p>
    <w:p w14:paraId="1374DDB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4.</w:t>
      </w:r>
      <w:r w:rsidRPr="0057454D">
        <w:rPr>
          <w:rFonts w:ascii="Cambria" w:hAnsi="Cambria"/>
          <w:noProof/>
          <w:sz w:val="24"/>
        </w:rPr>
        <w:tab/>
        <w:t xml:space="preserve">Cnattingius, S., Villamor, E., Lagerros, Y. T., Wikström, a-K., and Granath, F. (2012). High birth weight and obesity--a vicious circle across generations. Int. J. Obes. (Lond). </w:t>
      </w:r>
      <w:r w:rsidRPr="0057454D">
        <w:rPr>
          <w:rFonts w:ascii="Cambria" w:hAnsi="Cambria"/>
          <w:i/>
          <w:iCs/>
          <w:noProof/>
          <w:sz w:val="24"/>
        </w:rPr>
        <w:t>36</w:t>
      </w:r>
      <w:r w:rsidRPr="0057454D">
        <w:rPr>
          <w:rFonts w:ascii="Cambria" w:hAnsi="Cambria"/>
          <w:noProof/>
          <w:sz w:val="24"/>
        </w:rPr>
        <w:t>, 1320–4.</w:t>
      </w:r>
    </w:p>
    <w:p w14:paraId="056A77D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5.</w:t>
      </w:r>
      <w:r w:rsidRPr="0057454D">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57454D">
        <w:rPr>
          <w:rFonts w:ascii="Cambria" w:hAnsi="Cambria"/>
          <w:i/>
          <w:iCs/>
          <w:noProof/>
          <w:sz w:val="24"/>
        </w:rPr>
        <w:t>117</w:t>
      </w:r>
      <w:r w:rsidRPr="0057454D">
        <w:rPr>
          <w:rFonts w:ascii="Cambria" w:hAnsi="Cambria"/>
          <w:noProof/>
          <w:sz w:val="24"/>
        </w:rPr>
        <w:t>, 1203–9.</w:t>
      </w:r>
    </w:p>
    <w:p w14:paraId="608556F0"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6.</w:t>
      </w:r>
      <w:r w:rsidRPr="0057454D">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57454D">
        <w:rPr>
          <w:rFonts w:ascii="Cambria" w:hAnsi="Cambria"/>
          <w:i/>
          <w:iCs/>
          <w:noProof/>
          <w:sz w:val="24"/>
        </w:rPr>
        <w:t>38</w:t>
      </w:r>
      <w:r w:rsidRPr="0057454D">
        <w:rPr>
          <w:rFonts w:ascii="Cambria" w:hAnsi="Cambria"/>
          <w:noProof/>
          <w:sz w:val="24"/>
        </w:rPr>
        <w:t>, 280–5.</w:t>
      </w:r>
    </w:p>
    <w:p w14:paraId="7665267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7.</w:t>
      </w:r>
      <w:r w:rsidRPr="0057454D">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57454D">
        <w:rPr>
          <w:rFonts w:ascii="Cambria" w:hAnsi="Cambria"/>
          <w:i/>
          <w:iCs/>
          <w:noProof/>
          <w:sz w:val="24"/>
        </w:rPr>
        <w:t>92</w:t>
      </w:r>
      <w:r w:rsidRPr="0057454D">
        <w:rPr>
          <w:rFonts w:ascii="Cambria" w:hAnsi="Cambria"/>
          <w:noProof/>
          <w:sz w:val="24"/>
        </w:rPr>
        <w:t>, 948–54.</w:t>
      </w:r>
    </w:p>
    <w:p w14:paraId="218208BD"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8.</w:t>
      </w:r>
      <w:r w:rsidRPr="0057454D">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57454D">
        <w:rPr>
          <w:rFonts w:ascii="Cambria" w:hAnsi="Cambria"/>
          <w:i/>
          <w:iCs/>
          <w:noProof/>
          <w:sz w:val="24"/>
        </w:rPr>
        <w:t>37</w:t>
      </w:r>
      <w:r w:rsidRPr="0057454D">
        <w:rPr>
          <w:rFonts w:ascii="Cambria" w:hAnsi="Cambria"/>
          <w:noProof/>
          <w:sz w:val="24"/>
        </w:rPr>
        <w:t>, 594–601.</w:t>
      </w:r>
    </w:p>
    <w:p w14:paraId="1495FC3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9.</w:t>
      </w:r>
      <w:r w:rsidRPr="0057454D">
        <w:rPr>
          <w:rFonts w:ascii="Cambria" w:hAnsi="Cambria"/>
          <w:noProof/>
          <w:sz w:val="24"/>
        </w:rPr>
        <w:tab/>
        <w:t xml:space="preserve">Taft, R. A., Davisson, M., and Wiles, M. V (2006). Know thy mouse. Trends Genet. </w:t>
      </w:r>
      <w:r w:rsidRPr="0057454D">
        <w:rPr>
          <w:rFonts w:ascii="Cambria" w:hAnsi="Cambria"/>
          <w:i/>
          <w:iCs/>
          <w:noProof/>
          <w:sz w:val="24"/>
        </w:rPr>
        <w:t>22</w:t>
      </w:r>
      <w:r w:rsidRPr="0057454D">
        <w:rPr>
          <w:rFonts w:ascii="Cambria" w:hAnsi="Cambria"/>
          <w:noProof/>
          <w:sz w:val="24"/>
        </w:rPr>
        <w:t>, 649–53.</w:t>
      </w:r>
    </w:p>
    <w:p w14:paraId="58F9EE12"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10.</w:t>
      </w:r>
      <w:r w:rsidRPr="0057454D">
        <w:rPr>
          <w:rFonts w:ascii="Cambria" w:hAnsi="Cambria"/>
          <w:noProof/>
          <w:sz w:val="24"/>
        </w:rPr>
        <w:tab/>
        <w:t>Jackson Laboratories (2014). Patented Genetic Stability Program. Available at: http://jaxmice.jax.org/genetichealth/stability.html [Accessed April 28, 2014].</w:t>
      </w:r>
    </w:p>
    <w:p w14:paraId="072F20CE"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11.</w:t>
      </w:r>
      <w:r w:rsidRPr="0057454D">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57454D">
        <w:rPr>
          <w:rFonts w:ascii="Cambria" w:hAnsi="Cambria"/>
          <w:i/>
          <w:iCs/>
          <w:noProof/>
          <w:sz w:val="24"/>
        </w:rPr>
        <w:t>2</w:t>
      </w:r>
      <w:r w:rsidRPr="0057454D">
        <w:rPr>
          <w:rFonts w:ascii="Cambria" w:hAnsi="Cambria"/>
          <w:noProof/>
          <w:sz w:val="24"/>
        </w:rPr>
        <w:t>, e81.</w:t>
      </w:r>
    </w:p>
    <w:p w14:paraId="360A206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12.</w:t>
      </w:r>
      <w:r w:rsidRPr="0057454D">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57454D">
        <w:rPr>
          <w:rFonts w:ascii="Cambria" w:hAnsi="Cambria"/>
          <w:i/>
          <w:iCs/>
          <w:noProof/>
          <w:sz w:val="24"/>
        </w:rPr>
        <w:t>20</w:t>
      </w:r>
      <w:r w:rsidRPr="0057454D">
        <w:rPr>
          <w:rFonts w:ascii="Cambria" w:hAnsi="Cambria"/>
          <w:noProof/>
          <w:sz w:val="24"/>
        </w:rPr>
        <w:t>, 1179–88.</w:t>
      </w:r>
    </w:p>
    <w:p w14:paraId="3D89F7A5"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13.</w:t>
      </w:r>
      <w:r w:rsidRPr="0057454D">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57454D">
        <w:rPr>
          <w:rFonts w:ascii="Cambria" w:hAnsi="Cambria"/>
          <w:i/>
          <w:iCs/>
          <w:noProof/>
          <w:sz w:val="24"/>
        </w:rPr>
        <w:t>00</w:t>
      </w:r>
      <w:r w:rsidRPr="0057454D">
        <w:rPr>
          <w:rFonts w:ascii="Cambria" w:hAnsi="Cambria"/>
          <w:noProof/>
          <w:sz w:val="24"/>
        </w:rPr>
        <w:t>, 1–9.</w:t>
      </w:r>
    </w:p>
    <w:p w14:paraId="70EE41D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14.</w:t>
      </w:r>
      <w:r w:rsidRPr="0057454D">
        <w:rPr>
          <w:rFonts w:ascii="Cambria" w:hAnsi="Cambria"/>
          <w:noProof/>
          <w:sz w:val="24"/>
        </w:rPr>
        <w:tab/>
        <w:t xml:space="preserve">Levin, B. E., and Keesey, R. E. (1998). Defense of differing body weight set points in diet-induced obese and resistant rats. Am. J. Physiol. </w:t>
      </w:r>
      <w:r w:rsidRPr="0057454D">
        <w:rPr>
          <w:rFonts w:ascii="Cambria" w:hAnsi="Cambria"/>
          <w:i/>
          <w:iCs/>
          <w:noProof/>
          <w:sz w:val="24"/>
        </w:rPr>
        <w:t>274</w:t>
      </w:r>
      <w:r w:rsidRPr="0057454D">
        <w:rPr>
          <w:rFonts w:ascii="Cambria" w:hAnsi="Cambria"/>
          <w:noProof/>
          <w:sz w:val="24"/>
        </w:rPr>
        <w:t>, R412–9.</w:t>
      </w:r>
    </w:p>
    <w:p w14:paraId="7F5FD6B3"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15.</w:t>
      </w:r>
      <w:r w:rsidRPr="0057454D">
        <w:rPr>
          <w:rFonts w:ascii="Cambria" w:hAnsi="Cambria"/>
          <w:noProof/>
          <w:sz w:val="24"/>
        </w:rPr>
        <w:tab/>
        <w:t xml:space="preserve">Levin, B. E., and Dunn-Meynell, a a (2000). Defense of body weight against chronic caloric restriction in obesity-prone and -resistant rats. Am. J. Physiol. Regul. Integr. Comp. Physiol. </w:t>
      </w:r>
      <w:r w:rsidRPr="0057454D">
        <w:rPr>
          <w:rFonts w:ascii="Cambria" w:hAnsi="Cambria"/>
          <w:i/>
          <w:iCs/>
          <w:noProof/>
          <w:sz w:val="24"/>
        </w:rPr>
        <w:t>278</w:t>
      </w:r>
      <w:r w:rsidRPr="0057454D">
        <w:rPr>
          <w:rFonts w:ascii="Cambria" w:hAnsi="Cambria"/>
          <w:noProof/>
          <w:sz w:val="24"/>
        </w:rPr>
        <w:t>, R231–7.</w:t>
      </w:r>
    </w:p>
    <w:p w14:paraId="1ABC80E6"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16.</w:t>
      </w:r>
      <w:r w:rsidRPr="0057454D">
        <w:rPr>
          <w:rFonts w:ascii="Cambria" w:hAnsi="Cambria"/>
          <w:noProof/>
          <w:sz w:val="24"/>
        </w:rPr>
        <w:tab/>
        <w:t>R Development Core Team, and R Core Team (2011). R: A language and environment for statistical computing.</w:t>
      </w:r>
    </w:p>
    <w:p w14:paraId="4CA9B25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17.</w:t>
      </w:r>
      <w:r w:rsidRPr="0057454D">
        <w:rPr>
          <w:rFonts w:ascii="Cambria" w:hAnsi="Cambria"/>
          <w:noProof/>
          <w:sz w:val="24"/>
        </w:rPr>
        <w:tab/>
        <w:t>Bates, D., Maechler, M., Bolker, B., and Walker, S. (2014). lme4: Linear mixed-effects models using Eigen and S4.</w:t>
      </w:r>
    </w:p>
    <w:p w14:paraId="252CD6E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18.</w:t>
      </w:r>
      <w:r w:rsidRPr="0057454D">
        <w:rPr>
          <w:rFonts w:ascii="Cambria" w:hAnsi="Cambria"/>
          <w:noProof/>
          <w:sz w:val="24"/>
        </w:rPr>
        <w:tab/>
        <w:t xml:space="preserve">Hothorn, T., Bretz, F., and Westfall, P. (2008). Simultaneous Inference in General Parametric Models. Biometrical J. </w:t>
      </w:r>
      <w:r w:rsidRPr="0057454D">
        <w:rPr>
          <w:rFonts w:ascii="Cambria" w:hAnsi="Cambria"/>
          <w:i/>
          <w:iCs/>
          <w:noProof/>
          <w:sz w:val="24"/>
        </w:rPr>
        <w:t>50</w:t>
      </w:r>
      <w:r w:rsidRPr="0057454D">
        <w:rPr>
          <w:rFonts w:ascii="Cambria" w:hAnsi="Cambria"/>
          <w:noProof/>
          <w:sz w:val="24"/>
        </w:rPr>
        <w:t>, 346–363.</w:t>
      </w:r>
    </w:p>
    <w:p w14:paraId="443D477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19.</w:t>
      </w:r>
      <w:r w:rsidRPr="0057454D">
        <w:rPr>
          <w:rFonts w:ascii="Cambria" w:hAnsi="Cambria"/>
          <w:noProof/>
          <w:sz w:val="24"/>
        </w:rPr>
        <w:tab/>
        <w:t xml:space="preserve">Benjamini, Y., and Hochberg, Y. (1995). Controlling the False Discovery Rate: A Practical and Powerful Approach to Multiple Testing. J. R. Stat. Soc. Ser. B </w:t>
      </w:r>
      <w:r w:rsidRPr="0057454D">
        <w:rPr>
          <w:rFonts w:ascii="Cambria" w:hAnsi="Cambria"/>
          <w:i/>
          <w:iCs/>
          <w:noProof/>
          <w:sz w:val="24"/>
        </w:rPr>
        <w:t>57</w:t>
      </w:r>
      <w:r w:rsidRPr="0057454D">
        <w:rPr>
          <w:rFonts w:ascii="Cambria" w:hAnsi="Cambria"/>
          <w:noProof/>
          <w:sz w:val="24"/>
        </w:rPr>
        <w:t>, 289–300.</w:t>
      </w:r>
    </w:p>
    <w:p w14:paraId="7DEA86A0"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20.</w:t>
      </w:r>
      <w:r w:rsidRPr="0057454D">
        <w:rPr>
          <w:rFonts w:ascii="Cambria" w:hAnsi="Cambria"/>
          <w:noProof/>
          <w:sz w:val="24"/>
        </w:rPr>
        <w:tab/>
        <w:t xml:space="preserve">Steppan, C. M., Bailey, S. T., Bhat, S., Brown, E. J., Banerjee, R. R., Wright, C. M., Patel, H. R., Ahima, R. S., and Lazar, M. a (2001). The hormone resistin links obesity to diabetes. Nature </w:t>
      </w:r>
      <w:r w:rsidRPr="0057454D">
        <w:rPr>
          <w:rFonts w:ascii="Cambria" w:hAnsi="Cambria"/>
          <w:i/>
          <w:iCs/>
          <w:noProof/>
          <w:sz w:val="24"/>
        </w:rPr>
        <w:t>409</w:t>
      </w:r>
      <w:r w:rsidRPr="0057454D">
        <w:rPr>
          <w:rFonts w:ascii="Cambria" w:hAnsi="Cambria"/>
          <w:noProof/>
          <w:sz w:val="24"/>
        </w:rPr>
        <w:t>, 307–12.</w:t>
      </w:r>
    </w:p>
    <w:p w14:paraId="293B9A64"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21.</w:t>
      </w:r>
      <w:r w:rsidRPr="0057454D">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57454D">
        <w:rPr>
          <w:rFonts w:ascii="Cambria" w:hAnsi="Cambria"/>
          <w:i/>
          <w:iCs/>
          <w:noProof/>
          <w:sz w:val="24"/>
        </w:rPr>
        <w:t>1</w:t>
      </w:r>
      <w:r w:rsidRPr="0057454D">
        <w:rPr>
          <w:rFonts w:ascii="Cambria" w:hAnsi="Cambria"/>
          <w:noProof/>
          <w:sz w:val="24"/>
        </w:rPr>
        <w:t>, 1311–4.</w:t>
      </w:r>
    </w:p>
    <w:p w14:paraId="6E9EC85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22.</w:t>
      </w:r>
      <w:r w:rsidRPr="0057454D">
        <w:rPr>
          <w:rFonts w:ascii="Cambria" w:hAnsi="Cambria"/>
          <w:noProof/>
          <w:sz w:val="24"/>
        </w:rPr>
        <w:tab/>
        <w:t xml:space="preserve">Holst, J. J., Orskov, C., Nielsen, O. V, and Schwartz, T. W. (1987). Truncated glucagon-like peptide I, an insulin-releasing hormone from the distal gut. FEBS Lett. </w:t>
      </w:r>
      <w:r w:rsidRPr="0057454D">
        <w:rPr>
          <w:rFonts w:ascii="Cambria" w:hAnsi="Cambria"/>
          <w:i/>
          <w:iCs/>
          <w:noProof/>
          <w:sz w:val="24"/>
        </w:rPr>
        <w:t>211</w:t>
      </w:r>
      <w:r w:rsidRPr="0057454D">
        <w:rPr>
          <w:rFonts w:ascii="Cambria" w:hAnsi="Cambria"/>
          <w:noProof/>
          <w:sz w:val="24"/>
        </w:rPr>
        <w:t>, 169–74.</w:t>
      </w:r>
    </w:p>
    <w:p w14:paraId="5C77AB0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23.</w:t>
      </w:r>
      <w:r w:rsidRPr="0057454D">
        <w:rPr>
          <w:rFonts w:ascii="Cambria" w:hAnsi="Cambria"/>
          <w:noProof/>
          <w:sz w:val="24"/>
        </w:rPr>
        <w:tab/>
        <w:t xml:space="preserve">Kreymann, B., Ghatei, M. A., Williams, G., and Bloom, S. R. (1987). Glucagon-Like Peptide-1 7-36: A Physiological Incretin in Man. Lancet </w:t>
      </w:r>
      <w:r w:rsidRPr="0057454D">
        <w:rPr>
          <w:rFonts w:ascii="Cambria" w:hAnsi="Cambria"/>
          <w:i/>
          <w:iCs/>
          <w:noProof/>
          <w:sz w:val="24"/>
        </w:rPr>
        <w:t>330</w:t>
      </w:r>
      <w:r w:rsidRPr="0057454D">
        <w:rPr>
          <w:rFonts w:ascii="Cambria" w:hAnsi="Cambria"/>
          <w:noProof/>
          <w:sz w:val="24"/>
        </w:rPr>
        <w:t>, 1300–1304.</w:t>
      </w:r>
    </w:p>
    <w:p w14:paraId="75E9496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24.</w:t>
      </w:r>
      <w:r w:rsidRPr="0057454D">
        <w:rPr>
          <w:rFonts w:ascii="Cambria" w:hAnsi="Cambria"/>
          <w:noProof/>
          <w:sz w:val="24"/>
        </w:rPr>
        <w:tab/>
        <w:t xml:space="preserve">Tschöp, M., Weyer, C., Tataranni, P. a, Devanarayan, V., Ravussin, E., and Heiman, M. L. (2001). Circulating ghrelin levels are decreased in human obesity. Diabetes </w:t>
      </w:r>
      <w:r w:rsidRPr="0057454D">
        <w:rPr>
          <w:rFonts w:ascii="Cambria" w:hAnsi="Cambria"/>
          <w:i/>
          <w:iCs/>
          <w:noProof/>
          <w:sz w:val="24"/>
        </w:rPr>
        <w:t>50</w:t>
      </w:r>
      <w:r w:rsidRPr="0057454D">
        <w:rPr>
          <w:rFonts w:ascii="Cambria" w:hAnsi="Cambria"/>
          <w:noProof/>
          <w:sz w:val="24"/>
        </w:rPr>
        <w:t>, 707–9.</w:t>
      </w:r>
    </w:p>
    <w:p w14:paraId="11B25CD9"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25.</w:t>
      </w:r>
      <w:r w:rsidRPr="0057454D">
        <w:rPr>
          <w:rFonts w:ascii="Cambria" w:hAnsi="Cambria"/>
          <w:noProof/>
          <w:sz w:val="24"/>
        </w:rPr>
        <w:tab/>
        <w:t xml:space="preserve">Tschöp, M., Smiley, D. L., and Heiman, M. L. (2000). Ghrelin induces adiposity in rodents. Nature </w:t>
      </w:r>
      <w:r w:rsidRPr="0057454D">
        <w:rPr>
          <w:rFonts w:ascii="Cambria" w:hAnsi="Cambria"/>
          <w:i/>
          <w:iCs/>
          <w:noProof/>
          <w:sz w:val="24"/>
        </w:rPr>
        <w:t>407</w:t>
      </w:r>
      <w:r w:rsidRPr="0057454D">
        <w:rPr>
          <w:rFonts w:ascii="Cambria" w:hAnsi="Cambria"/>
          <w:noProof/>
          <w:sz w:val="24"/>
        </w:rPr>
        <w:t>, 908–13.</w:t>
      </w:r>
    </w:p>
    <w:p w14:paraId="02A0B5B2"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26.</w:t>
      </w:r>
      <w:r w:rsidRPr="0057454D">
        <w:rPr>
          <w:rFonts w:ascii="Cambria" w:hAnsi="Cambria"/>
          <w:noProof/>
          <w:sz w:val="24"/>
        </w:rPr>
        <w:tab/>
        <w:t xml:space="preserve">Ingalls, A. M., Dickie, M. M., and Snell, G. D. (1950). Obese, a new mutation in the house mouse. J. Hered. </w:t>
      </w:r>
      <w:r w:rsidRPr="0057454D">
        <w:rPr>
          <w:rFonts w:ascii="Cambria" w:hAnsi="Cambria"/>
          <w:i/>
          <w:iCs/>
          <w:noProof/>
          <w:sz w:val="24"/>
        </w:rPr>
        <w:t>41</w:t>
      </w:r>
      <w:r w:rsidRPr="0057454D">
        <w:rPr>
          <w:rFonts w:ascii="Cambria" w:hAnsi="Cambria"/>
          <w:noProof/>
          <w:sz w:val="24"/>
        </w:rPr>
        <w:t>, 317–8.</w:t>
      </w:r>
    </w:p>
    <w:p w14:paraId="6A671E5D"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27.</w:t>
      </w:r>
      <w:r w:rsidRPr="0057454D">
        <w:rPr>
          <w:rFonts w:ascii="Cambria" w:hAnsi="Cambria"/>
          <w:noProof/>
          <w:sz w:val="24"/>
        </w:rPr>
        <w:tab/>
        <w:t xml:space="preserve">Mistry, A. M., Swick, A. G., and Romsos, D. R. (1997). Leptin rapidly lowers food intake and elevates metabolic rates in lean and ob/ob mice. J. Nutr. </w:t>
      </w:r>
      <w:r w:rsidRPr="0057454D">
        <w:rPr>
          <w:rFonts w:ascii="Cambria" w:hAnsi="Cambria"/>
          <w:i/>
          <w:iCs/>
          <w:noProof/>
          <w:sz w:val="24"/>
        </w:rPr>
        <w:t>127</w:t>
      </w:r>
      <w:r w:rsidRPr="0057454D">
        <w:rPr>
          <w:rFonts w:ascii="Cambria" w:hAnsi="Cambria"/>
          <w:noProof/>
          <w:sz w:val="24"/>
        </w:rPr>
        <w:t>, 2065–72.</w:t>
      </w:r>
    </w:p>
    <w:p w14:paraId="1104D88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28.</w:t>
      </w:r>
      <w:r w:rsidRPr="0057454D">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57454D">
        <w:rPr>
          <w:rFonts w:ascii="Cambria" w:hAnsi="Cambria"/>
          <w:i/>
          <w:iCs/>
          <w:noProof/>
          <w:sz w:val="24"/>
        </w:rPr>
        <w:t>269</w:t>
      </w:r>
      <w:r w:rsidRPr="0057454D">
        <w:rPr>
          <w:rFonts w:ascii="Cambria" w:hAnsi="Cambria"/>
          <w:noProof/>
          <w:sz w:val="24"/>
        </w:rPr>
        <w:t>, 543–546.</w:t>
      </w:r>
    </w:p>
    <w:p w14:paraId="01F3EF3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29.</w:t>
      </w:r>
      <w:r w:rsidRPr="0057454D">
        <w:rPr>
          <w:rFonts w:ascii="Cambria" w:hAnsi="Cambria"/>
          <w:noProof/>
          <w:sz w:val="24"/>
        </w:rPr>
        <w:tab/>
        <w:t xml:space="preserve">Zhang, Y., Proenca, R., Maffei, M., Barone, M., Leopold, L., and Friedman, J. M. (1994). Positional cloning of the mouse obese gene and its human homologue. Nature </w:t>
      </w:r>
      <w:r w:rsidRPr="0057454D">
        <w:rPr>
          <w:rFonts w:ascii="Cambria" w:hAnsi="Cambria"/>
          <w:i/>
          <w:iCs/>
          <w:noProof/>
          <w:sz w:val="24"/>
        </w:rPr>
        <w:t>372</w:t>
      </w:r>
      <w:r w:rsidRPr="0057454D">
        <w:rPr>
          <w:rFonts w:ascii="Cambria" w:hAnsi="Cambria"/>
          <w:noProof/>
          <w:sz w:val="24"/>
        </w:rPr>
        <w:t>, 425–32.</w:t>
      </w:r>
    </w:p>
    <w:p w14:paraId="062BE21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30.</w:t>
      </w:r>
      <w:r w:rsidRPr="0057454D">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57454D">
        <w:rPr>
          <w:rFonts w:ascii="Cambria" w:hAnsi="Cambria"/>
          <w:i/>
          <w:iCs/>
          <w:noProof/>
          <w:sz w:val="24"/>
        </w:rPr>
        <w:t>3</w:t>
      </w:r>
      <w:r w:rsidRPr="0057454D">
        <w:rPr>
          <w:rFonts w:ascii="Cambria" w:hAnsi="Cambria"/>
          <w:noProof/>
          <w:sz w:val="24"/>
        </w:rPr>
        <w:t>, 238–40.</w:t>
      </w:r>
    </w:p>
    <w:p w14:paraId="5C8DB4D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31.</w:t>
      </w:r>
      <w:r w:rsidRPr="0057454D">
        <w:rPr>
          <w:rFonts w:ascii="Cambria" w:hAnsi="Cambria"/>
          <w:noProof/>
          <w:sz w:val="24"/>
        </w:rPr>
        <w:tab/>
        <w:t xml:space="preserve">Griffiths, M., Payne, P. ., Rivers, J. P. ., Cox, M., and Stunkard, A. . (1990). Metabolic rate and physical development in children at risk of obesity. Lancet </w:t>
      </w:r>
      <w:r w:rsidRPr="0057454D">
        <w:rPr>
          <w:rFonts w:ascii="Cambria" w:hAnsi="Cambria"/>
          <w:i/>
          <w:iCs/>
          <w:noProof/>
          <w:sz w:val="24"/>
        </w:rPr>
        <w:t>336</w:t>
      </w:r>
      <w:r w:rsidRPr="0057454D">
        <w:rPr>
          <w:rFonts w:ascii="Cambria" w:hAnsi="Cambria"/>
          <w:noProof/>
          <w:sz w:val="24"/>
        </w:rPr>
        <w:t>, 76–78.</w:t>
      </w:r>
    </w:p>
    <w:p w14:paraId="4360AD0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32.</w:t>
      </w:r>
      <w:r w:rsidRPr="0057454D">
        <w:rPr>
          <w:rFonts w:ascii="Cambria" w:hAnsi="Cambria"/>
          <w:noProof/>
          <w:sz w:val="24"/>
        </w:rPr>
        <w:tab/>
        <w:t xml:space="preserve">Roberts, S. B., Savage, J., Coward, W. A., Chew, B., and Lucas, A. (1988). Energy expenditure and intake in infants born to lean and overweight mothers. N. Engl. J. Med. </w:t>
      </w:r>
      <w:r w:rsidRPr="0057454D">
        <w:rPr>
          <w:rFonts w:ascii="Cambria" w:hAnsi="Cambria"/>
          <w:i/>
          <w:iCs/>
          <w:noProof/>
          <w:sz w:val="24"/>
        </w:rPr>
        <w:t>318</w:t>
      </w:r>
      <w:r w:rsidRPr="0057454D">
        <w:rPr>
          <w:rFonts w:ascii="Cambria" w:hAnsi="Cambria"/>
          <w:noProof/>
          <w:sz w:val="24"/>
        </w:rPr>
        <w:t>, 461–6.</w:t>
      </w:r>
    </w:p>
    <w:p w14:paraId="6EDB219C"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33.</w:t>
      </w:r>
      <w:r w:rsidRPr="0057454D">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57454D">
        <w:rPr>
          <w:rFonts w:ascii="Cambria" w:hAnsi="Cambria"/>
          <w:i/>
          <w:iCs/>
          <w:noProof/>
          <w:sz w:val="24"/>
        </w:rPr>
        <w:t>81</w:t>
      </w:r>
      <w:r w:rsidRPr="0057454D">
        <w:rPr>
          <w:rFonts w:ascii="Cambria" w:hAnsi="Cambria"/>
          <w:noProof/>
          <w:sz w:val="24"/>
        </w:rPr>
        <w:t>, 968–975.</w:t>
      </w:r>
    </w:p>
    <w:p w14:paraId="67A55AB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34.</w:t>
      </w:r>
      <w:r w:rsidRPr="0057454D">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57454D">
        <w:rPr>
          <w:rFonts w:ascii="Cambria" w:hAnsi="Cambria"/>
          <w:i/>
          <w:iCs/>
          <w:noProof/>
          <w:sz w:val="24"/>
        </w:rPr>
        <w:t>148</w:t>
      </w:r>
      <w:r w:rsidRPr="0057454D">
        <w:rPr>
          <w:rFonts w:ascii="Cambria" w:hAnsi="Cambria"/>
          <w:noProof/>
          <w:sz w:val="24"/>
        </w:rPr>
        <w:t>, 300–9.</w:t>
      </w:r>
    </w:p>
    <w:p w14:paraId="4D96718E"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35.</w:t>
      </w:r>
      <w:r w:rsidRPr="0057454D">
        <w:rPr>
          <w:rFonts w:ascii="Cambria" w:hAnsi="Cambria"/>
          <w:noProof/>
          <w:sz w:val="24"/>
        </w:rPr>
        <w:tab/>
        <w:t xml:space="preserve">Leibel, R. L., Rosenbaum, M., and Hirsch, J. (1995). Changes in energy expenditure resulting from altered body weight. N. Engl. J. Med. </w:t>
      </w:r>
      <w:r w:rsidRPr="0057454D">
        <w:rPr>
          <w:rFonts w:ascii="Cambria" w:hAnsi="Cambria"/>
          <w:i/>
          <w:iCs/>
          <w:noProof/>
          <w:sz w:val="24"/>
        </w:rPr>
        <w:t>332</w:t>
      </w:r>
      <w:r w:rsidRPr="0057454D">
        <w:rPr>
          <w:rFonts w:ascii="Cambria" w:hAnsi="Cambria"/>
          <w:noProof/>
          <w:sz w:val="24"/>
        </w:rPr>
        <w:t>, 621–8.</w:t>
      </w:r>
    </w:p>
    <w:p w14:paraId="1F8F223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36.</w:t>
      </w:r>
      <w:r w:rsidRPr="0057454D">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57454D">
        <w:rPr>
          <w:rFonts w:ascii="Cambria" w:hAnsi="Cambria"/>
          <w:i/>
          <w:iCs/>
          <w:noProof/>
          <w:sz w:val="24"/>
        </w:rPr>
        <w:t>78</w:t>
      </w:r>
      <w:r w:rsidRPr="0057454D">
        <w:rPr>
          <w:rFonts w:ascii="Cambria" w:hAnsi="Cambria"/>
          <w:noProof/>
          <w:sz w:val="24"/>
        </w:rPr>
        <w:t xml:space="preserve">, 1568–78. </w:t>
      </w:r>
    </w:p>
    <w:p w14:paraId="1ECDFBD9" w14:textId="7A794D1F" w:rsidR="003A21BA" w:rsidRDefault="00F32E39" w:rsidP="0057454D">
      <w:pPr>
        <w:pStyle w:val="NormalWeb"/>
        <w:ind w:left="640" w:hanging="640"/>
        <w:divId w:val="1591424804"/>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321E72A4"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w:t>
      </w:r>
      <w:r w:rsidR="008B7935">
        <w:t>Spearman’s rho coefficient is shown for each predictor.  Asterisk indicates q&lt;0.05 after correcting for multiple observations.</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3167E"/>
    <w:rsid w:val="00051069"/>
    <w:rsid w:val="00065CCA"/>
    <w:rsid w:val="00067776"/>
    <w:rsid w:val="0007075C"/>
    <w:rsid w:val="000759CF"/>
    <w:rsid w:val="00077178"/>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33D74"/>
    <w:rsid w:val="001459FA"/>
    <w:rsid w:val="0016440D"/>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57E4"/>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1AF6"/>
    <w:rsid w:val="004D3299"/>
    <w:rsid w:val="00502009"/>
    <w:rsid w:val="0052115C"/>
    <w:rsid w:val="00537E56"/>
    <w:rsid w:val="00542B70"/>
    <w:rsid w:val="005444B4"/>
    <w:rsid w:val="0055021A"/>
    <w:rsid w:val="00552EC7"/>
    <w:rsid w:val="0057454D"/>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037C"/>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80B70"/>
    <w:rsid w:val="0089466A"/>
    <w:rsid w:val="008B42E9"/>
    <w:rsid w:val="008B57E0"/>
    <w:rsid w:val="008B7935"/>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25EF"/>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0087"/>
    <w:rsid w:val="00F16196"/>
    <w:rsid w:val="00F1796E"/>
    <w:rsid w:val="00F2094F"/>
    <w:rsid w:val="00F30D2F"/>
    <w:rsid w:val="00F32E39"/>
    <w:rsid w:val="00F41AA3"/>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1640763439">
                                                                                                                                                                                                          <w:marLeft w:val="0"/>
                                                                                                                                                                                                          <w:marRight w:val="0"/>
                                                                                                                                                                                                          <w:marTop w:val="0"/>
                                                                                                                                                                                                          <w:marBottom w:val="0"/>
                                                                                                                                                                                                          <w:divBdr>
                                                                                                                                                                                                            <w:top w:val="none" w:sz="0" w:space="0" w:color="auto"/>
                                                                                                                                                                                                            <w:left w:val="none" w:sz="0" w:space="0" w:color="auto"/>
                                                                                                                                                                                                            <w:bottom w:val="none" w:sz="0" w:space="0" w:color="auto"/>
                                                                                                                                                                                                            <w:right w:val="none" w:sz="0" w:space="0" w:color="auto"/>
                                                                                                                                                                                                          </w:divBdr>
                                                                                                                                                                                                          <w:divsChild>
                                                                                                                                                                                                            <w:div w:id="408037517">
                                                                                                                                                                                                              <w:marLeft w:val="0"/>
                                                                                                                                                                                                              <w:marRight w:val="0"/>
                                                                                                                                                                                                              <w:marTop w:val="0"/>
                                                                                                                                                                                                              <w:marBottom w:val="0"/>
                                                                                                                                                                                                              <w:divBdr>
                                                                                                                                                                                                                <w:top w:val="none" w:sz="0" w:space="0" w:color="auto"/>
                                                                                                                                                                                                                <w:left w:val="none" w:sz="0" w:space="0" w:color="auto"/>
                                                                                                                                                                                                                <w:bottom w:val="none" w:sz="0" w:space="0" w:color="auto"/>
                                                                                                                                                                                                                <w:right w:val="none" w:sz="0" w:space="0" w:color="auto"/>
                                                                                                                                                                                                              </w:divBdr>
                                                                                                                                                                                                              <w:divsChild>
                                                                                                                                                                                                                <w:div w:id="1397122576">
                                                                                                                                                                                                                  <w:marLeft w:val="0"/>
                                                                                                                                                                                                                  <w:marRight w:val="0"/>
                                                                                                                                                                                                                  <w:marTop w:val="0"/>
                                                                                                                                                                                                                  <w:marBottom w:val="0"/>
                                                                                                                                                                                                                  <w:divBdr>
                                                                                                                                                                                                                    <w:top w:val="none" w:sz="0" w:space="0" w:color="auto"/>
                                                                                                                                                                                                                    <w:left w:val="none" w:sz="0" w:space="0" w:color="auto"/>
                                                                                                                                                                                                                    <w:bottom w:val="none" w:sz="0" w:space="0" w:color="auto"/>
                                                                                                                                                                                                                    <w:right w:val="none" w:sz="0" w:space="0" w:color="auto"/>
                                                                                                                                                                                                                  </w:divBdr>
                                                                                                                                                                                                                  <w:divsChild>
                                                                                                                                                                                                                    <w:div w:id="1956791746">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sChild>
                                                                                                                                                                                                                            <w:div w:id="487986599">
                                                                                                                                                                                                                              <w:marLeft w:val="0"/>
                                                                                                                                                                                                                              <w:marRight w:val="0"/>
                                                                                                                                                                                                                              <w:marTop w:val="0"/>
                                                                                                                                                                                                                              <w:marBottom w:val="0"/>
                                                                                                                                                                                                                              <w:divBdr>
                                                                                                                                                                                                                                <w:top w:val="none" w:sz="0" w:space="0" w:color="auto"/>
                                                                                                                                                                                                                                <w:left w:val="none" w:sz="0" w:space="0" w:color="auto"/>
                                                                                                                                                                                                                                <w:bottom w:val="none" w:sz="0" w:space="0" w:color="auto"/>
                                                                                                                                                                                                                                <w:right w:val="none" w:sz="0" w:space="0" w:color="auto"/>
                                                                                                                                                                                                                              </w:divBdr>
                                                                                                                                                                                                                              <w:divsChild>
                                                                                                                                                                                                                                <w:div w:id="315108664">
                                                                                                                                                                                                                                  <w:marLeft w:val="0"/>
                                                                                                                                                                                                                                  <w:marRight w:val="0"/>
                                                                                                                                                                                                                                  <w:marTop w:val="0"/>
                                                                                                                                                                                                                                  <w:marBottom w:val="0"/>
                                                                                                                                                                                                                                  <w:divBdr>
                                                                                                                                                                                                                                    <w:top w:val="none" w:sz="0" w:space="0" w:color="auto"/>
                                                                                                                                                                                                                                    <w:left w:val="none" w:sz="0" w:space="0" w:color="auto"/>
                                                                                                                                                                                                                                    <w:bottom w:val="none" w:sz="0" w:space="0" w:color="auto"/>
                                                                                                                                                                                                                                    <w:right w:val="none" w:sz="0" w:space="0" w:color="auto"/>
                                                                                                                                                                                                                                  </w:divBdr>
                                                                                                                                                                                                                                  <w:divsChild>
                                                                                                                                                                                                                                    <w:div w:id="1552301698">
                                                                                                                                                                                                                                      <w:marLeft w:val="0"/>
                                                                                                                                                                                                                                      <w:marRight w:val="0"/>
                                                                                                                                                                                                                                      <w:marTop w:val="0"/>
                                                                                                                                                                                                                                      <w:marBottom w:val="0"/>
                                                                                                                                                                                                                                      <w:divBdr>
                                                                                                                                                                                                                                        <w:top w:val="none" w:sz="0" w:space="0" w:color="auto"/>
                                                                                                                                                                                                                                        <w:left w:val="none" w:sz="0" w:space="0" w:color="auto"/>
                                                                                                                                                                                                                                        <w:bottom w:val="none" w:sz="0" w:space="0" w:color="auto"/>
                                                                                                                                                                                                                                        <w:right w:val="none" w:sz="0" w:space="0" w:color="auto"/>
                                                                                                                                                                                                                                      </w:divBdr>
                                                                                                                                                                                                                                      <w:divsChild>
                                                                                                                                                                                                                                        <w:div w:id="1591424804">
                                                                                                                                                                                                                                          <w:marLeft w:val="0"/>
                                                                                                                                                                                                                                          <w:marRight w:val="0"/>
                                                                                                                                                                                                                                          <w:marTop w:val="0"/>
                                                                                                                                                                                                                                          <w:marBottom w:val="0"/>
                                                                                                                                                                                                                                          <w:divBdr>
                                                                                                                                                                                                                                            <w:top w:val="none" w:sz="0" w:space="0" w:color="auto"/>
                                                                                                                                                                                                                                            <w:left w:val="none" w:sz="0" w:space="0" w:color="auto"/>
                                                                                                                                                                                                                                            <w:bottom w:val="none" w:sz="0" w:space="0" w:color="auto"/>
                                                                                                                                                                                                                                            <w:right w:val="none" w:sz="0" w:space="0" w:color="auto"/>
                                                                                                                                                                                                                                          </w:divBdr>
                                                                                                                                                                                                                                          <w:divsChild>
                                                                                                                                                                                                                                            <w:div w:id="8646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5FA6F-2F5C-F44B-984D-9BD045143352}">
  <ds:schemaRefs>
    <ds:schemaRef ds:uri="http://schemas.openxmlformats.org/officeDocument/2006/bibliography"/>
  </ds:schemaRefs>
</ds:datastoreItem>
</file>

<file path=customXml/itemProps2.xml><?xml version="1.0" encoding="utf-8"?>
<ds:datastoreItem xmlns:ds="http://schemas.openxmlformats.org/officeDocument/2006/customXml" ds:itemID="{7CCAB99A-C2F6-D54A-B342-AB52030A9ADC}">
  <ds:schemaRefs>
    <ds:schemaRef ds:uri="http://schemas.openxmlformats.org/officeDocument/2006/bibliography"/>
  </ds:schemaRefs>
</ds:datastoreItem>
</file>

<file path=customXml/itemProps3.xml><?xml version="1.0" encoding="utf-8"?>
<ds:datastoreItem xmlns:ds="http://schemas.openxmlformats.org/officeDocument/2006/customXml" ds:itemID="{6F660F71-F74A-3B41-9804-4AAAEC0A9673}">
  <ds:schemaRefs>
    <ds:schemaRef ds:uri="http://schemas.openxmlformats.org/officeDocument/2006/bibliography"/>
  </ds:schemaRefs>
</ds:datastoreItem>
</file>

<file path=customXml/itemProps4.xml><?xml version="1.0" encoding="utf-8"?>
<ds:datastoreItem xmlns:ds="http://schemas.openxmlformats.org/officeDocument/2006/customXml" ds:itemID="{5D0EB036-D3F4-FF43-BCA4-DA2579A7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24</Pages>
  <Words>20619</Words>
  <Characters>117533</Characters>
  <Application>Microsoft Macintosh Word</Application>
  <DocSecurity>0</DocSecurity>
  <Lines>979</Lines>
  <Paragraphs>275</Paragraphs>
  <ScaleCrop>false</ScaleCrop>
  <Company>UTHSC</Company>
  <LinksUpToDate>false</LinksUpToDate>
  <CharactersWithSpaces>137877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61</cp:revision>
  <cp:lastPrinted>2014-03-31T14:48:00Z</cp:lastPrinted>
  <dcterms:created xsi:type="dcterms:W3CDTF">2014-04-11T16:05:00Z</dcterms:created>
  <dcterms:modified xsi:type="dcterms:W3CDTF">2014-06-30T14:15:00Z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