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leptin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leptin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w:t>
      </w:r>
      <w:r w:rsidR="00760733">
        <w:t xml:space="preserve">The composition of these diets are presented in Table 1.  Note that there are seasonal variations in the composition of the Teklad diet, and therefore these numbers are reasonable estimates on a batch to batch basis.  </w:t>
      </w:r>
      <w:r>
        <w:t xml:space="preserve">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071CDDBB"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(Shapiro-Wilk test p&lt;0.05)</w:t>
      </w:r>
      <w:r w:rsidR="00A708F6">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bookmarkStart w:id="0" w:name="_GoBack"/>
      <w:bookmarkEnd w:id="0"/>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Tukey post-hoc test was </w:t>
      </w:r>
      <w:r w:rsidR="007137E7">
        <w:t>used</w:t>
      </w:r>
      <w:r>
        <w:t xml:space="preserve">.  </w:t>
      </w:r>
      <w:r w:rsidR="001D0CDB">
        <w:t>To do pairwise tests, first the data was examined by a Sh</w:t>
      </w:r>
      <w:r w:rsidR="007E3AF9">
        <w:t>a</w:t>
      </w:r>
      <w:r w:rsidR="001D0CDB">
        <w:t>piro-Wilk test to determine normality, then a Levene’s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r w:rsidR="000F400E">
        <w:t>2.0</w:t>
      </w:r>
      <w:r w:rsidR="00451ED8">
        <w:t xml:space="preserve">  </w:t>
      </w:r>
      <w:r w:rsidR="000B7258">
        <w:t>kcal/mouse/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76C6D46E"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r w:rsidR="005E01E6">
        <w:t xml:space="preserve">Futhermore, the fasting/refeeding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commentRangeStart w:id="1"/>
      <w:r>
        <w:t>Predictors of Weight Gain</w:t>
      </w:r>
      <w:commentRangeEnd w:id="1"/>
      <w:r w:rsidR="00C10601">
        <w:rPr>
          <w:rStyle w:val="CommentReference"/>
          <w:rFonts w:asciiTheme="minorHAnsi" w:eastAsiaTheme="minorEastAsia" w:hAnsiTheme="minorHAnsi" w:cstheme="minorBidi"/>
          <w:b w:val="0"/>
          <w:bCs w:val="0"/>
          <w:color w:val="auto"/>
        </w:rPr>
        <w:commentReference w:id="1"/>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r w:rsidRPr="0089466A">
        <w:t>in its cage. To test this we looked at the mice which are the 5 heaviest from our</w:t>
      </w:r>
    </w:p>
    <w:p w14:paraId="6400DF14" w14:textId="7BC8359C" w:rsidR="0091217D" w:rsidRDefault="0089466A" w:rsidP="00235AFE">
      <w:pPr>
        <w:spacing w:line="480" w:lineRule="auto"/>
      </w:pP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1EA44F43"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59233A">
        <w:t>=0.02, p=0.26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DD2B73">
        <w:t>8</w:t>
      </w:r>
      <w:r w:rsidR="00C779AF">
        <w:t>,p=0.0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CA92691"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(p=0.00095).</w:t>
      </w:r>
      <w:r w:rsidR="005D6B00">
        <w:t xml:space="preserve">  We tested whether the post-diet body weight could explain these differences</w:t>
      </w:r>
      <w:r w:rsidR="00FA677D">
        <w:t xml:space="preserve"> in fasting and refeeding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3FFD5D5"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C10601">
        <w:t>, Figure 2</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r w:rsidR="00C213A6">
        <w:t xml:space="preserve">refeeding </w:t>
      </w:r>
      <w:r w:rsidR="00731EDF">
        <w:t xml:space="preserve">induced weight </w:t>
      </w:r>
      <w:r w:rsidR="00C213A6">
        <w:t xml:space="preserve">gain over those 6 hours </w:t>
      </w:r>
      <w:r w:rsidR="00C10601">
        <w:t>(Figures 2</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6EE3C28C" w:rsidR="00731EDF" w:rsidRPr="00351436" w:rsidRDefault="00351436" w:rsidP="00235AFE">
      <w:pPr>
        <w:spacing w:line="480" w:lineRule="auto"/>
      </w:pPr>
      <w:r>
        <w:t xml:space="preserve">For leptin mutant </w:t>
      </w:r>
      <w:r>
        <w:rPr>
          <w:i/>
        </w:rPr>
        <w:t xml:space="preserve">ob/ob </w:t>
      </w:r>
      <w:r>
        <w:t xml:space="preserve">mice, we observed inconsistent results between strains.  </w:t>
      </w:r>
      <w:r w:rsidR="00C10601">
        <w:t xml:space="preserve">We examined the fasting response between genetically obese mice on either a BTBR or C57BL/6J genetic background.  </w:t>
      </w:r>
      <w:r w:rsidR="00C10601" w:rsidRPr="004C32E5">
        <w:rPr>
          <w:i/>
        </w:rPr>
        <w:t xml:space="preserve">ob/ob </w:t>
      </w:r>
      <w:r w:rsidR="00C10601">
        <w:t xml:space="preserve">mice are leptin deficient due to a single nucleotide polymorphism in the leptin gene.  This results in mice which eat the same type of food (NCD), but substantially more of it, leading to obesity </w:t>
      </w:r>
      <w:r w:rsidR="00C10601">
        <w:fldChar w:fldCharType="begin" w:fldLock="1"/>
      </w:r>
      <w:r w:rsidR="00C10601">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C10601" w:rsidRPr="00EB2B16">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play a role in fasting response in the absence of leptin.</w:t>
      </w:r>
    </w:p>
    <w:p w14:paraId="29B34C94" w14:textId="77777777" w:rsidR="00731EDF" w:rsidRDefault="00731EDF" w:rsidP="00235AFE">
      <w:pPr>
        <w:spacing w:line="480" w:lineRule="auto"/>
      </w:pPr>
    </w:p>
    <w:p w14:paraId="691460F9" w14:textId="5217AED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7727D26"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r w:rsidR="00EB2B16" w:rsidRPr="00EB2B16">
        <w:rPr>
          <w:noProof/>
        </w:rPr>
        <w:t>[30–32]</w:t>
      </w:r>
      <w:r w:rsidR="005F46A4">
        <w:fldChar w:fldCharType="end"/>
      </w:r>
      <w:r w:rsidR="0066771A">
        <w:t>.</w:t>
      </w:r>
    </w:p>
    <w:p w14:paraId="2CD6D8DC" w14:textId="77777777" w:rsidR="00422A30" w:rsidRDefault="00422A30" w:rsidP="00235AFE">
      <w:pPr>
        <w:spacing w:line="480" w:lineRule="auto"/>
      </w:pPr>
    </w:p>
    <w:p w14:paraId="19588F4F" w14:textId="012796E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CBC3D88"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Benjamini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38D167C"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refeeding, following the 16 hour fast.  </w:t>
      </w:r>
      <w:r w:rsidR="00794A05">
        <w:t>F) Effects of body weight on percent weight re-gain for each group.</w:t>
      </w:r>
      <w:r w:rsidR="00345A50">
        <w:t xml:space="preserve">  Asterisk indicates a significant difference between groups</w:t>
      </w:r>
      <w:r w:rsidR="00AA7BFA">
        <w:t xml:space="preserve"> by Tukey Test after a significant ANOVA result</w:t>
      </w:r>
      <w:r w:rsidR="00345A50">
        <w:t xml:space="preserve"> (p&lt;0.001)</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percent weight gain during the 12 week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06-16T09:17:00Z" w:initials="DB">
    <w:p w14:paraId="72A067A2" w14:textId="4C7C21E6" w:rsidR="00F951A0" w:rsidRDefault="00F951A0">
      <w:pPr>
        <w:pStyle w:val="CommentText"/>
      </w:pPr>
      <w:r>
        <w:rPr>
          <w:rStyle w:val="CommentReference"/>
        </w:rPr>
        <w:annotationRef/>
      </w:r>
      <w:r>
        <w:t>Verify ordering and numbering of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321BE"/>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60BF0"/>
    <w:rsid w:val="00366EA2"/>
    <w:rsid w:val="00370E07"/>
    <w:rsid w:val="00377740"/>
    <w:rsid w:val="00384038"/>
    <w:rsid w:val="00394A2F"/>
    <w:rsid w:val="003A21BA"/>
    <w:rsid w:val="003A4EED"/>
    <w:rsid w:val="003A6DDD"/>
    <w:rsid w:val="003C4A14"/>
    <w:rsid w:val="003D464A"/>
    <w:rsid w:val="003E5583"/>
    <w:rsid w:val="003E7A89"/>
    <w:rsid w:val="0040433C"/>
    <w:rsid w:val="00405368"/>
    <w:rsid w:val="00416613"/>
    <w:rsid w:val="004225D6"/>
    <w:rsid w:val="00422A30"/>
    <w:rsid w:val="00422AA9"/>
    <w:rsid w:val="0043192A"/>
    <w:rsid w:val="004423DE"/>
    <w:rsid w:val="00444831"/>
    <w:rsid w:val="0044539F"/>
    <w:rsid w:val="00451ED8"/>
    <w:rsid w:val="00467669"/>
    <w:rsid w:val="004703C9"/>
    <w:rsid w:val="00470918"/>
    <w:rsid w:val="004778C0"/>
    <w:rsid w:val="004A14E1"/>
    <w:rsid w:val="004A3389"/>
    <w:rsid w:val="004A47BD"/>
    <w:rsid w:val="004A58BC"/>
    <w:rsid w:val="004A609D"/>
    <w:rsid w:val="004C32E5"/>
    <w:rsid w:val="00502009"/>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4B0B"/>
    <w:rsid w:val="00D94D74"/>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comments" Target="comment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4B13F-355F-4849-A76A-803D69E19291}">
  <ds:schemaRefs>
    <ds:schemaRef ds:uri="http://schemas.openxmlformats.org/officeDocument/2006/bibliography"/>
  </ds:schemaRefs>
</ds:datastoreItem>
</file>

<file path=customXml/itemProps2.xml><?xml version="1.0" encoding="utf-8"?>
<ds:datastoreItem xmlns:ds="http://schemas.openxmlformats.org/officeDocument/2006/customXml" ds:itemID="{7AB9FD38-CDF0-444C-9D1D-940A35068515}">
  <ds:schemaRefs>
    <ds:schemaRef ds:uri="http://schemas.openxmlformats.org/officeDocument/2006/bibliography"/>
  </ds:schemaRefs>
</ds:datastoreItem>
</file>

<file path=customXml/itemProps3.xml><?xml version="1.0" encoding="utf-8"?>
<ds:datastoreItem xmlns:ds="http://schemas.openxmlformats.org/officeDocument/2006/customXml" ds:itemID="{052C6778-A3BB-0549-8D22-25DF2023561B}">
  <ds:schemaRefs>
    <ds:schemaRef ds:uri="http://schemas.openxmlformats.org/officeDocument/2006/bibliography"/>
  </ds:schemaRefs>
</ds:datastoreItem>
</file>

<file path=customXml/itemProps4.xml><?xml version="1.0" encoding="utf-8"?>
<ds:datastoreItem xmlns:ds="http://schemas.openxmlformats.org/officeDocument/2006/customXml" ds:itemID="{28674DC9-9239-D448-9822-3D98F4C8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24</Pages>
  <Words>26013</Words>
  <Characters>148277</Characters>
  <Application>Microsoft Macintosh Word</Application>
  <DocSecurity>0</DocSecurity>
  <Lines>1235</Lines>
  <Paragraphs>347</Paragraphs>
  <ScaleCrop>false</ScaleCrop>
  <Company>UTHSC</Company>
  <LinksUpToDate>false</LinksUpToDate>
  <CharactersWithSpaces>173943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41</cp:revision>
  <cp:lastPrinted>2014-03-31T14:48:00Z</cp:lastPrinted>
  <dcterms:created xsi:type="dcterms:W3CDTF">2014-04-11T16:05:00Z</dcterms:created>
  <dcterms:modified xsi:type="dcterms:W3CDTF">2014-06-16T18:00:00Z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