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50BB6BE6"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t>Introduction</w:t>
      </w:r>
    </w:p>
    <w:p w14:paraId="37809EDB" w14:textId="49EBC624"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880B70">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880B70">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5A548A63"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880B70">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r w:rsidR="00865166">
        <w:t xml:space="preserve">adolescent weight </w:t>
      </w:r>
      <w:r w:rsidR="00865166">
        <w:fldChar w:fldCharType="begin" w:fldLock="1"/>
      </w:r>
      <w:r w:rsidR="00880B70">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"[5]" }, "properties" : { "noteIndex" : 0 }, "schema" : "https://github.com/citation-style-language/schema/raw/master/csl-citation.json" }</w:instrText>
      </w:r>
      <w:r w:rsidR="00865166">
        <w:fldChar w:fldCharType="separate"/>
      </w:r>
      <w:r w:rsidR="004157E4" w:rsidRPr="004157E4">
        <w:rPr>
          <w:noProof/>
        </w:rPr>
        <w:t>[5]</w:t>
      </w:r>
      <w:r w:rsidR="00865166">
        <w:fldChar w:fldCharType="end"/>
      </w:r>
      <w:r w:rsidR="004157E4">
        <w:t>,</w:t>
      </w:r>
      <w:r w:rsidR="00865166">
        <w:t xml:space="preserve"> </w:t>
      </w:r>
      <w:r w:rsidR="004157E4">
        <w:t xml:space="preserve">leptin </w:t>
      </w:r>
      <w:r w:rsidR="004157E4">
        <w:fldChar w:fldCharType="begin" w:fldLock="1"/>
      </w:r>
      <w:r w:rsidR="00880B70">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"id" : "ITEM-2", "itemData" : { "DOI" : "10.1210/jc.2006-1390", "ISSN" : "0021-972X", "PMID" : "17179198", "abstract" : "OBJECTIVE: Our objective was to examine serum leptin prospectively as a predictor of weight and body fat growth in children at high risk for adult obesity. We hypothesized that leptin measurements would be positively associated with increased growth of adipose tissue because children with high baseline leptin for their body fat mass have greater leptin resistance and thus would have greater susceptibility to weight gain.\n\nMETHODS: Children ages 6-12 yr at high risk for adult obesity because of early-onset childhood overweight and/or parental overweight were recruited from 1996-2004. Growth in body mass index (BMI) was studied in 197 children, and growth in total body fat mass was examined in 149 children over an average follow-up interval of 4.4 yr (range, 1-8 yr). Longitudinal analyses accounted for sex, race, socioeconomic status, initial body composition, age, skeletal age, and physical activity and included all available interim visits for each individual so that a total of 982 subject visits were included in the analysis.\n\nRESULTS: At baseline, 43% of children studied were overweight (BMI &gt; or = 95th percentile); during follow-up, an additional 14% became overweight. Independent of initial body composition, baseline leptin was a statistically significant positive predictor of increased BMI (P = 0.0147) and increased total body fat mass (P &lt; 0.007).\n\nCONCLUSIONS: High serum leptin, independent of body fat, may be an indicator of increased leptin resistance, which predisposes children at high risk for adult obesity to somewhat greater growth in weight and body fat during childhood.", "author" : [ { "dropping-particle" : "", "family" : "Fleisch", "given" : "Abby F", "non-dropping-particle" : "", "parse-names" : false, "suffix" : "" }, { "dropping-particle" : "", "family" : "Agarwal", "given" : "Neha", "non-dropping-particle" : "", "parse-names" : false, "suffix" : "" }, { "dropping-particle" : "", "family" : "Roberts", "given" : "Mary D", "non-dropping-particle" : "", "parse-names" : false, "suffix" : "" }, { "dropping-particle" : "", "family" : "Han", "given" : "Joan C", "non-dropping-particle" : "", "parse-names" : false, "suffix" : "" }, { "dropping-particle" : "", "family" : "Theim", "given" : "Kelly R", "non-dropping-particle" : "", "parse-names" : false, "suffix" : "" }, { "dropping-particle" : "", "family" : "Vexler", "given" : "Albert", "non-dropping-particle" : "", "parse-names" : false, "suffix" : "" }, { "dropping-particle" : "", "family" : "Troendle", "given" : "James", "non-dropping-particle" : "", "parse-names" : false, "suffix" : "" }, { "dropping-particle" : "", "family" : "Yanovski", "given" : "Susan Z", "non-dropping-particle" : "", "parse-names" : false, "suffix" : "" }, { "dropping-particle" : "", "family" : "Yanovski", "given" : "Jack a", "non-dropping-particle" : "", "parse-names" : false, "suffix" : "" } ], "container-title" : "The Journal of clinical endocrinology and metabolism", "id" : "ITEM-2", "issue" : "3", "issued" : { "date-parts" : [ [ "2007", "3" ] ] }, "page" : "948-54", "title" : "Influence of serum leptin on weight and body fat growth in children at high risk for adult obesity.", "type" : "article-journal", "volume" : "92" }, "uris" : [ "http://www.mendeley.com/documents/?uuid=b8c55584-e591-4426-827d-56dae107f548" ] } ], "mendeley" : { "previouslyFormattedCitation" : "[6, 7]" }, "properties" : { "noteIndex" : 0 }, "schema" : "https://github.com/citation-style-language/schema/raw/master/csl-citation.json" }</w:instrText>
      </w:r>
      <w:r w:rsidR="004157E4">
        <w:fldChar w:fldCharType="separate"/>
      </w:r>
      <w:r w:rsidR="004157E4" w:rsidRPr="004157E4">
        <w:rPr>
          <w:noProof/>
        </w:rPr>
        <w:t>[6, 7]</w:t>
      </w:r>
      <w:r w:rsidR="004157E4">
        <w:fldChar w:fldCharType="end"/>
      </w:r>
      <w:r w:rsidR="004157E4">
        <w:t xml:space="preserve">, </w:t>
      </w:r>
      <w:r w:rsidR="00865166">
        <w:t xml:space="preserve">and binge eating </w:t>
      </w:r>
      <w:r w:rsidR="00B12DDE">
        <w:fldChar w:fldCharType="begin" w:fldLock="1"/>
      </w:r>
      <w:r w:rsidR="00880B70">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"[5, 8]" }, "properties" : { "noteIndex" : 0 }, "schema" : "https://github.com/citation-style-language/schema/raw/master/csl-citation.json" }</w:instrText>
      </w:r>
      <w:r w:rsidR="00B12DDE">
        <w:fldChar w:fldCharType="separate"/>
      </w:r>
      <w:r w:rsidR="004157E4" w:rsidRPr="004157E4">
        <w:rPr>
          <w:noProof/>
        </w:rPr>
        <w:t>[5, 8]</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6C678D5C"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880B70">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"[9, 10]" }, "properties" : { "noteIndex" : 0 }, "schema" : "https://github.com/citation-style-language/schema/raw/master/csl-citation.json" }</w:instrText>
      </w:r>
      <w:r w:rsidR="00D031F1">
        <w:fldChar w:fldCharType="separate"/>
      </w:r>
      <w:r w:rsidR="00EB2B16" w:rsidRPr="00EB2B16">
        <w:rPr>
          <w:noProof/>
        </w:rPr>
        <w:t>[9, 10]</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880B70">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"id" : "ITEM-2",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"ITEM-2",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"mendeley" : { "previouslyFormattedCitation" : "[11, 12]" }, "properties" : { "noteIndex" : 0 }, "schema" : "https://github.com/citation-style-language/schema/raw/master/csl-citation.json" }</w:instrText>
      </w:r>
      <w:r w:rsidR="00C47379">
        <w:fldChar w:fldCharType="separate"/>
      </w:r>
      <w:r w:rsidR="004157E4" w:rsidRPr="004157E4">
        <w:rPr>
          <w:noProof/>
        </w:rPr>
        <w:t>[11, 12]</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obesogenic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and ob/ob</w:t>
      </w:r>
      <w:r w:rsidR="008E754F">
        <w:t xml:space="preserve"> </w:t>
      </w:r>
      <w:r w:rsidR="008E754F" w:rsidRPr="008E754F">
        <w:rPr>
          <w:i/>
        </w:rPr>
        <w:t>(Lep</w:t>
      </w:r>
      <w:r w:rsidR="008E754F" w:rsidRPr="008E754F">
        <w:rPr>
          <w:i/>
          <w:vertAlign w:val="superscript"/>
        </w:rPr>
        <w:t>ob/ob</w:t>
      </w:r>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8640 Teklad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w:t>
      </w:r>
      <w:r w:rsidR="00760733">
        <w:t xml:space="preserve">The </w:t>
      </w:r>
      <w:proofErr w:type="gramStart"/>
      <w:r w:rsidR="00760733">
        <w:t>composition of these diets are</w:t>
      </w:r>
      <w:proofErr w:type="gramEnd"/>
      <w:r w:rsidR="00760733">
        <w:t xml:space="preserve"> presented in Table 1.  Note that there are seasonal variations in the composition of the Teklad diet, and therefore these numbers are reasonable estimates on a </w:t>
      </w:r>
      <w:proofErr w:type="gramStart"/>
      <w:r w:rsidR="00760733">
        <w:t>batch to batch</w:t>
      </w:r>
      <w:proofErr w:type="gramEnd"/>
      <w:r w:rsidR="00760733">
        <w:t xml:space="preserve"> basis.  </w:t>
      </w:r>
      <w:r>
        <w:t xml:space="preserve">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5EFA86B0"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r w:rsidR="00AC1581">
        <w:t xml:space="preserve"> For the ~215 day ol</w:t>
      </w:r>
      <w:r w:rsidR="00C10601">
        <w:t>d mouse cohort shown in Figure 2</w:t>
      </w:r>
      <w:r w:rsidR="00AC1581">
        <w:t>A, these mice were maintained on NCD for a longer duration than other cohorts, before fasting responses were measured.</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 xml:space="preserve">Serum hormone levels were measured using a Bio-Plex Pro Mouse Diabetes Panel 8-Plex kit (#171-F7001M) on a Luminex 100/200 Plate reader with xPONENT software. Bio-Plex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Blood glucose levels were taken from all experimental mice after 16 hours of fasting pre-diet and post-diet, while refed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7C8F980B" w:rsidR="00A708F6" w:rsidRDefault="00A708F6" w:rsidP="00235AFE">
      <w:pPr>
        <w:spacing w:line="480" w:lineRule="auto"/>
      </w:pPr>
      <w:r>
        <w:t>All statistical analyses were performed using R version 3</w:t>
      </w:r>
      <w:r w:rsidR="004D1AF6">
        <w:t>.</w:t>
      </w:r>
      <w:bookmarkStart w:id="0" w:name="_GoBack"/>
      <w:bookmarkEnd w:id="0"/>
      <w:r w:rsidR="004D1AF6">
        <w:t>1.0</w:t>
      </w:r>
      <w:r w:rsidR="00B96C88">
        <w:fldChar w:fldCharType="begin" w:fldLock="1"/>
      </w:r>
      <w:r w:rsidR="00880B70">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"[13]" }, "properties" : { "noteIndex" : 0 }, "schema" : "https://github.com/citation-style-language/schema/raw/master/csl-citation.json" }</w:instrText>
      </w:r>
      <w:r w:rsidR="00B96C88">
        <w:fldChar w:fldCharType="separate"/>
      </w:r>
      <w:r w:rsidR="004157E4" w:rsidRPr="004157E4">
        <w:rPr>
          <w:noProof/>
        </w:rPr>
        <w:t>[13]</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880B70">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"[14]" }, "properties" : { "noteIndex" : 0 }, "schema" : "https://github.com/citation-style-language/schema/raw/master/csl-citation.json" }</w:instrText>
      </w:r>
      <w:r w:rsidR="00B96C88">
        <w:fldChar w:fldCharType="separate"/>
      </w:r>
      <w:r w:rsidR="004157E4" w:rsidRPr="004157E4">
        <w:rPr>
          <w:noProof/>
        </w:rPr>
        <w:t>[14]</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w:t>
      </w:r>
      <w:proofErr w:type="gramStart"/>
      <w:r>
        <w:t>model</w:t>
      </w:r>
      <w:proofErr w:type="gramEnd"/>
      <w:r>
        <w:t xml:space="preserve"> without the </w:t>
      </w:r>
      <w:r w:rsidR="004A58BC">
        <w:t>d</w:t>
      </w:r>
      <w:r>
        <w:t xml:space="preserve">iet </w:t>
      </w:r>
      <w:r w:rsidR="004A58BC">
        <w:t>t</w:t>
      </w:r>
      <w:r>
        <w:t xml:space="preserve">ype term. To examine the effects of specific </w:t>
      </w:r>
      <w:r w:rsidR="00470918">
        <w:t>differences from HFD fed animals</w:t>
      </w:r>
      <w:r>
        <w:t xml:space="preserve"> we performed a Dunnett’s test on the mixed effects models using the multcomp package (version</w:t>
      </w:r>
      <w:r w:rsidR="0040433C">
        <w:t xml:space="preserve"> 1.3-2</w:t>
      </w:r>
      <w:r>
        <w:t xml:space="preserve"> </w:t>
      </w:r>
      <w:r w:rsidR="00B96C88">
        <w:fldChar w:fldCharType="begin" w:fldLock="1"/>
      </w:r>
      <w:r w:rsidR="00880B70">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"[15]" }, "properties" : { "noteIndex" : 0 }, "schema" : "https://github.com/citation-style-language/schema/raw/master/csl-citation.json" }</w:instrText>
      </w:r>
      <w:r w:rsidR="00B96C88">
        <w:fldChar w:fldCharType="separate"/>
      </w:r>
      <w:r w:rsidR="004157E4" w:rsidRPr="004157E4">
        <w:rPr>
          <w:noProof/>
        </w:rPr>
        <w:t>[15]</w:t>
      </w:r>
      <w:r w:rsidR="00B96C88">
        <w:fldChar w:fldCharType="end"/>
      </w:r>
      <w:r>
        <w:t>).</w:t>
      </w:r>
    </w:p>
    <w:p w14:paraId="329D3DFA" w14:textId="77777777" w:rsidR="00A708F6" w:rsidRDefault="00A708F6" w:rsidP="00235AFE">
      <w:pPr>
        <w:spacing w:line="480" w:lineRule="auto"/>
      </w:pPr>
    </w:p>
    <w:p w14:paraId="02919AED" w14:textId="1E84B075" w:rsidR="001D0CDB" w:rsidRDefault="00C779AF" w:rsidP="00235AFE">
      <w:pPr>
        <w:spacing w:line="480" w:lineRule="auto"/>
      </w:pPr>
      <w:r>
        <w:t xml:space="preserve">Correlations were determined using </w:t>
      </w:r>
      <w:r w:rsidR="006D4086">
        <w:t>Spearman’s rho</w:t>
      </w:r>
      <w:r w:rsidR="00A708F6">
        <w:t xml:space="preserve"> </w:t>
      </w:r>
      <w:r w:rsidR="006D4086">
        <w:t xml:space="preserve">after </w:t>
      </w:r>
      <w:r>
        <w:t>testing whether the covariates were normally distributed</w:t>
      </w:r>
      <w:r w:rsidR="006D4086">
        <w:t xml:space="preserve"> (Shapiro-Wilk test p&lt;0.05)</w:t>
      </w:r>
      <w:r w:rsidR="00A708F6">
        <w:t xml:space="preserve">.  </w:t>
      </w:r>
      <w:r w:rsidR="008E560D">
        <w:t>For potential</w:t>
      </w:r>
      <w:r w:rsidR="001F6C0C">
        <w:t xml:space="preserve"> correlates of weight gain, p-values were adjusted for multiple observations by the method of Benjamini and Hochberg </w:t>
      </w:r>
      <w:r w:rsidR="00B60E3C">
        <w:fldChar w:fldCharType="begin" w:fldLock="1"/>
      </w:r>
      <w:r w:rsidR="00880B70">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4157E4" w:rsidRPr="004157E4">
        <w:rPr>
          <w:noProof/>
        </w:rPr>
        <w:t>[16]</w:t>
      </w:r>
      <w:r w:rsidR="00B60E3C">
        <w:fldChar w:fldCharType="end"/>
      </w:r>
      <w:r w:rsidR="001F6C0C">
        <w:t xml:space="preserve">.  </w:t>
      </w:r>
      <w:r w:rsidR="00857677" w:rsidRPr="00857677">
        <w:t xml:space="preserve">When a difference or correlation was observed to be significant (or not to be significant) over multiple combined cohorts of mice we also examined each of these cohorts separately.  If the combined trend agreed with </w:t>
      </w:r>
      <w:r w:rsidR="008431A4">
        <w:t>all</w:t>
      </w:r>
      <w:r w:rsidR="00F951A0">
        <w:t xml:space="preserve"> </w:t>
      </w:r>
      <w:r w:rsidR="00857677" w:rsidRPr="00857677">
        <w:t>of these cohorts</w:t>
      </w:r>
      <w:r w:rsidR="008431A4">
        <w:t xml:space="preserve"> independently</w:t>
      </w:r>
      <w:r w:rsidR="00857677" w:rsidRPr="00857677">
        <w:t xml:space="preserve">, we used the combined groups with its increased statistical power.  If there was not agreement in </w:t>
      </w:r>
      <w:r w:rsidR="008431A4">
        <w:t>all</w:t>
      </w:r>
      <w:r w:rsidR="00857677" w:rsidRPr="00857677">
        <w:t xml:space="preserve"> cohorts we do not report this effect as significant, even if the comb</w:t>
      </w:r>
      <w:r w:rsidR="00857677">
        <w:t>ined analysis suggested it was.</w:t>
      </w:r>
    </w:p>
    <w:p w14:paraId="0DC91316" w14:textId="77777777" w:rsidR="001D0CDB" w:rsidRDefault="001D0CDB" w:rsidP="00235AFE">
      <w:pPr>
        <w:spacing w:line="480" w:lineRule="auto"/>
      </w:pPr>
    </w:p>
    <w:p w14:paraId="555F6594" w14:textId="2117134C" w:rsidR="00A708F6" w:rsidRPr="007E009E" w:rsidRDefault="00A708F6" w:rsidP="00235AFE">
      <w:pPr>
        <w:spacing w:line="480" w:lineRule="auto"/>
      </w:pPr>
      <w:r>
        <w:t>For examining effects of the three dietary treatments, we first performed an ANOVA</w:t>
      </w:r>
      <w:r w:rsidR="00477C1C">
        <w:t xml:space="preserve"> or Kruskal-Wallis test, depending on whether the data were normally distributed (p&gt;0.05 by Shapiro-Wilk Test).  If</w:t>
      </w:r>
      <w:r>
        <w:t xml:space="preserve"> that was significant</w:t>
      </w:r>
      <w:r w:rsidR="005A3A52">
        <w:t>,</w:t>
      </w:r>
      <w:r>
        <w:t xml:space="preserve"> a Tukey post-hoc test </w:t>
      </w:r>
      <w:r w:rsidR="00477C1C">
        <w:t>or pairwise Wilcoxon Rank Sum Tests were</w:t>
      </w:r>
      <w:r>
        <w:t xml:space="preserve"> </w:t>
      </w:r>
      <w:r w:rsidR="007137E7">
        <w:t>used</w:t>
      </w:r>
      <w:r>
        <w:t xml:space="preserve">. </w:t>
      </w:r>
      <w:r w:rsidR="00350E61">
        <w:t xml:space="preserve">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04B1282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decrease</w:t>
      </w:r>
      <w:r w:rsidR="000F51BF">
        <w:t>d</w:t>
      </w:r>
      <w:r w:rsidR="00FE33C2">
        <w:t xml:space="preserve"> </w:t>
      </w:r>
      <w:r w:rsidR="00235AFE">
        <w:t xml:space="preserve">even </w:t>
      </w:r>
      <w:r w:rsidR="00FE33C2">
        <w:t xml:space="preserve">as the mice gained weight.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proofErr w:type="gramStart"/>
      <w:r w:rsidR="000F400E">
        <w:t>2.0</w:t>
      </w:r>
      <w:r w:rsidR="00451ED8">
        <w:t xml:space="preserve">  </w:t>
      </w:r>
      <w:r w:rsidR="000B7258">
        <w:t>kcal</w:t>
      </w:r>
      <w:proofErr w:type="gramEnd"/>
      <w:r w:rsidR="000B7258">
        <w:t>/mouse/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2A87AD1E" w14:textId="54CFF063" w:rsidR="00696479" w:rsidRDefault="004A3389" w:rsidP="00235AFE">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refed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r w:rsidR="00654902">
        <w:t>r</w:t>
      </w:r>
      <w:r w:rsidR="00C6702E">
        <w:t>esistin</w:t>
      </w:r>
      <w:r w:rsidR="0083433C">
        <w:t xml:space="preserve">, </w:t>
      </w:r>
      <w:r w:rsidR="004225D6">
        <w:t xml:space="preserve">total </w:t>
      </w:r>
      <w:r w:rsidR="00654902">
        <w:t>g</w:t>
      </w:r>
      <w:r w:rsidR="0083433C">
        <w:t>hrelin</w:t>
      </w:r>
      <w:r w:rsidR="003C4A14">
        <w:t>, GLP-1</w:t>
      </w:r>
      <w:r w:rsidR="0083433C">
        <w:t xml:space="preserve"> and </w:t>
      </w:r>
      <w:r w:rsidR="00654902">
        <w:t>leptin</w:t>
      </w:r>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resistin and leptin </w:t>
      </w:r>
      <w:r w:rsidR="0019180D">
        <w:fldChar w:fldCharType="begin" w:fldLock="1"/>
      </w:r>
      <w:r w:rsidR="00880B70">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4157E4" w:rsidRPr="004157E4">
        <w:rPr>
          <w:noProof/>
        </w:rPr>
        <w:t>[17, 18]</w:t>
      </w:r>
      <w:r w:rsidR="0019180D">
        <w:fldChar w:fldCharType="end"/>
      </w:r>
      <w:r w:rsidR="0019180D">
        <w:t>.</w:t>
      </w:r>
      <w:r w:rsidR="00CD0C14">
        <w:t xml:space="preserve">  </w:t>
      </w:r>
      <w:r w:rsidR="005E01E6">
        <w:t>Futhermore, the fasting/</w:t>
      </w:r>
      <w:r w:rsidR="00356657">
        <w:t>re-feeding</w:t>
      </w:r>
      <w:r w:rsidR="005E01E6">
        <w:t xml:space="preserve"> responses (decreases in total ghrelin, glucagon, GLP-1 and increases with insulin) are consistent with previous data, supportive of a normal fasting response </w:t>
      </w:r>
      <w:r w:rsidR="00F5171A">
        <w:fldChar w:fldCharType="begin" w:fldLock="1"/>
      </w:r>
      <w:r w:rsidR="00880B70">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"[19\u201322]" }, "properties" : { "noteIndex" : 0 }, "schema" : "https://github.com/citation-style-language/schema/raw/master/csl-citation.json" }</w:instrText>
      </w:r>
      <w:r w:rsidR="00F5171A">
        <w:fldChar w:fldCharType="separate"/>
      </w:r>
      <w:r w:rsidR="004157E4" w:rsidRPr="004157E4">
        <w:rPr>
          <w:noProof/>
        </w:rPr>
        <w:t>[19–22]</w:t>
      </w:r>
      <w:r w:rsidR="00F5171A">
        <w:fldChar w:fldCharType="end"/>
      </w:r>
      <w:r w:rsidR="005E01E6">
        <w:t xml:space="preserve">.  </w:t>
      </w:r>
      <w:r w:rsidR="00CD0C14">
        <w:t>Based on these data, the hormonal responses in these 16h fasted mice appear normal.</w:t>
      </w:r>
    </w:p>
    <w:p w14:paraId="32091318" w14:textId="77777777" w:rsidR="00696479" w:rsidRDefault="00922A4E" w:rsidP="00235AFE">
      <w:pPr>
        <w:pStyle w:val="Heading2"/>
        <w:spacing w:line="480" w:lineRule="auto"/>
      </w:pPr>
      <w:r>
        <w:t>Predictors of Weight Gain</w:t>
      </w:r>
    </w:p>
    <w:p w14:paraId="212E463A" w14:textId="326A2CDE"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C10601">
        <w:t>1</w:t>
      </w:r>
      <w:r w:rsidR="007E1355">
        <w:t>A</w:t>
      </w:r>
      <w:r w:rsidR="00A13CB4">
        <w:t xml:space="preserve"> and B)</w:t>
      </w:r>
      <w:r w:rsidR="00341DE9">
        <w:t xml:space="preserve">. We observed no </w:t>
      </w:r>
      <w:r w:rsidR="00A20612">
        <w:t xml:space="preserve">significant </w:t>
      </w:r>
      <w:r w:rsidR="00341DE9">
        <w:t xml:space="preserve">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w:t>
      </w:r>
      <w:r w:rsidR="00A20612">
        <w:t>089</w:t>
      </w:r>
      <w:r w:rsidR="00280E83">
        <w:t>, R</w:t>
      </w:r>
      <w:r w:rsidR="00A20612">
        <w:t>ho</w:t>
      </w:r>
      <w:r w:rsidR="00280E83">
        <w:rPr>
          <w:vertAlign w:val="superscript"/>
        </w:rPr>
        <w:t>2</w:t>
      </w:r>
      <w:r w:rsidR="00280E83">
        <w:t>=0.</w:t>
      </w:r>
      <w:r w:rsidR="00A20612">
        <w:t>12</w:t>
      </w:r>
      <w:r w:rsidR="00341DE9">
        <w:t>) and percent weight gain (</w:t>
      </w:r>
      <w:r w:rsidR="007E1355">
        <w:t>p=</w:t>
      </w:r>
      <w:r w:rsidR="00280E83">
        <w:t>0.</w:t>
      </w:r>
      <w:r w:rsidR="00A20612">
        <w:t>89</w:t>
      </w:r>
      <w:r w:rsidR="00280E83">
        <w:t>, R</w:t>
      </w:r>
      <w:r w:rsidR="00A20612">
        <w:t>ho</w:t>
      </w:r>
      <w:r w:rsidR="00280E83">
        <w:rPr>
          <w:vertAlign w:val="superscript"/>
        </w:rPr>
        <w:t>2</w:t>
      </w:r>
      <w:r w:rsidR="00280E83">
        <w:t>=0.00</w:t>
      </w:r>
      <w:r w:rsidR="00A20612">
        <w:t>08</w:t>
      </w:r>
      <w:r w:rsidR="00341DE9">
        <w:t>)</w:t>
      </w:r>
      <w:r w:rsidR="007E1355">
        <w:t xml:space="preserve"> for HFD fed animals</w:t>
      </w:r>
      <w:r w:rsidR="00341DE9">
        <w:t>.</w:t>
      </w:r>
      <w:r w:rsidR="00A20612">
        <w:t xml:space="preserve">  We also did not observe any correlation for between initial weight and weight gain for NCD or CD fed animals.</w:t>
      </w:r>
      <w:r w:rsidR="00280E83">
        <w:t xml:space="preserve"> </w:t>
      </w:r>
    </w:p>
    <w:p w14:paraId="0FA73CA4" w14:textId="77777777" w:rsidR="00195F04" w:rsidRDefault="00195F04" w:rsidP="00235AFE">
      <w:pPr>
        <w:spacing w:line="480" w:lineRule="auto"/>
      </w:pPr>
    </w:p>
    <w:p w14:paraId="561CA808" w14:textId="49294DF4"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C10601">
        <w:t>1</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43135B22" w14:textId="25C4ABC8" w:rsidR="00C779AF"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w:t>
      </w:r>
      <w:proofErr w:type="gramStart"/>
      <w:r w:rsidR="0052115C">
        <w:t>diet induced</w:t>
      </w:r>
      <w:proofErr w:type="gramEnd"/>
      <w:r w:rsidR="0052115C">
        <w:t xml:space="preserve"> obesity</w:t>
      </w:r>
      <w:r>
        <w:t xml:space="preserve">. </w:t>
      </w:r>
      <w:r w:rsidR="00065CCA">
        <w:t xml:space="preserve">To do this, we deprived mice of food for 16h both before the dietary intervention, and after it.  </w:t>
      </w:r>
      <w:r w:rsidR="000A02BC">
        <w:t xml:space="preserve">Fasting </w:t>
      </w:r>
      <w:r w:rsidR="00C078B6">
        <w:t>responses</w:t>
      </w:r>
      <w:r w:rsidR="00C779AF">
        <w:t xml:space="preserve">, as measured by </w:t>
      </w:r>
      <w:r w:rsidR="0046010F">
        <w:t xml:space="preserve">either absolute or </w:t>
      </w:r>
      <w:r w:rsidR="00C779AF">
        <w:t>percent reductions in body weight</w:t>
      </w:r>
      <w:r w:rsidR="00C078B6">
        <w:t xml:space="preserve"> </w:t>
      </w:r>
      <w:r w:rsidR="00DB3A5C">
        <w:t xml:space="preserve">were </w:t>
      </w:r>
      <w:r w:rsidR="00986895">
        <w:t>stable</w:t>
      </w:r>
      <w:r>
        <w:t xml:space="preserve"> </w:t>
      </w:r>
      <w:r w:rsidR="000A02BC">
        <w:t xml:space="preserve">within </w:t>
      </w:r>
      <w:r w:rsidR="00986895">
        <w:t xml:space="preserve">NCD fed </w:t>
      </w:r>
      <w:r w:rsidR="000A02BC">
        <w:t xml:space="preserve">male </w:t>
      </w:r>
      <w:r w:rsidR="00B05EA2">
        <w:t>C57BL</w:t>
      </w:r>
      <w:r w:rsidR="00DB3A5C">
        <w:t>/</w:t>
      </w:r>
      <w:r w:rsidR="00B05EA2">
        <w:t>6J mice over time (</w:t>
      </w:r>
      <w:r>
        <w:t xml:space="preserve">Figure </w:t>
      </w:r>
      <w:r w:rsidR="00C10601">
        <w:t>2</w:t>
      </w:r>
      <w:r>
        <w:t>A</w:t>
      </w:r>
      <w:r w:rsidR="0059233A">
        <w:t>, Rho</w:t>
      </w:r>
      <w:r w:rsidR="0059233A">
        <w:rPr>
          <w:vertAlign w:val="superscript"/>
        </w:rPr>
        <w:t>2</w:t>
      </w:r>
      <w:r w:rsidR="0046010F">
        <w:t>&lt;</w:t>
      </w:r>
      <w:r w:rsidR="0059233A">
        <w:t>0.02, p</w:t>
      </w:r>
      <w:r w:rsidR="0046010F">
        <w:t>&gt;</w:t>
      </w:r>
      <w:r w:rsidR="0059233A">
        <w:t>0.26</w:t>
      </w:r>
      <w:r w:rsidR="00B05EA2">
        <w:t xml:space="preserve">), </w:t>
      </w:r>
      <w:r w:rsidR="00C779AF">
        <w:t xml:space="preserve">and </w:t>
      </w:r>
      <w:r w:rsidR="003A4EED">
        <w:t xml:space="preserve">only </w:t>
      </w:r>
      <w:r w:rsidR="00C779AF">
        <w:t>weakly correlated</w:t>
      </w:r>
      <w:r w:rsidR="00623191">
        <w:t xml:space="preserve"> with </w:t>
      </w:r>
      <w:r w:rsidR="00C779AF">
        <w:t xml:space="preserve">the </w:t>
      </w:r>
      <w:r w:rsidR="00623191">
        <w:t xml:space="preserve">pre-diet weight </w:t>
      </w:r>
      <w:r w:rsidR="00C779AF">
        <w:t>fasting responses</w:t>
      </w:r>
      <w:r w:rsidR="00623191">
        <w:t xml:space="preserve"> within mice</w:t>
      </w:r>
      <w:r w:rsidR="0046010F">
        <w:t xml:space="preserve"> in either relative or absolute terms</w:t>
      </w:r>
      <w:r w:rsidR="00623191" w:rsidRPr="00235AFE">
        <w:rPr>
          <w:rStyle w:val="CommentReference"/>
        </w:rPr>
        <w:t xml:space="preserve"> </w:t>
      </w:r>
      <w:r w:rsidR="004A14E1">
        <w:t xml:space="preserve">(Figure </w:t>
      </w:r>
      <w:r w:rsidR="00C10601">
        <w:t>2</w:t>
      </w:r>
      <w:r w:rsidR="004A14E1">
        <w:t>B</w:t>
      </w:r>
      <w:r w:rsidR="00C779AF">
        <w:t>, Rho</w:t>
      </w:r>
      <w:r w:rsidR="00C779AF">
        <w:rPr>
          <w:vertAlign w:val="superscript"/>
        </w:rPr>
        <w:t>2</w:t>
      </w:r>
      <w:r w:rsidR="0046010F">
        <w:t>&lt;0.12</w:t>
      </w:r>
      <w:r w:rsidR="00C779AF">
        <w:t>, p</w:t>
      </w:r>
      <w:r w:rsidR="0046010F">
        <w:t>&lt;</w:t>
      </w:r>
      <w:r w:rsidR="00C779AF">
        <w:t>0.019 for HFD and Rho</w:t>
      </w:r>
      <w:r w:rsidR="00C779AF" w:rsidRPr="00C779AF">
        <w:rPr>
          <w:vertAlign w:val="superscript"/>
        </w:rPr>
        <w:t>2</w:t>
      </w:r>
      <w:r w:rsidR="0046010F">
        <w:t>&lt;</w:t>
      </w:r>
      <w:r w:rsidR="0059233A">
        <w:t>0.</w:t>
      </w:r>
      <w:r w:rsidR="0046010F">
        <w:t>153</w:t>
      </w:r>
      <w:r w:rsidR="00C779AF">
        <w:t>,p</w:t>
      </w:r>
      <w:r w:rsidR="0046010F">
        <w:t>&lt;</w:t>
      </w:r>
      <w:r w:rsidR="00C779AF">
        <w:t>0.0</w:t>
      </w:r>
      <w:r w:rsidR="00DD2B73">
        <w:t>31</w:t>
      </w:r>
      <w:r w:rsidR="00C779AF">
        <w:t xml:space="preserve"> for CD</w:t>
      </w:r>
      <w:r w:rsidR="004A14E1">
        <w:t xml:space="preserve">).  </w:t>
      </w:r>
    </w:p>
    <w:p w14:paraId="72C71367" w14:textId="77777777" w:rsidR="00C779AF" w:rsidRDefault="00C779AF" w:rsidP="00235AFE">
      <w:pPr>
        <w:spacing w:line="480" w:lineRule="auto"/>
      </w:pPr>
    </w:p>
    <w:p w14:paraId="3CE35327" w14:textId="6B546E2E" w:rsidR="005D6B00" w:rsidRDefault="00C779AF" w:rsidP="00235AFE">
      <w:pPr>
        <w:spacing w:line="480" w:lineRule="auto"/>
      </w:pPr>
      <w:r>
        <w:t>As</w:t>
      </w:r>
      <w:r w:rsidR="00C10601">
        <w:t xml:space="preserve"> shown in Figure 2</w:t>
      </w:r>
      <w:r w:rsidR="00F661C1">
        <w:t xml:space="preserve">C, </w:t>
      </w:r>
      <w:r w:rsidR="00B05EA2">
        <w:t>fasting</w:t>
      </w:r>
      <w:r>
        <w:t>-induced</w:t>
      </w:r>
      <w:r w:rsidR="00B05EA2">
        <w:t xml:space="preserve">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w:t>
      </w:r>
      <w:r w:rsidR="00D82546">
        <w:t>&lt;0.0005</w:t>
      </w:r>
      <w:r w:rsidR="00B05EA2">
        <w:t>)</w:t>
      </w:r>
      <w:r>
        <w:t xml:space="preserve"> after the dietary treatment</w:t>
      </w:r>
      <w:r w:rsidR="00B05EA2">
        <w:t xml:space="preserve">. </w:t>
      </w:r>
      <w:r w:rsidR="002E25DA">
        <w:t xml:space="preserve"> CD-fed mice also had a </w:t>
      </w:r>
      <w:r>
        <w:t>stronger</w:t>
      </w:r>
      <w:r w:rsidR="002E25DA">
        <w:t xml:space="preserve"> fasting response than HFD mice (p=0.000</w:t>
      </w:r>
      <w:r w:rsidR="00D82546">
        <w:t>18</w:t>
      </w:r>
      <w:r w:rsidR="002E25DA">
        <w:t>).</w:t>
      </w:r>
      <w:r w:rsidR="005D6B00">
        <w:t xml:space="preserve">  We tested whether the post-diet body weight could explain these differences</w:t>
      </w:r>
      <w:r w:rsidR="00FA677D">
        <w:t xml:space="preserve"> in fasting and </w:t>
      </w:r>
      <w:r w:rsidR="00356657">
        <w:t>re-feeding</w:t>
      </w:r>
      <w:r w:rsidR="00FA677D">
        <w:t xml:space="preserve"> responses</w:t>
      </w:r>
      <w:r w:rsidR="001660D5">
        <w:t xml:space="preserve">.  Globally, there was </w:t>
      </w:r>
      <w:r w:rsidR="00356657">
        <w:t xml:space="preserve">a </w:t>
      </w:r>
      <w:r w:rsidR="00C46CEB">
        <w:t>no significant</w:t>
      </w:r>
      <w:r w:rsidR="001660D5">
        <w:t xml:space="preserve"> correlation between body weight and </w:t>
      </w:r>
      <w:r w:rsidR="00356657">
        <w:t xml:space="preserve">the </w:t>
      </w:r>
      <w:r w:rsidR="00C46CEB">
        <w:t>absolute</w:t>
      </w:r>
      <w:r w:rsidR="00356657">
        <w:t xml:space="preserve"> weight lost during the 16 fast</w:t>
      </w:r>
      <w:r w:rsidR="001660D5">
        <w:t xml:space="preserve"> (p=</w:t>
      </w:r>
      <w:r w:rsidR="00C46CEB">
        <w:t>0.881</w:t>
      </w:r>
      <w:r w:rsidR="001660D5">
        <w:t>).  When we separated the mice by dietary treatment we observed a significant positive correlation between body weight and absolute weight loss in the HFD treated mice only (R</w:t>
      </w:r>
      <w:r w:rsidR="00A850D4">
        <w:t>ho</w:t>
      </w:r>
      <w:r w:rsidR="001660D5" w:rsidRPr="004C32E5">
        <w:rPr>
          <w:vertAlign w:val="superscript"/>
        </w:rPr>
        <w:t>2</w:t>
      </w:r>
      <w:r w:rsidR="001660D5">
        <w:t xml:space="preserve"> = 0.</w:t>
      </w:r>
      <w:r w:rsidR="00A850D4">
        <w:t>404</w:t>
      </w:r>
      <w:r w:rsidR="001660D5">
        <w:t>, p=</w:t>
      </w:r>
      <w:r w:rsidR="00A850D4">
        <w:t>7.5</w:t>
      </w:r>
      <w:r w:rsidR="001660D5">
        <w:t xml:space="preserve"> x 10</w:t>
      </w:r>
      <w:r w:rsidR="001660D5">
        <w:rPr>
          <w:vertAlign w:val="superscript"/>
        </w:rPr>
        <w:t>-</w:t>
      </w:r>
      <w:r w:rsidR="00A850D4">
        <w:rPr>
          <w:vertAlign w:val="superscript"/>
        </w:rPr>
        <w:t>11</w:t>
      </w:r>
      <w:r w:rsidR="00C10601">
        <w:t>, Figure 2</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w:t>
      </w:r>
      <w:r w:rsidR="00A850D4">
        <w:t>22</w:t>
      </w:r>
      <w:r w:rsidR="004A58BC">
        <w:t>).</w:t>
      </w:r>
    </w:p>
    <w:p w14:paraId="48F55D27" w14:textId="77777777" w:rsidR="005D6B00" w:rsidRDefault="005D6B00" w:rsidP="00235AFE">
      <w:pPr>
        <w:spacing w:line="480" w:lineRule="auto"/>
      </w:pPr>
    </w:p>
    <w:p w14:paraId="562C7487" w14:textId="5B4C5F8D"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D82546">
        <w:t>3</w:t>
      </w:r>
      <w:r w:rsidR="002E25DA">
        <w:t xml:space="preserve"> x 10</w:t>
      </w:r>
      <w:r w:rsidR="002E25DA" w:rsidRPr="000E2295">
        <w:rPr>
          <w:vertAlign w:val="superscript"/>
        </w:rPr>
        <w:t>-5</w:t>
      </w:r>
      <w:r w:rsidR="00C10601">
        <w:t>, Figure 2</w:t>
      </w:r>
      <w:r w:rsidR="000C1592">
        <w:t>E</w:t>
      </w:r>
      <w:r w:rsidR="005D6B00">
        <w:t xml:space="preserve">). </w:t>
      </w:r>
      <w:r w:rsidR="00D82546">
        <w:t>There was no statistically significant difference in re-feeding induced weight gain between CD and HFD mice</w:t>
      </w:r>
      <w:r w:rsidR="00A80CEB">
        <w:t xml:space="preserve"> (p=0.7)</w:t>
      </w:r>
      <w:r w:rsidR="00D82546">
        <w:t xml:space="preserve">. </w:t>
      </w:r>
      <w:r w:rsidR="005D6B00">
        <w:t xml:space="preserve">In the case of </w:t>
      </w:r>
      <w:r w:rsidR="00E1621E">
        <w:t>NCD</w:t>
      </w:r>
      <w:r w:rsidR="005D6B00">
        <w:t xml:space="preserve"> (R</w:t>
      </w:r>
      <w:r w:rsidR="00A850D4">
        <w:t>ho</w:t>
      </w:r>
      <w:r w:rsidR="005D6B00">
        <w:rPr>
          <w:vertAlign w:val="superscript"/>
        </w:rPr>
        <w:t>2</w:t>
      </w:r>
      <w:r w:rsidR="00A850D4">
        <w:t>&gt;0.65</w:t>
      </w:r>
      <w:r w:rsidR="005D6B00">
        <w:t>, p</w:t>
      </w:r>
      <w:r w:rsidR="00A850D4">
        <w:t>&lt;4.2</w:t>
      </w:r>
      <w:r w:rsidR="005D6B00">
        <w:t xml:space="preserve"> x</w:t>
      </w:r>
      <w:r w:rsidR="000C1592">
        <w:t xml:space="preserve"> </w:t>
      </w:r>
      <w:r w:rsidR="005D6B00">
        <w:t>10</w:t>
      </w:r>
      <w:r w:rsidR="005D6B00">
        <w:rPr>
          <w:vertAlign w:val="superscript"/>
        </w:rPr>
        <w:t>-</w:t>
      </w:r>
      <w:r w:rsidR="00A850D4">
        <w:rPr>
          <w:vertAlign w:val="superscript"/>
        </w:rPr>
        <w:t>5</w:t>
      </w:r>
      <w:r w:rsidR="005D6B00">
        <w:t xml:space="preserve">) but not the two synthetic diets (HFD or CD), there was a strong positive correlation between body weight and their </w:t>
      </w:r>
      <w:r w:rsidR="00356657">
        <w:t>re-feeding</w:t>
      </w:r>
      <w:r w:rsidR="00C213A6">
        <w:t xml:space="preserve"> </w:t>
      </w:r>
      <w:r w:rsidR="00731EDF">
        <w:t>induced</w:t>
      </w:r>
      <w:r w:rsidR="00A850D4">
        <w:t xml:space="preserve"> absolute or percent</w:t>
      </w:r>
      <w:r w:rsidR="00731EDF">
        <w:t xml:space="preserve"> weight </w:t>
      </w:r>
      <w:r w:rsidR="00C213A6">
        <w:t xml:space="preserve">gain over those 6 hours </w:t>
      </w:r>
      <w:r w:rsidR="00C10601">
        <w:t>(Figures 2</w:t>
      </w:r>
      <w:r w:rsidR="000C1592">
        <w:t>F</w:t>
      </w:r>
      <w:r w:rsidR="005D6B00">
        <w:t>).  T</w:t>
      </w:r>
      <w:r w:rsidR="00AA2106">
        <w:t>hese data suggest that response</w:t>
      </w:r>
      <w:r w:rsidR="005D6B00">
        <w:t xml:space="preserve"> to re</w:t>
      </w:r>
      <w:r w:rsidR="000C1592">
        <w:t>-</w:t>
      </w:r>
      <w:r w:rsidR="005D6B00">
        <w:t xml:space="preserve">feeding </w:t>
      </w:r>
      <w:r w:rsidR="00A850D4">
        <w:t>is</w:t>
      </w:r>
      <w:r w:rsidR="005D6B00">
        <w:t xml:space="preserve"> strongly </w:t>
      </w:r>
      <w:r w:rsidR="001660D5">
        <w:t xml:space="preserve">altered by dietary type (synthetic versus chow) but </w:t>
      </w:r>
      <w:r w:rsidR="00A850D4">
        <w:t xml:space="preserve">is largely </w:t>
      </w:r>
      <w:r w:rsidR="00590A1C">
        <w:t>independent of their body weights</w:t>
      </w:r>
      <w:r w:rsidR="001660D5">
        <w:t>.</w:t>
      </w:r>
    </w:p>
    <w:p w14:paraId="6C27AAB6" w14:textId="77777777" w:rsidR="005D6B00" w:rsidRDefault="005D6B00" w:rsidP="00235AFE">
      <w:pPr>
        <w:spacing w:line="480" w:lineRule="auto"/>
      </w:pPr>
    </w:p>
    <w:p w14:paraId="0AF9BC23" w14:textId="66F469E8" w:rsidR="00731EDF" w:rsidRPr="00351436" w:rsidRDefault="00351436" w:rsidP="00235AFE">
      <w:pPr>
        <w:spacing w:line="480" w:lineRule="auto"/>
      </w:pPr>
      <w:r>
        <w:t xml:space="preserve">For leptin mutant </w:t>
      </w:r>
      <w:r>
        <w:rPr>
          <w:i/>
        </w:rPr>
        <w:t xml:space="preserve">ob/ob </w:t>
      </w:r>
      <w:r>
        <w:t xml:space="preserve">mice, we observed inconsistent results between </w:t>
      </w:r>
      <w:r w:rsidR="0052115C">
        <w:t>backgrounds</w:t>
      </w:r>
      <w:r>
        <w:t xml:space="preserve">.  </w:t>
      </w:r>
      <w:r w:rsidR="00C10601">
        <w:t xml:space="preserve">We examined the fasting response between genetically obese mice on either a BTBR or C57BL/6J genetic background.  </w:t>
      </w:r>
      <w:proofErr w:type="gramStart"/>
      <w:r w:rsidR="00C10601" w:rsidRPr="004C32E5">
        <w:rPr>
          <w:i/>
        </w:rPr>
        <w:t>ob</w:t>
      </w:r>
      <w:proofErr w:type="gramEnd"/>
      <w:r w:rsidR="00C10601" w:rsidRPr="004C32E5">
        <w:rPr>
          <w:i/>
        </w:rPr>
        <w:t xml:space="preserve">/ob </w:t>
      </w:r>
      <w:r w:rsidR="00C10601">
        <w:t xml:space="preserve">mice are leptin deficient due to a single nucleotide polymorphism in the leptin gene.  This results in mice which eat the same type of food (NCD), but substantially more of it, leading to obesity </w:t>
      </w:r>
      <w:r w:rsidR="00C10601">
        <w:fldChar w:fldCharType="begin" w:fldLock="1"/>
      </w:r>
      <w:r w:rsidR="00880B70">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"[23\u201326]" }, "properties" : { "noteIndex" : 0 }, "schema" : "https://github.com/citation-style-language/schema/raw/master/csl-citation.json" }</w:instrText>
      </w:r>
      <w:r w:rsidR="00C10601">
        <w:fldChar w:fldCharType="separate"/>
      </w:r>
      <w:r w:rsidR="004157E4" w:rsidRPr="004157E4">
        <w:rPr>
          <w:noProof/>
        </w:rPr>
        <w:t>[23–26]</w:t>
      </w:r>
      <w:r w:rsidR="00C10601">
        <w:fldChar w:fldCharType="end"/>
      </w:r>
      <w:r w:rsidR="00C10601">
        <w:t xml:space="preserve">.  The effects of this mutation on body weight and fasting glucose in these strains are shown in Supplementary Figures 3A-B).  </w:t>
      </w:r>
      <w:r>
        <w:t>For C57BL/6J</w:t>
      </w:r>
      <w:r w:rsidR="00416613">
        <w:t>-</w:t>
      </w:r>
      <w:r w:rsidR="00416613" w:rsidRPr="00235AFE">
        <w:rPr>
          <w:i/>
        </w:rPr>
        <w:t>ob/ob</w:t>
      </w:r>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r w:rsidR="00416613" w:rsidRPr="008F6215">
        <w:rPr>
          <w:i/>
        </w:rPr>
        <w:t>ob/ob</w:t>
      </w:r>
      <w:r w:rsidR="008C4C4D">
        <w:t xml:space="preserve"> mice, we observed an increase in </w:t>
      </w:r>
      <w:r w:rsidR="00416613">
        <w:t xml:space="preserve">the </w:t>
      </w:r>
      <w:r w:rsidR="008C4C4D">
        <w:t xml:space="preserve">percent weight loss.  These data suggest that background differences </w:t>
      </w:r>
      <w:r w:rsidR="00675E68">
        <w:t xml:space="preserve">may </w:t>
      </w:r>
      <w:r w:rsidR="008C4C4D">
        <w:t>play a role in fasting response in the absence of leptin.</w:t>
      </w:r>
    </w:p>
    <w:p w14:paraId="29B34C94" w14:textId="77777777" w:rsidR="00731EDF" w:rsidRDefault="00731EDF" w:rsidP="00235AFE">
      <w:pPr>
        <w:spacing w:line="480" w:lineRule="auto"/>
      </w:pPr>
    </w:p>
    <w:p w14:paraId="691460F9" w14:textId="5CE2BE9E" w:rsidR="00B05EA2" w:rsidRPr="0091217D"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w:t>
      </w:r>
      <w:r w:rsidR="00C10601">
        <w:t>pared with CD mice (See Figure 2</w:t>
      </w:r>
      <w:r w:rsidR="00360BF0">
        <w:t xml:space="preserve">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w:t>
      </w:r>
      <w:r w:rsidR="00537E56">
        <w:t>exhibited less weight gain when the pre-diet fasting response was elevated</w:t>
      </w:r>
      <w:r w:rsidR="002E46F3">
        <w:t xml:space="preserve"> (Figure </w:t>
      </w:r>
      <w:r w:rsidR="00C10601">
        <w:t>3</w:t>
      </w:r>
      <w:r w:rsidR="002E46F3">
        <w:t>)</w:t>
      </w:r>
      <w:r w:rsidR="00B2447E">
        <w:t xml:space="preserve">. </w:t>
      </w:r>
      <w:r w:rsidR="001321BE">
        <w:t xml:space="preserve"> </w:t>
      </w:r>
      <w:r w:rsidR="00377740">
        <w:t>We</w:t>
      </w:r>
      <w:r w:rsidR="007C0CB5">
        <w:t xml:space="preserve"> found a </w:t>
      </w:r>
      <w:r w:rsidR="001321BE">
        <w:t>strong</w:t>
      </w:r>
      <w:r w:rsidR="007C0CB5">
        <w:t xml:space="preserve"> negative </w:t>
      </w:r>
      <w:r w:rsidR="00377740">
        <w:t>correlation between percent weight gain and relative fasting response (Rho</w:t>
      </w:r>
      <w:r w:rsidR="007C0CB5" w:rsidRPr="007C0CB5">
        <w:t>=-0.</w:t>
      </w:r>
      <w:r w:rsidR="00377740">
        <w:t>61</w:t>
      </w:r>
      <w:r w:rsidR="007C0CB5" w:rsidRPr="007C0CB5">
        <w:t>, R</w:t>
      </w:r>
      <w:r w:rsidR="00377740">
        <w:t>ho</w:t>
      </w:r>
      <w:r w:rsidR="007C0CB5" w:rsidRPr="000E2295">
        <w:rPr>
          <w:vertAlign w:val="superscript"/>
        </w:rPr>
        <w:t>2</w:t>
      </w:r>
      <w:r w:rsidR="007C0CB5" w:rsidRPr="007C0CB5">
        <w:t xml:space="preserve"> =0.</w:t>
      </w:r>
      <w:r w:rsidR="000759CF">
        <w:t>37</w:t>
      </w:r>
      <w:r w:rsidR="007C0CB5" w:rsidRPr="007C0CB5">
        <w:t>,</w:t>
      </w:r>
      <w:r w:rsidR="007C0CB5">
        <w:t xml:space="preserve"> p=</w:t>
      </w:r>
      <w:r w:rsidR="00377740">
        <w:t>6.6 x 10</w:t>
      </w:r>
      <w:r w:rsidR="00377740">
        <w:rPr>
          <w:vertAlign w:val="superscript"/>
        </w:rPr>
        <w:t>-6</w:t>
      </w:r>
      <w:r w:rsidR="007C0CB5" w:rsidRPr="007C0CB5">
        <w:t>)</w:t>
      </w:r>
      <w:r w:rsidR="007C0CB5">
        <w:t xml:space="preserve">. </w:t>
      </w:r>
      <w:r w:rsidR="00377740">
        <w:t>F</w:t>
      </w:r>
      <w:r w:rsidR="007C0CB5">
        <w:t xml:space="preserve">or CD fed mice the same </w:t>
      </w:r>
      <w:r w:rsidR="00091364">
        <w:t xml:space="preserve">pattern </w:t>
      </w:r>
      <w:r w:rsidR="007C0CB5">
        <w:t>was present</w:t>
      </w:r>
      <w:r w:rsidR="00377740">
        <w:t>, though the correlation did not quite reach statistical significance</w:t>
      </w:r>
      <w:r w:rsidR="00675E68">
        <w:t xml:space="preserve"> (Rho</w:t>
      </w:r>
      <w:r w:rsidR="007C0CB5" w:rsidRPr="007C0CB5">
        <w:t>=-0.</w:t>
      </w:r>
      <w:r w:rsidR="00377740">
        <w:t>334</w:t>
      </w:r>
      <w:r w:rsidR="007C0CB5" w:rsidRPr="007C0CB5">
        <w:t>, R</w:t>
      </w:r>
      <w:r w:rsidR="00675E68">
        <w:t>ho</w:t>
      </w:r>
      <w:r w:rsidR="007C0CB5" w:rsidRPr="000E2295">
        <w:rPr>
          <w:vertAlign w:val="superscript"/>
        </w:rPr>
        <w:t>2</w:t>
      </w:r>
      <w:r w:rsidR="007C0CB5">
        <w:t xml:space="preserve"> =0.</w:t>
      </w:r>
      <w:r w:rsidR="000759CF">
        <w:t>11</w:t>
      </w:r>
      <w:r w:rsidR="007C0CB5">
        <w:t>, p=0.0</w:t>
      </w:r>
      <w:r w:rsidR="000759CF">
        <w:t>54</w:t>
      </w:r>
      <w:r w:rsidR="00377740">
        <w:t>).</w:t>
      </w:r>
      <w:r w:rsidR="00675E68">
        <w:t xml:space="preserve">  </w:t>
      </w:r>
      <w:r w:rsidR="001321BE">
        <w:t>These</w:t>
      </w:r>
      <w:r w:rsidR="00D05D9C">
        <w:t xml:space="preserve"> trends </w:t>
      </w:r>
      <w:r w:rsidR="001321BE">
        <w:t>also reached statistical significance</w:t>
      </w:r>
      <w:r w:rsidR="00D05D9C">
        <w:t xml:space="preserve"> for</w:t>
      </w:r>
      <w:r w:rsidR="001321BE">
        <w:t xml:space="preserve"> </w:t>
      </w:r>
      <w:r w:rsidR="00537E56">
        <w:t xml:space="preserve">all </w:t>
      </w:r>
      <w:r w:rsidR="001321BE">
        <w:t xml:space="preserve">the </w:t>
      </w:r>
      <w:r w:rsidR="00537E56">
        <w:t>combinations tested</w:t>
      </w:r>
      <w:r w:rsidR="001321BE">
        <w:t xml:space="preserve"> between</w:t>
      </w:r>
      <w:r w:rsidR="00D05D9C">
        <w:t xml:space="preserve"> </w:t>
      </w:r>
      <w:r w:rsidR="001321BE">
        <w:t xml:space="preserve">both relative and absolute fasting responses and relative and absolute weight gain during HFD (p&lt;0.03 and Rho &lt; -0.33 for all comparisons). </w:t>
      </w:r>
      <w:r w:rsidR="00675E68">
        <w:t>These data show that m</w:t>
      </w:r>
      <w:r w:rsidR="00B2447E">
        <w:t xml:space="preserve">ice </w:t>
      </w:r>
      <w:r w:rsidR="00675E68">
        <w:t>which</w:t>
      </w:r>
      <w:r w:rsidR="005F46A4">
        <w:t xml:space="preserve"> </w:t>
      </w:r>
      <w:r w:rsidR="00B2447E">
        <w:t>resisted weight loss during the</w:t>
      </w:r>
      <w:r w:rsidR="00A145C2">
        <w:t xml:space="preserve"> pre-diet </w:t>
      </w:r>
      <w:r w:rsidR="00B2447E">
        <w:t xml:space="preserve">16 hour fast were </w:t>
      </w:r>
      <w:r w:rsidR="004A58BC">
        <w:t xml:space="preserve">far </w:t>
      </w:r>
      <w:r w:rsidR="00B2447E">
        <w:t>more susceptible to weight gain while on the experimental diet</w:t>
      </w:r>
      <w:r w:rsidR="00675E68">
        <w:t>, and that this factor predicted weight gain much more comprehensively than hormonal factors, or pre-d</w:t>
      </w:r>
      <w:r w:rsidR="00C10601">
        <w:t>iet weight (Table 2 and Figure 3</w:t>
      </w:r>
      <w:r w:rsidR="00675E68">
        <w:t>).</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58D923FA"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fold greater than that of leptin levels, which had been previously reported to be of some use in predicting weight gain</w:t>
      </w:r>
      <w:r w:rsidR="0066771A">
        <w:t xml:space="preserve"> </w:t>
      </w:r>
      <w:r w:rsidR="00030090">
        <w:fldChar w:fldCharType="begin" w:fldLock="1"/>
      </w:r>
      <w:r w:rsidR="00880B70">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"[27]" }, "properties" : { "noteIndex" : 0 }, "schema" : "https://github.com/citation-style-language/schema/raw/master/csl-citation.json" }</w:instrText>
      </w:r>
      <w:r w:rsidR="00030090">
        <w:fldChar w:fldCharType="separate"/>
      </w:r>
      <w:r w:rsidR="004157E4" w:rsidRPr="004157E4">
        <w:rPr>
          <w:noProof/>
        </w:rPr>
        <w:t>[27]</w:t>
      </w:r>
      <w:r w:rsidR="00030090">
        <w:fldChar w:fldCharType="end"/>
      </w:r>
      <w:r w:rsidR="00C41921">
        <w:t>.</w:t>
      </w:r>
      <w:r w:rsidR="0066771A">
        <w:t xml:space="preserve">  </w:t>
      </w:r>
      <w:r w:rsidR="000759CF">
        <w:t xml:space="preserve">The </w:t>
      </w:r>
      <w:r w:rsidR="00DB25EF">
        <w:t xml:space="preserve">negative </w:t>
      </w:r>
      <w:r w:rsidR="000759CF">
        <w:t xml:space="preserve">relationship between fasting responses and weight gain is similar in magnitude to the </w:t>
      </w:r>
      <w:r w:rsidR="00DB25EF">
        <w:t xml:space="preserve">positive </w:t>
      </w:r>
      <w:r w:rsidR="000759CF">
        <w:t xml:space="preserve">relationship between absolute fat mass on HFD-induced weight gain in mice </w:t>
      </w:r>
      <w:r w:rsidR="000759CF">
        <w:fldChar w:fldCharType="begin" w:fldLock="1"/>
      </w:r>
      <w:r w:rsidR="00880B70">
        <w:instrText>ADDIN CSL_CITATION { "citationItems" : [ { "id" : "ITEM-1",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"ITEM-1",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"mendeley" : { "previouslyFormattedCitation" : "[12]" }, "properties" : { "noteIndex" : 0 }, "schema" : "https://github.com/citation-style-language/schema/raw/master/csl-citation.json" }</w:instrText>
      </w:r>
      <w:r w:rsidR="000759CF">
        <w:fldChar w:fldCharType="separate"/>
      </w:r>
      <w:r w:rsidR="000759CF" w:rsidRPr="000759CF">
        <w:rPr>
          <w:noProof/>
        </w:rPr>
        <w:t>[12]</w:t>
      </w:r>
      <w:r w:rsidR="000759CF">
        <w:fldChar w:fldCharType="end"/>
      </w:r>
      <w:r w:rsidR="000759CF">
        <w:t>. It</w:t>
      </w:r>
      <w:r w:rsidR="00DB25EF">
        <w:t xml:space="preserve"> is possible that </w:t>
      </w:r>
      <w:r w:rsidR="0016440D">
        <w:t>young mice that have larger fat stores</w:t>
      </w:r>
      <w:r w:rsidR="00DB25EF">
        <w:t xml:space="preserve"> are able to lose more weight in response to fasting than lean mice</w:t>
      </w:r>
      <w:r w:rsidR="0016440D">
        <w:t xml:space="preserve"> and that fasting responses and fat mass levels are related, both to teach other and to predicting weight gain during HFD feeding.</w:t>
      </w:r>
    </w:p>
    <w:p w14:paraId="2CD6D8DC" w14:textId="77777777" w:rsidR="00422A30" w:rsidRDefault="00422A30" w:rsidP="00235AFE">
      <w:pPr>
        <w:spacing w:line="480" w:lineRule="auto"/>
      </w:pPr>
    </w:p>
    <w:p w14:paraId="19588F4F" w14:textId="20F8104B" w:rsidR="0023375D" w:rsidRDefault="00422A30" w:rsidP="00235AFE">
      <w:pPr>
        <w:spacing w:line="480" w:lineRule="auto"/>
      </w:pPr>
      <w:r>
        <w:t xml:space="preserve">This study does not </w:t>
      </w:r>
      <w:r w:rsidR="000A0B84">
        <w:t xml:space="preserve">attempt to address the underlying </w:t>
      </w:r>
      <w:r w:rsidR="0016440D">
        <w:t>molecular</w:t>
      </w:r>
      <w:r w:rsidR="001A39F5">
        <w:t xml:space="preserve"> </w:t>
      </w:r>
      <w:r w:rsidR="000A0B84">
        <w:t>mechanism</w:t>
      </w:r>
      <w:r w:rsidR="001A39F5">
        <w:t>s</w:t>
      </w:r>
      <w:r w:rsidR="000A0B84">
        <w:t xml:space="preserve"> for these </w:t>
      </w:r>
      <w:r w:rsidR="0016440D">
        <w:t>differences in fasting responses</w:t>
      </w:r>
      <w:r w:rsidR="000A0B84">
        <w:t xml:space="preserve">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880B70">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"[28, 29]" }, "properties" : { "noteIndex" : 0 }, "schema" : "https://github.com/citation-style-language/schema/raw/master/csl-citation.json" }</w:instrText>
      </w:r>
      <w:r w:rsidR="00030090">
        <w:fldChar w:fldCharType="separate"/>
      </w:r>
      <w:r w:rsidR="000759CF" w:rsidRPr="000759CF">
        <w:rPr>
          <w:noProof/>
        </w:rPr>
        <w:t>[28, 29]</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 xml:space="preserve">framework to </w:t>
      </w:r>
      <w:r w:rsidR="00B07AD1">
        <w:t xml:space="preserve">test these molecular hypotheses. </w:t>
      </w:r>
    </w:p>
    <w:p w14:paraId="7F036508" w14:textId="77777777" w:rsidR="000A0B84" w:rsidRDefault="000A0B84" w:rsidP="00235AFE">
      <w:pPr>
        <w:spacing w:line="480" w:lineRule="auto"/>
      </w:pPr>
    </w:p>
    <w:p w14:paraId="067F72D6" w14:textId="32A5C98B" w:rsidR="006859DB"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rsidR="00880B70">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"[30, 31]" }, "properties" : { "noteIndex" : 0 }, "schema" : "https://github.com/citation-style-language/schema/raw/master/csl-citation.json" }</w:instrText>
      </w:r>
      <w:r>
        <w:fldChar w:fldCharType="separate"/>
      </w:r>
      <w:r w:rsidR="000759CF" w:rsidRPr="000759CF">
        <w:rPr>
          <w:noProof/>
        </w:rPr>
        <w:t>[30, 31]</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C10601">
        <w:t>2</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rsidR="00880B70">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"[32, 33]" }, "properties" : { "noteIndex" : 0 }, "schema" : "https://github.com/citation-style-language/schema/raw/master/csl-citation.json" }</w:instrText>
      </w:r>
      <w:r w:rsidR="00030090">
        <w:fldChar w:fldCharType="separate"/>
      </w:r>
      <w:r w:rsidR="000759CF" w:rsidRPr="000759CF">
        <w:rPr>
          <w:noProof/>
        </w:rPr>
        <w:t>[32, 33]</w:t>
      </w:r>
      <w:r w:rsidR="00030090">
        <w:fldChar w:fldCharType="end"/>
      </w:r>
      <w:r w:rsidR="006859DB">
        <w:t xml:space="preserve"> to the extent that reductions in metabolic rates in pediatric populations are predictive of obesity </w:t>
      </w:r>
      <w:r w:rsidR="006859DB">
        <w:fldChar w:fldCharType="begin" w:fldLock="1"/>
      </w:r>
      <w:r w:rsidR="00880B70">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"[28, 29]" }, "properties" : { "noteIndex" : 0 }, "schema" : "https://github.com/citation-style-language/schema/raw/master/csl-citation.json" }</w:instrText>
      </w:r>
      <w:r w:rsidR="006859DB">
        <w:fldChar w:fldCharType="separate"/>
      </w:r>
      <w:r w:rsidR="000759CF" w:rsidRPr="000759CF">
        <w:rPr>
          <w:noProof/>
        </w:rPr>
        <w:t>[28, 29]</w:t>
      </w:r>
      <w:r w:rsidR="006859DB">
        <w:fldChar w:fldCharType="end"/>
      </w:r>
      <w:r w:rsidR="006859DB">
        <w:t xml:space="preserve">. </w:t>
      </w:r>
      <w:r w:rsidR="00D7401A">
        <w:t xml:space="preserve">  </w:t>
      </w:r>
      <w:r w:rsidR="00B07AD1">
        <w:t>Furthermore, we noted that the negative relationship between fasting responses and weight gain is present for both CD and HFD fed animals.  This suggests that the fasting response may be part of a general body weight defense mechanism, rather than a phenomena specific to diet-induced obesity, but also that this effect may be exacerbated by HFD.</w:t>
      </w:r>
    </w:p>
    <w:p w14:paraId="5C30A747" w14:textId="77777777" w:rsidR="006859DB" w:rsidRDefault="006859DB" w:rsidP="00235AFE">
      <w:pPr>
        <w:spacing w:line="480" w:lineRule="auto"/>
      </w:pPr>
    </w:p>
    <w:p w14:paraId="36963E26" w14:textId="4FDE4557" w:rsidR="000A0B84" w:rsidRDefault="00D7401A" w:rsidP="00235AFE">
      <w:pPr>
        <w:spacing w:line="480" w:lineRule="auto"/>
      </w:pPr>
      <w:r>
        <w:t xml:space="preserve">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880B70">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"id" : "ITEM-2",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"ITEM-2",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"mendeley" : { "previouslyFormattedCitation" : "[11, 12]" }, "properties" : { "noteIndex" : 0 }, "schema" : "https://github.com/citation-style-language/schema/raw/master/csl-citation.json" }</w:instrText>
      </w:r>
      <w:r w:rsidR="00C47379">
        <w:fldChar w:fldCharType="separate"/>
      </w:r>
      <w:r w:rsidR="00F41AA3" w:rsidRPr="00F41AA3">
        <w:rPr>
          <w:noProof/>
        </w:rPr>
        <w:t>[11, 12]</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Luminex system.  We would also like to thank </w:t>
      </w:r>
      <w:r>
        <w:t>Drs. David Buchner (Case Western Reserve University)</w:t>
      </w:r>
      <w:r w:rsidR="00601D01">
        <w:t xml:space="preserve">, </w:t>
      </w:r>
      <w:r w:rsidR="0010569F">
        <w:t xml:space="preserve">Irit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28937DE6" w14:textId="5FE47A58" w:rsidR="009B3BC5" w:rsidRPr="005E34F1" w:rsidRDefault="009B3BC5" w:rsidP="001328AE">
      <w:pPr>
        <w:pStyle w:val="Heading1"/>
        <w:spacing w:line="480" w:lineRule="auto"/>
      </w:pPr>
      <w:r>
        <w:t>Conflict of Interest Statement</w:t>
      </w: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6B8FDDB3" w14:textId="372C23C9" w:rsidR="00880B70" w:rsidRPr="00880B70" w:rsidRDefault="00F32E39">
      <w:pPr>
        <w:pStyle w:val="NormalWeb"/>
        <w:ind w:left="640" w:hanging="640"/>
        <w:divId w:val="487986599"/>
        <w:rPr>
          <w:rFonts w:ascii="Cambria" w:hAnsi="Cambria"/>
          <w:noProof/>
          <w:sz w:val="24"/>
        </w:rPr>
      </w:pPr>
      <w:r>
        <w:fldChar w:fldCharType="begin" w:fldLock="1"/>
      </w:r>
      <w:r>
        <w:instrText xml:space="preserve">ADDIN Mendeley Bibliography CSL_BIBLIOGRAPHY </w:instrText>
      </w:r>
      <w:r>
        <w:fldChar w:fldCharType="separate"/>
      </w:r>
      <w:r w:rsidR="00880B70" w:rsidRPr="00880B70">
        <w:rPr>
          <w:rFonts w:ascii="Cambria" w:hAnsi="Cambria"/>
          <w:noProof/>
          <w:sz w:val="24"/>
        </w:rPr>
        <w:t>1.</w:t>
      </w:r>
      <w:r w:rsidR="00880B70" w:rsidRPr="00880B70">
        <w:rPr>
          <w:rFonts w:ascii="Cambria" w:hAnsi="Cambria"/>
          <w:noProof/>
          <w:sz w:val="24"/>
        </w:rPr>
        <w:tab/>
        <w:t>World Health Organization (2013). Obesity and Overweight. Available at: http://www.who.int/mediacentre/factsheets/fs311/en/.</w:t>
      </w:r>
    </w:p>
    <w:p w14:paraId="09390322"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w:t>
      </w:r>
      <w:r w:rsidRPr="00880B70">
        <w:rPr>
          <w:rFonts w:ascii="Cambria" w:hAnsi="Cambria"/>
          <w:noProof/>
          <w:sz w:val="24"/>
        </w:rPr>
        <w:tab/>
        <w:t xml:space="preserve">El-Sayed Moustafa, J. S., and Froguel, P. (2013). From obesity genetics to the future of personalized obesity therapy. Nat. Rev. Endocrinol. </w:t>
      </w:r>
      <w:r w:rsidRPr="00880B70">
        <w:rPr>
          <w:rFonts w:ascii="Cambria" w:hAnsi="Cambria"/>
          <w:i/>
          <w:iCs/>
          <w:noProof/>
          <w:sz w:val="24"/>
        </w:rPr>
        <w:t>9</w:t>
      </w:r>
      <w:r w:rsidRPr="00880B70">
        <w:rPr>
          <w:rFonts w:ascii="Cambria" w:hAnsi="Cambria"/>
          <w:noProof/>
          <w:sz w:val="24"/>
        </w:rPr>
        <w:t>, 402–13.</w:t>
      </w:r>
    </w:p>
    <w:p w14:paraId="6B39E06D"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3.</w:t>
      </w:r>
      <w:r w:rsidRPr="00880B70">
        <w:rPr>
          <w:rFonts w:ascii="Cambria" w:hAnsi="Cambria"/>
          <w:noProof/>
          <w:sz w:val="24"/>
        </w:rPr>
        <w:tab/>
        <w:t xml:space="preserve">Yu, Z. B., Han, S. P., Zhu, G. Z., Zhu, C., Wang, X. J., Cao, X. G., and Guo, X. R. (2011). Birth weight and subsequent risk of obesity: a systematic review and meta-analysis. Obes. Rev. </w:t>
      </w:r>
      <w:r w:rsidRPr="00880B70">
        <w:rPr>
          <w:rFonts w:ascii="Cambria" w:hAnsi="Cambria"/>
          <w:i/>
          <w:iCs/>
          <w:noProof/>
          <w:sz w:val="24"/>
        </w:rPr>
        <w:t>12</w:t>
      </w:r>
      <w:r w:rsidRPr="00880B70">
        <w:rPr>
          <w:rFonts w:ascii="Cambria" w:hAnsi="Cambria"/>
          <w:noProof/>
          <w:sz w:val="24"/>
        </w:rPr>
        <w:t>, 525–42.</w:t>
      </w:r>
    </w:p>
    <w:p w14:paraId="2663B4D4"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4.</w:t>
      </w:r>
      <w:r w:rsidRPr="00880B70">
        <w:rPr>
          <w:rFonts w:ascii="Cambria" w:hAnsi="Cambria"/>
          <w:noProof/>
          <w:sz w:val="24"/>
        </w:rPr>
        <w:tab/>
        <w:t xml:space="preserve">Cnattingius, S., Villamor, E., Lagerros, Y. T., Wikström, a-K., and Granath, F. (2012). High birth weight and obesity--a vicious circle across generations. Int. J. Obes. (Lond). </w:t>
      </w:r>
      <w:r w:rsidRPr="00880B70">
        <w:rPr>
          <w:rFonts w:ascii="Cambria" w:hAnsi="Cambria"/>
          <w:i/>
          <w:iCs/>
          <w:noProof/>
          <w:sz w:val="24"/>
        </w:rPr>
        <w:t>36</w:t>
      </w:r>
      <w:r w:rsidRPr="00880B70">
        <w:rPr>
          <w:rFonts w:ascii="Cambria" w:hAnsi="Cambria"/>
          <w:noProof/>
          <w:sz w:val="24"/>
        </w:rPr>
        <w:t>, 1320–4.</w:t>
      </w:r>
    </w:p>
    <w:p w14:paraId="5A1CECF9"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5.</w:t>
      </w:r>
      <w:r w:rsidRPr="00880B70">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880B70">
        <w:rPr>
          <w:rFonts w:ascii="Cambria" w:hAnsi="Cambria"/>
          <w:i/>
          <w:iCs/>
          <w:noProof/>
          <w:sz w:val="24"/>
        </w:rPr>
        <w:t>117</w:t>
      </w:r>
      <w:r w:rsidRPr="00880B70">
        <w:rPr>
          <w:rFonts w:ascii="Cambria" w:hAnsi="Cambria"/>
          <w:noProof/>
          <w:sz w:val="24"/>
        </w:rPr>
        <w:t>, 1203–9.</w:t>
      </w:r>
    </w:p>
    <w:p w14:paraId="22BC02FF"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6.</w:t>
      </w:r>
      <w:r w:rsidRPr="00880B70">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880B70">
        <w:rPr>
          <w:rFonts w:ascii="Cambria" w:hAnsi="Cambria"/>
          <w:i/>
          <w:iCs/>
          <w:noProof/>
          <w:sz w:val="24"/>
        </w:rPr>
        <w:t>38</w:t>
      </w:r>
      <w:r w:rsidRPr="00880B70">
        <w:rPr>
          <w:rFonts w:ascii="Cambria" w:hAnsi="Cambria"/>
          <w:noProof/>
          <w:sz w:val="24"/>
        </w:rPr>
        <w:t>, 280–5.</w:t>
      </w:r>
    </w:p>
    <w:p w14:paraId="21CBB1C0"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7.</w:t>
      </w:r>
      <w:r w:rsidRPr="00880B70">
        <w:rPr>
          <w:rFonts w:ascii="Cambria" w:hAnsi="Cambria"/>
          <w:noProof/>
          <w:sz w:val="24"/>
        </w:rPr>
        <w:tab/>
        <w:t xml:space="preserve">Fleisch, A. F., Agarwal, N., Roberts, M. D., Han, J. C., Theim, K. R., Vexler, A., Troendle, J., Yanovski, S. Z., and Yanovski, J. a (2007). Influence of serum leptin on weight and body fat growth in children at high risk for adult obesity. J. Clin. Endocrinol. Metab. </w:t>
      </w:r>
      <w:r w:rsidRPr="00880B70">
        <w:rPr>
          <w:rFonts w:ascii="Cambria" w:hAnsi="Cambria"/>
          <w:i/>
          <w:iCs/>
          <w:noProof/>
          <w:sz w:val="24"/>
        </w:rPr>
        <w:t>92</w:t>
      </w:r>
      <w:r w:rsidRPr="00880B70">
        <w:rPr>
          <w:rFonts w:ascii="Cambria" w:hAnsi="Cambria"/>
          <w:noProof/>
          <w:sz w:val="24"/>
        </w:rPr>
        <w:t>, 948–54.</w:t>
      </w:r>
    </w:p>
    <w:p w14:paraId="1E6EE6AC"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8.</w:t>
      </w:r>
      <w:r w:rsidRPr="00880B70">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880B70">
        <w:rPr>
          <w:rFonts w:ascii="Cambria" w:hAnsi="Cambria"/>
          <w:i/>
          <w:iCs/>
          <w:noProof/>
          <w:sz w:val="24"/>
        </w:rPr>
        <w:t>37</w:t>
      </w:r>
      <w:r w:rsidRPr="00880B70">
        <w:rPr>
          <w:rFonts w:ascii="Cambria" w:hAnsi="Cambria"/>
          <w:noProof/>
          <w:sz w:val="24"/>
        </w:rPr>
        <w:t>, 594–601.</w:t>
      </w:r>
    </w:p>
    <w:p w14:paraId="1F9418BF"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9.</w:t>
      </w:r>
      <w:r w:rsidRPr="00880B70">
        <w:rPr>
          <w:rFonts w:ascii="Cambria" w:hAnsi="Cambria"/>
          <w:noProof/>
          <w:sz w:val="24"/>
        </w:rPr>
        <w:tab/>
        <w:t xml:space="preserve">Taft, R. A., Davisson, M., and Wiles, M. V (2006). Know thy mouse. Trends Genet. </w:t>
      </w:r>
      <w:r w:rsidRPr="00880B70">
        <w:rPr>
          <w:rFonts w:ascii="Cambria" w:hAnsi="Cambria"/>
          <w:i/>
          <w:iCs/>
          <w:noProof/>
          <w:sz w:val="24"/>
        </w:rPr>
        <w:t>22</w:t>
      </w:r>
      <w:r w:rsidRPr="00880B70">
        <w:rPr>
          <w:rFonts w:ascii="Cambria" w:hAnsi="Cambria"/>
          <w:noProof/>
          <w:sz w:val="24"/>
        </w:rPr>
        <w:t>, 649–53.</w:t>
      </w:r>
    </w:p>
    <w:p w14:paraId="0F861D13"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10.</w:t>
      </w:r>
      <w:r w:rsidRPr="00880B70">
        <w:rPr>
          <w:rFonts w:ascii="Cambria" w:hAnsi="Cambria"/>
          <w:noProof/>
          <w:sz w:val="24"/>
        </w:rPr>
        <w:tab/>
        <w:t>Jackson Laboratories (2014). Patented Genetic Stability Program. Available at: http://jaxmice.jax.org/genetichealth/stability.html [Accessed April 28, 2014].</w:t>
      </w:r>
    </w:p>
    <w:p w14:paraId="27161288"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11.</w:t>
      </w:r>
      <w:r w:rsidRPr="00880B70">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880B70">
        <w:rPr>
          <w:rFonts w:ascii="Cambria" w:hAnsi="Cambria"/>
          <w:i/>
          <w:iCs/>
          <w:noProof/>
          <w:sz w:val="24"/>
        </w:rPr>
        <w:t>2</w:t>
      </w:r>
      <w:r w:rsidRPr="00880B70">
        <w:rPr>
          <w:rFonts w:ascii="Cambria" w:hAnsi="Cambria"/>
          <w:noProof/>
          <w:sz w:val="24"/>
        </w:rPr>
        <w:t>, e81.</w:t>
      </w:r>
    </w:p>
    <w:p w14:paraId="14D1C0D4"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12.</w:t>
      </w:r>
      <w:r w:rsidRPr="00880B70">
        <w:rPr>
          <w:rFonts w:ascii="Cambria" w:hAnsi="Cambria"/>
          <w:noProof/>
          <w:sz w:val="24"/>
        </w:rPr>
        <w:tab/>
        <w:t xml:space="preserve">Zhang, L.-N., Morgan, D. G., Clapham, J. C., and Speakman, J. R. (2012). Factors predicting nongenetic variability in body weight gain induced by a high-fat diet in inbred C57BL/6J mice. Obesity (Silver Spring). </w:t>
      </w:r>
      <w:r w:rsidRPr="00880B70">
        <w:rPr>
          <w:rFonts w:ascii="Cambria" w:hAnsi="Cambria"/>
          <w:i/>
          <w:iCs/>
          <w:noProof/>
          <w:sz w:val="24"/>
        </w:rPr>
        <w:t>20</w:t>
      </w:r>
      <w:r w:rsidRPr="00880B70">
        <w:rPr>
          <w:rFonts w:ascii="Cambria" w:hAnsi="Cambria"/>
          <w:noProof/>
          <w:sz w:val="24"/>
        </w:rPr>
        <w:t>, 1179–88.</w:t>
      </w:r>
    </w:p>
    <w:p w14:paraId="4DDF3B30"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13.</w:t>
      </w:r>
      <w:r w:rsidRPr="00880B70">
        <w:rPr>
          <w:rFonts w:ascii="Cambria" w:hAnsi="Cambria"/>
          <w:noProof/>
          <w:sz w:val="24"/>
        </w:rPr>
        <w:tab/>
        <w:t>R Development Core Team, and R Core Team (2011). R: A language and environment for statistical computing.</w:t>
      </w:r>
    </w:p>
    <w:p w14:paraId="07EE86CB"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14.</w:t>
      </w:r>
      <w:r w:rsidRPr="00880B70">
        <w:rPr>
          <w:rFonts w:ascii="Cambria" w:hAnsi="Cambria"/>
          <w:noProof/>
          <w:sz w:val="24"/>
        </w:rPr>
        <w:tab/>
        <w:t>Bates, D., Maechler, M., Bolker, B., and Walker, S. (2014). lme4: Linear mixed-effects models using Eigen and S4.</w:t>
      </w:r>
    </w:p>
    <w:p w14:paraId="64B5D1DE"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15.</w:t>
      </w:r>
      <w:r w:rsidRPr="00880B70">
        <w:rPr>
          <w:rFonts w:ascii="Cambria" w:hAnsi="Cambria"/>
          <w:noProof/>
          <w:sz w:val="24"/>
        </w:rPr>
        <w:tab/>
        <w:t xml:space="preserve">Hothorn, T., Bretz, F., and Westfall, P. (2008). Simultaneous Inference in General Parametric Models. Biometrical J. </w:t>
      </w:r>
      <w:r w:rsidRPr="00880B70">
        <w:rPr>
          <w:rFonts w:ascii="Cambria" w:hAnsi="Cambria"/>
          <w:i/>
          <w:iCs/>
          <w:noProof/>
          <w:sz w:val="24"/>
        </w:rPr>
        <w:t>50</w:t>
      </w:r>
      <w:r w:rsidRPr="00880B70">
        <w:rPr>
          <w:rFonts w:ascii="Cambria" w:hAnsi="Cambria"/>
          <w:noProof/>
          <w:sz w:val="24"/>
        </w:rPr>
        <w:t>, 346–363.</w:t>
      </w:r>
    </w:p>
    <w:p w14:paraId="2E410D5D"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16.</w:t>
      </w:r>
      <w:r w:rsidRPr="00880B70">
        <w:rPr>
          <w:rFonts w:ascii="Cambria" w:hAnsi="Cambria"/>
          <w:noProof/>
          <w:sz w:val="24"/>
        </w:rPr>
        <w:tab/>
        <w:t xml:space="preserve">Benjamini, Y., and Hochberg, Y. (1995). Controlling the False Discovery Rate: A Practical and Powerful Approach to Multiple Testing. J. R. Stat. Soc. Ser. B </w:t>
      </w:r>
      <w:r w:rsidRPr="00880B70">
        <w:rPr>
          <w:rFonts w:ascii="Cambria" w:hAnsi="Cambria"/>
          <w:i/>
          <w:iCs/>
          <w:noProof/>
          <w:sz w:val="24"/>
        </w:rPr>
        <w:t>57</w:t>
      </w:r>
      <w:r w:rsidRPr="00880B70">
        <w:rPr>
          <w:rFonts w:ascii="Cambria" w:hAnsi="Cambria"/>
          <w:noProof/>
          <w:sz w:val="24"/>
        </w:rPr>
        <w:t>, 289–300.</w:t>
      </w:r>
    </w:p>
    <w:p w14:paraId="10AA68DA"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17.</w:t>
      </w:r>
      <w:r w:rsidRPr="00880B70">
        <w:rPr>
          <w:rFonts w:ascii="Cambria" w:hAnsi="Cambria"/>
          <w:noProof/>
          <w:sz w:val="24"/>
        </w:rPr>
        <w:tab/>
        <w:t xml:space="preserve">Steppan, C. M., Bailey, S. T., Bhat, S., Brown, E. J., Banerjee, R. R., Wright, C. M., Patel, H. R., Ahima, R. S., and Lazar, M. a (2001). The hormone resistin links obesity to diabetes. Nature </w:t>
      </w:r>
      <w:r w:rsidRPr="00880B70">
        <w:rPr>
          <w:rFonts w:ascii="Cambria" w:hAnsi="Cambria"/>
          <w:i/>
          <w:iCs/>
          <w:noProof/>
          <w:sz w:val="24"/>
        </w:rPr>
        <w:t>409</w:t>
      </w:r>
      <w:r w:rsidRPr="00880B70">
        <w:rPr>
          <w:rFonts w:ascii="Cambria" w:hAnsi="Cambria"/>
          <w:noProof/>
          <w:sz w:val="24"/>
        </w:rPr>
        <w:t>, 307–12.</w:t>
      </w:r>
    </w:p>
    <w:p w14:paraId="74853248"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18.</w:t>
      </w:r>
      <w:r w:rsidRPr="00880B70">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880B70">
        <w:rPr>
          <w:rFonts w:ascii="Cambria" w:hAnsi="Cambria"/>
          <w:i/>
          <w:iCs/>
          <w:noProof/>
          <w:sz w:val="24"/>
        </w:rPr>
        <w:t>1</w:t>
      </w:r>
      <w:r w:rsidRPr="00880B70">
        <w:rPr>
          <w:rFonts w:ascii="Cambria" w:hAnsi="Cambria"/>
          <w:noProof/>
          <w:sz w:val="24"/>
        </w:rPr>
        <w:t>, 1311–4.</w:t>
      </w:r>
    </w:p>
    <w:p w14:paraId="34E6F21D"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19.</w:t>
      </w:r>
      <w:r w:rsidRPr="00880B70">
        <w:rPr>
          <w:rFonts w:ascii="Cambria" w:hAnsi="Cambria"/>
          <w:noProof/>
          <w:sz w:val="24"/>
        </w:rPr>
        <w:tab/>
        <w:t xml:space="preserve">Holst, J. J., Orskov, C., Nielsen, O. V, and Schwartz, T. W. (1987). Truncated glucagon-like peptide I, an insulin-releasing hormone from the distal gut. FEBS Lett. </w:t>
      </w:r>
      <w:r w:rsidRPr="00880B70">
        <w:rPr>
          <w:rFonts w:ascii="Cambria" w:hAnsi="Cambria"/>
          <w:i/>
          <w:iCs/>
          <w:noProof/>
          <w:sz w:val="24"/>
        </w:rPr>
        <w:t>211</w:t>
      </w:r>
      <w:r w:rsidRPr="00880B70">
        <w:rPr>
          <w:rFonts w:ascii="Cambria" w:hAnsi="Cambria"/>
          <w:noProof/>
          <w:sz w:val="24"/>
        </w:rPr>
        <w:t>, 169–74.</w:t>
      </w:r>
    </w:p>
    <w:p w14:paraId="1AE3030D"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20.</w:t>
      </w:r>
      <w:r w:rsidRPr="00880B70">
        <w:rPr>
          <w:rFonts w:ascii="Cambria" w:hAnsi="Cambria"/>
          <w:noProof/>
          <w:sz w:val="24"/>
        </w:rPr>
        <w:tab/>
        <w:t xml:space="preserve">Kreymann, B., Ghatei, M. A., Williams, G., and Bloom, S. R. (1987). Glucagon-Like Peptide-1 7-36: A Physiological Incretin in Man. Lancet </w:t>
      </w:r>
      <w:r w:rsidRPr="00880B70">
        <w:rPr>
          <w:rFonts w:ascii="Cambria" w:hAnsi="Cambria"/>
          <w:i/>
          <w:iCs/>
          <w:noProof/>
          <w:sz w:val="24"/>
        </w:rPr>
        <w:t>330</w:t>
      </w:r>
      <w:r w:rsidRPr="00880B70">
        <w:rPr>
          <w:rFonts w:ascii="Cambria" w:hAnsi="Cambria"/>
          <w:noProof/>
          <w:sz w:val="24"/>
        </w:rPr>
        <w:t>, 1300–1304.</w:t>
      </w:r>
    </w:p>
    <w:p w14:paraId="11F8CC43"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21.</w:t>
      </w:r>
      <w:r w:rsidRPr="00880B70">
        <w:rPr>
          <w:rFonts w:ascii="Cambria" w:hAnsi="Cambria"/>
          <w:noProof/>
          <w:sz w:val="24"/>
        </w:rPr>
        <w:tab/>
        <w:t xml:space="preserve">Tschöp, M., Weyer, C., Tataranni, P. a, Devanarayan, V., Ravussin, E., and Heiman, M. L. (2001). Circulating ghrelin levels are decreased in human obesity. Diabetes </w:t>
      </w:r>
      <w:r w:rsidRPr="00880B70">
        <w:rPr>
          <w:rFonts w:ascii="Cambria" w:hAnsi="Cambria"/>
          <w:i/>
          <w:iCs/>
          <w:noProof/>
          <w:sz w:val="24"/>
        </w:rPr>
        <w:t>50</w:t>
      </w:r>
      <w:r w:rsidRPr="00880B70">
        <w:rPr>
          <w:rFonts w:ascii="Cambria" w:hAnsi="Cambria"/>
          <w:noProof/>
          <w:sz w:val="24"/>
        </w:rPr>
        <w:t>, 707–9.</w:t>
      </w:r>
    </w:p>
    <w:p w14:paraId="10C0E535"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22.</w:t>
      </w:r>
      <w:r w:rsidRPr="00880B70">
        <w:rPr>
          <w:rFonts w:ascii="Cambria" w:hAnsi="Cambria"/>
          <w:noProof/>
          <w:sz w:val="24"/>
        </w:rPr>
        <w:tab/>
        <w:t xml:space="preserve">Tschöp, M., Smiley, D. L., and Heiman, M. L. (2000). Ghrelin induces adiposity in rodents. Nature </w:t>
      </w:r>
      <w:r w:rsidRPr="00880B70">
        <w:rPr>
          <w:rFonts w:ascii="Cambria" w:hAnsi="Cambria"/>
          <w:i/>
          <w:iCs/>
          <w:noProof/>
          <w:sz w:val="24"/>
        </w:rPr>
        <w:t>407</w:t>
      </w:r>
      <w:r w:rsidRPr="00880B70">
        <w:rPr>
          <w:rFonts w:ascii="Cambria" w:hAnsi="Cambria"/>
          <w:noProof/>
          <w:sz w:val="24"/>
        </w:rPr>
        <w:t>, 908–13.</w:t>
      </w:r>
    </w:p>
    <w:p w14:paraId="5325E4F0"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23.</w:t>
      </w:r>
      <w:r w:rsidRPr="00880B70">
        <w:rPr>
          <w:rFonts w:ascii="Cambria" w:hAnsi="Cambria"/>
          <w:noProof/>
          <w:sz w:val="24"/>
        </w:rPr>
        <w:tab/>
        <w:t xml:space="preserve">Ingalls, A. M., Dickie, M. M., and Snell, G. D. (1950). Obese, a new mutation in the house mouse. J. Hered. </w:t>
      </w:r>
      <w:r w:rsidRPr="00880B70">
        <w:rPr>
          <w:rFonts w:ascii="Cambria" w:hAnsi="Cambria"/>
          <w:i/>
          <w:iCs/>
          <w:noProof/>
          <w:sz w:val="24"/>
        </w:rPr>
        <w:t>41</w:t>
      </w:r>
      <w:r w:rsidRPr="00880B70">
        <w:rPr>
          <w:rFonts w:ascii="Cambria" w:hAnsi="Cambria"/>
          <w:noProof/>
          <w:sz w:val="24"/>
        </w:rPr>
        <w:t>, 317–8.</w:t>
      </w:r>
    </w:p>
    <w:p w14:paraId="6FCCBE5A"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24.</w:t>
      </w:r>
      <w:r w:rsidRPr="00880B70">
        <w:rPr>
          <w:rFonts w:ascii="Cambria" w:hAnsi="Cambria"/>
          <w:noProof/>
          <w:sz w:val="24"/>
        </w:rPr>
        <w:tab/>
        <w:t xml:space="preserve">Mistry, A. M., Swick, A. G., and Romsos, D. R. (1997). Leptin rapidly lowers food intake and elevates metabolic rates in lean and ob/ob mice. J. Nutr. </w:t>
      </w:r>
      <w:r w:rsidRPr="00880B70">
        <w:rPr>
          <w:rFonts w:ascii="Cambria" w:hAnsi="Cambria"/>
          <w:i/>
          <w:iCs/>
          <w:noProof/>
          <w:sz w:val="24"/>
        </w:rPr>
        <w:t>127</w:t>
      </w:r>
      <w:r w:rsidRPr="00880B70">
        <w:rPr>
          <w:rFonts w:ascii="Cambria" w:hAnsi="Cambria"/>
          <w:noProof/>
          <w:sz w:val="24"/>
        </w:rPr>
        <w:t>, 2065–72.</w:t>
      </w:r>
    </w:p>
    <w:p w14:paraId="1CAF6381"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25.</w:t>
      </w:r>
      <w:r w:rsidRPr="00880B70">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880B70">
        <w:rPr>
          <w:rFonts w:ascii="Cambria" w:hAnsi="Cambria"/>
          <w:i/>
          <w:iCs/>
          <w:noProof/>
          <w:sz w:val="24"/>
        </w:rPr>
        <w:t>269</w:t>
      </w:r>
      <w:r w:rsidRPr="00880B70">
        <w:rPr>
          <w:rFonts w:ascii="Cambria" w:hAnsi="Cambria"/>
          <w:noProof/>
          <w:sz w:val="24"/>
        </w:rPr>
        <w:t>, 543–546.</w:t>
      </w:r>
    </w:p>
    <w:p w14:paraId="0F89196B"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26.</w:t>
      </w:r>
      <w:r w:rsidRPr="00880B70">
        <w:rPr>
          <w:rFonts w:ascii="Cambria" w:hAnsi="Cambria"/>
          <w:noProof/>
          <w:sz w:val="24"/>
        </w:rPr>
        <w:tab/>
        <w:t xml:space="preserve">Zhang, Y., Proenca, R., Maffei, M., Barone, M., Leopold, L., and Friedman, J. M. (1994). Positional cloning of the mouse obese gene and its human homologue. Nature </w:t>
      </w:r>
      <w:r w:rsidRPr="00880B70">
        <w:rPr>
          <w:rFonts w:ascii="Cambria" w:hAnsi="Cambria"/>
          <w:i/>
          <w:iCs/>
          <w:noProof/>
          <w:sz w:val="24"/>
        </w:rPr>
        <w:t>372</w:t>
      </w:r>
      <w:r w:rsidRPr="00880B70">
        <w:rPr>
          <w:rFonts w:ascii="Cambria" w:hAnsi="Cambria"/>
          <w:noProof/>
          <w:sz w:val="24"/>
        </w:rPr>
        <w:t>, 425–32.</w:t>
      </w:r>
    </w:p>
    <w:p w14:paraId="19A0D146"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27.</w:t>
      </w:r>
      <w:r w:rsidRPr="00880B70">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880B70">
        <w:rPr>
          <w:rFonts w:ascii="Cambria" w:hAnsi="Cambria"/>
          <w:i/>
          <w:iCs/>
          <w:noProof/>
          <w:sz w:val="24"/>
        </w:rPr>
        <w:t>3</w:t>
      </w:r>
      <w:r w:rsidRPr="00880B70">
        <w:rPr>
          <w:rFonts w:ascii="Cambria" w:hAnsi="Cambria"/>
          <w:noProof/>
          <w:sz w:val="24"/>
        </w:rPr>
        <w:t>, 238–40.</w:t>
      </w:r>
    </w:p>
    <w:p w14:paraId="49893522"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28.</w:t>
      </w:r>
      <w:r w:rsidRPr="00880B70">
        <w:rPr>
          <w:rFonts w:ascii="Cambria" w:hAnsi="Cambria"/>
          <w:noProof/>
          <w:sz w:val="24"/>
        </w:rPr>
        <w:tab/>
        <w:t xml:space="preserve">Griffiths, M., Payne, P. ., Rivers, J. P. ., Cox, M., and Stunkard, A. . (1990). Metabolic rate and physical development in children at risk of obesity. Lancet </w:t>
      </w:r>
      <w:r w:rsidRPr="00880B70">
        <w:rPr>
          <w:rFonts w:ascii="Cambria" w:hAnsi="Cambria"/>
          <w:i/>
          <w:iCs/>
          <w:noProof/>
          <w:sz w:val="24"/>
        </w:rPr>
        <w:t>336</w:t>
      </w:r>
      <w:r w:rsidRPr="00880B70">
        <w:rPr>
          <w:rFonts w:ascii="Cambria" w:hAnsi="Cambria"/>
          <w:noProof/>
          <w:sz w:val="24"/>
        </w:rPr>
        <w:t>, 76–78.</w:t>
      </w:r>
    </w:p>
    <w:p w14:paraId="2FC836DD"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29.</w:t>
      </w:r>
      <w:r w:rsidRPr="00880B70">
        <w:rPr>
          <w:rFonts w:ascii="Cambria" w:hAnsi="Cambria"/>
          <w:noProof/>
          <w:sz w:val="24"/>
        </w:rPr>
        <w:tab/>
        <w:t xml:space="preserve">Roberts, S. B., Savage, J., Coward, W. A., Chew, B., and Lucas, A. (1988). Energy expenditure and intake in infants born to lean and overweight mothers. N. Engl. J. Med. </w:t>
      </w:r>
      <w:r w:rsidRPr="00880B70">
        <w:rPr>
          <w:rFonts w:ascii="Cambria" w:hAnsi="Cambria"/>
          <w:i/>
          <w:iCs/>
          <w:noProof/>
          <w:sz w:val="24"/>
        </w:rPr>
        <w:t>318</w:t>
      </w:r>
      <w:r w:rsidRPr="00880B70">
        <w:rPr>
          <w:rFonts w:ascii="Cambria" w:hAnsi="Cambria"/>
          <w:noProof/>
          <w:sz w:val="24"/>
        </w:rPr>
        <w:t>, 461–6.</w:t>
      </w:r>
    </w:p>
    <w:p w14:paraId="2EED8A23"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30.</w:t>
      </w:r>
      <w:r w:rsidRPr="00880B70">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880B70">
        <w:rPr>
          <w:rFonts w:ascii="Cambria" w:hAnsi="Cambria"/>
          <w:i/>
          <w:iCs/>
          <w:noProof/>
          <w:sz w:val="24"/>
        </w:rPr>
        <w:t>81</w:t>
      </w:r>
      <w:r w:rsidRPr="00880B70">
        <w:rPr>
          <w:rFonts w:ascii="Cambria" w:hAnsi="Cambria"/>
          <w:noProof/>
          <w:sz w:val="24"/>
        </w:rPr>
        <w:t>, 968–975.</w:t>
      </w:r>
    </w:p>
    <w:p w14:paraId="69D92FFD"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31.</w:t>
      </w:r>
      <w:r w:rsidRPr="00880B70">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880B70">
        <w:rPr>
          <w:rFonts w:ascii="Cambria" w:hAnsi="Cambria"/>
          <w:i/>
          <w:iCs/>
          <w:noProof/>
          <w:sz w:val="24"/>
        </w:rPr>
        <w:t>148</w:t>
      </w:r>
      <w:r w:rsidRPr="00880B70">
        <w:rPr>
          <w:rFonts w:ascii="Cambria" w:hAnsi="Cambria"/>
          <w:noProof/>
          <w:sz w:val="24"/>
        </w:rPr>
        <w:t>, 300–9.</w:t>
      </w:r>
    </w:p>
    <w:p w14:paraId="4C12DD7E"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32.</w:t>
      </w:r>
      <w:r w:rsidRPr="00880B70">
        <w:rPr>
          <w:rFonts w:ascii="Cambria" w:hAnsi="Cambria"/>
          <w:noProof/>
          <w:sz w:val="24"/>
        </w:rPr>
        <w:tab/>
        <w:t xml:space="preserve">Leibel, R. L., Rosenbaum, M., and Hirsch, J. (1995). Changes in energy expenditure resulting from altered body weight. N. Engl. J. Med. </w:t>
      </w:r>
      <w:r w:rsidRPr="00880B70">
        <w:rPr>
          <w:rFonts w:ascii="Cambria" w:hAnsi="Cambria"/>
          <w:i/>
          <w:iCs/>
          <w:noProof/>
          <w:sz w:val="24"/>
        </w:rPr>
        <w:t>332</w:t>
      </w:r>
      <w:r w:rsidRPr="00880B70">
        <w:rPr>
          <w:rFonts w:ascii="Cambria" w:hAnsi="Cambria"/>
          <w:noProof/>
          <w:sz w:val="24"/>
        </w:rPr>
        <w:t>, 621–8.</w:t>
      </w:r>
    </w:p>
    <w:p w14:paraId="0AC809C9"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33.</w:t>
      </w:r>
      <w:r w:rsidRPr="00880B70">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880B70">
        <w:rPr>
          <w:rFonts w:ascii="Cambria" w:hAnsi="Cambria"/>
          <w:i/>
          <w:iCs/>
          <w:noProof/>
          <w:sz w:val="24"/>
        </w:rPr>
        <w:t>78</w:t>
      </w:r>
      <w:r w:rsidRPr="00880B70">
        <w:rPr>
          <w:rFonts w:ascii="Cambria" w:hAnsi="Cambria"/>
          <w:noProof/>
          <w:sz w:val="24"/>
        </w:rPr>
        <w:t xml:space="preserve">, 1568–78. </w:t>
      </w:r>
    </w:p>
    <w:p w14:paraId="1ECDFBD9" w14:textId="344EA0DF" w:rsidR="003A21BA" w:rsidRDefault="00F32E39" w:rsidP="00880B70">
      <w:pPr>
        <w:pStyle w:val="NormalWeb"/>
        <w:ind w:left="640" w:hanging="640"/>
        <w:divId w:val="1008563092"/>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/maltodextrose.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07D3022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Benjamini and Hochberg and presented as q-values.  Measurements are ordered by predictive effect on HFD.</w:t>
      </w:r>
      <w:r w:rsidR="006D4086">
        <w:t xml:space="preserve">  Rho</w:t>
      </w:r>
      <w:r w:rsidR="00366EA2">
        <w:rPr>
          <w:vertAlign w:val="superscript"/>
        </w:rPr>
        <w:t>2</w:t>
      </w:r>
      <w:r w:rsidR="006D4086">
        <w:t xml:space="preserve"> indicate</w:t>
      </w:r>
      <w:r w:rsidR="009E6F31">
        <w:t>s correlation coefficient as determined by Spearman’s rank order test.</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2D8333B2" w14:textId="50FA57D0" w:rsidR="00A708F6" w:rsidRDefault="00A708F6" w:rsidP="00235AFE">
      <w:pPr>
        <w:spacing w:line="480" w:lineRule="auto"/>
      </w:pPr>
      <w:r w:rsidRPr="008B57E0">
        <w:rPr>
          <w:b/>
        </w:rPr>
        <w:t xml:space="preserve">Figure </w:t>
      </w:r>
      <w:r w:rsidR="00C10601">
        <w:rPr>
          <w:b/>
        </w:rPr>
        <w:t>1</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7B0F7BA8" w:rsidR="00A708F6" w:rsidRDefault="00A708F6" w:rsidP="00235AFE">
      <w:pPr>
        <w:spacing w:line="480" w:lineRule="auto"/>
      </w:pPr>
      <w:r w:rsidRPr="008B57E0">
        <w:rPr>
          <w:b/>
        </w:rPr>
        <w:t xml:space="preserve">Figure </w:t>
      </w:r>
      <w:r w:rsidR="00C10601">
        <w:rPr>
          <w:b/>
        </w:rPr>
        <w:t>2</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r w:rsidR="00356657">
        <w:t>re-feeding</w:t>
      </w:r>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r w:rsidR="001B7ED8">
        <w:t>Wilcoxon</w:t>
      </w:r>
      <w:r w:rsidR="00AA7BFA">
        <w:t xml:space="preserve"> Test after a significant </w:t>
      </w:r>
      <w:r w:rsidR="001B7ED8">
        <w:t>Kruskal-Wallis</w:t>
      </w:r>
      <w:r w:rsidR="00AA7BFA">
        <w:t xml:space="preserve"> </w:t>
      </w:r>
      <w:r w:rsidR="001B7ED8">
        <w:t>test</w:t>
      </w:r>
      <w:r w:rsidR="00345A50">
        <w:t xml:space="preserve"> (p&lt;0.001)</w:t>
      </w:r>
      <w:r w:rsidR="00A80CEB">
        <w:t>.</w:t>
      </w:r>
    </w:p>
    <w:p w14:paraId="3C3E907D" w14:textId="77777777" w:rsidR="00A708F6" w:rsidRDefault="00A708F6" w:rsidP="00235AFE">
      <w:pPr>
        <w:spacing w:line="480" w:lineRule="auto"/>
      </w:pPr>
    </w:p>
    <w:p w14:paraId="4739CD92" w14:textId="4DFA863D" w:rsidR="00A708F6" w:rsidRDefault="00A708F6" w:rsidP="00235AFE">
      <w:pPr>
        <w:spacing w:line="480" w:lineRule="auto"/>
      </w:pPr>
      <w:r w:rsidRPr="008B57E0">
        <w:rPr>
          <w:b/>
        </w:rPr>
        <w:t xml:space="preserve">Figure </w:t>
      </w:r>
      <w:r w:rsidR="00C10601">
        <w:rPr>
          <w:b/>
        </w:rPr>
        <w:t>3</w:t>
      </w:r>
      <w:r w:rsidRPr="008B57E0">
        <w:rPr>
          <w:b/>
        </w:rPr>
        <w:t>: Pre-diet</w:t>
      </w:r>
      <w:r>
        <w:rPr>
          <w:b/>
        </w:rPr>
        <w:t xml:space="preserve"> fasting response </w:t>
      </w:r>
      <w:r w:rsidR="00B30F5C">
        <w:rPr>
          <w:b/>
        </w:rPr>
        <w:t>negatively correlates with</w:t>
      </w:r>
      <w:r>
        <w:rPr>
          <w:b/>
        </w:rPr>
        <w:t xml:space="preserve"> weight gain. </w:t>
      </w:r>
      <w:r>
        <w:t xml:space="preserve">Correlation between </w:t>
      </w:r>
      <w:r w:rsidR="00F76D25">
        <w:t>relative</w:t>
      </w:r>
      <w:r>
        <w:t xml:space="preserve"> fasting</w:t>
      </w:r>
      <w:r w:rsidR="00B30F5C">
        <w:t xml:space="preserve"> induced</w:t>
      </w:r>
      <w:r>
        <w:t xml:space="preserve"> weight loss </w:t>
      </w:r>
      <w:r w:rsidR="00F76D25">
        <w:t xml:space="preserve">at 10 weeks </w:t>
      </w:r>
      <w:r>
        <w:t xml:space="preserve">and </w:t>
      </w:r>
      <w:r w:rsidR="00F76D25">
        <w:t xml:space="preserve">percent weight gain during the </w:t>
      </w:r>
      <w:proofErr w:type="gramStart"/>
      <w:r w:rsidR="00F76D25">
        <w:t>12 week</w:t>
      </w:r>
      <w:proofErr w:type="gramEnd"/>
      <w:r w:rsidR="00F76D25">
        <w:t xml:space="preserve"> diet</w:t>
      </w:r>
      <w:r w:rsidR="00B30F5C">
        <w:t xml:space="preserve">.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r w:rsidR="00AA7BFA">
        <w:t>Tukey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r w:rsidR="00731EDF" w:rsidRPr="008B57E0">
        <w:rPr>
          <w:b/>
          <w:i/>
        </w:rPr>
        <w:t>ob/</w:t>
      </w:r>
      <w:r w:rsidR="00731EDF">
        <w:rPr>
          <w:b/>
          <w:i/>
        </w:rPr>
        <w:t xml:space="preserve">ob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r w:rsidR="00731EDF">
        <w:rPr>
          <w:i/>
        </w:rPr>
        <w:t xml:space="preserve">ob/ob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r w:rsidR="00467669">
        <w:rPr>
          <w:i/>
        </w:rPr>
        <w:t xml:space="preserve">ob/ob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r w:rsidR="0081647A" w:rsidRPr="00090012">
        <w:rPr>
          <w:b/>
          <w:i/>
        </w:rPr>
        <w:t>ob/ob</w:t>
      </w:r>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r w:rsidR="0081647A">
        <w:rPr>
          <w:i/>
        </w:rPr>
        <w:t xml:space="preserve">ob/ob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759CF"/>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1BF"/>
    <w:rsid w:val="000F596A"/>
    <w:rsid w:val="00104B6F"/>
    <w:rsid w:val="0010569F"/>
    <w:rsid w:val="001321BE"/>
    <w:rsid w:val="001328AE"/>
    <w:rsid w:val="001459FA"/>
    <w:rsid w:val="0016440D"/>
    <w:rsid w:val="001660D5"/>
    <w:rsid w:val="0019180D"/>
    <w:rsid w:val="00195F04"/>
    <w:rsid w:val="001A39F5"/>
    <w:rsid w:val="001A7F1F"/>
    <w:rsid w:val="001B13BA"/>
    <w:rsid w:val="001B4951"/>
    <w:rsid w:val="001B7ED8"/>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0BA"/>
    <w:rsid w:val="00351436"/>
    <w:rsid w:val="00351EA1"/>
    <w:rsid w:val="00352D86"/>
    <w:rsid w:val="00356657"/>
    <w:rsid w:val="00360BF0"/>
    <w:rsid w:val="00366EA2"/>
    <w:rsid w:val="00370E07"/>
    <w:rsid w:val="00377740"/>
    <w:rsid w:val="00384038"/>
    <w:rsid w:val="00391A6A"/>
    <w:rsid w:val="00394A2F"/>
    <w:rsid w:val="003A21BA"/>
    <w:rsid w:val="003A4EED"/>
    <w:rsid w:val="003A6DDD"/>
    <w:rsid w:val="003C4A14"/>
    <w:rsid w:val="003D464A"/>
    <w:rsid w:val="003E5583"/>
    <w:rsid w:val="003E7A89"/>
    <w:rsid w:val="0040433C"/>
    <w:rsid w:val="00405368"/>
    <w:rsid w:val="004157E4"/>
    <w:rsid w:val="00416613"/>
    <w:rsid w:val="004225D6"/>
    <w:rsid w:val="00422A30"/>
    <w:rsid w:val="00422AA9"/>
    <w:rsid w:val="0043192A"/>
    <w:rsid w:val="004423DE"/>
    <w:rsid w:val="00444831"/>
    <w:rsid w:val="0044539F"/>
    <w:rsid w:val="00451ED8"/>
    <w:rsid w:val="0046010F"/>
    <w:rsid w:val="00461AB3"/>
    <w:rsid w:val="00467669"/>
    <w:rsid w:val="004703C9"/>
    <w:rsid w:val="00470918"/>
    <w:rsid w:val="004778C0"/>
    <w:rsid w:val="00477C1C"/>
    <w:rsid w:val="004A14E1"/>
    <w:rsid w:val="004A3389"/>
    <w:rsid w:val="004A3BC4"/>
    <w:rsid w:val="004A47BD"/>
    <w:rsid w:val="004A58BC"/>
    <w:rsid w:val="004A609D"/>
    <w:rsid w:val="004C32E5"/>
    <w:rsid w:val="004D1AF6"/>
    <w:rsid w:val="004D3299"/>
    <w:rsid w:val="00502009"/>
    <w:rsid w:val="0052115C"/>
    <w:rsid w:val="00537E56"/>
    <w:rsid w:val="00542B70"/>
    <w:rsid w:val="005444B4"/>
    <w:rsid w:val="0055021A"/>
    <w:rsid w:val="00552EC7"/>
    <w:rsid w:val="00577865"/>
    <w:rsid w:val="00590A1C"/>
    <w:rsid w:val="0059233A"/>
    <w:rsid w:val="005A057E"/>
    <w:rsid w:val="005A3A52"/>
    <w:rsid w:val="005B687A"/>
    <w:rsid w:val="005C400C"/>
    <w:rsid w:val="005D6B00"/>
    <w:rsid w:val="005E01E6"/>
    <w:rsid w:val="005E34F1"/>
    <w:rsid w:val="005E706F"/>
    <w:rsid w:val="005F1777"/>
    <w:rsid w:val="005F39D0"/>
    <w:rsid w:val="005F46A4"/>
    <w:rsid w:val="00601D01"/>
    <w:rsid w:val="00613CB8"/>
    <w:rsid w:val="00623191"/>
    <w:rsid w:val="0062524D"/>
    <w:rsid w:val="006345E6"/>
    <w:rsid w:val="00645CD7"/>
    <w:rsid w:val="00654902"/>
    <w:rsid w:val="0066771A"/>
    <w:rsid w:val="00675E68"/>
    <w:rsid w:val="00682DA1"/>
    <w:rsid w:val="006853EC"/>
    <w:rsid w:val="006859DB"/>
    <w:rsid w:val="00696479"/>
    <w:rsid w:val="006D4086"/>
    <w:rsid w:val="006E68F4"/>
    <w:rsid w:val="007137E7"/>
    <w:rsid w:val="0072196C"/>
    <w:rsid w:val="00726411"/>
    <w:rsid w:val="00730887"/>
    <w:rsid w:val="00731EDF"/>
    <w:rsid w:val="00736223"/>
    <w:rsid w:val="00736C1D"/>
    <w:rsid w:val="00757195"/>
    <w:rsid w:val="00760733"/>
    <w:rsid w:val="00770F8D"/>
    <w:rsid w:val="0078479E"/>
    <w:rsid w:val="00794A05"/>
    <w:rsid w:val="00794C6C"/>
    <w:rsid w:val="007A45A5"/>
    <w:rsid w:val="007B189E"/>
    <w:rsid w:val="007B5E8F"/>
    <w:rsid w:val="007B63F7"/>
    <w:rsid w:val="007B75DD"/>
    <w:rsid w:val="007C0CB5"/>
    <w:rsid w:val="007C2473"/>
    <w:rsid w:val="007E1355"/>
    <w:rsid w:val="007E3AF9"/>
    <w:rsid w:val="008162BC"/>
    <w:rsid w:val="0081647A"/>
    <w:rsid w:val="008165C1"/>
    <w:rsid w:val="0083433C"/>
    <w:rsid w:val="00841B51"/>
    <w:rsid w:val="008423B0"/>
    <w:rsid w:val="008431A4"/>
    <w:rsid w:val="00857677"/>
    <w:rsid w:val="008640AF"/>
    <w:rsid w:val="00865166"/>
    <w:rsid w:val="00867408"/>
    <w:rsid w:val="00870881"/>
    <w:rsid w:val="00871384"/>
    <w:rsid w:val="00880B70"/>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86895"/>
    <w:rsid w:val="009B2753"/>
    <w:rsid w:val="009B2E73"/>
    <w:rsid w:val="009B3BC5"/>
    <w:rsid w:val="009C6CAB"/>
    <w:rsid w:val="009D6FCA"/>
    <w:rsid w:val="009E6F31"/>
    <w:rsid w:val="00A13CB4"/>
    <w:rsid w:val="00A145C2"/>
    <w:rsid w:val="00A20612"/>
    <w:rsid w:val="00A44DC2"/>
    <w:rsid w:val="00A47586"/>
    <w:rsid w:val="00A616F7"/>
    <w:rsid w:val="00A66F9F"/>
    <w:rsid w:val="00A708F6"/>
    <w:rsid w:val="00A80CEB"/>
    <w:rsid w:val="00A850D4"/>
    <w:rsid w:val="00A86EF0"/>
    <w:rsid w:val="00A93BE5"/>
    <w:rsid w:val="00A93FE6"/>
    <w:rsid w:val="00AA2106"/>
    <w:rsid w:val="00AA7BFA"/>
    <w:rsid w:val="00AC1581"/>
    <w:rsid w:val="00AD73E1"/>
    <w:rsid w:val="00AF277D"/>
    <w:rsid w:val="00B045DE"/>
    <w:rsid w:val="00B05EA2"/>
    <w:rsid w:val="00B07AD1"/>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10601"/>
    <w:rsid w:val="00C213A6"/>
    <w:rsid w:val="00C41921"/>
    <w:rsid w:val="00C4203B"/>
    <w:rsid w:val="00C46CEB"/>
    <w:rsid w:val="00C47379"/>
    <w:rsid w:val="00C55422"/>
    <w:rsid w:val="00C651B3"/>
    <w:rsid w:val="00C6702E"/>
    <w:rsid w:val="00C779AF"/>
    <w:rsid w:val="00C963D4"/>
    <w:rsid w:val="00CA48FE"/>
    <w:rsid w:val="00CB3FBB"/>
    <w:rsid w:val="00CD0C14"/>
    <w:rsid w:val="00CE06C3"/>
    <w:rsid w:val="00CF3D73"/>
    <w:rsid w:val="00D031F1"/>
    <w:rsid w:val="00D05D9C"/>
    <w:rsid w:val="00D1346E"/>
    <w:rsid w:val="00D30504"/>
    <w:rsid w:val="00D60A1E"/>
    <w:rsid w:val="00D7401A"/>
    <w:rsid w:val="00D821E1"/>
    <w:rsid w:val="00D82546"/>
    <w:rsid w:val="00D84B0B"/>
    <w:rsid w:val="00D94D74"/>
    <w:rsid w:val="00DB25EF"/>
    <w:rsid w:val="00DB3A5C"/>
    <w:rsid w:val="00DC0B49"/>
    <w:rsid w:val="00DD2B73"/>
    <w:rsid w:val="00DE3E75"/>
    <w:rsid w:val="00E0787E"/>
    <w:rsid w:val="00E13410"/>
    <w:rsid w:val="00E1621E"/>
    <w:rsid w:val="00E25D62"/>
    <w:rsid w:val="00E37165"/>
    <w:rsid w:val="00E37D0E"/>
    <w:rsid w:val="00E43E25"/>
    <w:rsid w:val="00E512ED"/>
    <w:rsid w:val="00E56A5B"/>
    <w:rsid w:val="00E70F4E"/>
    <w:rsid w:val="00E97188"/>
    <w:rsid w:val="00EB2167"/>
    <w:rsid w:val="00EB2B16"/>
    <w:rsid w:val="00EC62C8"/>
    <w:rsid w:val="00ED077D"/>
    <w:rsid w:val="00EE551B"/>
    <w:rsid w:val="00EF79F1"/>
    <w:rsid w:val="00F16196"/>
    <w:rsid w:val="00F1796E"/>
    <w:rsid w:val="00F2094F"/>
    <w:rsid w:val="00F30D2F"/>
    <w:rsid w:val="00F32E39"/>
    <w:rsid w:val="00F41AA3"/>
    <w:rsid w:val="00F431AE"/>
    <w:rsid w:val="00F5171A"/>
    <w:rsid w:val="00F51E7D"/>
    <w:rsid w:val="00F661C1"/>
    <w:rsid w:val="00F76D25"/>
    <w:rsid w:val="00F951A0"/>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sChild>
                                                                                                                                                                                                    <w:div w:id="608052821">
                                                                                                                                                                                                      <w:marLeft w:val="0"/>
                                                                                                                                                                                                      <w:marRight w:val="0"/>
                                                                                                                                                                                                      <w:marTop w:val="0"/>
                                                                                                                                                                                                      <w:marBottom w:val="0"/>
                                                                                                                                                                                                      <w:divBdr>
                                                                                                                                                                                                        <w:top w:val="none" w:sz="0" w:space="0" w:color="auto"/>
                                                                                                                                                                                                        <w:left w:val="none" w:sz="0" w:space="0" w:color="auto"/>
                                                                                                                                                                                                        <w:bottom w:val="none" w:sz="0" w:space="0" w:color="auto"/>
                                                                                                                                                                                                        <w:right w:val="none" w:sz="0" w:space="0" w:color="auto"/>
                                                                                                                                                                                                      </w:divBdr>
                                                                                                                                                                                                      <w:divsChild>
                                                                                                                                                                                                        <w:div w:id="1640763439">
                                                                                                                                                                                                          <w:marLeft w:val="0"/>
                                                                                                                                                                                                          <w:marRight w:val="0"/>
                                                                                                                                                                                                          <w:marTop w:val="0"/>
                                                                                                                                                                                                          <w:marBottom w:val="0"/>
                                                                                                                                                                                                          <w:divBdr>
                                                                                                                                                                                                            <w:top w:val="none" w:sz="0" w:space="0" w:color="auto"/>
                                                                                                                                                                                                            <w:left w:val="none" w:sz="0" w:space="0" w:color="auto"/>
                                                                                                                                                                                                            <w:bottom w:val="none" w:sz="0" w:space="0" w:color="auto"/>
                                                                                                                                                                                                            <w:right w:val="none" w:sz="0" w:space="0" w:color="auto"/>
                                                                                                                                                                                                          </w:divBdr>
                                                                                                                                                                                                          <w:divsChild>
                                                                                                                                                                                                            <w:div w:id="408037517">
                                                                                                                                                                                                              <w:marLeft w:val="0"/>
                                                                                                                                                                                                              <w:marRight w:val="0"/>
                                                                                                                                                                                                              <w:marTop w:val="0"/>
                                                                                                                                                                                                              <w:marBottom w:val="0"/>
                                                                                                                                                                                                              <w:divBdr>
                                                                                                                                                                                                                <w:top w:val="none" w:sz="0" w:space="0" w:color="auto"/>
                                                                                                                                                                                                                <w:left w:val="none" w:sz="0" w:space="0" w:color="auto"/>
                                                                                                                                                                                                                <w:bottom w:val="none" w:sz="0" w:space="0" w:color="auto"/>
                                                                                                                                                                                                                <w:right w:val="none" w:sz="0" w:space="0" w:color="auto"/>
                                                                                                                                                                                                              </w:divBdr>
                                                                                                                                                                                                              <w:divsChild>
                                                                                                                                                                                                                <w:div w:id="1397122576">
                                                                                                                                                                                                                  <w:marLeft w:val="0"/>
                                                                                                                                                                                                                  <w:marRight w:val="0"/>
                                                                                                                                                                                                                  <w:marTop w:val="0"/>
                                                                                                                                                                                                                  <w:marBottom w:val="0"/>
                                                                                                                                                                                                                  <w:divBdr>
                                                                                                                                                                                                                    <w:top w:val="none" w:sz="0" w:space="0" w:color="auto"/>
                                                                                                                                                                                                                    <w:left w:val="none" w:sz="0" w:space="0" w:color="auto"/>
                                                                                                                                                                                                                    <w:bottom w:val="none" w:sz="0" w:space="0" w:color="auto"/>
                                                                                                                                                                                                                    <w:right w:val="none" w:sz="0" w:space="0" w:color="auto"/>
                                                                                                                                                                                                                  </w:divBdr>
                                                                                                                                                                                                                  <w:divsChild>
                                                                                                                                                                                                                    <w:div w:id="1956791746">
                                                                                                                                                                                                                      <w:marLeft w:val="0"/>
                                                                                                                                                                                                                      <w:marRight w:val="0"/>
                                                                                                                                                                                                                      <w:marTop w:val="0"/>
                                                                                                                                                                                                                      <w:marBottom w:val="0"/>
                                                                                                                                                                                                                      <w:divBdr>
                                                                                                                                                                                                                        <w:top w:val="none" w:sz="0" w:space="0" w:color="auto"/>
                                                                                                                                                                                                                        <w:left w:val="none" w:sz="0" w:space="0" w:color="auto"/>
                                                                                                                                                                                                                        <w:bottom w:val="none" w:sz="0" w:space="0" w:color="auto"/>
                                                                                                                                                                                                                        <w:right w:val="none" w:sz="0" w:space="0" w:color="auto"/>
                                                                                                                                                                                                                      </w:divBdr>
                                                                                                                                                                                                                      <w:divsChild>
                                                                                                                                                                                                                        <w:div w:id="1008563092">
                                                                                                                                                                                                                          <w:marLeft w:val="0"/>
                                                                                                                                                                                                                          <w:marRight w:val="0"/>
                                                                                                                                                                                                                          <w:marTop w:val="0"/>
                                                                                                                                                                                                                          <w:marBottom w:val="0"/>
                                                                                                                                                                                                                          <w:divBdr>
                                                                                                                                                                                                                            <w:top w:val="none" w:sz="0" w:space="0" w:color="auto"/>
                                                                                                                                                                                                                            <w:left w:val="none" w:sz="0" w:space="0" w:color="auto"/>
                                                                                                                                                                                                                            <w:bottom w:val="none" w:sz="0" w:space="0" w:color="auto"/>
                                                                                                                                                                                                                            <w:right w:val="none" w:sz="0" w:space="0" w:color="auto"/>
                                                                                                                                                                                                                          </w:divBdr>
                                                                                                                                                                                                                          <w:divsChild>
                                                                                                                                                                                                                            <w:div w:id="487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F499A-834D-8D46-9117-D22102014CE2}">
  <ds:schemaRefs>
    <ds:schemaRef ds:uri="http://schemas.openxmlformats.org/officeDocument/2006/bibliography"/>
  </ds:schemaRefs>
</ds:datastoreItem>
</file>

<file path=customXml/itemProps2.xml><?xml version="1.0" encoding="utf-8"?>
<ds:datastoreItem xmlns:ds="http://schemas.openxmlformats.org/officeDocument/2006/customXml" ds:itemID="{8A88A848-CF4A-2445-96E6-3A869E002F80}">
  <ds:schemaRefs>
    <ds:schemaRef ds:uri="http://schemas.openxmlformats.org/officeDocument/2006/bibliography"/>
  </ds:schemaRefs>
</ds:datastoreItem>
</file>

<file path=customXml/itemProps3.xml><?xml version="1.0" encoding="utf-8"?>
<ds:datastoreItem xmlns:ds="http://schemas.openxmlformats.org/officeDocument/2006/customXml" ds:itemID="{2CEFE4A8-E9D2-3346-AC86-75FE08557D53}">
  <ds:schemaRefs>
    <ds:schemaRef ds:uri="http://schemas.openxmlformats.org/officeDocument/2006/bibliography"/>
  </ds:schemaRefs>
</ds:datastoreItem>
</file>

<file path=customXml/itemProps4.xml><?xml version="1.0" encoding="utf-8"?>
<ds:datastoreItem xmlns:ds="http://schemas.openxmlformats.org/officeDocument/2006/customXml" ds:itemID="{AEAFC8F8-F1B5-E94A-BC4D-754D35C2F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23</Pages>
  <Words>18631</Words>
  <Characters>106200</Characters>
  <Application>Microsoft Macintosh Word</Application>
  <DocSecurity>0</DocSecurity>
  <Lines>885</Lines>
  <Paragraphs>249</Paragraphs>
  <ScaleCrop>false</ScaleCrop>
  <Company>UTHSC</Company>
  <LinksUpToDate>false</LinksUpToDate>
  <CharactersWithSpaces>124582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57</cp:revision>
  <cp:lastPrinted>2014-03-31T14:48:00Z</cp:lastPrinted>
  <dcterms:created xsi:type="dcterms:W3CDTF">2014-04-11T16:05:00Z</dcterms:created>
  <dcterms:modified xsi:type="dcterms:W3CDTF">2014-06-17T19:15:00Z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http://www.zotero.org/styles/journal-of-endocrinology</vt:lpwstr>
  </property>
  <property fmtid="{D5CDD505-2E9C-101B-9397-08002B2CF9AE}" pid="18" name="Mendeley Recent Style Name 6_1">
    <vt:lpwstr>Journal of Endocrinology</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