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10159E4B"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D188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D188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D7949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D188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8D188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8D188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7F3CFEBF"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D188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8D188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66E22466" w:rsidR="00A708F6" w:rsidRDefault="00A708F6" w:rsidP="00235AFE">
      <w:pPr>
        <w:spacing w:line="480" w:lineRule="auto"/>
      </w:pPr>
      <w:r>
        <w:t xml:space="preserve">All statistical analyses were performed using R version 3.0.2 </w:t>
      </w:r>
      <w:r w:rsidR="00B96C88">
        <w:fldChar w:fldCharType="begin" w:fldLock="1"/>
      </w:r>
      <w:r w:rsidR="008D188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D188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8D188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6257BEB1"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8D188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proofErr w:type="gramStart"/>
      <w:r w:rsidR="006D4086">
        <w:t>Potential correlations</w:t>
      </w:r>
      <w:r>
        <w:t xml:space="preserve"> were tested by determining </w:t>
      </w:r>
      <w:r w:rsidR="006D4086">
        <w:t>Spearman’s rho</w:t>
      </w:r>
      <w:r>
        <w:t xml:space="preserve"> </w:t>
      </w:r>
      <w:r w:rsidR="006D4086">
        <w:t>after finding that both absolute and percent weight gain did not fit a normal distribution</w:t>
      </w:r>
      <w:proofErr w:type="gramEnd"/>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8D188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644C4E2F"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8D188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r w:rsidR="00CD0C14">
        <w:t xml:space="preserve">  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44DB6E5"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8D188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601C729"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8D188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8D188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"[26]" }, "properties" : { "noteIndex" : 0 }, "schema" : "https://github.com/citation-style-language/schema/raw/master/csl-citation.json" }</w:instrText>
      </w:r>
      <w:r w:rsidR="00030090">
        <w:fldChar w:fldCharType="separate"/>
      </w:r>
      <w:r w:rsidR="008D1885" w:rsidRPr="008D1885">
        <w:rPr>
          <w:noProof/>
        </w:rPr>
        <w:t>[26]</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8D188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"[27\u201329]" }, "properties" : { "noteIndex" : 0 }, "schema" : "https://github.com/citation-style-language/schema/raw/master/csl-citation.json" }</w:instrText>
      </w:r>
      <w:r w:rsidR="005F46A4">
        <w:fldChar w:fldCharType="separate"/>
      </w:r>
      <w:proofErr w:type="gramStart"/>
      <w:r w:rsidR="008D1885" w:rsidRPr="008D1885">
        <w:rPr>
          <w:noProof/>
        </w:rPr>
        <w:t>[27–29]</w:t>
      </w:r>
      <w:r w:rsidR="005F46A4">
        <w:fldChar w:fldCharType="end"/>
      </w:r>
      <w:r w:rsidR="0066771A">
        <w:t>.</w:t>
      </w:r>
      <w:proofErr w:type="gramEnd"/>
    </w:p>
    <w:p w14:paraId="2CD6D8DC" w14:textId="77777777" w:rsidR="00422A30" w:rsidRDefault="00422A30" w:rsidP="00235AFE">
      <w:pPr>
        <w:spacing w:line="480" w:lineRule="auto"/>
      </w:pPr>
    </w:p>
    <w:p w14:paraId="19588F4F" w14:textId="0B19B6F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D188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"[30, 31]" }, "properties" : { "noteIndex" : 0 }, "schema" : "https://github.com/citation-style-language/schema/raw/master/csl-citation.json" }</w:instrText>
      </w:r>
      <w:r w:rsidR="00030090">
        <w:fldChar w:fldCharType="separate"/>
      </w:r>
      <w:r w:rsidR="008D1885" w:rsidRPr="008D1885">
        <w:rPr>
          <w:noProof/>
        </w:rPr>
        <w:t>[30, 31]</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384A3921" w:rsidR="000A0B84"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"[24, 25]" }, "properties" : { "noteIndex" : 0 }, "schema" : "https://github.com/citation-style-language/schema/raw/master/csl-citation.json" }</w:instrText>
      </w:r>
      <w:r>
        <w:fldChar w:fldCharType="separate"/>
      </w:r>
      <w:r w:rsidRPr="008D1885">
        <w:rPr>
          <w:noProof/>
        </w:rPr>
        <w:t>[24, 25]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Pr="008D1885">
        <w:rPr>
          <w:noProof/>
        </w:rPr>
        <w:t>[32, 33]</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2595DFE9" w14:textId="4E418DCE" w:rsidR="008D1885" w:rsidRPr="008D1885" w:rsidRDefault="00F32E39">
      <w:pPr>
        <w:pStyle w:val="NormalWeb"/>
        <w:ind w:left="640" w:hanging="640"/>
        <w:divId w:val="728386628"/>
        <w:rPr>
          <w:rFonts w:ascii="Cambria" w:hAnsi="Cambria"/>
          <w:noProof/>
          <w:sz w:val="24"/>
        </w:rPr>
      </w:pPr>
      <w:r>
        <w:fldChar w:fldCharType="begin" w:fldLock="1"/>
      </w:r>
      <w:r>
        <w:instrText xml:space="preserve">ADDIN Mendeley Bibliography CSL_BIBLIOGRAPHY </w:instrText>
      </w:r>
      <w:r>
        <w:fldChar w:fldCharType="separate"/>
      </w:r>
      <w:r w:rsidR="008D1885" w:rsidRPr="008D1885">
        <w:rPr>
          <w:rFonts w:ascii="Cambria" w:hAnsi="Cambria"/>
          <w:noProof/>
          <w:sz w:val="24"/>
        </w:rPr>
        <w:t>1.</w:t>
      </w:r>
      <w:r w:rsidR="008D1885" w:rsidRPr="008D1885">
        <w:rPr>
          <w:rFonts w:ascii="Cambria" w:hAnsi="Cambria"/>
          <w:noProof/>
          <w:sz w:val="24"/>
        </w:rPr>
        <w:tab/>
        <w:t>World Health Organization (2013). Obesity and Overweight. Available at: http://www.who.int/mediacentre/factsheets/fs311/en/.</w:t>
      </w:r>
    </w:p>
    <w:p w14:paraId="01BBACD0"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w:t>
      </w:r>
      <w:r w:rsidRPr="008D1885">
        <w:rPr>
          <w:rFonts w:ascii="Cambria" w:hAnsi="Cambria"/>
          <w:noProof/>
          <w:sz w:val="24"/>
        </w:rPr>
        <w:tab/>
        <w:t xml:space="preserve">El-Sayed Moustafa, J. S., and Froguel, P. (2013). From obesity genetics to the future of personalized obesity therapy. Nat. Rev. Endocrinol. </w:t>
      </w:r>
      <w:r w:rsidRPr="008D1885">
        <w:rPr>
          <w:rFonts w:ascii="Cambria" w:hAnsi="Cambria"/>
          <w:i/>
          <w:iCs/>
          <w:noProof/>
          <w:sz w:val="24"/>
        </w:rPr>
        <w:t>9</w:t>
      </w:r>
      <w:r w:rsidRPr="008D1885">
        <w:rPr>
          <w:rFonts w:ascii="Cambria" w:hAnsi="Cambria"/>
          <w:noProof/>
          <w:sz w:val="24"/>
        </w:rPr>
        <w:t>, 402–13.</w:t>
      </w:r>
    </w:p>
    <w:p w14:paraId="17E15FC3"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w:t>
      </w:r>
      <w:r w:rsidRPr="008D1885">
        <w:rPr>
          <w:rFonts w:ascii="Cambria" w:hAnsi="Cambria"/>
          <w:noProof/>
          <w:sz w:val="24"/>
        </w:rPr>
        <w:tab/>
        <w:t xml:space="preserve">Yu, Z. B., Han, S. P., Zhu, G. Z., Zhu, C., Wang, X. J., Cao, X. G., and Guo, X. R. (2011). Birth weight and subsequent risk of obesity: a systematic review and meta-analysis. Obes. Rev. </w:t>
      </w:r>
      <w:r w:rsidRPr="008D1885">
        <w:rPr>
          <w:rFonts w:ascii="Cambria" w:hAnsi="Cambria"/>
          <w:i/>
          <w:iCs/>
          <w:noProof/>
          <w:sz w:val="24"/>
        </w:rPr>
        <w:t>12</w:t>
      </w:r>
      <w:r w:rsidRPr="008D1885">
        <w:rPr>
          <w:rFonts w:ascii="Cambria" w:hAnsi="Cambria"/>
          <w:noProof/>
          <w:sz w:val="24"/>
        </w:rPr>
        <w:t>, 525–42.</w:t>
      </w:r>
    </w:p>
    <w:p w14:paraId="3C237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4.</w:t>
      </w:r>
      <w:r w:rsidRPr="008D1885">
        <w:rPr>
          <w:rFonts w:ascii="Cambria" w:hAnsi="Cambria"/>
          <w:noProof/>
          <w:sz w:val="24"/>
        </w:rPr>
        <w:tab/>
        <w:t xml:space="preserve">Cnattingius, S., Villamor, E., Lagerros, Y. T., Wikström, a-K., and Granath, F. (2012). High birth weight and obesity--a vicious circle across generations. Int. J. Obes. (Lond). </w:t>
      </w:r>
      <w:r w:rsidRPr="008D1885">
        <w:rPr>
          <w:rFonts w:ascii="Cambria" w:hAnsi="Cambria"/>
          <w:i/>
          <w:iCs/>
          <w:noProof/>
          <w:sz w:val="24"/>
        </w:rPr>
        <w:t>36</w:t>
      </w:r>
      <w:r w:rsidRPr="008D1885">
        <w:rPr>
          <w:rFonts w:ascii="Cambria" w:hAnsi="Cambria"/>
          <w:noProof/>
          <w:sz w:val="24"/>
        </w:rPr>
        <w:t>, 1320–4.</w:t>
      </w:r>
    </w:p>
    <w:p w14:paraId="37C58FD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5.</w:t>
      </w:r>
      <w:r w:rsidRPr="008D188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D1885">
        <w:rPr>
          <w:rFonts w:ascii="Cambria" w:hAnsi="Cambria"/>
          <w:i/>
          <w:iCs/>
          <w:noProof/>
          <w:sz w:val="24"/>
        </w:rPr>
        <w:t>38</w:t>
      </w:r>
      <w:r w:rsidRPr="008D1885">
        <w:rPr>
          <w:rFonts w:ascii="Cambria" w:hAnsi="Cambria"/>
          <w:noProof/>
          <w:sz w:val="24"/>
        </w:rPr>
        <w:t>, 280–5.</w:t>
      </w:r>
    </w:p>
    <w:p w14:paraId="312C07D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6.</w:t>
      </w:r>
      <w:r w:rsidRPr="008D188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D1885">
        <w:rPr>
          <w:rFonts w:ascii="Cambria" w:hAnsi="Cambria"/>
          <w:i/>
          <w:iCs/>
          <w:noProof/>
          <w:sz w:val="24"/>
        </w:rPr>
        <w:t>117</w:t>
      </w:r>
      <w:r w:rsidRPr="008D1885">
        <w:rPr>
          <w:rFonts w:ascii="Cambria" w:hAnsi="Cambria"/>
          <w:noProof/>
          <w:sz w:val="24"/>
        </w:rPr>
        <w:t>, 1203–9.</w:t>
      </w:r>
    </w:p>
    <w:p w14:paraId="0136A4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7.</w:t>
      </w:r>
      <w:r w:rsidRPr="008D188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D1885">
        <w:rPr>
          <w:rFonts w:ascii="Cambria" w:hAnsi="Cambria"/>
          <w:i/>
          <w:iCs/>
          <w:noProof/>
          <w:sz w:val="24"/>
        </w:rPr>
        <w:t>37</w:t>
      </w:r>
      <w:r w:rsidRPr="008D1885">
        <w:rPr>
          <w:rFonts w:ascii="Cambria" w:hAnsi="Cambria"/>
          <w:noProof/>
          <w:sz w:val="24"/>
        </w:rPr>
        <w:t>, 594–601.</w:t>
      </w:r>
    </w:p>
    <w:p w14:paraId="28533A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8.</w:t>
      </w:r>
      <w:r w:rsidRPr="008D1885">
        <w:rPr>
          <w:rFonts w:ascii="Cambria" w:hAnsi="Cambria"/>
          <w:noProof/>
          <w:sz w:val="24"/>
        </w:rPr>
        <w:tab/>
        <w:t xml:space="preserve">Taft, R. A., Davisson, M., and Wiles, M. V (2006). Know thy mouse. Trends Genet. </w:t>
      </w:r>
      <w:r w:rsidRPr="008D1885">
        <w:rPr>
          <w:rFonts w:ascii="Cambria" w:hAnsi="Cambria"/>
          <w:i/>
          <w:iCs/>
          <w:noProof/>
          <w:sz w:val="24"/>
        </w:rPr>
        <w:t>22</w:t>
      </w:r>
      <w:r w:rsidRPr="008D1885">
        <w:rPr>
          <w:rFonts w:ascii="Cambria" w:hAnsi="Cambria"/>
          <w:noProof/>
          <w:sz w:val="24"/>
        </w:rPr>
        <w:t>, 649–53.</w:t>
      </w:r>
    </w:p>
    <w:p w14:paraId="1BFC9C3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9.</w:t>
      </w:r>
      <w:r w:rsidRPr="008D1885">
        <w:rPr>
          <w:rFonts w:ascii="Cambria" w:hAnsi="Cambria"/>
          <w:noProof/>
          <w:sz w:val="24"/>
        </w:rPr>
        <w:tab/>
        <w:t>Jackson Laboratories (2014). Patented Genetic Stability Program. Available at: http://jaxmice.jax.org/genetichealth/stability.html [Accessed April 28, 2014].</w:t>
      </w:r>
    </w:p>
    <w:p w14:paraId="450291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10.</w:t>
      </w:r>
      <w:r w:rsidRPr="008D188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D1885">
        <w:rPr>
          <w:rFonts w:ascii="Cambria" w:hAnsi="Cambria"/>
          <w:i/>
          <w:iCs/>
          <w:noProof/>
          <w:sz w:val="24"/>
        </w:rPr>
        <w:t>2</w:t>
      </w:r>
      <w:r w:rsidRPr="008D1885">
        <w:rPr>
          <w:rFonts w:ascii="Cambria" w:hAnsi="Cambria"/>
          <w:noProof/>
          <w:sz w:val="24"/>
        </w:rPr>
        <w:t>, e81.</w:t>
      </w:r>
    </w:p>
    <w:p w14:paraId="0E87AE8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11.</w:t>
      </w:r>
      <w:r w:rsidRPr="008D1885">
        <w:rPr>
          <w:rFonts w:ascii="Cambria" w:hAnsi="Cambria"/>
          <w:noProof/>
          <w:sz w:val="24"/>
        </w:rPr>
        <w:tab/>
        <w:t>R Development Core Team, and R Core Team (2011). R: A language and environment for statistical computing.</w:t>
      </w:r>
    </w:p>
    <w:p w14:paraId="063FE82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12.</w:t>
      </w:r>
      <w:r w:rsidRPr="008D1885">
        <w:rPr>
          <w:rFonts w:ascii="Cambria" w:hAnsi="Cambria"/>
          <w:noProof/>
          <w:sz w:val="24"/>
        </w:rPr>
        <w:tab/>
        <w:t>Bates, D., Maechler, M., Bolker, B., and Walker, S. (2014). lme4: Linear mixed-effects models using Eigen and S4.</w:t>
      </w:r>
    </w:p>
    <w:p w14:paraId="5CBA225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13.</w:t>
      </w:r>
      <w:r w:rsidRPr="008D1885">
        <w:rPr>
          <w:rFonts w:ascii="Cambria" w:hAnsi="Cambria"/>
          <w:noProof/>
          <w:sz w:val="24"/>
        </w:rPr>
        <w:tab/>
        <w:t xml:space="preserve">Hothorn, T., Bretz, F., and Westfall, P. (2008). Simultaneous Inference in General Parametric Models. Biometrical J. </w:t>
      </w:r>
      <w:r w:rsidRPr="008D1885">
        <w:rPr>
          <w:rFonts w:ascii="Cambria" w:hAnsi="Cambria"/>
          <w:i/>
          <w:iCs/>
          <w:noProof/>
          <w:sz w:val="24"/>
        </w:rPr>
        <w:t>50</w:t>
      </w:r>
      <w:r w:rsidRPr="008D1885">
        <w:rPr>
          <w:rFonts w:ascii="Cambria" w:hAnsi="Cambria"/>
          <w:noProof/>
          <w:sz w:val="24"/>
        </w:rPr>
        <w:t>, 346–363.</w:t>
      </w:r>
    </w:p>
    <w:p w14:paraId="6BC36AD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14.</w:t>
      </w:r>
      <w:r w:rsidRPr="008D1885">
        <w:rPr>
          <w:rFonts w:ascii="Cambria" w:hAnsi="Cambria"/>
          <w:noProof/>
          <w:sz w:val="24"/>
        </w:rPr>
        <w:tab/>
        <w:t>Gastwirth, J. L., Gel, Y. R., Hui, W. L. W., Lyubchich, V., Miao, W., and Noguchi, K. (2013). lawstat: An R package for biostatistics, public policy, and law.</w:t>
      </w:r>
    </w:p>
    <w:p w14:paraId="42E5DB9F"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15.</w:t>
      </w:r>
      <w:r w:rsidRPr="008D1885">
        <w:rPr>
          <w:rFonts w:ascii="Cambria" w:hAnsi="Cambria"/>
          <w:noProof/>
          <w:sz w:val="24"/>
        </w:rPr>
        <w:tab/>
        <w:t xml:space="preserve">Brown, M. B., and Forsythe, A. B. (1974). Robust Tests for the Equality of Variances. J. Am. Stat. Assoc. </w:t>
      </w:r>
      <w:r w:rsidRPr="008D1885">
        <w:rPr>
          <w:rFonts w:ascii="Cambria" w:hAnsi="Cambria"/>
          <w:i/>
          <w:iCs/>
          <w:noProof/>
          <w:sz w:val="24"/>
        </w:rPr>
        <w:t>69</w:t>
      </w:r>
      <w:r w:rsidRPr="008D1885">
        <w:rPr>
          <w:rFonts w:ascii="Cambria" w:hAnsi="Cambria"/>
          <w:noProof/>
          <w:sz w:val="24"/>
        </w:rPr>
        <w:t>, 364–367.</w:t>
      </w:r>
    </w:p>
    <w:p w14:paraId="07273ACE"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16.</w:t>
      </w:r>
      <w:r w:rsidRPr="008D1885">
        <w:rPr>
          <w:rFonts w:ascii="Cambria" w:hAnsi="Cambria"/>
          <w:noProof/>
          <w:sz w:val="24"/>
        </w:rPr>
        <w:tab/>
        <w:t xml:space="preserve">Benjamini, Y., and Hochberg, Y. (1995). Controlling the False Discovery Rate: A Practical and Powerful Approach to Multiple Testing. J. R. Stat. Soc. Ser. B </w:t>
      </w:r>
      <w:r w:rsidRPr="008D1885">
        <w:rPr>
          <w:rFonts w:ascii="Cambria" w:hAnsi="Cambria"/>
          <w:i/>
          <w:iCs/>
          <w:noProof/>
          <w:sz w:val="24"/>
        </w:rPr>
        <w:t>57</w:t>
      </w:r>
      <w:r w:rsidRPr="008D1885">
        <w:rPr>
          <w:rFonts w:ascii="Cambria" w:hAnsi="Cambria"/>
          <w:noProof/>
          <w:sz w:val="24"/>
        </w:rPr>
        <w:t>, 289–300.</w:t>
      </w:r>
    </w:p>
    <w:p w14:paraId="0707B4BA"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17.</w:t>
      </w:r>
      <w:r w:rsidRPr="008D1885">
        <w:rPr>
          <w:rFonts w:ascii="Cambria" w:hAnsi="Cambria"/>
          <w:noProof/>
          <w:sz w:val="24"/>
        </w:rPr>
        <w:tab/>
        <w:t xml:space="preserve">Steppan, C. M., Bailey, S. T., Bhat, S., Brown, E. J., Banerjee, R. R., Wright, C. M., Patel, H. R., Ahima, R. S., and Lazar, M. a (2001). The hormone resistin links obesity to diabetes. Nature </w:t>
      </w:r>
      <w:r w:rsidRPr="008D1885">
        <w:rPr>
          <w:rFonts w:ascii="Cambria" w:hAnsi="Cambria"/>
          <w:i/>
          <w:iCs/>
          <w:noProof/>
          <w:sz w:val="24"/>
        </w:rPr>
        <w:t>409</w:t>
      </w:r>
      <w:r w:rsidRPr="008D1885">
        <w:rPr>
          <w:rFonts w:ascii="Cambria" w:hAnsi="Cambria"/>
          <w:noProof/>
          <w:sz w:val="24"/>
        </w:rPr>
        <w:t>, 307–12.</w:t>
      </w:r>
    </w:p>
    <w:p w14:paraId="4DACE669"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18.</w:t>
      </w:r>
      <w:r w:rsidRPr="008D188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D1885">
        <w:rPr>
          <w:rFonts w:ascii="Cambria" w:hAnsi="Cambria"/>
          <w:i/>
          <w:iCs/>
          <w:noProof/>
          <w:sz w:val="24"/>
        </w:rPr>
        <w:t>1</w:t>
      </w:r>
      <w:r w:rsidRPr="008D1885">
        <w:rPr>
          <w:rFonts w:ascii="Cambria" w:hAnsi="Cambria"/>
          <w:noProof/>
          <w:sz w:val="24"/>
        </w:rPr>
        <w:t>, 1311–4.</w:t>
      </w:r>
    </w:p>
    <w:p w14:paraId="7D1035BD"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19.</w:t>
      </w:r>
      <w:r w:rsidRPr="008D1885">
        <w:rPr>
          <w:rFonts w:ascii="Cambria" w:hAnsi="Cambria"/>
          <w:noProof/>
          <w:sz w:val="24"/>
        </w:rPr>
        <w:tab/>
        <w:t xml:space="preserve">Ingalls, A. M., Dickie, M. M., and Snell, G. D. (1950). Obese, a new mutation in the house mouse. J. Hered. </w:t>
      </w:r>
      <w:r w:rsidRPr="008D1885">
        <w:rPr>
          <w:rFonts w:ascii="Cambria" w:hAnsi="Cambria"/>
          <w:i/>
          <w:iCs/>
          <w:noProof/>
          <w:sz w:val="24"/>
        </w:rPr>
        <w:t>41</w:t>
      </w:r>
      <w:r w:rsidRPr="008D1885">
        <w:rPr>
          <w:rFonts w:ascii="Cambria" w:hAnsi="Cambria"/>
          <w:noProof/>
          <w:sz w:val="24"/>
        </w:rPr>
        <w:t>, 317–8.</w:t>
      </w:r>
    </w:p>
    <w:p w14:paraId="71EA8D9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20.</w:t>
      </w:r>
      <w:r w:rsidRPr="008D1885">
        <w:rPr>
          <w:rFonts w:ascii="Cambria" w:hAnsi="Cambria"/>
          <w:noProof/>
          <w:sz w:val="24"/>
        </w:rPr>
        <w:tab/>
        <w:t xml:space="preserve">Mistry, A. M., Swick, A. G., and Romsos, D. R. (1997). Leptin rapidly lowers food intake and elevates metabolic rates in lean and ob/ob mice. J. Nutr. </w:t>
      </w:r>
      <w:r w:rsidRPr="008D1885">
        <w:rPr>
          <w:rFonts w:ascii="Cambria" w:hAnsi="Cambria"/>
          <w:i/>
          <w:iCs/>
          <w:noProof/>
          <w:sz w:val="24"/>
        </w:rPr>
        <w:t>127</w:t>
      </w:r>
      <w:r w:rsidRPr="008D1885">
        <w:rPr>
          <w:rFonts w:ascii="Cambria" w:hAnsi="Cambria"/>
          <w:noProof/>
          <w:sz w:val="24"/>
        </w:rPr>
        <w:t>, 2065–72.</w:t>
      </w:r>
    </w:p>
    <w:p w14:paraId="4E45E1E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21.</w:t>
      </w:r>
      <w:r w:rsidRPr="008D188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D1885">
        <w:rPr>
          <w:rFonts w:ascii="Cambria" w:hAnsi="Cambria"/>
          <w:i/>
          <w:iCs/>
          <w:noProof/>
          <w:sz w:val="24"/>
        </w:rPr>
        <w:t>269</w:t>
      </w:r>
      <w:r w:rsidRPr="008D1885">
        <w:rPr>
          <w:rFonts w:ascii="Cambria" w:hAnsi="Cambria"/>
          <w:noProof/>
          <w:sz w:val="24"/>
        </w:rPr>
        <w:t>, 543–546.</w:t>
      </w:r>
    </w:p>
    <w:p w14:paraId="69F7EF8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22.</w:t>
      </w:r>
      <w:r w:rsidRPr="008D1885">
        <w:rPr>
          <w:rFonts w:ascii="Cambria" w:hAnsi="Cambria"/>
          <w:noProof/>
          <w:sz w:val="24"/>
        </w:rPr>
        <w:tab/>
        <w:t xml:space="preserve">Zhang, Y., Proenca, R., Maffei, M., Barone, M., Leopold, L., and Friedman, J. M. (1994). Positional cloning of the mouse obese gene and its human homologue. Nature </w:t>
      </w:r>
      <w:r w:rsidRPr="008D1885">
        <w:rPr>
          <w:rFonts w:ascii="Cambria" w:hAnsi="Cambria"/>
          <w:i/>
          <w:iCs/>
          <w:noProof/>
          <w:sz w:val="24"/>
        </w:rPr>
        <w:t>372</w:t>
      </w:r>
      <w:r w:rsidRPr="008D1885">
        <w:rPr>
          <w:rFonts w:ascii="Cambria" w:hAnsi="Cambria"/>
          <w:noProof/>
          <w:sz w:val="24"/>
        </w:rPr>
        <w:t>, 425–32.</w:t>
      </w:r>
    </w:p>
    <w:p w14:paraId="67ACBFA5"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23.</w:t>
      </w:r>
      <w:r w:rsidRPr="008D188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8D1885">
        <w:rPr>
          <w:rFonts w:ascii="Cambria" w:hAnsi="Cambria"/>
          <w:i/>
          <w:iCs/>
          <w:noProof/>
          <w:sz w:val="24"/>
        </w:rPr>
        <w:t>490</w:t>
      </w:r>
      <w:r w:rsidRPr="008D1885">
        <w:rPr>
          <w:rFonts w:ascii="Cambria" w:hAnsi="Cambria"/>
          <w:noProof/>
          <w:sz w:val="24"/>
        </w:rPr>
        <w:t>, 267–72.</w:t>
      </w:r>
    </w:p>
    <w:p w14:paraId="6941003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24.</w:t>
      </w:r>
      <w:r w:rsidRPr="008D1885">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D1885">
        <w:rPr>
          <w:rFonts w:ascii="Cambria" w:hAnsi="Cambria"/>
          <w:i/>
          <w:iCs/>
          <w:noProof/>
          <w:sz w:val="24"/>
        </w:rPr>
        <w:t>81</w:t>
      </w:r>
      <w:r w:rsidRPr="008D1885">
        <w:rPr>
          <w:rFonts w:ascii="Cambria" w:hAnsi="Cambria"/>
          <w:noProof/>
          <w:sz w:val="24"/>
        </w:rPr>
        <w:t>, 968–975.</w:t>
      </w:r>
    </w:p>
    <w:p w14:paraId="7DB2580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25.</w:t>
      </w:r>
      <w:r w:rsidRPr="008D1885">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D1885">
        <w:rPr>
          <w:rFonts w:ascii="Cambria" w:hAnsi="Cambria"/>
          <w:i/>
          <w:iCs/>
          <w:noProof/>
          <w:sz w:val="24"/>
        </w:rPr>
        <w:t>148</w:t>
      </w:r>
      <w:r w:rsidRPr="008D1885">
        <w:rPr>
          <w:rFonts w:ascii="Cambria" w:hAnsi="Cambria"/>
          <w:noProof/>
          <w:sz w:val="24"/>
        </w:rPr>
        <w:t>, 300–9.</w:t>
      </w:r>
    </w:p>
    <w:p w14:paraId="3DE81621"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26.</w:t>
      </w:r>
      <w:r w:rsidRPr="008D188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D1885">
        <w:rPr>
          <w:rFonts w:ascii="Cambria" w:hAnsi="Cambria"/>
          <w:i/>
          <w:iCs/>
          <w:noProof/>
          <w:sz w:val="24"/>
        </w:rPr>
        <w:t>3</w:t>
      </w:r>
      <w:r w:rsidRPr="008D1885">
        <w:rPr>
          <w:rFonts w:ascii="Cambria" w:hAnsi="Cambria"/>
          <w:noProof/>
          <w:sz w:val="24"/>
        </w:rPr>
        <w:t>, 238–40.</w:t>
      </w:r>
    </w:p>
    <w:p w14:paraId="0BA5C722"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27.</w:t>
      </w:r>
      <w:r w:rsidRPr="008D188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8D1885">
        <w:rPr>
          <w:rFonts w:ascii="Cambria" w:hAnsi="Cambria"/>
          <w:i/>
          <w:iCs/>
          <w:noProof/>
          <w:sz w:val="24"/>
        </w:rPr>
        <w:t>42</w:t>
      </w:r>
      <w:r w:rsidRPr="008D1885">
        <w:rPr>
          <w:rFonts w:ascii="Cambria" w:hAnsi="Cambria"/>
          <w:noProof/>
          <w:sz w:val="24"/>
        </w:rPr>
        <w:t>, 937–948.</w:t>
      </w:r>
    </w:p>
    <w:p w14:paraId="71D52057"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28.</w:t>
      </w:r>
      <w:r w:rsidRPr="008D1885">
        <w:rPr>
          <w:rFonts w:ascii="Cambria" w:hAnsi="Cambria"/>
          <w:noProof/>
          <w:sz w:val="24"/>
        </w:rPr>
        <w:tab/>
        <w:t xml:space="preserve">Bogardus, C. (2009). Missing heritability and GWAS utility. Obesity (Silver Spring). </w:t>
      </w:r>
      <w:r w:rsidRPr="008D1885">
        <w:rPr>
          <w:rFonts w:ascii="Cambria" w:hAnsi="Cambria"/>
          <w:i/>
          <w:iCs/>
          <w:noProof/>
          <w:sz w:val="24"/>
        </w:rPr>
        <w:t>17</w:t>
      </w:r>
      <w:r w:rsidRPr="008D1885">
        <w:rPr>
          <w:rFonts w:ascii="Cambria" w:hAnsi="Cambria"/>
          <w:noProof/>
          <w:sz w:val="24"/>
        </w:rPr>
        <w:t>, 209–10.</w:t>
      </w:r>
    </w:p>
    <w:p w14:paraId="1846A44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29.</w:t>
      </w:r>
      <w:r w:rsidRPr="008D1885">
        <w:rPr>
          <w:rFonts w:ascii="Cambria" w:hAnsi="Cambria"/>
          <w:noProof/>
          <w:sz w:val="24"/>
        </w:rPr>
        <w:tab/>
        <w:t xml:space="preserve">Loos, R. J. F. (2012). Genetic determinants of common obesity and their value in prediction. Best Pract. Res. Clin. Endocrinol. Metab. </w:t>
      </w:r>
      <w:r w:rsidRPr="008D1885">
        <w:rPr>
          <w:rFonts w:ascii="Cambria" w:hAnsi="Cambria"/>
          <w:i/>
          <w:iCs/>
          <w:noProof/>
          <w:sz w:val="24"/>
        </w:rPr>
        <w:t>26</w:t>
      </w:r>
      <w:r w:rsidRPr="008D1885">
        <w:rPr>
          <w:rFonts w:ascii="Cambria" w:hAnsi="Cambria"/>
          <w:noProof/>
          <w:sz w:val="24"/>
        </w:rPr>
        <w:t>, 211–26.</w:t>
      </w:r>
    </w:p>
    <w:p w14:paraId="69188584"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30.</w:t>
      </w:r>
      <w:r w:rsidRPr="008D1885">
        <w:rPr>
          <w:rFonts w:ascii="Cambria" w:hAnsi="Cambria"/>
          <w:noProof/>
          <w:sz w:val="24"/>
        </w:rPr>
        <w:tab/>
        <w:t xml:space="preserve">Griffiths, M., Payne, P. ., Rivers, J. P. ., Cox, M., and Stunkard, A. . (1990). Metabolic rate and physical development in children at risk of obesity. Lancet </w:t>
      </w:r>
      <w:r w:rsidRPr="008D1885">
        <w:rPr>
          <w:rFonts w:ascii="Cambria" w:hAnsi="Cambria"/>
          <w:i/>
          <w:iCs/>
          <w:noProof/>
          <w:sz w:val="24"/>
        </w:rPr>
        <w:t>336</w:t>
      </w:r>
      <w:r w:rsidRPr="008D1885">
        <w:rPr>
          <w:rFonts w:ascii="Cambria" w:hAnsi="Cambria"/>
          <w:noProof/>
          <w:sz w:val="24"/>
        </w:rPr>
        <w:t>, 76–78.</w:t>
      </w:r>
    </w:p>
    <w:p w14:paraId="6CC6F75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31.</w:t>
      </w:r>
      <w:r w:rsidRPr="008D1885">
        <w:rPr>
          <w:rFonts w:ascii="Cambria" w:hAnsi="Cambria"/>
          <w:noProof/>
          <w:sz w:val="24"/>
        </w:rPr>
        <w:tab/>
        <w:t xml:space="preserve">Roberts, S. B., Savage, J., Coward, W. A., Chew, B., and Lucas, A. (1988). Energy expenditure and intake in infants born to lean and overweight mothers. N. Engl. J. Med. </w:t>
      </w:r>
      <w:r w:rsidRPr="008D1885">
        <w:rPr>
          <w:rFonts w:ascii="Cambria" w:hAnsi="Cambria"/>
          <w:i/>
          <w:iCs/>
          <w:noProof/>
          <w:sz w:val="24"/>
        </w:rPr>
        <w:t>318</w:t>
      </w:r>
      <w:r w:rsidRPr="008D1885">
        <w:rPr>
          <w:rFonts w:ascii="Cambria" w:hAnsi="Cambria"/>
          <w:noProof/>
          <w:sz w:val="24"/>
        </w:rPr>
        <w:t>, 461–6.</w:t>
      </w:r>
    </w:p>
    <w:p w14:paraId="280C7F88"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32.</w:t>
      </w:r>
      <w:r w:rsidRPr="008D1885">
        <w:rPr>
          <w:rFonts w:ascii="Cambria" w:hAnsi="Cambria"/>
          <w:noProof/>
          <w:sz w:val="24"/>
        </w:rPr>
        <w:tab/>
        <w:t xml:space="preserve">Leibel, R. L., Rosenbaum, M., and Hirsch, J. (1995). Changes in energy expenditure resulting from altered body weight. N. Engl. J. Med. </w:t>
      </w:r>
      <w:r w:rsidRPr="008D1885">
        <w:rPr>
          <w:rFonts w:ascii="Cambria" w:hAnsi="Cambria"/>
          <w:i/>
          <w:iCs/>
          <w:noProof/>
          <w:sz w:val="24"/>
        </w:rPr>
        <w:t>332</w:t>
      </w:r>
      <w:r w:rsidRPr="008D1885">
        <w:rPr>
          <w:rFonts w:ascii="Cambria" w:hAnsi="Cambria"/>
          <w:noProof/>
          <w:sz w:val="24"/>
        </w:rPr>
        <w:t>, 621–8.</w:t>
      </w:r>
    </w:p>
    <w:p w14:paraId="028548AC" w14:textId="77777777" w:rsidR="008D1885" w:rsidRPr="008D1885" w:rsidRDefault="008D1885">
      <w:pPr>
        <w:pStyle w:val="NormalWeb"/>
        <w:ind w:left="640" w:hanging="640"/>
        <w:divId w:val="728386628"/>
        <w:rPr>
          <w:rFonts w:ascii="Cambria" w:hAnsi="Cambria"/>
          <w:noProof/>
          <w:sz w:val="24"/>
        </w:rPr>
      </w:pPr>
      <w:r w:rsidRPr="008D1885">
        <w:rPr>
          <w:rFonts w:ascii="Cambria" w:hAnsi="Cambria"/>
          <w:noProof/>
          <w:sz w:val="24"/>
        </w:rPr>
        <w:t>33.</w:t>
      </w:r>
      <w:r w:rsidRPr="008D188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D1885">
        <w:rPr>
          <w:rFonts w:ascii="Cambria" w:hAnsi="Cambria"/>
          <w:i/>
          <w:iCs/>
          <w:noProof/>
          <w:sz w:val="24"/>
        </w:rPr>
        <w:t>78</w:t>
      </w:r>
      <w:r w:rsidRPr="008D1885">
        <w:rPr>
          <w:rFonts w:ascii="Cambria" w:hAnsi="Cambria"/>
          <w:noProof/>
          <w:sz w:val="24"/>
        </w:rPr>
        <w:t xml:space="preserve">, 1568–78. </w:t>
      </w:r>
    </w:p>
    <w:p w14:paraId="1ECDFBD9" w14:textId="474596DE" w:rsidR="003A21BA" w:rsidRDefault="00F32E39" w:rsidP="008D1885">
      <w:pPr>
        <w:pStyle w:val="NormalWeb"/>
        <w:ind w:left="640" w:hanging="640"/>
        <w:divId w:val="605969418"/>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bookmarkStart w:id="0" w:name="_GoBack"/>
      <w:bookmarkEnd w:id="0"/>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6EA2"/>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96479"/>
    <w:rsid w:val="006D4086"/>
    <w:rsid w:val="006E68F4"/>
    <w:rsid w:val="007137E7"/>
    <w:rsid w:val="00726411"/>
    <w:rsid w:val="00731EDF"/>
    <w:rsid w:val="00736223"/>
    <w:rsid w:val="00736C1D"/>
    <w:rsid w:val="00757195"/>
    <w:rsid w:val="00760733"/>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C7E2C"/>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B76A6-83F9-D542-8C3F-A604E78E7466}">
  <ds:schemaRefs>
    <ds:schemaRef ds:uri="http://schemas.openxmlformats.org/officeDocument/2006/bibliography"/>
  </ds:schemaRefs>
</ds:datastoreItem>
</file>

<file path=customXml/itemProps2.xml><?xml version="1.0" encoding="utf-8"?>
<ds:datastoreItem xmlns:ds="http://schemas.openxmlformats.org/officeDocument/2006/customXml" ds:itemID="{81053E4C-3BB9-E845-AB5C-417C833D9397}">
  <ds:schemaRefs>
    <ds:schemaRef ds:uri="http://schemas.openxmlformats.org/officeDocument/2006/bibliography"/>
  </ds:schemaRefs>
</ds:datastoreItem>
</file>

<file path=customXml/itemProps3.xml><?xml version="1.0" encoding="utf-8"?>
<ds:datastoreItem xmlns:ds="http://schemas.openxmlformats.org/officeDocument/2006/customXml" ds:itemID="{460E09DD-9CCF-FF47-AFD7-2EA72E348C6A}">
  <ds:schemaRefs>
    <ds:schemaRef ds:uri="http://schemas.openxmlformats.org/officeDocument/2006/bibliography"/>
  </ds:schemaRefs>
</ds:datastoreItem>
</file>

<file path=customXml/itemProps4.xml><?xml version="1.0" encoding="utf-8"?>
<ds:datastoreItem xmlns:ds="http://schemas.openxmlformats.org/officeDocument/2006/customXml" ds:itemID="{EF89A9A7-1899-B941-B1A3-A36734BB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28113</Words>
  <Characters>160245</Characters>
  <Application>Microsoft Macintosh Word</Application>
  <DocSecurity>0</DocSecurity>
  <Lines>1335</Lines>
  <Paragraphs>375</Paragraphs>
  <ScaleCrop>false</ScaleCrop>
  <Company>UTHSC</Company>
  <LinksUpToDate>false</LinksUpToDate>
  <CharactersWithSpaces>187983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14</cp:revision>
  <cp:lastPrinted>2014-03-31T14:48:00Z</cp:lastPrinted>
  <dcterms:created xsi:type="dcterms:W3CDTF">2014-04-11T16:05:00Z</dcterms:created>
  <dcterms:modified xsi:type="dcterms:W3CDTF">2014-05-28T17:15:00Z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