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7AE6D7BE"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w:t>
      </w:r>
      <w:proofErr w:type="gramStart"/>
      <w:r>
        <w:rPr>
          <w:b/>
        </w:rPr>
        <w:t>and</w:t>
      </w:r>
      <w:r w:rsidR="00983FBA">
        <w:rPr>
          <w:b/>
        </w:rPr>
        <w:t xml:space="preserve"> </w:t>
      </w:r>
      <w:r>
        <w:rPr>
          <w:b/>
        </w:rPr>
        <w:t xml:space="preserve"> more</w:t>
      </w:r>
      <w:proofErr w:type="gramEnd"/>
      <w:r>
        <w:rPr>
          <w:b/>
        </w:rPr>
        <w:t xml:space="preserv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32831EAE"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DF19F5">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DF19F5">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165B3C90"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DF19F5">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44546970" w:rsidR="00594BC2" w:rsidRPr="00594BC2" w:rsidRDefault="00594BC2" w:rsidP="00A94DF2">
      <w:pPr>
        <w:ind w:left="360"/>
        <w:rPr>
          <w:b/>
          <w:color w:val="FF0000"/>
        </w:rPr>
      </w:pPr>
      <w:proofErr w:type="spellStart"/>
      <w:r w:rsidRPr="00594BC2">
        <w:rPr>
          <w:b/>
          <w:color w:val="FF0000"/>
        </w:rPr>
        <w:t>Futhermore</w:t>
      </w:r>
      <w:proofErr w:type="spellEnd"/>
      <w:r w:rsidRPr="00594BC2">
        <w:rPr>
          <w:b/>
          <w:color w:val="FF0000"/>
        </w:rPr>
        <w:t>, the fasting/</w:t>
      </w:r>
      <w:proofErr w:type="spellStart"/>
      <w:r w:rsidRPr="00594BC2">
        <w:rPr>
          <w:b/>
          <w:color w:val="FF0000"/>
        </w:rPr>
        <w:t>refeeding</w:t>
      </w:r>
      <w:proofErr w:type="spellEnd"/>
      <w:r w:rsidRPr="00594BC2">
        <w:rPr>
          <w:b/>
          <w:color w:val="FF0000"/>
        </w:rPr>
        <w:t xml:space="preserve"> responses (decreases in total ghrelin, glucagon, GLP-1 and increases with insulin) are consistent with previous data, supportive of a normal fasting response </w:t>
      </w:r>
      <w:r w:rsidRPr="00594BC2">
        <w:rPr>
          <w:b/>
          <w:color w:val="FF0000"/>
        </w:rPr>
        <w:fldChar w:fldCharType="begin" w:fldLock="1"/>
      </w:r>
      <w:r w:rsidR="00DF19F5">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466DCC73"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w:t>
      </w:r>
      <w:r w:rsidR="0090305D">
        <w:rPr>
          <w:b/>
        </w:rPr>
        <w:t>g responses observed in Figure 2 (formerly Figure 3)</w:t>
      </w:r>
      <w:r w:rsidR="000C4AA9">
        <w:rPr>
          <w:b/>
        </w:rPr>
        <w:t>.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C868DC0" w:rsidR="005A7923" w:rsidRDefault="00734333" w:rsidP="00FC2429">
      <w:pPr>
        <w:pStyle w:val="ListParagraph"/>
        <w:numPr>
          <w:ilvl w:val="0"/>
          <w:numId w:val="2"/>
        </w:numPr>
      </w:pPr>
      <w:r>
        <w:rPr>
          <w:b/>
          <w:noProof/>
        </w:rPr>
        <mc:AlternateContent>
          <mc:Choice Requires="wps">
            <w:drawing>
              <wp:anchor distT="0" distB="0" distL="114300" distR="114300" simplePos="0" relativeHeight="251661312" behindDoc="0" locked="0" layoutInCell="1" allowOverlap="1" wp14:anchorId="18D918DC" wp14:editId="543EDEAB">
                <wp:simplePos x="0" y="0"/>
                <wp:positionH relativeFrom="column">
                  <wp:posOffset>2057400</wp:posOffset>
                </wp:positionH>
                <wp:positionV relativeFrom="paragraph">
                  <wp:posOffset>291465</wp:posOffset>
                </wp:positionV>
                <wp:extent cx="3657600" cy="5257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525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C735" w14:textId="1CEDAEF4" w:rsidR="00B910B2" w:rsidRDefault="00B910B2">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B910B2" w:rsidRDefault="00B910B2"/>
                          <w:p w14:paraId="4CE42E02" w14:textId="5211A0FC" w:rsidR="00B910B2" w:rsidRDefault="00B910B2">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62pt;margin-top:22.95pt;width:4in;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2oPs4CAAAP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" filled="f" stroked="f">
                <v:textbox>
                  <w:txbxContent>
                    <w:p w14:paraId="0959C735" w14:textId="1CEDAEF4" w:rsidR="00B910B2" w:rsidRDefault="00B910B2">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B910B2" w:rsidRDefault="00B910B2"/>
                    <w:p w14:paraId="4CE42E02" w14:textId="5211A0FC" w:rsidR="00B910B2" w:rsidRDefault="00B910B2">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v:textbox>
                <w10:wrap type="square"/>
              </v:shape>
            </w:pict>
          </mc:Fallback>
        </mc:AlternateContent>
      </w:r>
      <w:r w:rsidR="00FC2429">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5959272"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r w:rsidR="00501B5F">
        <w:rPr>
          <w:b/>
        </w:rPr>
        <w:t xml:space="preserve"> </w:t>
      </w:r>
    </w:p>
    <w:p w14:paraId="21179FED" w14:textId="55D58CC7" w:rsidR="005A7923" w:rsidRPr="005A7923" w:rsidRDefault="005A7923" w:rsidP="005A7923">
      <w:pPr>
        <w:pStyle w:val="ListParagraph"/>
        <w:ind w:left="360"/>
        <w:rPr>
          <w:b/>
        </w:rPr>
      </w:pPr>
    </w:p>
    <w:p w14:paraId="45F43BFA" w14:textId="77777777" w:rsidR="00E270C1" w:rsidRDefault="00FC2429" w:rsidP="00E270C1">
      <w:pPr>
        <w:pStyle w:val="ListParagraph"/>
        <w:numPr>
          <w:ilvl w:val="0"/>
          <w:numId w:val="2"/>
        </w:numPr>
      </w:pPr>
      <w:r>
        <w:t xml:space="preserve">Since HFD animals gained more at one location than the other, I do not think it is appropriate to combine these. Do the results hold when HFD groups are separated into cohorts by location? Could this be reason for variability in weight gain on HFD? </w:t>
      </w:r>
      <w:r w:rsidR="00E270C1">
        <w:t>I am not sure what is meant by “minimal variation across cohorts”? From the figure to me it looks as if there is considerable variation across the HFD cohorts, but within the same cohort is smaller variation?</w:t>
      </w:r>
    </w:p>
    <w:p w14:paraId="4C2D1B8F" w14:textId="25DD77C4" w:rsidR="000867BA" w:rsidRDefault="000867BA" w:rsidP="00E270C1">
      <w:pPr>
        <w:pStyle w:val="ListParagraph"/>
        <w:ind w:left="360"/>
      </w:pPr>
    </w:p>
    <w:p w14:paraId="4F7C29CD" w14:textId="77777777" w:rsidR="000867BA" w:rsidRDefault="000867BA" w:rsidP="000867BA">
      <w:pPr>
        <w:pStyle w:val="ListParagraph"/>
        <w:ind w:left="0"/>
      </w:pPr>
    </w:p>
    <w:p w14:paraId="1F0E9F0F" w14:textId="755FB4B7" w:rsidR="000867BA" w:rsidRDefault="00346627" w:rsidP="000867BA">
      <w:pPr>
        <w:pStyle w:val="ListParagraph"/>
        <w:ind w:left="0"/>
        <w:rPr>
          <w:b/>
        </w:rPr>
      </w:pPr>
      <w:r>
        <w:rPr>
          <w:b/>
        </w:rPr>
        <w:t xml:space="preserve">We examined these cohorts separately, according to this very insightful suggestion.  The reviewer is correct in noting that there may be differential variability between facilities.  For reasons we do not quite understand, the increased variation in HFD animals was only present at one location, not the other.  These separated data are presented </w:t>
      </w:r>
      <w:r w:rsidR="00E270C1">
        <w:rPr>
          <w:b/>
        </w:rPr>
        <w:t xml:space="preserve">in Figure 1 of this response.  </w:t>
      </w:r>
      <w:r w:rsidR="004D2EC5">
        <w:rPr>
          <w:b/>
        </w:rPr>
        <w:t xml:space="preserve">  </w:t>
      </w:r>
    </w:p>
    <w:p w14:paraId="4F3F8F03" w14:textId="5615F7F7" w:rsidR="00E270C1" w:rsidRDefault="00E270C1" w:rsidP="000867BA">
      <w:pPr>
        <w:pStyle w:val="ListParagraph"/>
        <w:ind w:left="0"/>
        <w:rPr>
          <w:b/>
        </w:rPr>
      </w:pPr>
    </w:p>
    <w:p w14:paraId="3EF83CEF" w14:textId="631A8907" w:rsidR="00E270C1" w:rsidRDefault="00E270C1" w:rsidP="000867BA">
      <w:pPr>
        <w:pStyle w:val="ListParagraph"/>
        <w:ind w:left="0"/>
        <w:rPr>
          <w:b/>
        </w:rPr>
      </w:pPr>
      <w:r>
        <w:rPr>
          <w:b/>
        </w:rPr>
        <w:t xml:space="preserve">This re-analysis has our interpretation of the altered variance.  It is possible that one of these facilities is an outlier, and that there either is or is not increase variance in HFD-fed animals, but without repeating this at several other animal facilities we can not make any conclusive statements.  </w:t>
      </w:r>
      <w:r w:rsidR="004D2EC5">
        <w:rPr>
          <w:b/>
        </w:rPr>
        <w:t xml:space="preserve">We informally discussed this with several colleagues who have also done high fat diet treatment, and found that while there is some location-to-location variance, the enhanced variance present in cohorts 1 and 2 was especially high at the University of Michigan facility.  As </w:t>
      </w:r>
      <w:r>
        <w:rPr>
          <w:b/>
        </w:rPr>
        <w:t>such we have removed</w:t>
      </w:r>
      <w:r w:rsidR="0090305D">
        <w:rPr>
          <w:b/>
        </w:rPr>
        <w:t xml:space="preserve"> what was</w:t>
      </w:r>
      <w:r>
        <w:rPr>
          <w:b/>
        </w:rPr>
        <w:t xml:space="preserve"> Figure 1 from this paper, and any reference to the increase variation with high fat diet as we are not confident in these effects.  We profusely thank the reviewer for his</w:t>
      </w:r>
      <w:r w:rsidR="00501B5F">
        <w:rPr>
          <w:b/>
        </w:rPr>
        <w:t xml:space="preserve"> keen eye</w:t>
      </w:r>
      <w:r>
        <w:rPr>
          <w:b/>
        </w:rPr>
        <w:t>.</w:t>
      </w:r>
    </w:p>
    <w:p w14:paraId="366E31E0" w14:textId="77777777" w:rsidR="003A5DDA" w:rsidRDefault="003A5DDA" w:rsidP="000867BA">
      <w:pPr>
        <w:pStyle w:val="ListParagraph"/>
        <w:ind w:left="0"/>
        <w:rPr>
          <w:b/>
        </w:rPr>
      </w:pPr>
    </w:p>
    <w:p w14:paraId="3C7C3152" w14:textId="45ABC984" w:rsidR="003A5DDA" w:rsidRDefault="003A5DDA" w:rsidP="000867BA">
      <w:pPr>
        <w:pStyle w:val="ListParagraph"/>
        <w:ind w:left="0"/>
        <w:rPr>
          <w:b/>
        </w:rPr>
      </w:pPr>
      <w:r>
        <w:rPr>
          <w:b/>
        </w:rPr>
        <w:t>Notably, there is quite strong consistency between cohorts 3 and 4</w:t>
      </w:r>
      <w:r w:rsidR="004D2EC5">
        <w:rPr>
          <w:b/>
        </w:rPr>
        <w:t xml:space="preserve">.  In any case, to be careful, we re-examined all other figures in which multiple cohorts were combined.  </w:t>
      </w:r>
      <w:r w:rsidR="00AB1AFF">
        <w:rPr>
          <w:b/>
        </w:rPr>
        <w:t>As stated in the methods section:</w:t>
      </w:r>
    </w:p>
    <w:p w14:paraId="34C59D9F" w14:textId="6A5EAC8F" w:rsidR="00AB1AFF" w:rsidRDefault="002E751F" w:rsidP="000867BA">
      <w:pPr>
        <w:pStyle w:val="ListParagraph"/>
        <w:ind w:left="0"/>
        <w:rPr>
          <w:b/>
        </w:rPr>
      </w:pPr>
      <w:r>
        <w:rPr>
          <w:b/>
          <w:noProof/>
        </w:rPr>
        <mc:AlternateContent>
          <mc:Choice Requires="wps">
            <w:drawing>
              <wp:anchor distT="0" distB="0" distL="114300" distR="114300" simplePos="0" relativeHeight="251663360" behindDoc="0" locked="0" layoutInCell="1" allowOverlap="1" wp14:anchorId="7E7268DC" wp14:editId="4D0EE176">
                <wp:simplePos x="0" y="0"/>
                <wp:positionH relativeFrom="column">
                  <wp:posOffset>0</wp:posOffset>
                </wp:positionH>
                <wp:positionV relativeFrom="paragraph">
                  <wp:posOffset>133985</wp:posOffset>
                </wp:positionV>
                <wp:extent cx="2743200" cy="4114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FC9703" w14:textId="72991E61" w:rsidR="00B910B2" w:rsidRDefault="00B910B2" w:rsidP="007E2A90"/>
                          <w:p w14:paraId="5E3A429A" w14:textId="10E3A268" w:rsidR="00B910B2" w:rsidRDefault="00B910B2"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B910B2" w:rsidRPr="004E2286" w:rsidRDefault="00B910B2" w:rsidP="007E2A90">
                            <w:r>
                              <w:rPr>
                                <w:b/>
                              </w:rPr>
                              <w:t>Figure 2</w:t>
                            </w:r>
                            <w:r w:rsidRPr="00E270C1">
                              <w:rPr>
                                <w:b/>
                              </w:rPr>
                              <w:t xml:space="preserve">: Cohort </w:t>
                            </w:r>
                            <w:r>
                              <w:rPr>
                                <w:b/>
                              </w:rPr>
                              <w:t>separated effects of pre-diet fasting response to weight gain during HFD.</w:t>
                            </w:r>
                            <w:r>
                              <w:t xml:space="preserve">  In both cohorts, </w:t>
                            </w:r>
                            <w:proofErr w:type="gramStart"/>
                            <w:r>
                              <w:t xml:space="preserve">the </w:t>
                            </w:r>
                            <w:proofErr w:type="spellStart"/>
                            <w:r>
                              <w:t>the</w:t>
                            </w:r>
                            <w:proofErr w:type="spellEnd"/>
                            <w:proofErr w:type="gramEnd"/>
                            <w:r>
                              <w:t xml:space="preserve"> relationship between pre-diet fasting response and weight gain by HFD was   p&lt;0.003 with a Rho</w:t>
                            </w:r>
                            <w:r>
                              <w:rPr>
                                <w:vertAlign w:val="superscript"/>
                              </w:rPr>
                              <w:t>2</w:t>
                            </w:r>
                            <w:r>
                              <w:t xml:space="preserve"> of &gt;0.33.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0;margin-top:10.55pt;width:3in;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" filled="f" stroked="f">
                <v:textbox>
                  <w:txbxContent>
                    <w:p w14:paraId="7DFC9703" w14:textId="72991E61" w:rsidR="00B910B2" w:rsidRDefault="00B910B2" w:rsidP="007E2A90"/>
                    <w:p w14:paraId="5E3A429A" w14:textId="10E3A268" w:rsidR="00B910B2" w:rsidRDefault="00B910B2"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B910B2" w:rsidRPr="004E2286" w:rsidRDefault="00B910B2" w:rsidP="007E2A90">
                      <w:r>
                        <w:rPr>
                          <w:b/>
                        </w:rPr>
                        <w:t>Figure 2</w:t>
                      </w:r>
                      <w:r w:rsidRPr="00E270C1">
                        <w:rPr>
                          <w:b/>
                        </w:rPr>
                        <w:t xml:space="preserve">: Cohort </w:t>
                      </w:r>
                      <w:r>
                        <w:rPr>
                          <w:b/>
                        </w:rPr>
                        <w:t>separated effects of pre-diet fasting response to weight gain during HFD.</w:t>
                      </w:r>
                      <w:r>
                        <w:t xml:space="preserve">  In both cohorts, </w:t>
                      </w:r>
                      <w:proofErr w:type="gramStart"/>
                      <w:r>
                        <w:t xml:space="preserve">the </w:t>
                      </w:r>
                      <w:proofErr w:type="spellStart"/>
                      <w:r>
                        <w:t>the</w:t>
                      </w:r>
                      <w:proofErr w:type="spellEnd"/>
                      <w:proofErr w:type="gramEnd"/>
                      <w:r>
                        <w:t xml:space="preserve"> relationship between pre-diet fasting response and weight gain by HFD was   p&lt;0.003 with a Rho</w:t>
                      </w:r>
                      <w:r>
                        <w:rPr>
                          <w:vertAlign w:val="superscript"/>
                        </w:rPr>
                        <w:t>2</w:t>
                      </w:r>
                      <w:r>
                        <w:t xml:space="preserve"> of &gt;0.33.</w:t>
                      </w:r>
                    </w:p>
                  </w:txbxContent>
                </v:textbox>
                <w10:wrap type="square"/>
              </v:shape>
            </w:pict>
          </mc:Fallback>
        </mc:AlternateContent>
      </w:r>
    </w:p>
    <w:p w14:paraId="5CB52BF7" w14:textId="0A4CA713" w:rsidR="00AB1AFF" w:rsidRPr="00AB1AFF" w:rsidRDefault="00AB1AFF" w:rsidP="00AB1AFF">
      <w:pPr>
        <w:pStyle w:val="ListParagraph"/>
        <w:ind w:left="360"/>
        <w:rPr>
          <w:b/>
          <w:color w:val="FF0000"/>
        </w:rPr>
      </w:pPr>
      <w:r w:rsidRPr="00AB1AFF">
        <w:rPr>
          <w:b/>
          <w:color w:val="FF0000"/>
        </w:rPr>
        <w:t xml:space="preserve">When a difference or correlation was observed to be significant (or not to be significant) over multiple combined cohorts of mice we also examined each of these cohorts separately.  If the combined trend agreed with </w:t>
      </w:r>
      <w:r w:rsidR="00B843A9">
        <w:rPr>
          <w:b/>
          <w:color w:val="FF0000"/>
        </w:rPr>
        <w:t>all</w:t>
      </w:r>
      <w:r w:rsidR="00A01EEE">
        <w:rPr>
          <w:b/>
          <w:color w:val="FF0000"/>
        </w:rPr>
        <w:t xml:space="preserve"> </w:t>
      </w:r>
      <w:r w:rsidRPr="00AB1AFF">
        <w:rPr>
          <w:b/>
          <w:color w:val="FF0000"/>
        </w:rPr>
        <w:t>of these cohorts</w:t>
      </w:r>
      <w:r w:rsidR="00B843A9">
        <w:rPr>
          <w:b/>
          <w:color w:val="FF0000"/>
        </w:rPr>
        <w:t xml:space="preserve"> independently</w:t>
      </w:r>
      <w:r w:rsidRPr="00AB1AFF">
        <w:rPr>
          <w:b/>
          <w:color w:val="FF0000"/>
        </w:rPr>
        <w:t xml:space="preserve">, we used the combined groups with its increased statistical power.  If there was not agreement in </w:t>
      </w:r>
      <w:r w:rsidR="00B843A9">
        <w:rPr>
          <w:b/>
          <w:color w:val="FF0000"/>
        </w:rPr>
        <w:t>all</w:t>
      </w:r>
      <w:r w:rsidRPr="00AB1AFF">
        <w:rPr>
          <w:b/>
          <w:color w:val="FF0000"/>
        </w:rPr>
        <w:t xml:space="preserve"> cohorts we do not report this effect as significant, even if the combined analysis suggested it was.</w:t>
      </w:r>
    </w:p>
    <w:p w14:paraId="3F6899F3" w14:textId="253D7DBA" w:rsidR="00380CA4" w:rsidRDefault="00380CA4" w:rsidP="000867BA">
      <w:pPr>
        <w:pStyle w:val="ListParagraph"/>
        <w:ind w:left="0"/>
        <w:rPr>
          <w:b/>
        </w:rPr>
      </w:pPr>
    </w:p>
    <w:p w14:paraId="07B8DEBA" w14:textId="3DB77D34" w:rsidR="00AD279E" w:rsidRPr="00346627" w:rsidRDefault="00AD279E" w:rsidP="000867BA">
      <w:pPr>
        <w:pStyle w:val="ListParagraph"/>
        <w:ind w:left="0"/>
        <w:rPr>
          <w:b/>
        </w:rPr>
      </w:pPr>
      <w:r>
        <w:rPr>
          <w:b/>
        </w:rPr>
        <w:t xml:space="preserve">Importantly, the key finding of this paper in which pre-diet fasting responses correlated with eventual weight gain was highly </w:t>
      </w:r>
      <w:proofErr w:type="spellStart"/>
      <w:r w:rsidR="007E2A90">
        <w:rPr>
          <w:b/>
        </w:rPr>
        <w:t>siginificant</w:t>
      </w:r>
      <w:proofErr w:type="spellEnd"/>
      <w:r w:rsidR="007E2A90">
        <w:rPr>
          <w:b/>
        </w:rPr>
        <w:t xml:space="preserve"> in both cohorts tested.  These data, separated by cohort are shown in Figure 2 of this response.</w:t>
      </w:r>
    </w:p>
    <w:p w14:paraId="695C9009" w14:textId="44834C8F" w:rsidR="000867BA" w:rsidRDefault="000867BA" w:rsidP="000867BA">
      <w:pPr>
        <w:pStyle w:val="ListParagraph"/>
        <w:ind w:left="360"/>
      </w:pPr>
    </w:p>
    <w:p w14:paraId="0656629C" w14:textId="6328CB44"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4069051" w14:textId="77777777" w:rsidR="00B910B2" w:rsidRDefault="00B910B2" w:rsidP="00B910B2"/>
    <w:p w14:paraId="45382E4C" w14:textId="2D300D11" w:rsidR="00B910B2" w:rsidRDefault="00B910B2" w:rsidP="00B910B2">
      <w:pPr>
        <w:rPr>
          <w:b/>
        </w:rPr>
      </w:pPr>
      <w:r w:rsidRPr="00B910B2">
        <w:rPr>
          <w:b/>
        </w:rPr>
        <w:t>We have now clarified throughout the manuscript both relative and absolute weight loss and weight gain, and which effects were significant.</w:t>
      </w:r>
      <w:r>
        <w:rPr>
          <w:b/>
        </w:rPr>
        <w:t xml:space="preserve">  For Figure 3 (now Figure 2), </w:t>
      </w:r>
      <w:r w:rsidR="00C8232A">
        <w:rPr>
          <w:b/>
        </w:rPr>
        <w:t xml:space="preserve">we present only one set of graphs for space reasons, but describe weight loss in </w:t>
      </w:r>
      <w:proofErr w:type="gramStart"/>
      <w:r w:rsidR="00C8232A">
        <w:rPr>
          <w:b/>
        </w:rPr>
        <w:t>both absolute (g lost) or</w:t>
      </w:r>
      <w:proofErr w:type="gramEnd"/>
      <w:r w:rsidR="00C8232A">
        <w:rPr>
          <w:b/>
        </w:rPr>
        <w:t xml:space="preserve"> relative (% loss) terms throughout.  For example:</w:t>
      </w:r>
    </w:p>
    <w:p w14:paraId="3815CEA9" w14:textId="77777777" w:rsidR="00C8232A" w:rsidRDefault="00C8232A" w:rsidP="00B910B2">
      <w:pPr>
        <w:rPr>
          <w:b/>
        </w:rPr>
      </w:pPr>
    </w:p>
    <w:p w14:paraId="76E825B1" w14:textId="42FADE54" w:rsidR="00C8232A" w:rsidRPr="00C8232A" w:rsidRDefault="00C8232A" w:rsidP="00C8232A">
      <w:pPr>
        <w:ind w:left="720"/>
        <w:rPr>
          <w:b/>
          <w:color w:val="FF0000"/>
        </w:rPr>
      </w:pPr>
      <w:r w:rsidRPr="00C8232A">
        <w:rPr>
          <w:b/>
          <w:color w:val="FF0000"/>
        </w:rPr>
        <w:t>Fasting responses, as measured by either absolute or percent reductions in body weight were stable within NCD fed male C57BL/6J mice over time (Figure 2A, Rho</w:t>
      </w:r>
      <w:r w:rsidRPr="00C8232A">
        <w:rPr>
          <w:b/>
          <w:color w:val="FF0000"/>
          <w:vertAlign w:val="superscript"/>
        </w:rPr>
        <w:t>2</w:t>
      </w:r>
      <w:r w:rsidRPr="00C8232A">
        <w:rPr>
          <w:b/>
          <w:color w:val="FF0000"/>
        </w:rPr>
        <w:t>&lt;0.02, p&gt;0.26), and only weakly correlated with the pre-diet weight fasting responses within mice in either relative or absolute terms</w:t>
      </w:r>
      <w:r w:rsidRPr="00C8232A">
        <w:rPr>
          <w:rStyle w:val="CommentReference"/>
          <w:b/>
          <w:color w:val="FF0000"/>
        </w:rPr>
        <w:t xml:space="preserve"> </w:t>
      </w:r>
      <w:r w:rsidRPr="00C8232A">
        <w:rPr>
          <w:b/>
          <w:color w:val="FF0000"/>
        </w:rPr>
        <w:t>(Figure 2B, Rho</w:t>
      </w:r>
      <w:r w:rsidRPr="00C8232A">
        <w:rPr>
          <w:b/>
          <w:color w:val="FF0000"/>
          <w:vertAlign w:val="superscript"/>
        </w:rPr>
        <w:t>2</w:t>
      </w:r>
      <w:r w:rsidRPr="00C8232A">
        <w:rPr>
          <w:b/>
          <w:color w:val="FF0000"/>
        </w:rPr>
        <w:t>&lt;0.12, p&lt;0.019 for HFD and Rho</w:t>
      </w:r>
      <w:r w:rsidRPr="00C8232A">
        <w:rPr>
          <w:b/>
          <w:color w:val="FF0000"/>
          <w:vertAlign w:val="superscript"/>
        </w:rPr>
        <w:t>2</w:t>
      </w:r>
      <w:r w:rsidRPr="00C8232A">
        <w:rPr>
          <w:b/>
          <w:color w:val="FF0000"/>
        </w:rPr>
        <w:t xml:space="preserve">&lt;0.153,p&lt;0.031 for CD).  </w:t>
      </w:r>
    </w:p>
    <w:p w14:paraId="2F728391" w14:textId="77777777" w:rsidR="00552AC8" w:rsidRDefault="00552AC8" w:rsidP="00552AC8">
      <w:pPr>
        <w:pStyle w:val="ListParagraph"/>
        <w:ind w:left="360"/>
      </w:pPr>
    </w:p>
    <w:p w14:paraId="1DA4E287" w14:textId="5B550A6E" w:rsidR="00552AC8" w:rsidRDefault="00552AC8" w:rsidP="00480F77">
      <w:pPr>
        <w:pStyle w:val="ListParagraph"/>
        <w:tabs>
          <w:tab w:val="left" w:pos="0"/>
          <w:tab w:val="left" w:pos="90"/>
          <w:tab w:val="left" w:pos="450"/>
        </w:tabs>
        <w:ind w:left="0"/>
        <w:rPr>
          <w:b/>
        </w:rPr>
      </w:pPr>
      <w:r>
        <w:rPr>
          <w:b/>
        </w:rPr>
        <w:t>Furthermore,</w:t>
      </w:r>
      <w:r w:rsidR="0090305D">
        <w:rPr>
          <w:b/>
        </w:rPr>
        <w:t xml:space="preserve"> we checked the data in Figure 1</w:t>
      </w:r>
      <w:r>
        <w:rPr>
          <w:b/>
        </w:rPr>
        <w:t>C</w:t>
      </w:r>
      <w:r w:rsidR="0090305D">
        <w:rPr>
          <w:b/>
        </w:rPr>
        <w:t xml:space="preserve"> (formerly 2C)</w:t>
      </w:r>
      <w:r w:rsidR="00480F77">
        <w:rPr>
          <w:b/>
        </w:rPr>
        <w:t>, and determined that there is no significant correlation between any of these hormones on either percent or absolute weight gain.  This is noted in the results section as well:</w:t>
      </w:r>
    </w:p>
    <w:p w14:paraId="1104A3BF" w14:textId="69A4BC29" w:rsidR="00480F77" w:rsidRDefault="00C8232A" w:rsidP="00552AC8">
      <w:pPr>
        <w:pStyle w:val="ListParagraph"/>
        <w:ind w:left="360"/>
        <w:rPr>
          <w:b/>
        </w:rPr>
      </w:pPr>
      <w:r>
        <w:rPr>
          <w:b/>
          <w:noProof/>
        </w:rPr>
        <mc:AlternateContent>
          <mc:Choice Requires="wps">
            <w:drawing>
              <wp:anchor distT="0" distB="0" distL="114300" distR="114300" simplePos="0" relativeHeight="251659264" behindDoc="0" locked="0" layoutInCell="1" allowOverlap="1" wp14:anchorId="55B19FDE" wp14:editId="6FD35A51">
                <wp:simplePos x="0" y="0"/>
                <wp:positionH relativeFrom="column">
                  <wp:posOffset>2057400</wp:posOffset>
                </wp:positionH>
                <wp:positionV relativeFrom="paragraph">
                  <wp:posOffset>84455</wp:posOffset>
                </wp:positionV>
                <wp:extent cx="3429000" cy="4229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4290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B910B2" w:rsidRDefault="00B910B2">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B910B2" w:rsidRPr="00480F77" w:rsidRDefault="00B910B2">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162pt;margin-top:6.65pt;width:270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" filled="f" stroked="f">
                <v:textbox>
                  <w:txbxContent>
                    <w:p w14:paraId="1AA79A2F" w14:textId="6E925054" w:rsidR="00B910B2" w:rsidRDefault="00B910B2">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B910B2" w:rsidRPr="00480F77" w:rsidRDefault="00B910B2">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p>
    <w:p w14:paraId="00A57CFB" w14:textId="299264AA"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w:t>
      </w:r>
      <w:r w:rsidR="0090305D">
        <w:rPr>
          <w:b/>
          <w:color w:val="FF0000"/>
        </w:rPr>
        <w:t>th HFD and CD fed mice (Figure 1</w:t>
      </w:r>
      <w:r w:rsidRPr="00480F77">
        <w:rPr>
          <w:b/>
          <w:color w:val="FF0000"/>
        </w:rPr>
        <w:t>C and Table 2).</w:t>
      </w:r>
    </w:p>
    <w:p w14:paraId="60857A9D" w14:textId="77777777" w:rsidR="00480F77" w:rsidRDefault="00480F77" w:rsidP="00552AC8">
      <w:pPr>
        <w:pStyle w:val="ListParagraph"/>
        <w:ind w:left="360"/>
        <w:rPr>
          <w:b/>
          <w:color w:val="FF0000"/>
        </w:rPr>
      </w:pPr>
    </w:p>
    <w:p w14:paraId="7BBDCE85" w14:textId="1B5FAFD4" w:rsidR="00480F77" w:rsidRDefault="00480F77" w:rsidP="00480F77">
      <w:pPr>
        <w:rPr>
          <w:b/>
        </w:rPr>
      </w:pPr>
      <w:r w:rsidRPr="00480F77">
        <w:rPr>
          <w:b/>
        </w:rPr>
        <w:t>Since absolute weight gain data are not included in the revised manusc</w:t>
      </w:r>
      <w:r w:rsidR="00F17272">
        <w:rPr>
          <w:b/>
        </w:rPr>
        <w:t>rip</w:t>
      </w:r>
      <w:r w:rsidR="007E2A90">
        <w:rPr>
          <w:b/>
        </w:rPr>
        <w:t>t they are presented in Figure 3</w:t>
      </w:r>
      <w:r w:rsidR="00F17272">
        <w:rPr>
          <w:b/>
        </w:rPr>
        <w:t xml:space="preserve"> of this response.  </w:t>
      </w:r>
    </w:p>
    <w:p w14:paraId="27591E32" w14:textId="77777777" w:rsidR="00F17272" w:rsidRDefault="00F17272" w:rsidP="00480F77">
      <w:pPr>
        <w:rPr>
          <w:b/>
        </w:rPr>
      </w:pPr>
    </w:p>
    <w:p w14:paraId="03EDF419" w14:textId="60BDBA66" w:rsidR="00F17272" w:rsidRDefault="00F17272" w:rsidP="00480F77">
      <w:pPr>
        <w:rPr>
          <w:b/>
        </w:rPr>
      </w:pPr>
      <w:r>
        <w:rPr>
          <w:b/>
        </w:rPr>
        <w:t>Finally, as noted below in comment #12, we examined weight gain and fasting response in grams rather than in percent fo</w:t>
      </w:r>
      <w:r w:rsidR="0090305D">
        <w:rPr>
          <w:b/>
        </w:rPr>
        <w:t>r the data presented in Figure 3</w:t>
      </w:r>
      <w:r w:rsidR="007E2A90">
        <w:rPr>
          <w:b/>
        </w:rPr>
        <w:t xml:space="preserve"> </w:t>
      </w:r>
      <w:r w:rsidR="0090305D">
        <w:rPr>
          <w:b/>
        </w:rPr>
        <w:t xml:space="preserve"> (formerly Figure 4)</w:t>
      </w:r>
      <w:r>
        <w:rPr>
          <w:b/>
        </w:rPr>
        <w: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186AA8DE" w:rsidR="001701BF" w:rsidRDefault="00FC2429" w:rsidP="001701BF">
      <w:pPr>
        <w:pStyle w:val="ListParagraph"/>
        <w:numPr>
          <w:ilvl w:val="0"/>
          <w:numId w:val="2"/>
        </w:numPr>
      </w:pPr>
      <w:r>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6BBE5FE7"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 xml:space="preserve">~215 </w:t>
      </w:r>
      <w:r w:rsidR="0090305D">
        <w:rPr>
          <w:b/>
        </w:rPr>
        <w:t>day old cohort shown in Figure 2</w:t>
      </w:r>
      <w:r w:rsidR="00EF5C51" w:rsidRPr="00EF5C51">
        <w:rPr>
          <w:b/>
        </w:rPr>
        <w:t>A</w:t>
      </w:r>
      <w:r w:rsidR="0090305D">
        <w:rPr>
          <w:b/>
        </w:rPr>
        <w:t xml:space="preserve"> (formerly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39D2D9A5" w:rsidR="00EF5C51" w:rsidRDefault="00EF5C51" w:rsidP="00EF5C51">
      <w:pPr>
        <w:ind w:left="360"/>
        <w:rPr>
          <w:b/>
          <w:color w:val="FF0000"/>
        </w:rPr>
      </w:pPr>
      <w:r w:rsidRPr="00EF5C51">
        <w:rPr>
          <w:b/>
          <w:color w:val="FF0000"/>
        </w:rPr>
        <w:t>For the ~215 day old mouse cohort s</w:t>
      </w:r>
      <w:r w:rsidR="0090305D">
        <w:rPr>
          <w:b/>
          <w:color w:val="FF0000"/>
        </w:rPr>
        <w:t>hown in Figure 2</w:t>
      </w:r>
      <w:r w:rsidRPr="00EF5C51">
        <w:rPr>
          <w:b/>
          <w:color w:val="FF0000"/>
        </w:rPr>
        <w:t>A, these mice were maintained on NCD for a longer duration than other cohorts, before fasting responses were measured.</w:t>
      </w:r>
    </w:p>
    <w:p w14:paraId="31B1A6AF" w14:textId="02BC38F8" w:rsidR="00EF5C51" w:rsidRDefault="00C8232A" w:rsidP="00EF5C51">
      <w:pPr>
        <w:ind w:left="360"/>
        <w:rPr>
          <w:b/>
          <w:color w:val="FF0000"/>
        </w:rPr>
      </w:pPr>
      <w:r>
        <w:rPr>
          <w:b/>
          <w:noProof/>
        </w:rPr>
        <mc:AlternateContent>
          <mc:Choice Requires="wps">
            <w:drawing>
              <wp:anchor distT="0" distB="0" distL="114300" distR="114300" simplePos="0" relativeHeight="251660288" behindDoc="0" locked="0" layoutInCell="1" allowOverlap="1" wp14:anchorId="1E149CD2" wp14:editId="09E23CEB">
                <wp:simplePos x="0" y="0"/>
                <wp:positionH relativeFrom="column">
                  <wp:posOffset>2400300</wp:posOffset>
                </wp:positionH>
                <wp:positionV relativeFrom="paragraph">
                  <wp:posOffset>98425</wp:posOffset>
                </wp:positionV>
                <wp:extent cx="2971800" cy="4686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971800" cy="4686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9F2FE" w14:textId="67C3BA8D" w:rsidR="00B910B2" w:rsidRDefault="00B910B2">
                            <w:pPr>
                              <w:rPr>
                                <w:b/>
                              </w:rPr>
                            </w:pPr>
                          </w:p>
                          <w:p w14:paraId="7416059F" w14:textId="07B6C203" w:rsidR="00B910B2" w:rsidRDefault="00B910B2">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B910B2" w:rsidRPr="00B50A5D" w:rsidRDefault="00B910B2">
                            <w:pPr>
                              <w:rPr>
                                <w:b/>
                              </w:rPr>
                            </w:pPr>
                            <w:r>
                              <w:rPr>
                                <w:b/>
                              </w:rPr>
                              <w:t>Figure 4: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189pt;margin-top:7.75pt;width:234pt;height:3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" filled="f" stroked="f">
                <v:textbox>
                  <w:txbxContent>
                    <w:p w14:paraId="1359F2FE" w14:textId="67C3BA8D" w:rsidR="00B910B2" w:rsidRDefault="00B910B2">
                      <w:pPr>
                        <w:rPr>
                          <w:b/>
                        </w:rPr>
                      </w:pPr>
                    </w:p>
                    <w:p w14:paraId="7416059F" w14:textId="07B6C203" w:rsidR="00B910B2" w:rsidRDefault="00B910B2">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B910B2" w:rsidRPr="00B50A5D" w:rsidRDefault="00B910B2">
                      <w:pPr>
                        <w:rPr>
                          <w:b/>
                        </w:rPr>
                      </w:pPr>
                      <w:r>
                        <w:rPr>
                          <w:b/>
                        </w:rPr>
                        <w:t>Figure 4: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v:textbox>
                <w10:wrap type="square"/>
              </v:shape>
            </w:pict>
          </mc:Fallback>
        </mc:AlternateContent>
      </w:r>
    </w:p>
    <w:p w14:paraId="47783BBA" w14:textId="7D47E570" w:rsidR="00EF5C51" w:rsidRDefault="00EF5C51" w:rsidP="00EF5C51">
      <w:pPr>
        <w:pStyle w:val="ListParagraph"/>
        <w:numPr>
          <w:ilvl w:val="0"/>
          <w:numId w:val="2"/>
        </w:numPr>
      </w:pPr>
      <w:proofErr w:type="gramStart"/>
      <w:r>
        <w:t>There were also 2 outliers</w:t>
      </w:r>
      <w:proofErr w:type="gramEnd"/>
      <w:r>
        <w:t xml:space="preserve">, </w:t>
      </w:r>
      <w:proofErr w:type="gramStart"/>
      <w:r>
        <w:t>did results include these individuals</w:t>
      </w:r>
      <w:proofErr w:type="gramEnd"/>
      <w:r>
        <w:t xml:space="preserve">? </w:t>
      </w:r>
    </w:p>
    <w:p w14:paraId="1253792F" w14:textId="40E234AC" w:rsidR="00EF5C51" w:rsidRDefault="00EF5C51" w:rsidP="00EF5C51">
      <w:pPr>
        <w:pStyle w:val="ListParagraph"/>
        <w:ind w:left="360"/>
      </w:pPr>
    </w:p>
    <w:p w14:paraId="66B75B49" w14:textId="09FE7ADD" w:rsidR="00EF5C51" w:rsidRDefault="00EF5C51" w:rsidP="006A661A">
      <w:pPr>
        <w:pStyle w:val="ListParagraph"/>
        <w:ind w:left="0"/>
        <w:rPr>
          <w:b/>
        </w:rPr>
      </w:pPr>
      <w:r w:rsidRPr="007520EE">
        <w:rPr>
          <w:b/>
        </w:rPr>
        <w:t xml:space="preserve">Yes, throughout the study all outliers were included in the analysis.  As per this particular figure, there </w:t>
      </w:r>
      <w:r w:rsidR="006A661A">
        <w:rPr>
          <w:b/>
        </w:rPr>
        <w:t>were</w:t>
      </w:r>
      <w:r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total weight loss </w:t>
      </w:r>
      <w:r w:rsidR="006A661A">
        <w:rPr>
          <w:b/>
        </w:rPr>
        <w:t>there was also no correlation (Rho</w:t>
      </w:r>
      <w:r w:rsidR="006A661A" w:rsidRPr="006A661A">
        <w:rPr>
          <w:b/>
        </w:rPr>
        <w:t xml:space="preserve">=-0.093 </w:t>
      </w:r>
      <w:r w:rsidR="006A661A">
        <w:rPr>
          <w:b/>
        </w:rPr>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3478D9C0" w:rsidR="003049AB" w:rsidRDefault="003049AB" w:rsidP="003049AB">
      <w:pPr>
        <w:rPr>
          <w:b/>
        </w:rPr>
      </w:pPr>
      <w:r w:rsidRPr="003049AB">
        <w:rPr>
          <w:b/>
        </w:rPr>
        <w:t>We disagree, our findings show that fasting responses at ~10 weeks of age are quite predictive of weight gain, but that the fasting response of a mouse is not</w:t>
      </w:r>
      <w:r w:rsidR="0090305D">
        <w:rPr>
          <w:b/>
        </w:rPr>
        <w:t xml:space="preserve"> stable over time.  This figure (now 2B, formerly 3B) </w:t>
      </w:r>
      <w:r w:rsidRPr="003049AB">
        <w:rPr>
          <w:b/>
        </w:rPr>
        <w:t>is essential to this point as noted in the discussion section:</w:t>
      </w:r>
    </w:p>
    <w:p w14:paraId="0DCA5023" w14:textId="77777777" w:rsidR="007E0977" w:rsidRDefault="007E0977" w:rsidP="003049AB">
      <w:pPr>
        <w:rPr>
          <w:b/>
        </w:rPr>
      </w:pPr>
    </w:p>
    <w:p w14:paraId="25710198" w14:textId="492F5977" w:rsidR="007E0977" w:rsidRDefault="007E0977" w:rsidP="007E0977">
      <w:pPr>
        <w:ind w:left="360"/>
        <w:rPr>
          <w:b/>
          <w:color w:val="FF0000"/>
        </w:rPr>
      </w:pPr>
      <w:r w:rsidRPr="007E0977">
        <w:rPr>
          <w:b/>
          <w:color w:val="FF0000"/>
        </w:rPr>
        <w:t>Of note it is interesting that fasting responses themselves are not stable throughout life on</w:t>
      </w:r>
      <w:r w:rsidR="0090305D">
        <w:rPr>
          <w:b/>
          <w:color w:val="FF0000"/>
        </w:rPr>
        <w:t xml:space="preserve"> a per mouse basis (see Figure 2</w:t>
      </w:r>
      <w:r w:rsidRPr="007E0977">
        <w:rPr>
          <w:b/>
          <w:color w:val="FF0000"/>
        </w:rPr>
        <w:t xml:space="preserve">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DF19F5">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DF19F5">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69ABADC" w14:textId="15DA9565" w:rsidR="00B3527E" w:rsidRDefault="00B3527E" w:rsidP="00B3527E"/>
    <w:p w14:paraId="2F9A490A" w14:textId="7D28039F" w:rsidR="00B3527E" w:rsidRDefault="00B3527E" w:rsidP="00B3527E">
      <w:pPr>
        <w:rPr>
          <w:b/>
        </w:rPr>
      </w:pPr>
      <w:r w:rsidRPr="00B3527E">
        <w:rPr>
          <w:b/>
        </w:rPr>
        <w:t>This paragraph was revised and shortened as suggested</w:t>
      </w:r>
      <w:r w:rsidR="00C5168C">
        <w:rPr>
          <w:b/>
        </w:rPr>
        <w:t>.  To clarify the effects of fasting response to weight gain, we only included the effect of relative weight loss to relative weight gain on the diet.  In our opinion this is the most direct answer to our question.  We have removed from the manuscript the other potentially distracting correlates.</w:t>
      </w:r>
      <w:r w:rsidR="006C56B0">
        <w:rPr>
          <w:b/>
        </w:rPr>
        <w:t xml:space="preserve">  The full set of potential </w:t>
      </w:r>
      <w:r w:rsidR="0074124A">
        <w:rPr>
          <w:b/>
        </w:rPr>
        <w:t>comparisons</w:t>
      </w:r>
      <w:r w:rsidR="006C56B0">
        <w:rPr>
          <w:b/>
        </w:rPr>
        <w:t xml:space="preserve"> between relative and absolute fasting responses and relative and absolute weight gain are presented here</w:t>
      </w:r>
      <w:r w:rsidR="0074124A">
        <w:rPr>
          <w:b/>
        </w:rPr>
        <w:t xml:space="preserve"> both in statistical </w:t>
      </w:r>
      <w:r w:rsidR="00023A25">
        <w:rPr>
          <w:b/>
        </w:rPr>
        <w:t xml:space="preserve">(Table 1 of this response) </w:t>
      </w:r>
      <w:r w:rsidR="0074124A">
        <w:rPr>
          <w:b/>
        </w:rPr>
        <w:t>and graphed form</w:t>
      </w:r>
      <w:r w:rsidR="002E751F">
        <w:rPr>
          <w:b/>
        </w:rPr>
        <w:t xml:space="preserve"> (see Figure 4</w:t>
      </w:r>
      <w:r w:rsidR="00023A25">
        <w:rPr>
          <w:b/>
        </w:rPr>
        <w:t xml:space="preserve"> of this response)</w:t>
      </w:r>
      <w:r w:rsidR="006C56B0">
        <w:rPr>
          <w:b/>
        </w:rPr>
        <w:t>:</w:t>
      </w:r>
    </w:p>
    <w:p w14:paraId="701E5E7F" w14:textId="77777777" w:rsidR="00AA4F71" w:rsidRDefault="00AA4F71" w:rsidP="00B3527E">
      <w:pPr>
        <w:rPr>
          <w:b/>
        </w:rPr>
      </w:pPr>
    </w:p>
    <w:p w14:paraId="581C1A1B" w14:textId="48933D8A" w:rsidR="00AA4F71" w:rsidRPr="00023A25" w:rsidRDefault="00023A25" w:rsidP="00B3527E">
      <w:r>
        <w:rPr>
          <w:b/>
        </w:rPr>
        <w:t xml:space="preserve">Table 1: </w:t>
      </w:r>
      <w:r w:rsidR="00AA4F71">
        <w:rPr>
          <w:b/>
        </w:rPr>
        <w:t>Correlation Coefficients as calculated by Spearman’s Rho</w:t>
      </w:r>
      <w:r w:rsidR="00B50A5D">
        <w:rPr>
          <w:b/>
        </w:rPr>
        <w:t xml:space="preserve"> between weight gain during the diet and fasting response prior to the diet</w:t>
      </w:r>
      <w:r w:rsidR="00AA4F71" w:rsidRPr="00023A25">
        <w:t>.   Asterisk indicates p&lt;0.05</w:t>
      </w:r>
    </w:p>
    <w:p w14:paraId="6B51A221" w14:textId="77777777" w:rsidR="006C56B0" w:rsidRDefault="006C56B0" w:rsidP="00B3527E">
      <w:pPr>
        <w:rPr>
          <w:b/>
        </w:rPr>
      </w:pPr>
    </w:p>
    <w:tbl>
      <w:tblPr>
        <w:tblW w:w="8640" w:type="dxa"/>
        <w:tblBorders>
          <w:top w:val="nil"/>
          <w:left w:val="nil"/>
          <w:right w:val="nil"/>
        </w:tblBorders>
        <w:tblLayout w:type="fixed"/>
        <w:tblLook w:val="0000" w:firstRow="0" w:lastRow="0" w:firstColumn="0" w:lastColumn="0" w:noHBand="0" w:noVBand="0"/>
      </w:tblPr>
      <w:tblGrid>
        <w:gridCol w:w="3240"/>
        <w:gridCol w:w="2520"/>
        <w:gridCol w:w="2880"/>
      </w:tblGrid>
      <w:tr w:rsidR="006C56B0" w14:paraId="7ACBE8EF" w14:textId="77777777" w:rsidTr="00AA4F71">
        <w:tc>
          <w:tcPr>
            <w:tcW w:w="3240" w:type="dxa"/>
            <w:tcMar>
              <w:top w:w="20" w:type="nil"/>
              <w:left w:w="20" w:type="nil"/>
              <w:bottom w:w="20" w:type="nil"/>
              <w:right w:w="20" w:type="nil"/>
            </w:tcMar>
            <w:vAlign w:val="center"/>
          </w:tcPr>
          <w:p w14:paraId="5DCC76D5" w14:textId="77777777" w:rsidR="006C56B0" w:rsidRDefault="006C56B0" w:rsidP="00AA4F71">
            <w:pPr>
              <w:widowControl w:val="0"/>
              <w:autoSpaceDE w:val="0"/>
              <w:autoSpaceDN w:val="0"/>
              <w:adjustRightInd w:val="0"/>
              <w:rPr>
                <w:rFonts w:ascii="Helvetica" w:hAnsi="Helvetica" w:cs="Helvetica"/>
                <w:b/>
                <w:bCs/>
              </w:rPr>
            </w:pPr>
          </w:p>
        </w:tc>
        <w:tc>
          <w:tcPr>
            <w:tcW w:w="2520" w:type="dxa"/>
            <w:tcMar>
              <w:top w:w="20" w:type="nil"/>
              <w:left w:w="20" w:type="nil"/>
              <w:bottom w:w="20" w:type="nil"/>
              <w:right w:w="20" w:type="nil"/>
            </w:tcMar>
            <w:vAlign w:val="center"/>
          </w:tcPr>
          <w:p w14:paraId="07F7A279"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Relative Fasting Response</w:t>
            </w:r>
          </w:p>
        </w:tc>
        <w:tc>
          <w:tcPr>
            <w:tcW w:w="2880" w:type="dxa"/>
            <w:tcMar>
              <w:top w:w="20" w:type="nil"/>
              <w:left w:w="20" w:type="nil"/>
              <w:bottom w:w="20" w:type="nil"/>
              <w:right w:w="20" w:type="nil"/>
            </w:tcMar>
            <w:vAlign w:val="center"/>
          </w:tcPr>
          <w:p w14:paraId="4220AE4F"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Absolute Fasting Response</w:t>
            </w:r>
          </w:p>
        </w:tc>
      </w:tr>
      <w:tr w:rsidR="006C56B0" w14:paraId="2177AAD3"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BB409AA" w14:textId="675C561E" w:rsidR="006C56B0" w:rsidRDefault="00AA4F71">
            <w:pPr>
              <w:widowControl w:val="0"/>
              <w:autoSpaceDE w:val="0"/>
              <w:autoSpaceDN w:val="0"/>
              <w:adjustRightInd w:val="0"/>
              <w:jc w:val="right"/>
              <w:rPr>
                <w:rFonts w:ascii="Helvetica" w:hAnsi="Helvetica" w:cs="Helvetica"/>
              </w:rPr>
            </w:pPr>
            <w:r>
              <w:rPr>
                <w:rFonts w:ascii="Helvetica" w:hAnsi="Helvetica" w:cs="Helvetica"/>
              </w:rPr>
              <w:t>HFD - Absolute Weight Gain</w:t>
            </w:r>
          </w:p>
        </w:tc>
        <w:tc>
          <w:tcPr>
            <w:tcW w:w="2520" w:type="dxa"/>
            <w:shd w:val="clear" w:color="auto" w:fill="FFFFFF"/>
            <w:tcMar>
              <w:top w:w="20" w:type="nil"/>
              <w:left w:w="20" w:type="nil"/>
              <w:bottom w:w="20" w:type="nil"/>
              <w:right w:w="20" w:type="nil"/>
            </w:tcMar>
            <w:vAlign w:val="center"/>
          </w:tcPr>
          <w:p w14:paraId="44E3ADE0" w14:textId="36B656AC"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-0.398*</w:t>
            </w:r>
          </w:p>
        </w:tc>
        <w:tc>
          <w:tcPr>
            <w:tcW w:w="2880" w:type="dxa"/>
            <w:shd w:val="clear" w:color="auto" w:fill="FFFFFF"/>
            <w:tcMar>
              <w:top w:w="20" w:type="nil"/>
              <w:left w:w="20" w:type="nil"/>
              <w:bottom w:w="20" w:type="nil"/>
              <w:right w:w="20" w:type="nil"/>
            </w:tcMar>
            <w:vAlign w:val="center"/>
          </w:tcPr>
          <w:p w14:paraId="6D925299" w14:textId="139EFDA5"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-0.332*</w:t>
            </w:r>
          </w:p>
        </w:tc>
      </w:tr>
      <w:tr w:rsidR="006C56B0" w14:paraId="58A000A8"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57ED2E02" w14:textId="02E7E6CA"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HFD - Relative Weight Gain </w:t>
            </w:r>
          </w:p>
        </w:tc>
        <w:tc>
          <w:tcPr>
            <w:tcW w:w="2520" w:type="dxa"/>
            <w:shd w:val="clear" w:color="auto" w:fill="FFFFFF"/>
            <w:tcMar>
              <w:top w:w="20" w:type="nil"/>
              <w:left w:w="20" w:type="nil"/>
              <w:bottom w:w="20" w:type="nil"/>
              <w:right w:w="20" w:type="nil"/>
            </w:tcMar>
            <w:vAlign w:val="center"/>
          </w:tcPr>
          <w:p w14:paraId="410AF5F7" w14:textId="6ECB5BDE"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-0.610*</w:t>
            </w:r>
          </w:p>
        </w:tc>
        <w:tc>
          <w:tcPr>
            <w:tcW w:w="2880" w:type="dxa"/>
            <w:shd w:val="clear" w:color="auto" w:fill="FFFFFF"/>
            <w:tcMar>
              <w:top w:w="20" w:type="nil"/>
              <w:left w:w="20" w:type="nil"/>
              <w:bottom w:w="20" w:type="nil"/>
              <w:right w:w="20" w:type="nil"/>
            </w:tcMar>
            <w:vAlign w:val="center"/>
          </w:tcPr>
          <w:p w14:paraId="5C8AEC81" w14:textId="140B5190"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-0.618*</w:t>
            </w:r>
          </w:p>
        </w:tc>
      </w:tr>
      <w:tr w:rsidR="006C56B0" w14:paraId="4DD58C27"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127013B" w14:textId="1824F2AB" w:rsidR="006C56B0" w:rsidRDefault="006C56B0">
            <w:pPr>
              <w:widowControl w:val="0"/>
              <w:autoSpaceDE w:val="0"/>
              <w:autoSpaceDN w:val="0"/>
              <w:adjustRightInd w:val="0"/>
              <w:jc w:val="right"/>
              <w:rPr>
                <w:rFonts w:ascii="Helvetica" w:hAnsi="Helvetica" w:cs="Helvetica"/>
              </w:rPr>
            </w:pPr>
            <w:r>
              <w:rPr>
                <w:rFonts w:ascii="Helvetica" w:hAnsi="Helvetica" w:cs="Helvetica"/>
              </w:rPr>
              <w:t>CD - Abso</w:t>
            </w:r>
            <w:r w:rsidR="00AA4F71">
              <w:rPr>
                <w:rFonts w:ascii="Helvetica" w:hAnsi="Helvetica" w:cs="Helvetica"/>
              </w:rPr>
              <w:t xml:space="preserve">lute Weight Gain </w:t>
            </w:r>
          </w:p>
        </w:tc>
        <w:tc>
          <w:tcPr>
            <w:tcW w:w="2520" w:type="dxa"/>
            <w:shd w:val="clear" w:color="auto" w:fill="FFFFFF"/>
            <w:tcMar>
              <w:top w:w="20" w:type="nil"/>
              <w:left w:w="20" w:type="nil"/>
              <w:bottom w:w="20" w:type="nil"/>
              <w:right w:w="20" w:type="nil"/>
            </w:tcMar>
            <w:vAlign w:val="center"/>
          </w:tcPr>
          <w:p w14:paraId="00672129" w14:textId="4FD78F02"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-0.324</w:t>
            </w:r>
          </w:p>
        </w:tc>
        <w:tc>
          <w:tcPr>
            <w:tcW w:w="2880" w:type="dxa"/>
            <w:shd w:val="clear" w:color="auto" w:fill="FFFFFF"/>
            <w:tcMar>
              <w:top w:w="20" w:type="nil"/>
              <w:left w:w="20" w:type="nil"/>
              <w:bottom w:w="20" w:type="nil"/>
              <w:right w:w="20" w:type="nil"/>
            </w:tcMar>
            <w:vAlign w:val="center"/>
          </w:tcPr>
          <w:p w14:paraId="0F6FC497" w14:textId="4479E411"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-0.31</w:t>
            </w:r>
            <w:r w:rsidR="00AA4F71">
              <w:rPr>
                <w:rFonts w:ascii="Helvetica" w:hAnsi="Helvetica" w:cs="Helvetica"/>
              </w:rPr>
              <w:t>9</w:t>
            </w:r>
          </w:p>
        </w:tc>
      </w:tr>
      <w:tr w:rsidR="006C56B0" w14:paraId="0F2EF79E"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3F1B50FB" w14:textId="0378716D"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CD - Relative Weight Gain </w:t>
            </w:r>
          </w:p>
        </w:tc>
        <w:tc>
          <w:tcPr>
            <w:tcW w:w="2520" w:type="dxa"/>
            <w:shd w:val="clear" w:color="auto" w:fill="FFFFFF"/>
            <w:tcMar>
              <w:top w:w="20" w:type="nil"/>
              <w:left w:w="20" w:type="nil"/>
              <w:bottom w:w="20" w:type="nil"/>
              <w:right w:w="20" w:type="nil"/>
            </w:tcMar>
            <w:vAlign w:val="center"/>
          </w:tcPr>
          <w:p w14:paraId="15FE8394" w14:textId="361502DF"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-0.33</w:t>
            </w:r>
            <w:r w:rsidR="00AA4F71">
              <w:rPr>
                <w:rFonts w:ascii="Helvetica" w:hAnsi="Helvetica" w:cs="Helvetica"/>
              </w:rPr>
              <w:t>5</w:t>
            </w:r>
          </w:p>
        </w:tc>
        <w:tc>
          <w:tcPr>
            <w:tcW w:w="2880" w:type="dxa"/>
            <w:shd w:val="clear" w:color="auto" w:fill="FFFFFF"/>
            <w:tcMar>
              <w:top w:w="20" w:type="nil"/>
              <w:left w:w="20" w:type="nil"/>
              <w:bottom w:w="20" w:type="nil"/>
              <w:right w:w="20" w:type="nil"/>
            </w:tcMar>
            <w:vAlign w:val="center"/>
          </w:tcPr>
          <w:p w14:paraId="600A88CD" w14:textId="507CDDD3"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-0.418*</w:t>
            </w:r>
          </w:p>
        </w:tc>
      </w:tr>
    </w:tbl>
    <w:p w14:paraId="27E608F8" w14:textId="2EA0C6A7" w:rsidR="00B50A5D" w:rsidRDefault="00B50A5D" w:rsidP="00B3527E">
      <w:pPr>
        <w:rPr>
          <w:b/>
        </w:rPr>
      </w:pPr>
    </w:p>
    <w:p w14:paraId="2BC2F382" w14:textId="22AF91B7" w:rsidR="0074124A" w:rsidRDefault="0074124A" w:rsidP="00B3527E">
      <w:pPr>
        <w:rPr>
          <w:b/>
        </w:rPr>
      </w:pPr>
      <w:r>
        <w:rPr>
          <w:b/>
        </w:rPr>
        <w:t>As these data show, the trend is quite consistent</w:t>
      </w:r>
      <w:r w:rsidR="00B50A5D">
        <w:rPr>
          <w:b/>
        </w:rPr>
        <w:t xml:space="preserve"> n</w:t>
      </w:r>
      <w:r w:rsidR="00FD214A">
        <w:rPr>
          <w:b/>
        </w:rPr>
        <w:t>o matter how the data is analyze</w:t>
      </w:r>
      <w:r w:rsidR="00B50A5D">
        <w:rPr>
          <w:b/>
        </w:rPr>
        <w:t>d.</w:t>
      </w:r>
      <w:r w:rsidR="00023A25">
        <w:rPr>
          <w:b/>
        </w:rPr>
        <w:t xml:space="preserve">  The description in the results section has now been clarified to read:</w:t>
      </w:r>
    </w:p>
    <w:p w14:paraId="3FCF2306" w14:textId="77777777" w:rsidR="00023A25" w:rsidRDefault="00023A25" w:rsidP="00B3527E">
      <w:pPr>
        <w:rPr>
          <w:b/>
        </w:rPr>
      </w:pPr>
    </w:p>
    <w:p w14:paraId="6F3F8DF2" w14:textId="6F24F006" w:rsidR="00023A25" w:rsidRPr="00023A25" w:rsidRDefault="00023A25" w:rsidP="00023A25">
      <w:pPr>
        <w:ind w:left="360"/>
        <w:rPr>
          <w:b/>
          <w:color w:val="FF0000"/>
        </w:rPr>
      </w:pPr>
      <w:r w:rsidRPr="00023A25">
        <w:rPr>
          <w:b/>
          <w:color w:val="FF0000"/>
        </w:rPr>
        <w:t xml:space="preserve">Both HFD and CD fed mice </w:t>
      </w:r>
      <w:r w:rsidR="00687B7A">
        <w:rPr>
          <w:b/>
          <w:color w:val="FF0000"/>
        </w:rPr>
        <w:t>exhibited</w:t>
      </w:r>
      <w:r w:rsidRPr="00023A25">
        <w:rPr>
          <w:b/>
          <w:color w:val="FF0000"/>
        </w:rPr>
        <w:t xml:space="preserve"> </w:t>
      </w:r>
      <w:r w:rsidR="00687B7A">
        <w:rPr>
          <w:b/>
          <w:color w:val="FF0000"/>
        </w:rPr>
        <w:t>less weight gain when the</w:t>
      </w:r>
      <w:r w:rsidRPr="00023A25">
        <w:rPr>
          <w:b/>
          <w:color w:val="FF0000"/>
        </w:rPr>
        <w:t xml:space="preserve"> pre-diet fasting response </w:t>
      </w:r>
      <w:r w:rsidR="00687B7A">
        <w:rPr>
          <w:b/>
          <w:color w:val="FF0000"/>
        </w:rPr>
        <w:t xml:space="preserve">was elevated </w:t>
      </w:r>
      <w:r w:rsidR="0090305D">
        <w:rPr>
          <w:b/>
          <w:color w:val="FF0000"/>
        </w:rPr>
        <w:t>(Figure 3</w:t>
      </w:r>
      <w:r w:rsidRPr="00023A25">
        <w:rPr>
          <w:b/>
          <w:color w:val="FF0000"/>
        </w:rPr>
        <w:t>).  We found a strong negative correlation between percent weight gain and relative fasting response (Rho=-0.61, Rho</w:t>
      </w:r>
      <w:r w:rsidRPr="00023A25">
        <w:rPr>
          <w:b/>
          <w:color w:val="FF0000"/>
          <w:vertAlign w:val="superscript"/>
        </w:rPr>
        <w:t>2</w:t>
      </w:r>
      <w:r w:rsidRPr="00023A25">
        <w:rPr>
          <w:b/>
          <w:color w:val="FF0000"/>
        </w:rPr>
        <w:t xml:space="preserve"> =0.373, p=6.6 x 10</w:t>
      </w:r>
      <w:r w:rsidRPr="00023A25">
        <w:rPr>
          <w:b/>
          <w:color w:val="FF0000"/>
          <w:vertAlign w:val="superscript"/>
        </w:rPr>
        <w:t>-6</w:t>
      </w:r>
      <w:r w:rsidRPr="00023A25">
        <w:rPr>
          <w:b/>
          <w:color w:val="FF0000"/>
        </w:rPr>
        <w:t>). For CD fed mice the same pattern was present, though the correlation did not quite reach statistical significance (Rho=-0.334, Rho</w:t>
      </w:r>
      <w:r w:rsidRPr="00023A25">
        <w:rPr>
          <w:b/>
          <w:color w:val="FF0000"/>
          <w:vertAlign w:val="superscript"/>
        </w:rPr>
        <w:t>2</w:t>
      </w:r>
      <w:r w:rsidRPr="00023A25">
        <w:rPr>
          <w:b/>
          <w:color w:val="FF0000"/>
        </w:rPr>
        <w:t xml:space="preserve"> =0.112, p=0.0538).  These trends also reached statistical significance for </w:t>
      </w:r>
      <w:r w:rsidR="005741FE">
        <w:rPr>
          <w:b/>
          <w:color w:val="FF0000"/>
        </w:rPr>
        <w:t xml:space="preserve">all </w:t>
      </w:r>
      <w:r w:rsidRPr="00023A25">
        <w:rPr>
          <w:b/>
          <w:color w:val="FF0000"/>
        </w:rPr>
        <w:t xml:space="preserve">the </w:t>
      </w:r>
      <w:r w:rsidR="005741FE">
        <w:rPr>
          <w:b/>
          <w:color w:val="FF0000"/>
        </w:rPr>
        <w:t>combinations tested</w:t>
      </w:r>
      <w:r w:rsidRPr="00023A25">
        <w:rPr>
          <w:b/>
          <w:color w:val="FF0000"/>
        </w:rPr>
        <w:t xml:space="preserve"> between both relative and absolute fasting responses and relative and absolute weight gain during HFD (p&lt;0.03 and Rho &lt; -0.33 for all comparisons). These data show that mice which resisted weight loss during the pre-diet 16 hour fast were far more susceptible to weight gain while on the experimental diet, and that this factor predicted weight gain much more comprehensively than hormonal factors, or pre-d</w:t>
      </w:r>
      <w:r w:rsidR="0090305D">
        <w:rPr>
          <w:b/>
          <w:color w:val="FF0000"/>
        </w:rPr>
        <w:t>iet weight (Table 2 and Figure 3</w:t>
      </w:r>
      <w:r w:rsidRPr="00023A25">
        <w:rPr>
          <w:b/>
          <w:color w:val="FF0000"/>
        </w:rPr>
        <w:t>).</w:t>
      </w:r>
      <w:r w:rsidRPr="00023A25">
        <w:rPr>
          <w:b/>
          <w:color w:val="FF0000"/>
        </w:rPr>
        <w:tab/>
      </w:r>
    </w:p>
    <w:p w14:paraId="1A70AA3C" w14:textId="77777777" w:rsidR="00023A25" w:rsidRPr="00B3527E" w:rsidRDefault="00023A25" w:rsidP="00B3527E">
      <w:pPr>
        <w:rPr>
          <w:b/>
        </w:rPr>
      </w:pPr>
    </w:p>
    <w:p w14:paraId="4CF0C7B1" w14:textId="77777777" w:rsidR="00B3527E" w:rsidRDefault="00B3527E" w:rsidP="00B3527E"/>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5F73712A" w14:textId="77777777" w:rsidR="00F75FBF" w:rsidRDefault="00F75FBF" w:rsidP="00F75FBF"/>
    <w:p w14:paraId="2E4DED04" w14:textId="22CB2C80" w:rsidR="00F75FBF" w:rsidRDefault="00F75FBF" w:rsidP="00F75FBF">
      <w:pPr>
        <w:rPr>
          <w:b/>
        </w:rPr>
      </w:pPr>
      <w:r>
        <w:rPr>
          <w:b/>
        </w:rPr>
        <w:t>The word trend was removed.  The sentence now reads:</w:t>
      </w:r>
    </w:p>
    <w:p w14:paraId="5B067BE0" w14:textId="77777777" w:rsidR="00F75FBF" w:rsidRDefault="00F75FBF" w:rsidP="00F75FBF">
      <w:pPr>
        <w:rPr>
          <w:b/>
        </w:rPr>
      </w:pPr>
    </w:p>
    <w:p w14:paraId="594F6D4E" w14:textId="57211E27" w:rsidR="00F75FBF" w:rsidRPr="00F75FBF" w:rsidRDefault="00F75FBF" w:rsidP="00F75FBF">
      <w:pPr>
        <w:ind w:left="360"/>
        <w:rPr>
          <w:b/>
          <w:color w:val="FF0000"/>
        </w:rPr>
      </w:pPr>
      <w:r w:rsidRPr="00F75FBF">
        <w:rPr>
          <w:b/>
          <w:color w:val="FF0000"/>
        </w:rPr>
        <w:t xml:space="preserve">We found that food intake on both a per gram basis (Supplementary Figure 1D, p=0.0033) and a caloric basis (Supplementary Figure 1E, p=0.0038) decreased even as the mice gained weight.  </w:t>
      </w:r>
    </w:p>
    <w:p w14:paraId="6776E218" w14:textId="77777777" w:rsidR="00F75FBF" w:rsidRPr="00F75FBF" w:rsidRDefault="00F75FBF" w:rsidP="00F75FBF">
      <w:pPr>
        <w:rPr>
          <w:b/>
        </w:rPr>
      </w:pP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587850D7"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3845CF8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AE9BC3" w14:textId="77777777" w:rsidR="00ED7494" w:rsidRDefault="00ED7494" w:rsidP="00ED7494"/>
    <w:p w14:paraId="1A790CFB" w14:textId="19E3A626" w:rsidR="00ED7494" w:rsidRPr="00ED7494" w:rsidRDefault="00ED7494" w:rsidP="00ED7494">
      <w:pPr>
        <w:rPr>
          <w:b/>
        </w:rPr>
      </w:pPr>
      <w:r>
        <w:rPr>
          <w:b/>
        </w:rPr>
        <w:t xml:space="preserve">Figure 2 (now Figure 1) is important even though there were no significant differences detected.  Of course, the absence of proof is not proof of an absence, but these results, as well as those in Table 2 rule out some common possibilities of predictors of weight gain.  We feel it is essential that these negative data </w:t>
      </w:r>
      <w:proofErr w:type="gramStart"/>
      <w:r>
        <w:rPr>
          <w:b/>
        </w:rPr>
        <w:t>are</w:t>
      </w:r>
      <w:proofErr w:type="gramEnd"/>
      <w:r>
        <w:rPr>
          <w:b/>
        </w:rPr>
        <w:t xml:space="preserve"> reported.</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0CE8A95F"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139FD76D" w:rsidR="00D538A4" w:rsidRPr="00D538A4" w:rsidRDefault="00D538A4" w:rsidP="00D538A4">
      <w:pPr>
        <w:ind w:left="360"/>
        <w:rPr>
          <w:b/>
        </w:rPr>
      </w:pPr>
      <w:r w:rsidRPr="00D538A4">
        <w:rPr>
          <w:b/>
          <w:color w:val="FF0000"/>
        </w:rPr>
        <w:t>Due to the dramatically different fasting responses observed in NCD mice com</w:t>
      </w:r>
      <w:r w:rsidR="0090305D">
        <w:rPr>
          <w:b/>
          <w:color w:val="FF0000"/>
        </w:rPr>
        <w:t>pared with CD mice (See Figure 2</w:t>
      </w:r>
      <w:r w:rsidRPr="00D538A4">
        <w:rPr>
          <w:b/>
          <w:color w:val="FF0000"/>
        </w:rPr>
        <w:t xml:space="preserve">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0733AF8A" w:rsidR="0065339D" w:rsidRPr="0065339D" w:rsidRDefault="0065339D" w:rsidP="00774DDD">
      <w:pPr>
        <w:ind w:left="360"/>
        <w:rPr>
          <w:b/>
          <w:color w:val="FF0000"/>
        </w:rPr>
      </w:pPr>
      <w:r w:rsidRPr="0065339D">
        <w:rPr>
          <w:b/>
          <w:color w:val="FF0000"/>
        </w:rPr>
        <w:t>Significant differences of were detected between several hormones (</w:t>
      </w:r>
      <w:proofErr w:type="spellStart"/>
      <w:r w:rsidRPr="0065339D">
        <w:rPr>
          <w:b/>
          <w:color w:val="FF0000"/>
        </w:rPr>
        <w:t>resistin</w:t>
      </w:r>
      <w:proofErr w:type="spellEnd"/>
      <w:r w:rsidRPr="0065339D">
        <w:rPr>
          <w:b/>
          <w:color w:val="FF0000"/>
        </w:rPr>
        <w:t xml:space="preserve">, total ghrelin, GLP-1 and </w:t>
      </w:r>
      <w:proofErr w:type="spellStart"/>
      <w:r w:rsidRPr="0065339D">
        <w:rPr>
          <w:b/>
          <w:color w:val="FF0000"/>
        </w:rPr>
        <w:t>leptin</w:t>
      </w:r>
      <w:proofErr w:type="spellEnd"/>
      <w:r w:rsidRPr="0065339D">
        <w:rPr>
          <w:b/>
          <w:color w:val="FF0000"/>
        </w:rPr>
        <w:t xml:space="preserve">) as well as fasting glucose levels between these diets.  These are consistent with previous reports of HFD induced changes relative to NCD diets for </w:t>
      </w:r>
      <w:proofErr w:type="spellStart"/>
      <w:r w:rsidRPr="0065339D">
        <w:rPr>
          <w:b/>
          <w:color w:val="FF0000"/>
        </w:rPr>
        <w:t>resistin</w:t>
      </w:r>
      <w:proofErr w:type="spellEnd"/>
      <w:r w:rsidRPr="0065339D">
        <w:rPr>
          <w:b/>
          <w:color w:val="FF0000"/>
        </w:rPr>
        <w:t xml:space="preserve"> and </w:t>
      </w:r>
      <w:proofErr w:type="spellStart"/>
      <w:r w:rsidRPr="0065339D">
        <w:rPr>
          <w:b/>
          <w:color w:val="FF0000"/>
        </w:rPr>
        <w:t>leptin</w:t>
      </w:r>
      <w:proofErr w:type="spellEnd"/>
      <w:r w:rsidRPr="0065339D">
        <w:rPr>
          <w:b/>
          <w:color w:val="FF0000"/>
        </w:rPr>
        <w:t xml:space="preserve"> </w:t>
      </w:r>
      <w:r w:rsidRPr="0065339D">
        <w:rPr>
          <w:b/>
          <w:color w:val="FF0000"/>
        </w:rPr>
        <w:fldChar w:fldCharType="begin" w:fldLock="1"/>
      </w:r>
      <w:r w:rsidR="00DF19F5">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54CA77E7" w:rsidR="00F2593F" w:rsidRPr="00F2593F" w:rsidRDefault="00F2593F" w:rsidP="00FC2429">
      <w:pPr>
        <w:rPr>
          <w:b/>
        </w:rPr>
      </w:pPr>
      <w:r>
        <w:rPr>
          <w:b/>
        </w:rPr>
        <w:t xml:space="preserve">Although, it was not specified which </w:t>
      </w:r>
      <w:r w:rsidR="00C0523D">
        <w:rPr>
          <w:b/>
        </w:rPr>
        <w:t>data</w:t>
      </w:r>
      <w:r>
        <w:rPr>
          <w:b/>
        </w:rPr>
        <w:t xml:space="preserve"> are </w:t>
      </w:r>
      <w:r w:rsidR="00C0523D">
        <w:rPr>
          <w:b/>
        </w:rPr>
        <w:t>problematic</w:t>
      </w:r>
      <w:r>
        <w:rPr>
          <w:b/>
        </w:rPr>
        <w:t>,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w:t>
      </w:r>
      <w:proofErr w:type="spellStart"/>
      <w:r>
        <w:t>biorxiv</w:t>
      </w:r>
      <w:proofErr w:type="spellEnd"/>
      <w:r>
        <w:t xml:space="preserve"> already. </w:t>
      </w:r>
      <w:hyperlink r:id="rId10"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699607C9" w:rsidR="0045263D" w:rsidRPr="0082040F" w:rsidRDefault="00EA33F9" w:rsidP="00FC2429">
      <w:pPr>
        <w:rPr>
          <w:b/>
        </w:rPr>
      </w:pPr>
      <w:r w:rsidRPr="0082040F">
        <w:rPr>
          <w:b/>
        </w:rPr>
        <w:t>With respect to the previous publication issue</w:t>
      </w:r>
      <w:r w:rsidR="0045263D" w:rsidRPr="0082040F">
        <w:rPr>
          <w:b/>
        </w:rPr>
        <w:t xml:space="preserve">, there is a quite simple explanation.  </w:t>
      </w:r>
      <w:proofErr w:type="spellStart"/>
      <w:r w:rsidR="0045263D" w:rsidRPr="0082040F">
        <w:rPr>
          <w:b/>
        </w:rPr>
        <w:t>Biorxiv</w:t>
      </w:r>
      <w:proofErr w:type="spellEnd"/>
      <w:r w:rsidR="0045263D" w:rsidRPr="0082040F">
        <w:rPr>
          <w:b/>
        </w:rPr>
        <w:t xml:space="preserve">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DF19F5">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DF19F5">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w:t>
      </w:r>
      <w:proofErr w:type="spellStart"/>
      <w:r w:rsidRPr="0082040F">
        <w:rPr>
          <w:b/>
        </w:rPr>
        <w:t>RoMEO</w:t>
      </w:r>
      <w:proofErr w:type="spellEnd"/>
      <w:r w:rsidRPr="0082040F">
        <w:rPr>
          <w:b/>
        </w:rPr>
        <w:t xml:space="preserve"> database (</w:t>
      </w:r>
      <w:hyperlink r:id="rId11"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06DA048F" w:rsidR="00617CC1" w:rsidRPr="00D966C7" w:rsidRDefault="00617CC1" w:rsidP="00617CC1">
      <w:pPr>
        <w:pStyle w:val="ListParagraph"/>
        <w:numPr>
          <w:ilvl w:val="0"/>
          <w:numId w:val="3"/>
        </w:numPr>
        <w:rPr>
          <w:b/>
        </w:rPr>
      </w:pPr>
      <w:r w:rsidRPr="00D966C7">
        <w:rPr>
          <w:b/>
        </w:rPr>
        <w:t xml:space="preserve">Based on a suggestion of someone who read the article on </w:t>
      </w:r>
      <w:proofErr w:type="spellStart"/>
      <w:r w:rsidRPr="00D966C7">
        <w:rPr>
          <w:b/>
        </w:rPr>
        <w:t>biorxiv</w:t>
      </w:r>
      <w:proofErr w:type="spellEnd"/>
      <w:r w:rsidRPr="00D966C7">
        <w:rPr>
          <w:b/>
        </w:rPr>
        <w:t xml:space="preserve">, we tested the assumption that the pre-diet hormones and </w:t>
      </w:r>
      <w:r w:rsidR="0012536A" w:rsidRPr="00D966C7">
        <w:rPr>
          <w:b/>
        </w:rPr>
        <w:t>body weight gain (both absolute and percent) fit a normal distribution.  We did this via a Shapiro-</w:t>
      </w:r>
      <w:proofErr w:type="spellStart"/>
      <w:r w:rsidR="0012536A" w:rsidRPr="00D966C7">
        <w:rPr>
          <w:b/>
        </w:rPr>
        <w:t>Wilk</w:t>
      </w:r>
      <w:proofErr w:type="spellEnd"/>
      <w:r w:rsidR="0012536A" w:rsidRPr="00D966C7">
        <w:rPr>
          <w:b/>
        </w:rPr>
        <w:t xml:space="preserve">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90305D">
        <w:rPr>
          <w:b/>
        </w:rPr>
        <w:t xml:space="preserve"> </w:t>
      </w:r>
      <w:r w:rsidR="00942102">
        <w:rPr>
          <w:b/>
        </w:rPr>
        <w:t xml:space="preserve">1, </w:t>
      </w:r>
      <w:r w:rsidR="0090305D">
        <w:rPr>
          <w:b/>
        </w:rPr>
        <w:t xml:space="preserve">2 and 3 (formerly </w:t>
      </w:r>
      <w:r w:rsidR="00942102">
        <w:rPr>
          <w:b/>
        </w:rPr>
        <w:t xml:space="preserve">2, </w:t>
      </w:r>
      <w:r w:rsidR="0090305D">
        <w:rPr>
          <w:b/>
        </w:rPr>
        <w:t>3 and 4)</w:t>
      </w:r>
      <w:r w:rsidR="00C3790F">
        <w:rPr>
          <w:b/>
        </w:rPr>
        <w:t xml:space="preserve">.  These changes are described </w:t>
      </w:r>
      <w:r w:rsidR="0012536A" w:rsidRPr="00D966C7">
        <w:rPr>
          <w:b/>
        </w:rPr>
        <w:t>in the methods section:</w:t>
      </w:r>
    </w:p>
    <w:p w14:paraId="36A7DC2D" w14:textId="77777777" w:rsidR="0012536A" w:rsidRDefault="0012536A" w:rsidP="0012536A">
      <w:pPr>
        <w:pStyle w:val="ListParagraph"/>
      </w:pPr>
    </w:p>
    <w:p w14:paraId="332DB4CD" w14:textId="61A835FB" w:rsidR="00594BC2" w:rsidRDefault="004810A3" w:rsidP="00594BC2">
      <w:pPr>
        <w:rPr>
          <w:b/>
          <w:color w:val="FF0000"/>
        </w:rPr>
      </w:pPr>
      <w:r w:rsidRPr="004810A3">
        <w:rPr>
          <w:b/>
          <w:color w:val="FF0000"/>
        </w:rPr>
        <w:t>Correlations were determined using Spearman’s rho after testing whether the covariates were normally distributed (Shapiro-</w:t>
      </w:r>
      <w:proofErr w:type="spellStart"/>
      <w:r w:rsidRPr="004810A3">
        <w:rPr>
          <w:b/>
          <w:color w:val="FF0000"/>
        </w:rPr>
        <w:t>Wilk</w:t>
      </w:r>
      <w:proofErr w:type="spellEnd"/>
      <w:r w:rsidRPr="004810A3">
        <w:rPr>
          <w:b/>
          <w:color w:val="FF0000"/>
        </w:rPr>
        <w:t xml:space="preserve"> test p&lt;0.05).  </w:t>
      </w:r>
    </w:p>
    <w:p w14:paraId="49990D25" w14:textId="77777777" w:rsidR="00AA62A6" w:rsidRDefault="00AA62A6" w:rsidP="00594BC2">
      <w:pPr>
        <w:rPr>
          <w:b/>
          <w:color w:val="FF0000"/>
        </w:rPr>
      </w:pPr>
    </w:p>
    <w:p w14:paraId="0F9A1D3C" w14:textId="390E1951" w:rsidR="00AA62A6" w:rsidRPr="00AA62A6" w:rsidRDefault="00AA62A6" w:rsidP="00AA62A6">
      <w:pPr>
        <w:pStyle w:val="ListParagraph"/>
        <w:numPr>
          <w:ilvl w:val="0"/>
          <w:numId w:val="3"/>
        </w:numPr>
        <w:rPr>
          <w:b/>
        </w:rPr>
      </w:pPr>
      <w:r w:rsidRPr="00AA62A6">
        <w:rPr>
          <w:b/>
        </w:rPr>
        <w:t>Another colleague pointed out that we observe the negative correlation between fasting responses and weight gain for both diets, indicating that this is potentially an epiphenomena rather than a diet-specific effect.  We brought up this point in the discussion:</w:t>
      </w:r>
    </w:p>
    <w:p w14:paraId="5B893048" w14:textId="77777777" w:rsidR="00AA62A6" w:rsidRDefault="00AA62A6" w:rsidP="00AA62A6"/>
    <w:p w14:paraId="468D745F" w14:textId="77777777" w:rsidR="00AA62A6" w:rsidRDefault="00AA62A6" w:rsidP="00AA62A6">
      <w:pPr>
        <w:rPr>
          <w:b/>
          <w:color w:val="FF0000"/>
        </w:rPr>
      </w:pPr>
      <w:r w:rsidRPr="00AA62A6">
        <w:rPr>
          <w:b/>
          <w:color w:val="FF0000"/>
        </w:rPr>
        <w:t>Furthermore, we noted that the negative relationship between fasting responses and weight gain is present for both CD and HFD fed animals.  This suggests that the fasting response may be part of a general body weight defense mechanism, rather than a phenomena specific to diet-induced obesity, but also that this effect may be exacerbated by HFD.</w:t>
      </w:r>
    </w:p>
    <w:p w14:paraId="6C20EF69" w14:textId="77777777" w:rsidR="00AA62A6" w:rsidRDefault="00AA62A6" w:rsidP="00AA62A6">
      <w:pPr>
        <w:pStyle w:val="ListParagraph"/>
        <w:numPr>
          <w:ilvl w:val="0"/>
          <w:numId w:val="3"/>
        </w:numPr>
      </w:pPr>
      <w:bookmarkStart w:id="0" w:name="_GoBack"/>
      <w:bookmarkEnd w:id="0"/>
    </w:p>
    <w:p w14:paraId="7CA4823B" w14:textId="4E25081F" w:rsidR="00594BC2" w:rsidRDefault="00594BC2" w:rsidP="0065339D">
      <w:pPr>
        <w:pStyle w:val="Heading2"/>
      </w:pPr>
      <w:r>
        <w:t>References</w:t>
      </w:r>
    </w:p>
    <w:p w14:paraId="31179FB4" w14:textId="7FC7B5E3" w:rsidR="00DF19F5" w:rsidRPr="00DF19F5" w:rsidRDefault="00594BC2">
      <w:pPr>
        <w:pStyle w:val="NormalWeb"/>
        <w:ind w:left="640" w:hanging="640"/>
        <w:divId w:val="1001733676"/>
        <w:rPr>
          <w:rFonts w:ascii="Cambria" w:hAnsi="Cambria"/>
          <w:noProof/>
          <w:sz w:val="24"/>
        </w:rPr>
      </w:pPr>
      <w:r>
        <w:fldChar w:fldCharType="begin" w:fldLock="1"/>
      </w:r>
      <w:r>
        <w:instrText xml:space="preserve">ADDIN Mendeley Bibliography CSL_BIBLIOGRAPHY </w:instrText>
      </w:r>
      <w:r>
        <w:fldChar w:fldCharType="separate"/>
      </w:r>
      <w:r w:rsidR="00DF19F5" w:rsidRPr="00DF19F5">
        <w:rPr>
          <w:rFonts w:ascii="Cambria" w:hAnsi="Cambria"/>
          <w:noProof/>
          <w:sz w:val="24"/>
        </w:rPr>
        <w:t>1.</w:t>
      </w:r>
      <w:r w:rsidR="00DF19F5" w:rsidRPr="00DF19F5">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DF19F5" w:rsidRPr="00DF19F5">
        <w:rPr>
          <w:rFonts w:ascii="Cambria" w:hAnsi="Cambria"/>
          <w:i/>
          <w:iCs/>
          <w:noProof/>
          <w:sz w:val="24"/>
        </w:rPr>
        <w:t>81</w:t>
      </w:r>
      <w:r w:rsidR="00DF19F5" w:rsidRPr="00DF19F5">
        <w:rPr>
          <w:rFonts w:ascii="Cambria" w:hAnsi="Cambria"/>
          <w:noProof/>
          <w:sz w:val="24"/>
        </w:rPr>
        <w:t>, 968–975.</w:t>
      </w:r>
    </w:p>
    <w:p w14:paraId="7256813F" w14:textId="77777777" w:rsidR="00DF19F5" w:rsidRPr="00DF19F5" w:rsidRDefault="00DF19F5">
      <w:pPr>
        <w:pStyle w:val="NormalWeb"/>
        <w:ind w:left="640" w:hanging="640"/>
        <w:divId w:val="1001733676"/>
        <w:rPr>
          <w:rFonts w:ascii="Cambria" w:hAnsi="Cambria"/>
          <w:noProof/>
          <w:sz w:val="24"/>
        </w:rPr>
      </w:pPr>
      <w:r w:rsidRPr="00DF19F5">
        <w:rPr>
          <w:rFonts w:ascii="Cambria" w:hAnsi="Cambria"/>
          <w:noProof/>
          <w:sz w:val="24"/>
        </w:rPr>
        <w:t>2.</w:t>
      </w:r>
      <w:r w:rsidRPr="00DF19F5">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DF19F5">
        <w:rPr>
          <w:rFonts w:ascii="Cambria" w:hAnsi="Cambria"/>
          <w:i/>
          <w:iCs/>
          <w:noProof/>
          <w:sz w:val="24"/>
        </w:rPr>
        <w:t>148</w:t>
      </w:r>
      <w:r w:rsidRPr="00DF19F5">
        <w:rPr>
          <w:rFonts w:ascii="Cambria" w:hAnsi="Cambria"/>
          <w:noProof/>
          <w:sz w:val="24"/>
        </w:rPr>
        <w:t>, 300–9.</w:t>
      </w:r>
    </w:p>
    <w:p w14:paraId="7BA94B50" w14:textId="77777777" w:rsidR="00DF19F5" w:rsidRPr="00DF19F5" w:rsidRDefault="00DF19F5">
      <w:pPr>
        <w:pStyle w:val="NormalWeb"/>
        <w:ind w:left="640" w:hanging="640"/>
        <w:divId w:val="1001733676"/>
        <w:rPr>
          <w:rFonts w:ascii="Cambria" w:hAnsi="Cambria"/>
          <w:noProof/>
          <w:sz w:val="24"/>
        </w:rPr>
      </w:pPr>
      <w:r w:rsidRPr="00DF19F5">
        <w:rPr>
          <w:rFonts w:ascii="Cambria" w:hAnsi="Cambria"/>
          <w:noProof/>
          <w:sz w:val="24"/>
        </w:rPr>
        <w:t>3.</w:t>
      </w:r>
      <w:r w:rsidRPr="00DF19F5">
        <w:rPr>
          <w:rFonts w:ascii="Cambria" w:hAnsi="Cambria"/>
          <w:noProof/>
          <w:sz w:val="24"/>
        </w:rPr>
        <w:tab/>
        <w:t>Lu, B., Bridges, D., Yang, Y., Fisher, K., Cheng, A., Chang, L., Meng, Z., Lin, J., Downes, M., Yu, R. T., et al. (2014). Metabolic Crosstalk: molecular links between glycogen and lipid metabolism in obesity. Diabetes.</w:t>
      </w:r>
    </w:p>
    <w:p w14:paraId="28BB3EF7" w14:textId="77777777" w:rsidR="00DF19F5" w:rsidRPr="00DF19F5" w:rsidRDefault="00DF19F5">
      <w:pPr>
        <w:pStyle w:val="NormalWeb"/>
        <w:ind w:left="640" w:hanging="640"/>
        <w:divId w:val="1001733676"/>
        <w:rPr>
          <w:rFonts w:ascii="Cambria" w:hAnsi="Cambria"/>
          <w:noProof/>
          <w:sz w:val="24"/>
        </w:rPr>
      </w:pPr>
      <w:r w:rsidRPr="00DF19F5">
        <w:rPr>
          <w:rFonts w:ascii="Cambria" w:hAnsi="Cambria"/>
          <w:noProof/>
          <w:sz w:val="24"/>
        </w:rPr>
        <w:t>4.</w:t>
      </w:r>
      <w:r w:rsidRPr="00DF19F5">
        <w:rPr>
          <w:rFonts w:ascii="Cambria" w:hAnsi="Cambria"/>
          <w:noProof/>
          <w:sz w:val="24"/>
        </w:rPr>
        <w:tab/>
        <w:t xml:space="preserve">Holst, J. J., Orskov, C., Nielsen, O. V, and Schwartz, T. W. (1987). Truncated glucagon-like peptide I, an insulin-releasing hormone from the distal gut. FEBS Lett. </w:t>
      </w:r>
      <w:r w:rsidRPr="00DF19F5">
        <w:rPr>
          <w:rFonts w:ascii="Cambria" w:hAnsi="Cambria"/>
          <w:i/>
          <w:iCs/>
          <w:noProof/>
          <w:sz w:val="24"/>
        </w:rPr>
        <w:t>211</w:t>
      </w:r>
      <w:r w:rsidRPr="00DF19F5">
        <w:rPr>
          <w:rFonts w:ascii="Cambria" w:hAnsi="Cambria"/>
          <w:noProof/>
          <w:sz w:val="24"/>
        </w:rPr>
        <w:t>, 169–74.</w:t>
      </w:r>
    </w:p>
    <w:p w14:paraId="326B49CC" w14:textId="77777777" w:rsidR="00DF19F5" w:rsidRPr="00DF19F5" w:rsidRDefault="00DF19F5">
      <w:pPr>
        <w:pStyle w:val="NormalWeb"/>
        <w:ind w:left="640" w:hanging="640"/>
        <w:divId w:val="1001733676"/>
        <w:rPr>
          <w:rFonts w:ascii="Cambria" w:hAnsi="Cambria"/>
          <w:noProof/>
          <w:sz w:val="24"/>
        </w:rPr>
      </w:pPr>
      <w:r w:rsidRPr="00DF19F5">
        <w:rPr>
          <w:rFonts w:ascii="Cambria" w:hAnsi="Cambria"/>
          <w:noProof/>
          <w:sz w:val="24"/>
        </w:rPr>
        <w:t>5.</w:t>
      </w:r>
      <w:r w:rsidRPr="00DF19F5">
        <w:rPr>
          <w:rFonts w:ascii="Cambria" w:hAnsi="Cambria"/>
          <w:noProof/>
          <w:sz w:val="24"/>
        </w:rPr>
        <w:tab/>
        <w:t xml:space="preserve">Kreymann, B., Ghatei, M. A., Williams, G., and Bloom, S. R. (1987). Glucagon-Like Peptide-1 7-36: A Physiological Incretin in Man. Lancet </w:t>
      </w:r>
      <w:r w:rsidRPr="00DF19F5">
        <w:rPr>
          <w:rFonts w:ascii="Cambria" w:hAnsi="Cambria"/>
          <w:i/>
          <w:iCs/>
          <w:noProof/>
          <w:sz w:val="24"/>
        </w:rPr>
        <w:t>330</w:t>
      </w:r>
      <w:r w:rsidRPr="00DF19F5">
        <w:rPr>
          <w:rFonts w:ascii="Cambria" w:hAnsi="Cambria"/>
          <w:noProof/>
          <w:sz w:val="24"/>
        </w:rPr>
        <w:t>, 1300–1304.</w:t>
      </w:r>
    </w:p>
    <w:p w14:paraId="58FAD633" w14:textId="77777777" w:rsidR="00DF19F5" w:rsidRPr="00DF19F5" w:rsidRDefault="00DF19F5">
      <w:pPr>
        <w:pStyle w:val="NormalWeb"/>
        <w:ind w:left="640" w:hanging="640"/>
        <w:divId w:val="1001733676"/>
        <w:rPr>
          <w:rFonts w:ascii="Cambria" w:hAnsi="Cambria"/>
          <w:noProof/>
          <w:sz w:val="24"/>
        </w:rPr>
      </w:pPr>
      <w:r w:rsidRPr="00DF19F5">
        <w:rPr>
          <w:rFonts w:ascii="Cambria" w:hAnsi="Cambria"/>
          <w:noProof/>
          <w:sz w:val="24"/>
        </w:rPr>
        <w:t>6.</w:t>
      </w:r>
      <w:r w:rsidRPr="00DF19F5">
        <w:rPr>
          <w:rFonts w:ascii="Cambria" w:hAnsi="Cambria"/>
          <w:noProof/>
          <w:sz w:val="24"/>
        </w:rPr>
        <w:tab/>
        <w:t xml:space="preserve">Tschöp, M., Weyer, C., Tataranni, P. a, Devanarayan, V., Ravussin, E., and Heiman, M. L. (2001). Circulating ghrelin levels are decreased in human obesity. Diabetes </w:t>
      </w:r>
      <w:r w:rsidRPr="00DF19F5">
        <w:rPr>
          <w:rFonts w:ascii="Cambria" w:hAnsi="Cambria"/>
          <w:i/>
          <w:iCs/>
          <w:noProof/>
          <w:sz w:val="24"/>
        </w:rPr>
        <w:t>50</w:t>
      </w:r>
      <w:r w:rsidRPr="00DF19F5">
        <w:rPr>
          <w:rFonts w:ascii="Cambria" w:hAnsi="Cambria"/>
          <w:noProof/>
          <w:sz w:val="24"/>
        </w:rPr>
        <w:t>, 707–9.</w:t>
      </w:r>
    </w:p>
    <w:p w14:paraId="29F83A1F" w14:textId="77777777" w:rsidR="00DF19F5" w:rsidRPr="00DF19F5" w:rsidRDefault="00DF19F5">
      <w:pPr>
        <w:pStyle w:val="NormalWeb"/>
        <w:ind w:left="640" w:hanging="640"/>
        <w:divId w:val="1001733676"/>
        <w:rPr>
          <w:rFonts w:ascii="Cambria" w:hAnsi="Cambria"/>
          <w:noProof/>
          <w:sz w:val="24"/>
        </w:rPr>
      </w:pPr>
      <w:r w:rsidRPr="00DF19F5">
        <w:rPr>
          <w:rFonts w:ascii="Cambria" w:hAnsi="Cambria"/>
          <w:noProof/>
          <w:sz w:val="24"/>
        </w:rPr>
        <w:t>7.</w:t>
      </w:r>
      <w:r w:rsidRPr="00DF19F5">
        <w:rPr>
          <w:rFonts w:ascii="Cambria" w:hAnsi="Cambria"/>
          <w:noProof/>
          <w:sz w:val="24"/>
        </w:rPr>
        <w:tab/>
        <w:t xml:space="preserve">Tschöp, M., Smiley, D. L., and Heiman, M. L. (2000). Ghrelin induces adiposity in rodents. Nature </w:t>
      </w:r>
      <w:r w:rsidRPr="00DF19F5">
        <w:rPr>
          <w:rFonts w:ascii="Cambria" w:hAnsi="Cambria"/>
          <w:i/>
          <w:iCs/>
          <w:noProof/>
          <w:sz w:val="24"/>
        </w:rPr>
        <w:t>407</w:t>
      </w:r>
      <w:r w:rsidRPr="00DF19F5">
        <w:rPr>
          <w:rFonts w:ascii="Cambria" w:hAnsi="Cambria"/>
          <w:noProof/>
          <w:sz w:val="24"/>
        </w:rPr>
        <w:t>, 908–13.</w:t>
      </w:r>
    </w:p>
    <w:p w14:paraId="32DA77B4" w14:textId="77777777" w:rsidR="00DF19F5" w:rsidRPr="00DF19F5" w:rsidRDefault="00DF19F5">
      <w:pPr>
        <w:pStyle w:val="NormalWeb"/>
        <w:ind w:left="640" w:hanging="640"/>
        <w:divId w:val="1001733676"/>
        <w:rPr>
          <w:rFonts w:ascii="Cambria" w:hAnsi="Cambria"/>
          <w:noProof/>
          <w:sz w:val="24"/>
        </w:rPr>
      </w:pPr>
      <w:r w:rsidRPr="00DF19F5">
        <w:rPr>
          <w:rFonts w:ascii="Cambria" w:hAnsi="Cambria"/>
          <w:noProof/>
          <w:sz w:val="24"/>
        </w:rPr>
        <w:t>8.</w:t>
      </w:r>
      <w:r w:rsidRPr="00DF19F5">
        <w:rPr>
          <w:rFonts w:ascii="Cambria" w:hAnsi="Cambria"/>
          <w:noProof/>
          <w:sz w:val="24"/>
        </w:rPr>
        <w:tab/>
        <w:t xml:space="preserve">Leibel, R. L., Rosenbaum, M., and Hirsch, J. (1995). Changes in energy expenditure resulting from altered body weight. N. Engl. J. Med. </w:t>
      </w:r>
      <w:r w:rsidRPr="00DF19F5">
        <w:rPr>
          <w:rFonts w:ascii="Cambria" w:hAnsi="Cambria"/>
          <w:i/>
          <w:iCs/>
          <w:noProof/>
          <w:sz w:val="24"/>
        </w:rPr>
        <w:t>332</w:t>
      </w:r>
      <w:r w:rsidRPr="00DF19F5">
        <w:rPr>
          <w:rFonts w:ascii="Cambria" w:hAnsi="Cambria"/>
          <w:noProof/>
          <w:sz w:val="24"/>
        </w:rPr>
        <w:t>, 621–8.</w:t>
      </w:r>
    </w:p>
    <w:p w14:paraId="022EEFF6" w14:textId="77777777" w:rsidR="00DF19F5" w:rsidRPr="00DF19F5" w:rsidRDefault="00DF19F5">
      <w:pPr>
        <w:pStyle w:val="NormalWeb"/>
        <w:ind w:left="640" w:hanging="640"/>
        <w:divId w:val="1001733676"/>
        <w:rPr>
          <w:rFonts w:ascii="Cambria" w:hAnsi="Cambria"/>
          <w:noProof/>
          <w:sz w:val="24"/>
        </w:rPr>
      </w:pPr>
      <w:r w:rsidRPr="00DF19F5">
        <w:rPr>
          <w:rFonts w:ascii="Cambria" w:hAnsi="Cambria"/>
          <w:noProof/>
          <w:sz w:val="24"/>
        </w:rPr>
        <w:t>9.</w:t>
      </w:r>
      <w:r w:rsidRPr="00DF19F5">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DF19F5">
        <w:rPr>
          <w:rFonts w:ascii="Cambria" w:hAnsi="Cambria"/>
          <w:i/>
          <w:iCs/>
          <w:noProof/>
          <w:sz w:val="24"/>
        </w:rPr>
        <w:t>78</w:t>
      </w:r>
      <w:r w:rsidRPr="00DF19F5">
        <w:rPr>
          <w:rFonts w:ascii="Cambria" w:hAnsi="Cambria"/>
          <w:noProof/>
          <w:sz w:val="24"/>
        </w:rPr>
        <w:t>, 1568–78.</w:t>
      </w:r>
    </w:p>
    <w:p w14:paraId="5DB8735A" w14:textId="77777777" w:rsidR="00DF19F5" w:rsidRPr="00DF19F5" w:rsidRDefault="00DF19F5">
      <w:pPr>
        <w:pStyle w:val="NormalWeb"/>
        <w:ind w:left="640" w:hanging="640"/>
        <w:divId w:val="1001733676"/>
        <w:rPr>
          <w:rFonts w:ascii="Cambria" w:hAnsi="Cambria"/>
          <w:noProof/>
          <w:sz w:val="24"/>
        </w:rPr>
      </w:pPr>
      <w:r w:rsidRPr="00DF19F5">
        <w:rPr>
          <w:rFonts w:ascii="Cambria" w:hAnsi="Cambria"/>
          <w:noProof/>
          <w:sz w:val="24"/>
        </w:rPr>
        <w:t>10.</w:t>
      </w:r>
      <w:r w:rsidRPr="00DF19F5">
        <w:rPr>
          <w:rFonts w:ascii="Cambria" w:hAnsi="Cambria"/>
          <w:noProof/>
          <w:sz w:val="24"/>
        </w:rPr>
        <w:tab/>
        <w:t xml:space="preserve">Griffiths, M., Payne, P. ., Rivers, J. P. ., Cox, M., and Stunkard, A. . (1990). Metabolic rate and physical development in children at risk of obesity. Lancet </w:t>
      </w:r>
      <w:r w:rsidRPr="00DF19F5">
        <w:rPr>
          <w:rFonts w:ascii="Cambria" w:hAnsi="Cambria"/>
          <w:i/>
          <w:iCs/>
          <w:noProof/>
          <w:sz w:val="24"/>
        </w:rPr>
        <w:t>336</w:t>
      </w:r>
      <w:r w:rsidRPr="00DF19F5">
        <w:rPr>
          <w:rFonts w:ascii="Cambria" w:hAnsi="Cambria"/>
          <w:noProof/>
          <w:sz w:val="24"/>
        </w:rPr>
        <w:t>, 76–78.</w:t>
      </w:r>
    </w:p>
    <w:p w14:paraId="082E2C60" w14:textId="77777777" w:rsidR="00DF19F5" w:rsidRPr="00DF19F5" w:rsidRDefault="00DF19F5">
      <w:pPr>
        <w:pStyle w:val="NormalWeb"/>
        <w:ind w:left="640" w:hanging="640"/>
        <w:divId w:val="1001733676"/>
        <w:rPr>
          <w:rFonts w:ascii="Cambria" w:hAnsi="Cambria"/>
          <w:noProof/>
          <w:sz w:val="24"/>
        </w:rPr>
      </w:pPr>
      <w:r w:rsidRPr="00DF19F5">
        <w:rPr>
          <w:rFonts w:ascii="Cambria" w:hAnsi="Cambria"/>
          <w:noProof/>
          <w:sz w:val="24"/>
        </w:rPr>
        <w:t>11.</w:t>
      </w:r>
      <w:r w:rsidRPr="00DF19F5">
        <w:rPr>
          <w:rFonts w:ascii="Cambria" w:hAnsi="Cambria"/>
          <w:noProof/>
          <w:sz w:val="24"/>
        </w:rPr>
        <w:tab/>
        <w:t xml:space="preserve">Roberts, S. B., Savage, J., Coward, W. A., Chew, B., and Lucas, A. (1988). Energy expenditure and intake in infants born to lean and overweight mothers. N. Engl. J. Med. </w:t>
      </w:r>
      <w:r w:rsidRPr="00DF19F5">
        <w:rPr>
          <w:rFonts w:ascii="Cambria" w:hAnsi="Cambria"/>
          <w:i/>
          <w:iCs/>
          <w:noProof/>
          <w:sz w:val="24"/>
        </w:rPr>
        <w:t>318</w:t>
      </w:r>
      <w:r w:rsidRPr="00DF19F5">
        <w:rPr>
          <w:rFonts w:ascii="Cambria" w:hAnsi="Cambria"/>
          <w:noProof/>
          <w:sz w:val="24"/>
        </w:rPr>
        <w:t>, 461–6.</w:t>
      </w:r>
    </w:p>
    <w:p w14:paraId="6E691FD6" w14:textId="77777777" w:rsidR="00DF19F5" w:rsidRPr="00DF19F5" w:rsidRDefault="00DF19F5">
      <w:pPr>
        <w:pStyle w:val="NormalWeb"/>
        <w:ind w:left="640" w:hanging="640"/>
        <w:divId w:val="1001733676"/>
        <w:rPr>
          <w:rFonts w:ascii="Cambria" w:hAnsi="Cambria"/>
          <w:noProof/>
          <w:sz w:val="24"/>
        </w:rPr>
      </w:pPr>
      <w:r w:rsidRPr="00DF19F5">
        <w:rPr>
          <w:rFonts w:ascii="Cambria" w:hAnsi="Cambria"/>
          <w:noProof/>
          <w:sz w:val="24"/>
        </w:rPr>
        <w:t>12.</w:t>
      </w:r>
      <w:r w:rsidRPr="00DF19F5">
        <w:rPr>
          <w:rFonts w:ascii="Cambria" w:hAnsi="Cambria"/>
          <w:noProof/>
          <w:sz w:val="24"/>
        </w:rPr>
        <w:tab/>
        <w:t xml:space="preserve">Steppan, C. M., Bailey, S. T., Bhat, S., Brown, E. J., Banerjee, R. R., Wright, C. M., Patel, H. R., Ahima, R. S., and Lazar, M. a (2001). The hormone resistin links obesity to diabetes. Nature </w:t>
      </w:r>
      <w:r w:rsidRPr="00DF19F5">
        <w:rPr>
          <w:rFonts w:ascii="Cambria" w:hAnsi="Cambria"/>
          <w:i/>
          <w:iCs/>
          <w:noProof/>
          <w:sz w:val="24"/>
        </w:rPr>
        <w:t>409</w:t>
      </w:r>
      <w:r w:rsidRPr="00DF19F5">
        <w:rPr>
          <w:rFonts w:ascii="Cambria" w:hAnsi="Cambria"/>
          <w:noProof/>
          <w:sz w:val="24"/>
        </w:rPr>
        <w:t>, 307–12.</w:t>
      </w:r>
    </w:p>
    <w:p w14:paraId="51F74116" w14:textId="77777777" w:rsidR="00DF19F5" w:rsidRPr="00DF19F5" w:rsidRDefault="00DF19F5">
      <w:pPr>
        <w:pStyle w:val="NormalWeb"/>
        <w:ind w:left="640" w:hanging="640"/>
        <w:divId w:val="1001733676"/>
        <w:rPr>
          <w:rFonts w:ascii="Cambria" w:hAnsi="Cambria"/>
          <w:noProof/>
          <w:sz w:val="24"/>
        </w:rPr>
      </w:pPr>
      <w:r w:rsidRPr="00DF19F5">
        <w:rPr>
          <w:rFonts w:ascii="Cambria" w:hAnsi="Cambria"/>
          <w:noProof/>
          <w:sz w:val="24"/>
        </w:rPr>
        <w:t>13.</w:t>
      </w:r>
      <w:r w:rsidRPr="00DF19F5">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DF19F5">
        <w:rPr>
          <w:rFonts w:ascii="Cambria" w:hAnsi="Cambria"/>
          <w:i/>
          <w:iCs/>
          <w:noProof/>
          <w:sz w:val="24"/>
        </w:rPr>
        <w:t>1</w:t>
      </w:r>
      <w:r w:rsidRPr="00DF19F5">
        <w:rPr>
          <w:rFonts w:ascii="Cambria" w:hAnsi="Cambria"/>
          <w:noProof/>
          <w:sz w:val="24"/>
        </w:rPr>
        <w:t>, 1311–4.</w:t>
      </w:r>
    </w:p>
    <w:p w14:paraId="1588DC03" w14:textId="77777777" w:rsidR="00DF19F5" w:rsidRPr="00DF19F5" w:rsidRDefault="00DF19F5">
      <w:pPr>
        <w:pStyle w:val="NormalWeb"/>
        <w:ind w:left="640" w:hanging="640"/>
        <w:divId w:val="1001733676"/>
        <w:rPr>
          <w:rFonts w:ascii="Cambria" w:hAnsi="Cambria"/>
          <w:noProof/>
          <w:sz w:val="24"/>
        </w:rPr>
      </w:pPr>
      <w:r w:rsidRPr="00DF19F5">
        <w:rPr>
          <w:rFonts w:ascii="Cambria" w:hAnsi="Cambria"/>
          <w:noProof/>
          <w:sz w:val="24"/>
        </w:rPr>
        <w:t>14.</w:t>
      </w:r>
      <w:r w:rsidRPr="00DF19F5">
        <w:rPr>
          <w:rFonts w:ascii="Cambria" w:hAnsi="Cambria"/>
          <w:noProof/>
          <w:sz w:val="24"/>
        </w:rPr>
        <w:tab/>
        <w:t xml:space="preserve">Desjardins-Proulx, P., White, E. P., Adamson, J. J., Ram, K., Poisot, T., and Gravel, D. (2013). The case for open preprints in biology. PLoS Biol. </w:t>
      </w:r>
      <w:r w:rsidRPr="00DF19F5">
        <w:rPr>
          <w:rFonts w:ascii="Cambria" w:hAnsi="Cambria"/>
          <w:i/>
          <w:iCs/>
          <w:noProof/>
          <w:sz w:val="24"/>
        </w:rPr>
        <w:t>11</w:t>
      </w:r>
      <w:r w:rsidRPr="00DF19F5">
        <w:rPr>
          <w:rFonts w:ascii="Cambria" w:hAnsi="Cambria"/>
          <w:noProof/>
          <w:sz w:val="24"/>
        </w:rPr>
        <w:t>, e1001563.</w:t>
      </w:r>
    </w:p>
    <w:p w14:paraId="3E6D0B99" w14:textId="77777777" w:rsidR="00DF19F5" w:rsidRPr="00DF19F5" w:rsidRDefault="00DF19F5">
      <w:pPr>
        <w:pStyle w:val="NormalWeb"/>
        <w:ind w:left="640" w:hanging="640"/>
        <w:divId w:val="1001733676"/>
        <w:rPr>
          <w:rFonts w:ascii="Cambria" w:hAnsi="Cambria"/>
          <w:noProof/>
          <w:sz w:val="24"/>
        </w:rPr>
      </w:pPr>
      <w:r w:rsidRPr="00DF19F5">
        <w:rPr>
          <w:rFonts w:ascii="Cambria" w:hAnsi="Cambria"/>
          <w:noProof/>
          <w:sz w:val="24"/>
        </w:rPr>
        <w:t>15.</w:t>
      </w:r>
      <w:r w:rsidRPr="00DF19F5">
        <w:rPr>
          <w:rFonts w:ascii="Cambria" w:hAnsi="Cambria"/>
          <w:noProof/>
          <w:sz w:val="24"/>
        </w:rPr>
        <w:tab/>
        <w:t xml:space="preserve">Kuntz, S. G., and Eisen, M. B. (2014). Drosophila embryogenesis scales uniformly across temperature in developmentally diverse species. PLoS Genet. </w:t>
      </w:r>
      <w:r w:rsidRPr="00DF19F5">
        <w:rPr>
          <w:rFonts w:ascii="Cambria" w:hAnsi="Cambria"/>
          <w:i/>
          <w:iCs/>
          <w:noProof/>
          <w:sz w:val="24"/>
        </w:rPr>
        <w:t>10</w:t>
      </w:r>
      <w:r w:rsidRPr="00DF19F5">
        <w:rPr>
          <w:rFonts w:ascii="Cambria" w:hAnsi="Cambria"/>
          <w:noProof/>
          <w:sz w:val="24"/>
        </w:rPr>
        <w:t>, e1004293.</w:t>
      </w:r>
    </w:p>
    <w:p w14:paraId="7862C25F" w14:textId="77777777" w:rsidR="00DF19F5" w:rsidRPr="00DF19F5" w:rsidRDefault="00DF19F5">
      <w:pPr>
        <w:pStyle w:val="NormalWeb"/>
        <w:ind w:left="640" w:hanging="640"/>
        <w:divId w:val="1001733676"/>
        <w:rPr>
          <w:rFonts w:ascii="Cambria" w:hAnsi="Cambria"/>
          <w:noProof/>
          <w:sz w:val="24"/>
        </w:rPr>
      </w:pPr>
      <w:r w:rsidRPr="00DF19F5">
        <w:rPr>
          <w:rFonts w:ascii="Cambria" w:hAnsi="Cambria"/>
          <w:noProof/>
          <w:sz w:val="24"/>
        </w:rPr>
        <w:t>16.</w:t>
      </w:r>
      <w:r w:rsidRPr="00DF19F5">
        <w:rPr>
          <w:rFonts w:ascii="Cambria" w:hAnsi="Cambria"/>
          <w:noProof/>
          <w:sz w:val="24"/>
        </w:rPr>
        <w:tab/>
        <w:t xml:space="preserve">Bloom, J. S., Ehrenreich, I. M., Loo, W. T., Lite, T.-L. V., and Kruglyak, L. (2013). Finding the sources of missing heritability in a yeast cross. Nature </w:t>
      </w:r>
      <w:r w:rsidRPr="00DF19F5">
        <w:rPr>
          <w:rFonts w:ascii="Cambria" w:hAnsi="Cambria"/>
          <w:i/>
          <w:iCs/>
          <w:noProof/>
          <w:sz w:val="24"/>
        </w:rPr>
        <w:t>494</w:t>
      </w:r>
      <w:r w:rsidRPr="00DF19F5">
        <w:rPr>
          <w:rFonts w:ascii="Cambria" w:hAnsi="Cambria"/>
          <w:noProof/>
          <w:sz w:val="24"/>
        </w:rPr>
        <w:t xml:space="preserve">, 234–7. </w:t>
      </w:r>
    </w:p>
    <w:p w14:paraId="725C333A" w14:textId="29B0D6B5" w:rsidR="00594BC2" w:rsidRPr="007B01D8" w:rsidRDefault="00594BC2" w:rsidP="00DF19F5">
      <w:pPr>
        <w:pStyle w:val="NormalWeb"/>
        <w:ind w:left="640" w:hanging="640"/>
        <w:divId w:val="962272852"/>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984E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23A25"/>
    <w:rsid w:val="000867BA"/>
    <w:rsid w:val="000973AD"/>
    <w:rsid w:val="000C4AA9"/>
    <w:rsid w:val="0012536A"/>
    <w:rsid w:val="001502D6"/>
    <w:rsid w:val="001701BF"/>
    <w:rsid w:val="00197D79"/>
    <w:rsid w:val="002149EC"/>
    <w:rsid w:val="00224DF8"/>
    <w:rsid w:val="00257D04"/>
    <w:rsid w:val="002E751F"/>
    <w:rsid w:val="003049AB"/>
    <w:rsid w:val="00346627"/>
    <w:rsid w:val="00380CA4"/>
    <w:rsid w:val="003A5DDA"/>
    <w:rsid w:val="003A791C"/>
    <w:rsid w:val="0045263D"/>
    <w:rsid w:val="00480F77"/>
    <w:rsid w:val="004810A3"/>
    <w:rsid w:val="004B4ED6"/>
    <w:rsid w:val="004C309B"/>
    <w:rsid w:val="004C4E28"/>
    <w:rsid w:val="004D2EC5"/>
    <w:rsid w:val="004E2286"/>
    <w:rsid w:val="00501B5F"/>
    <w:rsid w:val="00552AC8"/>
    <w:rsid w:val="005741FE"/>
    <w:rsid w:val="00594BC2"/>
    <w:rsid w:val="005A7923"/>
    <w:rsid w:val="00617CC1"/>
    <w:rsid w:val="00617FF3"/>
    <w:rsid w:val="0065339D"/>
    <w:rsid w:val="00686E64"/>
    <w:rsid w:val="00687B7A"/>
    <w:rsid w:val="00695369"/>
    <w:rsid w:val="006A270D"/>
    <w:rsid w:val="006A661A"/>
    <w:rsid w:val="006C56B0"/>
    <w:rsid w:val="006F4BDF"/>
    <w:rsid w:val="00701DE8"/>
    <w:rsid w:val="00734333"/>
    <w:rsid w:val="0074124A"/>
    <w:rsid w:val="007520EE"/>
    <w:rsid w:val="00774DDD"/>
    <w:rsid w:val="007840C4"/>
    <w:rsid w:val="007B01D8"/>
    <w:rsid w:val="007E0977"/>
    <w:rsid w:val="007E171E"/>
    <w:rsid w:val="007E2A90"/>
    <w:rsid w:val="00807942"/>
    <w:rsid w:val="0082040F"/>
    <w:rsid w:val="0090305D"/>
    <w:rsid w:val="009109D7"/>
    <w:rsid w:val="00942102"/>
    <w:rsid w:val="00983FBA"/>
    <w:rsid w:val="009E609F"/>
    <w:rsid w:val="00A01EEE"/>
    <w:rsid w:val="00A34EF3"/>
    <w:rsid w:val="00A86DD4"/>
    <w:rsid w:val="00A91CAE"/>
    <w:rsid w:val="00A94DF2"/>
    <w:rsid w:val="00AA4F71"/>
    <w:rsid w:val="00AA5EFD"/>
    <w:rsid w:val="00AA62A6"/>
    <w:rsid w:val="00AB1AFF"/>
    <w:rsid w:val="00AD279E"/>
    <w:rsid w:val="00AE1279"/>
    <w:rsid w:val="00AF4DB9"/>
    <w:rsid w:val="00B3527E"/>
    <w:rsid w:val="00B50A5D"/>
    <w:rsid w:val="00B775C2"/>
    <w:rsid w:val="00B843A9"/>
    <w:rsid w:val="00B879CE"/>
    <w:rsid w:val="00B910B2"/>
    <w:rsid w:val="00BD4565"/>
    <w:rsid w:val="00C04A86"/>
    <w:rsid w:val="00C0523D"/>
    <w:rsid w:val="00C3790F"/>
    <w:rsid w:val="00C414FC"/>
    <w:rsid w:val="00C452F0"/>
    <w:rsid w:val="00C5168C"/>
    <w:rsid w:val="00C73CB5"/>
    <w:rsid w:val="00C821B5"/>
    <w:rsid w:val="00C8232A"/>
    <w:rsid w:val="00CB7625"/>
    <w:rsid w:val="00CD680E"/>
    <w:rsid w:val="00D034C3"/>
    <w:rsid w:val="00D26FE4"/>
    <w:rsid w:val="00D51751"/>
    <w:rsid w:val="00D538A4"/>
    <w:rsid w:val="00D60D3E"/>
    <w:rsid w:val="00D851E3"/>
    <w:rsid w:val="00D966C7"/>
    <w:rsid w:val="00DC038A"/>
    <w:rsid w:val="00DF19F5"/>
    <w:rsid w:val="00E10E45"/>
    <w:rsid w:val="00E1186E"/>
    <w:rsid w:val="00E270C1"/>
    <w:rsid w:val="00E31140"/>
    <w:rsid w:val="00E429CB"/>
    <w:rsid w:val="00EA33F9"/>
    <w:rsid w:val="00EB52D2"/>
    <w:rsid w:val="00EC716A"/>
    <w:rsid w:val="00ED7494"/>
    <w:rsid w:val="00EF5C51"/>
    <w:rsid w:val="00F17272"/>
    <w:rsid w:val="00F2593F"/>
    <w:rsid w:val="00F75FBF"/>
    <w:rsid w:val="00F87980"/>
    <w:rsid w:val="00F93C51"/>
    <w:rsid w:val="00FC2429"/>
    <w:rsid w:val="00FD214A"/>
    <w:rsid w:val="00FF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sChild>
                        <w:div w:id="962272852">
                          <w:marLeft w:val="0"/>
                          <w:marRight w:val="0"/>
                          <w:marTop w:val="0"/>
                          <w:marBottom w:val="0"/>
                          <w:divBdr>
                            <w:top w:val="none" w:sz="0" w:space="0" w:color="auto"/>
                            <w:left w:val="none" w:sz="0" w:space="0" w:color="auto"/>
                            <w:bottom w:val="none" w:sz="0" w:space="0" w:color="auto"/>
                            <w:right w:val="none" w:sz="0" w:space="0" w:color="auto"/>
                          </w:divBdr>
                          <w:divsChild>
                            <w:div w:id="10017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erpa.ac.uk/romeo/issn/2090-070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biorxiv.org/content/early/2014/04/23/004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12</Pages>
  <Words>10777</Words>
  <Characters>61431</Characters>
  <Application>Microsoft Macintosh Word</Application>
  <DocSecurity>0</DocSecurity>
  <Lines>511</Lines>
  <Paragraphs>144</Paragraphs>
  <ScaleCrop>false</ScaleCrop>
  <Company>UT-HSC</Company>
  <LinksUpToDate>false</LinksUpToDate>
  <CharactersWithSpaces>72064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61</cp:revision>
  <dcterms:created xsi:type="dcterms:W3CDTF">2014-05-23T11:57:00Z</dcterms:created>
  <dcterms:modified xsi:type="dcterms:W3CDTF">2014-06-17T18:41:00Z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