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16E00" w14:textId="6FCC40A2" w:rsidR="001502D6" w:rsidRPr="001502D6" w:rsidRDefault="001502D6" w:rsidP="001502D6">
      <w:pPr>
        <w:rPr>
          <w:b/>
        </w:rPr>
      </w:pPr>
      <w:r>
        <w:rPr>
          <w:b/>
        </w:rPr>
        <w:t>We thank the reviewers for their insightful and carefully</w:t>
      </w:r>
      <w:r w:rsidR="00D034C3">
        <w:rPr>
          <w:b/>
        </w:rPr>
        <w:t xml:space="preserve"> considered comments.   C</w:t>
      </w:r>
      <w:r>
        <w:rPr>
          <w:b/>
        </w:rPr>
        <w:t>onsidering and addressing these issues makes this a much clearer</w:t>
      </w:r>
      <w:r w:rsidR="00D034C3">
        <w:rPr>
          <w:b/>
        </w:rPr>
        <w:t xml:space="preserve"> and more coherent manuscript.</w:t>
      </w:r>
      <w:r>
        <w:rPr>
          <w:b/>
        </w:rPr>
        <w:t xml:space="preserve"> We have substantially revised the manuscript based on these suggestions, by providing extra data and</w:t>
      </w:r>
      <w:r w:rsidR="00D034C3">
        <w:rPr>
          <w:b/>
        </w:rPr>
        <w:t>/or</w:t>
      </w:r>
      <w:r>
        <w:rPr>
          <w:b/>
        </w:rPr>
        <w:t xml:space="preserve"> more refined </w:t>
      </w:r>
      <w:r w:rsidR="00D034C3">
        <w:rPr>
          <w:b/>
        </w:rPr>
        <w:t>details in the manuscript</w:t>
      </w:r>
      <w:r>
        <w:rPr>
          <w:b/>
        </w:rPr>
        <w:t xml:space="preserve"> for each of these comments.  A point-by point response to each of these comments is presented below.</w:t>
      </w:r>
      <w:r w:rsidR="00E429CB">
        <w:rPr>
          <w:b/>
        </w:rPr>
        <w:t xml:space="preserve">  Our comments are in bold, and direct quotes from the manuscript are shown in bold and red.</w:t>
      </w:r>
    </w:p>
    <w:p w14:paraId="44D4C80E" w14:textId="77777777" w:rsidR="00FC2429" w:rsidRDefault="00FC2429" w:rsidP="00FC2429">
      <w:pPr>
        <w:pStyle w:val="Heading2"/>
      </w:pPr>
      <w:r>
        <w:t>Reviewer 1</w:t>
      </w:r>
    </w:p>
    <w:p w14:paraId="320BA9E9" w14:textId="77777777" w:rsidR="00FC2429" w:rsidRDefault="00FC2429" w:rsidP="00FC2429"/>
    <w:p w14:paraId="04822DE9" w14:textId="77777777" w:rsidR="00FC2429"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w:t>
      </w:r>
      <w:proofErr w:type="spellStart"/>
      <w:r>
        <w:t>leptin</w:t>
      </w:r>
      <w:proofErr w:type="spellEnd"/>
      <w:r>
        <w:t xml:space="preserve"> deficit models, that was unrelated to animal dominance. Weight gain was inversely related to pre-diet weight loss in response to a 16hour fast, please rationale why this was tested as a predictive factor in the introduction. Weight gain was not related to the measured appetite and </w:t>
      </w:r>
      <w:proofErr w:type="spellStart"/>
      <w:r>
        <w:t>glucoregulatory</w:t>
      </w:r>
      <w:proofErr w:type="spellEnd"/>
      <w:r>
        <w:t xml:space="preserve">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 xml:space="preserve">Table 1 - the percentages given as fat, CHO and protein do not add up to 100% (67% for chow, 89 and 91% for CD and HFD so this leads me to believe that it is by weight with </w:t>
      </w:r>
      <w:proofErr w:type="spellStart"/>
      <w:r>
        <w:t>fibre</w:t>
      </w:r>
      <w:proofErr w:type="spellEnd"/>
      <w:r>
        <w:t xml:space="preserv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 xml:space="preserve">We checked with the vendors and we have updated Table 1 accordingly.  The percentages are given as % of calories, but </w:t>
      </w:r>
      <w:proofErr w:type="spellStart"/>
      <w:r>
        <w:rPr>
          <w:b/>
        </w:rPr>
        <w:t>maltodextran</w:t>
      </w:r>
      <w:proofErr w:type="spellEnd"/>
      <w:r>
        <w:rPr>
          <w:b/>
        </w:rPr>
        <w:t xml:space="preserve">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 xml:space="preserve">in the </w:t>
      </w:r>
      <w:proofErr w:type="spellStart"/>
      <w:r w:rsidR="00AA5EFD">
        <w:rPr>
          <w:b/>
        </w:rPr>
        <w:t>Teklad</w:t>
      </w:r>
      <w:proofErr w:type="spellEnd"/>
      <w:r w:rsidR="00AA5EFD">
        <w:rPr>
          <w:b/>
        </w:rPr>
        <w:t xml:space="preserve">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t xml:space="preserve">Note that there are seasonal variations in the composition of the </w:t>
      </w:r>
      <w:proofErr w:type="spellStart"/>
      <w:r w:rsidRPr="00A94DF2">
        <w:rPr>
          <w:b/>
          <w:color w:val="FF0000"/>
        </w:rPr>
        <w:t>Teklad</w:t>
      </w:r>
      <w:proofErr w:type="spellEnd"/>
      <w:r w:rsidRPr="00A94DF2">
        <w:rPr>
          <w:b/>
          <w:color w:val="FF0000"/>
        </w:rPr>
        <w:t xml:space="preserve"> diet, and therefore these numbers are reasonable estimates on a </w:t>
      </w:r>
      <w:proofErr w:type="gramStart"/>
      <w:r w:rsidRPr="00A94DF2">
        <w:rPr>
          <w:b/>
          <w:color w:val="FF0000"/>
        </w:rPr>
        <w:t>batch to batch</w:t>
      </w:r>
      <w:proofErr w:type="gramEnd"/>
      <w:r w:rsidRPr="00A94DF2">
        <w:rPr>
          <w:b/>
          <w:color w:val="FF0000"/>
        </w:rPr>
        <w:t xml:space="preserve">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652DC68A" w:rsidR="00686E64" w:rsidRDefault="00AE1279" w:rsidP="00686E64">
      <w:pPr>
        <w:rPr>
          <w:b/>
        </w:rPr>
      </w:pPr>
      <w:r>
        <w:rPr>
          <w:b/>
        </w:rPr>
        <w:t xml:space="preserve">This </w:t>
      </w:r>
      <w:r w:rsidR="00686E64">
        <w:rPr>
          <w:b/>
        </w:rPr>
        <w:t>statement was removed</w:t>
      </w:r>
      <w:r w:rsidR="00EC716A">
        <w:rPr>
          <w:b/>
        </w:rPr>
        <w:t>, as the reviewer makes and excellent point regarding our interrogation of energy expenditure without supporting data.</w:t>
      </w:r>
    </w:p>
    <w:p w14:paraId="2F1574C7" w14:textId="77777777" w:rsidR="00EC716A" w:rsidRDefault="00EC716A" w:rsidP="00686E64">
      <w:pPr>
        <w:rPr>
          <w:b/>
        </w:rPr>
      </w:pPr>
    </w:p>
    <w:p w14:paraId="41DAB3B4" w14:textId="226C4E22" w:rsidR="00FC2429" w:rsidRDefault="00FC2429" w:rsidP="00686E64">
      <w:pPr>
        <w:pStyle w:val="ListParagraph"/>
        <w:numPr>
          <w:ilvl w:val="0"/>
          <w:numId w:val="2"/>
        </w:numPr>
      </w:pPr>
      <w:r>
        <w:t xml:space="preserve">Why was a 16h fast chosen? This should be </w:t>
      </w:r>
      <w:proofErr w:type="gramStart"/>
      <w:r>
        <w:t>discussed,</w:t>
      </w:r>
      <w:proofErr w:type="gramEnd"/>
      <w:r>
        <w:t xml:space="preserve"> this is prolonged and likely induces some stress, could stress susceptibility be a factor related to weight gain? Can cortisol be assessed?</w:t>
      </w:r>
    </w:p>
    <w:p w14:paraId="1992ECE2" w14:textId="77777777" w:rsidR="00686E64" w:rsidRDefault="00686E64" w:rsidP="00686E64"/>
    <w:p w14:paraId="7A10629D" w14:textId="58BD627F"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C414FC">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00257D04">
        <w:rPr>
          <w:b/>
        </w:rPr>
        <w:fldChar w:fldCharType="separate"/>
      </w:r>
      <w:r w:rsidR="00257D04" w:rsidRPr="00257D04">
        <w:rPr>
          <w:noProof/>
        </w:rPr>
        <w:t>[1, 2]</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C414FC">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"title" : "Metabolic Crosstalk: molecular links between glycogen and lipid metabolism in obesity.", "type" : "article-journal" }, "uris" : [ "http://www.mendeley.com/documents/?uuid=1b1d29d6-e86b-41c9-a961-1c1de5fa3126" ] } ], "mendeley" : { "previouslyFormattedCitation" : "[3]" }, "properties" : { "noteIndex" : 0 }, "schema" : "https://github.com/citation-style-language/schema/raw/master/csl-citation.json" }</w:instrText>
      </w:r>
      <w:r>
        <w:rPr>
          <w:b/>
        </w:rPr>
        <w:fldChar w:fldCharType="separate"/>
      </w:r>
      <w:r w:rsidR="00257D04" w:rsidRPr="00257D04">
        <w:rPr>
          <w:noProof/>
        </w:rPr>
        <w:t>[3]</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proofErr w:type="gramStart"/>
      <w:r w:rsidR="00257D04">
        <w:rPr>
          <w:b/>
        </w:rPr>
        <w:t xml:space="preserve">issue </w:t>
      </w:r>
      <w:r w:rsidR="00E31140">
        <w:rPr>
          <w:b/>
        </w:rPr>
        <w:t xml:space="preserve"> </w:t>
      </w:r>
      <w:r w:rsidR="00257D04">
        <w:rPr>
          <w:b/>
        </w:rPr>
        <w:t>in</w:t>
      </w:r>
      <w:proofErr w:type="gramEnd"/>
      <w:r w:rsidR="00257D04">
        <w:rPr>
          <w:b/>
        </w:rPr>
        <w:t xml:space="preserve">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2A07BD3" w14:textId="38FEB173" w:rsidR="00594BC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sidR="00C414FC">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Pr="00A94DF2">
        <w:rPr>
          <w:b/>
          <w:color w:val="FF0000"/>
        </w:rPr>
        <w:fldChar w:fldCharType="separate"/>
      </w:r>
      <w:r w:rsidRPr="00A94DF2">
        <w:rPr>
          <w:noProof/>
          <w:color w:val="FF0000"/>
        </w:rPr>
        <w:t>[1, 2]</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5BA78D70" w14:textId="77777777" w:rsidR="00594BC2" w:rsidRDefault="00594BC2" w:rsidP="00A94DF2">
      <w:pPr>
        <w:ind w:left="360"/>
        <w:rPr>
          <w:b/>
          <w:color w:val="FF0000"/>
        </w:rPr>
      </w:pPr>
    </w:p>
    <w:p w14:paraId="0A1FD62B" w14:textId="40ADA781" w:rsidR="00A94DF2" w:rsidRPr="00594BC2" w:rsidRDefault="00594BC2" w:rsidP="00594BC2">
      <w:pPr>
        <w:rPr>
          <w:b/>
        </w:rPr>
      </w:pPr>
      <w:r w:rsidRPr="00594BC2">
        <w:rPr>
          <w:b/>
        </w:rPr>
        <w:t>We also mentioned in the results section that hormones were altered during fasting in manner consistent with other reports:</w:t>
      </w:r>
    </w:p>
    <w:p w14:paraId="1E6FC38D" w14:textId="77777777" w:rsidR="00594BC2" w:rsidRDefault="00594BC2" w:rsidP="00A94DF2">
      <w:pPr>
        <w:ind w:left="360"/>
        <w:rPr>
          <w:color w:val="FF0000"/>
        </w:rPr>
      </w:pPr>
    </w:p>
    <w:p w14:paraId="60FFD953" w14:textId="7F0723E0" w:rsidR="00594BC2" w:rsidRPr="00594BC2" w:rsidRDefault="00594BC2" w:rsidP="00A94DF2">
      <w:pPr>
        <w:ind w:left="360"/>
        <w:rPr>
          <w:b/>
          <w:color w:val="FF0000"/>
        </w:rPr>
      </w:pPr>
      <w:proofErr w:type="spellStart"/>
      <w:r w:rsidRPr="00594BC2">
        <w:rPr>
          <w:b/>
          <w:color w:val="FF0000"/>
        </w:rPr>
        <w:t>Futhermore</w:t>
      </w:r>
      <w:proofErr w:type="spellEnd"/>
      <w:r w:rsidRPr="00594BC2">
        <w:rPr>
          <w:b/>
          <w:color w:val="FF0000"/>
        </w:rPr>
        <w:t>, the fasting/</w:t>
      </w:r>
      <w:proofErr w:type="spellStart"/>
      <w:r w:rsidRPr="00594BC2">
        <w:rPr>
          <w:b/>
          <w:color w:val="FF0000"/>
        </w:rPr>
        <w:t>refeeding</w:t>
      </w:r>
      <w:proofErr w:type="spellEnd"/>
      <w:r w:rsidRPr="00594BC2">
        <w:rPr>
          <w:b/>
          <w:color w:val="FF0000"/>
        </w:rPr>
        <w:t xml:space="preserve"> responses (decreases in total ghrelin, glucagon, GLP-1 and increases with insulin) are consistent with previous data, supportive of a normal fasting response </w:t>
      </w:r>
      <w:r w:rsidRPr="00594BC2">
        <w:rPr>
          <w:b/>
          <w:color w:val="FF0000"/>
        </w:rPr>
        <w:fldChar w:fldCharType="begin" w:fldLock="1"/>
      </w:r>
      <w:r w:rsidR="00C414FC">
        <w:rPr>
          <w:b/>
          <w:color w:val="FF0000"/>
        </w:rPr>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"[4\u20137]" }, "properties" : { "noteIndex" : 0 }, "schema" : "https://github.com/citation-style-language/schema/raw/master/csl-citation.json" }</w:instrText>
      </w:r>
      <w:r w:rsidRPr="00594BC2">
        <w:rPr>
          <w:b/>
          <w:color w:val="FF0000"/>
        </w:rPr>
        <w:fldChar w:fldCharType="separate"/>
      </w:r>
      <w:r w:rsidRPr="00594BC2">
        <w:rPr>
          <w:noProof/>
          <w:color w:val="FF0000"/>
        </w:rPr>
        <w:t>[4–7]</w:t>
      </w:r>
      <w:r w:rsidRPr="00594BC2">
        <w:rPr>
          <w:b/>
          <w:color w:val="FF0000"/>
        </w:rPr>
        <w:fldChar w:fldCharType="end"/>
      </w:r>
      <w:r w:rsidRPr="00594BC2">
        <w:rPr>
          <w:b/>
          <w:color w:val="FF0000"/>
        </w:rPr>
        <w:t xml:space="preserve">.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 xml:space="preserve">Do the investigators consider that fasting levels of gut related peptides and one </w:t>
      </w:r>
      <w:proofErr w:type="spellStart"/>
      <w:r>
        <w:t>refed</w:t>
      </w:r>
      <w:proofErr w:type="spellEnd"/>
      <w:r>
        <w:t xml:space="preserve"> </w:t>
      </w:r>
      <w:proofErr w:type="spellStart"/>
      <w:r>
        <w:t>timpoint</w:t>
      </w:r>
      <w:proofErr w:type="spellEnd"/>
      <w:r>
        <w:t xml:space="preserve">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proofErr w:type="spellStart"/>
      <w:r w:rsidRPr="007E171E">
        <w:rPr>
          <w:b/>
        </w:rPr>
        <w:t>Refeeding</w:t>
      </w:r>
      <w:proofErr w:type="spellEnd"/>
      <w:r w:rsidRPr="007E171E">
        <w:rPr>
          <w:b/>
        </w:rPr>
        <w:t xml:space="preserve">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30980874" w14:textId="466DCC73" w:rsidR="000C4AA9" w:rsidRPr="000C4AA9" w:rsidRDefault="007E171E" w:rsidP="0065339D">
      <w:pPr>
        <w:rPr>
          <w:b/>
          <w:color w:val="FF0000"/>
        </w:rPr>
      </w:pPr>
      <w:r>
        <w:rPr>
          <w:b/>
        </w:rPr>
        <w:t>The reviewer brings up an excellent point regarding the timing of ap</w:t>
      </w:r>
      <w:r w:rsidR="000C4AA9">
        <w:rPr>
          <w:b/>
        </w:rPr>
        <w:t>p</w:t>
      </w:r>
      <w:r>
        <w:rPr>
          <w:b/>
        </w:rPr>
        <w:t>etite related factors.  Although we observe</w:t>
      </w:r>
      <w:r w:rsidR="000C4AA9">
        <w:rPr>
          <w:b/>
        </w:rPr>
        <w:t xml:space="preserve">d significant elevations in fasting </w:t>
      </w:r>
      <w:proofErr w:type="spellStart"/>
      <w:r w:rsidR="000C4AA9">
        <w:rPr>
          <w:b/>
        </w:rPr>
        <w:t>ghrein</w:t>
      </w:r>
      <w:proofErr w:type="spellEnd"/>
      <w:r w:rsidR="000C4AA9">
        <w:rPr>
          <w:b/>
        </w:rPr>
        <w:t xml:space="preserve"> and </w:t>
      </w:r>
      <w:r>
        <w:rPr>
          <w:b/>
        </w:rPr>
        <w:t>glucagon</w:t>
      </w:r>
      <w:r w:rsidR="000C4AA9">
        <w:rPr>
          <w:b/>
        </w:rPr>
        <w:t xml:space="preserve">, and a modest elevation of GLP-1 between fasted and </w:t>
      </w:r>
      <w:proofErr w:type="spellStart"/>
      <w:r w:rsidR="000C4AA9">
        <w:rPr>
          <w:b/>
        </w:rPr>
        <w:t>refed</w:t>
      </w:r>
      <w:proofErr w:type="spellEnd"/>
      <w:r w:rsidR="000C4AA9">
        <w:rPr>
          <w:b/>
        </w:rPr>
        <w:t xml:space="preserve"> groups (see Supplementary Figure 2A), a thorough examination of the kinetics of these changes was not performed, and is beyond the scope of this study.  These markers do however provide a context to the extent of fasting and re-feedin</w:t>
      </w:r>
      <w:r w:rsidR="0090305D">
        <w:rPr>
          <w:b/>
        </w:rPr>
        <w:t>g responses observed in Figure 2 (formerly Figure 3)</w:t>
      </w:r>
      <w:r w:rsidR="000C4AA9">
        <w:rPr>
          <w:b/>
        </w:rPr>
        <w:t>.  This is mentioned in the results section</w:t>
      </w:r>
      <w:r w:rsidR="0065339D">
        <w:rPr>
          <w:b/>
        </w:rPr>
        <w:t xml:space="preserve"> as described above in comment #4 from this reviewer.</w:t>
      </w:r>
    </w:p>
    <w:p w14:paraId="7A3BD44C" w14:textId="77777777" w:rsidR="000C4AA9" w:rsidRPr="007E171E" w:rsidRDefault="000C4AA9" w:rsidP="007E171E">
      <w:pPr>
        <w:rPr>
          <w:b/>
        </w:rPr>
      </w:pPr>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7C868DC0" w:rsidR="005A7923" w:rsidRDefault="00734333" w:rsidP="00FC2429">
      <w:pPr>
        <w:pStyle w:val="ListParagraph"/>
        <w:numPr>
          <w:ilvl w:val="0"/>
          <w:numId w:val="2"/>
        </w:numPr>
      </w:pPr>
      <w:r>
        <w:rPr>
          <w:b/>
          <w:noProof/>
        </w:rPr>
        <mc:AlternateContent>
          <mc:Choice Requires="wps">
            <w:drawing>
              <wp:anchor distT="0" distB="0" distL="114300" distR="114300" simplePos="0" relativeHeight="251661312" behindDoc="0" locked="0" layoutInCell="1" allowOverlap="1" wp14:anchorId="18D918DC" wp14:editId="543EDEAB">
                <wp:simplePos x="0" y="0"/>
                <wp:positionH relativeFrom="column">
                  <wp:posOffset>2057400</wp:posOffset>
                </wp:positionH>
                <wp:positionV relativeFrom="paragraph">
                  <wp:posOffset>291465</wp:posOffset>
                </wp:positionV>
                <wp:extent cx="3657600" cy="5257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657600" cy="5257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9C735" w14:textId="1CEDAEF4" w:rsidR="007E2A90" w:rsidRDefault="007E2A90">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7E2A90" w:rsidRDefault="007E2A90"/>
                          <w:p w14:paraId="4CE42E02" w14:textId="5211A0FC" w:rsidR="007E2A90" w:rsidRDefault="007E2A90">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162pt;margin-top:22.95pt;width:4in;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" filled="f" stroked="f">
                <v:textbox>
                  <w:txbxContent>
                    <w:p w14:paraId="0959C735" w14:textId="1CEDAEF4" w:rsidR="007E2A90" w:rsidRDefault="007E2A90">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7E2A90" w:rsidRDefault="007E2A90"/>
                    <w:p w14:paraId="4CE42E02" w14:textId="5211A0FC" w:rsidR="007E2A90" w:rsidRDefault="007E2A90">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v:textbox>
                <w10:wrap type="square"/>
              </v:shape>
            </w:pict>
          </mc:Fallback>
        </mc:AlternateContent>
      </w:r>
      <w:r w:rsidR="00FC2429">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5959272"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r w:rsidR="00501B5F">
        <w:rPr>
          <w:b/>
        </w:rPr>
        <w:t xml:space="preserve"> </w:t>
      </w:r>
    </w:p>
    <w:p w14:paraId="21179FED" w14:textId="55D58CC7" w:rsidR="005A7923" w:rsidRPr="005A7923" w:rsidRDefault="005A7923" w:rsidP="005A7923">
      <w:pPr>
        <w:pStyle w:val="ListParagraph"/>
        <w:ind w:left="360"/>
        <w:rPr>
          <w:b/>
        </w:rPr>
      </w:pPr>
    </w:p>
    <w:p w14:paraId="45F43BFA" w14:textId="77777777" w:rsidR="00E270C1" w:rsidRDefault="00FC2429" w:rsidP="00E270C1">
      <w:pPr>
        <w:pStyle w:val="ListParagraph"/>
        <w:numPr>
          <w:ilvl w:val="0"/>
          <w:numId w:val="2"/>
        </w:numPr>
      </w:pPr>
      <w:r>
        <w:t xml:space="preserve">Since HFD animals gained more at one location than the other, I do not think it is appropriate to combine these. Do the results hold when HFD groups are separated into cohorts by location? Could this be reason for variability in weight gain on HFD? </w:t>
      </w:r>
      <w:r w:rsidR="00E270C1">
        <w:t>I am not sure what is meant by “minimal variation across cohorts”? From the figure to me it looks as if there is considerable variation across the HFD cohorts, but within the same cohort is smaller variation?</w:t>
      </w:r>
    </w:p>
    <w:p w14:paraId="4C2D1B8F" w14:textId="25DD77C4" w:rsidR="000867BA" w:rsidRDefault="000867BA" w:rsidP="00E270C1">
      <w:pPr>
        <w:pStyle w:val="ListParagraph"/>
        <w:ind w:left="360"/>
      </w:pPr>
    </w:p>
    <w:p w14:paraId="4F7C29CD" w14:textId="77777777" w:rsidR="000867BA" w:rsidRDefault="000867BA" w:rsidP="000867BA">
      <w:pPr>
        <w:pStyle w:val="ListParagraph"/>
        <w:ind w:left="0"/>
      </w:pPr>
    </w:p>
    <w:p w14:paraId="1F0E9F0F" w14:textId="755FB4B7" w:rsidR="000867BA" w:rsidRDefault="00346627" w:rsidP="000867BA">
      <w:pPr>
        <w:pStyle w:val="ListParagraph"/>
        <w:ind w:left="0"/>
        <w:rPr>
          <w:b/>
        </w:rPr>
      </w:pPr>
      <w:r>
        <w:rPr>
          <w:b/>
        </w:rPr>
        <w:t xml:space="preserve">We examined these cohorts separately, according to this very insightful suggestion.  The reviewer is correct in noting that there may be differential variability between facilities.  For reasons we do not quite understand, the increased variation in HFD animals was only present at one location, not the other.  These separated data are presented </w:t>
      </w:r>
      <w:r w:rsidR="00E270C1">
        <w:rPr>
          <w:b/>
        </w:rPr>
        <w:t xml:space="preserve">in Figure 1 of this response.  </w:t>
      </w:r>
      <w:r w:rsidR="004D2EC5">
        <w:rPr>
          <w:b/>
        </w:rPr>
        <w:t xml:space="preserve">  </w:t>
      </w:r>
    </w:p>
    <w:p w14:paraId="4F3F8F03" w14:textId="5615F7F7" w:rsidR="00E270C1" w:rsidRDefault="00E270C1" w:rsidP="000867BA">
      <w:pPr>
        <w:pStyle w:val="ListParagraph"/>
        <w:ind w:left="0"/>
        <w:rPr>
          <w:b/>
        </w:rPr>
      </w:pPr>
    </w:p>
    <w:p w14:paraId="3EF83CEF" w14:textId="631A8907" w:rsidR="00E270C1" w:rsidRDefault="00E270C1" w:rsidP="000867BA">
      <w:pPr>
        <w:pStyle w:val="ListParagraph"/>
        <w:ind w:left="0"/>
        <w:rPr>
          <w:b/>
        </w:rPr>
      </w:pPr>
      <w:r>
        <w:rPr>
          <w:b/>
        </w:rPr>
        <w:t xml:space="preserve">This re-analysis has our interpretation of the altered variance.  It is possible that one of these facilities is an outlier, and that there either is or is not increase variance in HFD-fed animals, but without repeating this at several other animal facilities we can not make any conclusive statements.  </w:t>
      </w:r>
      <w:r w:rsidR="004D2EC5">
        <w:rPr>
          <w:b/>
        </w:rPr>
        <w:t xml:space="preserve">We informally discussed this with several colleagues who have also done high fat diet treatment, and found that while there is some location-to-location variance, the enhanced variance present in cohorts 1 and 2 was especially high at the University of Michigan facility.  As </w:t>
      </w:r>
      <w:r>
        <w:rPr>
          <w:b/>
        </w:rPr>
        <w:t>such we have removed</w:t>
      </w:r>
      <w:r w:rsidR="0090305D">
        <w:rPr>
          <w:b/>
        </w:rPr>
        <w:t xml:space="preserve"> what was</w:t>
      </w:r>
      <w:r>
        <w:rPr>
          <w:b/>
        </w:rPr>
        <w:t xml:space="preserve"> Figure 1 from this paper, and any reference to the increase variation with high fat diet as we are not confident in these effects.  We profusely thank the reviewer for his</w:t>
      </w:r>
      <w:r w:rsidR="00501B5F">
        <w:rPr>
          <w:b/>
        </w:rPr>
        <w:t xml:space="preserve"> keen eye</w:t>
      </w:r>
      <w:r>
        <w:rPr>
          <w:b/>
        </w:rPr>
        <w:t>.</w:t>
      </w:r>
    </w:p>
    <w:p w14:paraId="366E31E0" w14:textId="77777777" w:rsidR="003A5DDA" w:rsidRDefault="003A5DDA" w:rsidP="000867BA">
      <w:pPr>
        <w:pStyle w:val="ListParagraph"/>
        <w:ind w:left="0"/>
        <w:rPr>
          <w:b/>
        </w:rPr>
      </w:pPr>
    </w:p>
    <w:p w14:paraId="3C7C3152" w14:textId="45ABC984" w:rsidR="003A5DDA" w:rsidRDefault="003A5DDA" w:rsidP="000867BA">
      <w:pPr>
        <w:pStyle w:val="ListParagraph"/>
        <w:ind w:left="0"/>
        <w:rPr>
          <w:b/>
        </w:rPr>
      </w:pPr>
      <w:r>
        <w:rPr>
          <w:b/>
        </w:rPr>
        <w:t>Notably, there is quite strong consistency between cohorts 3 and 4</w:t>
      </w:r>
      <w:r w:rsidR="004D2EC5">
        <w:rPr>
          <w:b/>
        </w:rPr>
        <w:t xml:space="preserve">.  In any case, to be careful, we re-examined all other figures in which multiple cohorts were combined.  </w:t>
      </w:r>
      <w:r w:rsidR="00AB1AFF">
        <w:rPr>
          <w:b/>
        </w:rPr>
        <w:t>As stated in the methods section:</w:t>
      </w:r>
    </w:p>
    <w:p w14:paraId="34C59D9F" w14:textId="6A5EAC8F" w:rsidR="00AB1AFF" w:rsidRDefault="002E751F" w:rsidP="000867BA">
      <w:pPr>
        <w:pStyle w:val="ListParagraph"/>
        <w:ind w:left="0"/>
        <w:rPr>
          <w:b/>
        </w:rPr>
      </w:pPr>
      <w:r>
        <w:rPr>
          <w:b/>
          <w:noProof/>
        </w:rPr>
        <mc:AlternateContent>
          <mc:Choice Requires="wps">
            <w:drawing>
              <wp:anchor distT="0" distB="0" distL="114300" distR="114300" simplePos="0" relativeHeight="251663360" behindDoc="0" locked="0" layoutInCell="1" allowOverlap="1" wp14:anchorId="7E7268DC" wp14:editId="4D0EE176">
                <wp:simplePos x="0" y="0"/>
                <wp:positionH relativeFrom="column">
                  <wp:posOffset>0</wp:posOffset>
                </wp:positionH>
                <wp:positionV relativeFrom="paragraph">
                  <wp:posOffset>133985</wp:posOffset>
                </wp:positionV>
                <wp:extent cx="2743200" cy="4114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43200" cy="411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FC9703" w14:textId="72991E61" w:rsidR="007E2A90" w:rsidRDefault="007E2A90" w:rsidP="007E2A90"/>
                          <w:p w14:paraId="5E3A429A" w14:textId="10E3A268" w:rsidR="007E2A90" w:rsidRDefault="004E2286" w:rsidP="007E2A90">
                            <w:r>
                              <w:rPr>
                                <w:noProof/>
                              </w:rPr>
                              <w:drawing>
                                <wp:inline distT="0" distB="0" distL="0" distR="0" wp14:anchorId="31FC77E6" wp14:editId="27C43D87">
                                  <wp:extent cx="2448114" cy="2522883"/>
                                  <wp:effectExtent l="0" t="0" r="0" b="0"/>
                                  <wp:docPr id="9" name="Picture 9" descr="Macintosh HD:Users:davebridges:Documents:Source:PredictorsDietInducedObesity:publications:reviews:response figures:gain-plot-pct-coh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publications:reviews:response figures:gain-plot-pct-cohor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8114" cy="2522883"/>
                                          </a:xfrm>
                                          <a:prstGeom prst="rect">
                                            <a:avLst/>
                                          </a:prstGeom>
                                          <a:noFill/>
                                          <a:ln>
                                            <a:noFill/>
                                          </a:ln>
                                        </pic:spPr>
                                      </pic:pic>
                                    </a:graphicData>
                                  </a:graphic>
                                </wp:inline>
                              </w:drawing>
                            </w:r>
                          </w:p>
                          <w:p w14:paraId="7C19F92A" w14:textId="579A352D" w:rsidR="007E2A90" w:rsidRPr="004E2286" w:rsidRDefault="002E751F" w:rsidP="007E2A90">
                            <w:r>
                              <w:rPr>
                                <w:b/>
                              </w:rPr>
                              <w:t>Figure 2</w:t>
                            </w:r>
                            <w:r w:rsidR="007E2A90" w:rsidRPr="00E270C1">
                              <w:rPr>
                                <w:b/>
                              </w:rPr>
                              <w:t xml:space="preserve">: Cohort </w:t>
                            </w:r>
                            <w:r w:rsidR="004E2286">
                              <w:rPr>
                                <w:b/>
                              </w:rPr>
                              <w:t>separated effects of pre-diet fasting response to weight gain during HFD.</w:t>
                            </w:r>
                            <w:r w:rsidR="004E2286">
                              <w:t xml:space="preserve">  In both cohorts, </w:t>
                            </w:r>
                            <w:proofErr w:type="gramStart"/>
                            <w:r w:rsidR="004E2286">
                              <w:t xml:space="preserve">the </w:t>
                            </w:r>
                            <w:proofErr w:type="spellStart"/>
                            <w:r w:rsidR="004E2286">
                              <w:t>the</w:t>
                            </w:r>
                            <w:proofErr w:type="spellEnd"/>
                            <w:proofErr w:type="gramEnd"/>
                            <w:r w:rsidR="004E2286">
                              <w:t xml:space="preserve"> relationship between pre-diet fasting response and weight gain by HFD was   p&lt;0.003 with a Rho</w:t>
                            </w:r>
                            <w:r w:rsidR="004E2286">
                              <w:rPr>
                                <w:vertAlign w:val="superscript"/>
                              </w:rPr>
                              <w:t>2</w:t>
                            </w:r>
                            <w:r w:rsidR="004E2286">
                              <w:t xml:space="preserve"> of &gt;0.33.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0;margin-top:10.55pt;width:3in;height:3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" filled="f" stroked="f">
                <v:textbox>
                  <w:txbxContent>
                    <w:p w14:paraId="7DFC9703" w14:textId="72991E61" w:rsidR="007E2A90" w:rsidRDefault="007E2A90" w:rsidP="007E2A90"/>
                    <w:p w14:paraId="5E3A429A" w14:textId="10E3A268" w:rsidR="007E2A90" w:rsidRDefault="004E2286" w:rsidP="007E2A90">
                      <w:r>
                        <w:rPr>
                          <w:noProof/>
                        </w:rPr>
                        <w:drawing>
                          <wp:inline distT="0" distB="0" distL="0" distR="0" wp14:anchorId="31FC77E6" wp14:editId="27C43D87">
                            <wp:extent cx="2448114" cy="2522883"/>
                            <wp:effectExtent l="0" t="0" r="0" b="0"/>
                            <wp:docPr id="9" name="Picture 9" descr="Macintosh HD:Users:davebridges:Documents:Source:PredictorsDietInducedObesity:publications:reviews:response figures:gain-plot-pct-coh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publications:reviews:response figures:gain-plot-pct-cohor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8114" cy="2522883"/>
                                    </a:xfrm>
                                    <a:prstGeom prst="rect">
                                      <a:avLst/>
                                    </a:prstGeom>
                                    <a:noFill/>
                                    <a:ln>
                                      <a:noFill/>
                                    </a:ln>
                                  </pic:spPr>
                                </pic:pic>
                              </a:graphicData>
                            </a:graphic>
                          </wp:inline>
                        </w:drawing>
                      </w:r>
                    </w:p>
                    <w:p w14:paraId="7C19F92A" w14:textId="579A352D" w:rsidR="007E2A90" w:rsidRPr="004E2286" w:rsidRDefault="002E751F" w:rsidP="007E2A90">
                      <w:r>
                        <w:rPr>
                          <w:b/>
                        </w:rPr>
                        <w:t>Figure 2</w:t>
                      </w:r>
                      <w:r w:rsidR="007E2A90" w:rsidRPr="00E270C1">
                        <w:rPr>
                          <w:b/>
                        </w:rPr>
                        <w:t xml:space="preserve">: Cohort </w:t>
                      </w:r>
                      <w:r w:rsidR="004E2286">
                        <w:rPr>
                          <w:b/>
                        </w:rPr>
                        <w:t>separated effects of pre-diet fasting response to weight gain during HFD.</w:t>
                      </w:r>
                      <w:r w:rsidR="004E2286">
                        <w:t xml:space="preserve">  In both cohorts, </w:t>
                      </w:r>
                      <w:proofErr w:type="gramStart"/>
                      <w:r w:rsidR="004E2286">
                        <w:t xml:space="preserve">the </w:t>
                      </w:r>
                      <w:proofErr w:type="spellStart"/>
                      <w:r w:rsidR="004E2286">
                        <w:t>the</w:t>
                      </w:r>
                      <w:proofErr w:type="spellEnd"/>
                      <w:proofErr w:type="gramEnd"/>
                      <w:r w:rsidR="004E2286">
                        <w:t xml:space="preserve"> relationship between pre-diet fasting response and weight gain by HFD was   p&lt;0.003 with a Rho</w:t>
                      </w:r>
                      <w:r w:rsidR="004E2286">
                        <w:rPr>
                          <w:vertAlign w:val="superscript"/>
                        </w:rPr>
                        <w:t>2</w:t>
                      </w:r>
                      <w:r w:rsidR="004E2286">
                        <w:t xml:space="preserve"> of &gt;0.33.</w:t>
                      </w:r>
                    </w:p>
                  </w:txbxContent>
                </v:textbox>
                <w10:wrap type="square"/>
              </v:shape>
            </w:pict>
          </mc:Fallback>
        </mc:AlternateContent>
      </w:r>
    </w:p>
    <w:p w14:paraId="5CB52BF7" w14:textId="0A4CA713" w:rsidR="00AB1AFF" w:rsidRPr="00AB1AFF" w:rsidRDefault="00AB1AFF" w:rsidP="00AB1AFF">
      <w:pPr>
        <w:pStyle w:val="ListParagraph"/>
        <w:ind w:left="360"/>
        <w:rPr>
          <w:b/>
          <w:color w:val="FF0000"/>
        </w:rPr>
      </w:pPr>
      <w:r w:rsidRPr="00AB1AFF">
        <w:rPr>
          <w:b/>
          <w:color w:val="FF0000"/>
        </w:rPr>
        <w:t xml:space="preserve">When a difference or correlation was observed to be significant (or not to be significant) over multiple combined cohorts of mice we also examined each of these cohorts separately.  If the combined trend agreed with </w:t>
      </w:r>
      <w:r w:rsidR="00B843A9">
        <w:rPr>
          <w:b/>
          <w:color w:val="FF0000"/>
        </w:rPr>
        <w:t>all</w:t>
      </w:r>
      <w:r w:rsidR="00A01EEE">
        <w:rPr>
          <w:b/>
          <w:color w:val="FF0000"/>
        </w:rPr>
        <w:t xml:space="preserve"> </w:t>
      </w:r>
      <w:r w:rsidRPr="00AB1AFF">
        <w:rPr>
          <w:b/>
          <w:color w:val="FF0000"/>
        </w:rPr>
        <w:t>of these cohorts</w:t>
      </w:r>
      <w:r w:rsidR="00B843A9">
        <w:rPr>
          <w:b/>
          <w:color w:val="FF0000"/>
        </w:rPr>
        <w:t xml:space="preserve"> independently</w:t>
      </w:r>
      <w:r w:rsidRPr="00AB1AFF">
        <w:rPr>
          <w:b/>
          <w:color w:val="FF0000"/>
        </w:rPr>
        <w:t xml:space="preserve">, we used the combined groups with its increased statistical power.  If there was not agreement in </w:t>
      </w:r>
      <w:r w:rsidR="00B843A9">
        <w:rPr>
          <w:b/>
          <w:color w:val="FF0000"/>
        </w:rPr>
        <w:t>all</w:t>
      </w:r>
      <w:r w:rsidRPr="00AB1AFF">
        <w:rPr>
          <w:b/>
          <w:color w:val="FF0000"/>
        </w:rPr>
        <w:t xml:space="preserve"> cohorts we do not report this effect as significant, even if the combined analysis suggested it was.</w:t>
      </w:r>
    </w:p>
    <w:p w14:paraId="3F6899F3" w14:textId="253D7DBA" w:rsidR="00380CA4" w:rsidRDefault="00380CA4" w:rsidP="000867BA">
      <w:pPr>
        <w:pStyle w:val="ListParagraph"/>
        <w:ind w:left="0"/>
        <w:rPr>
          <w:b/>
        </w:rPr>
      </w:pPr>
    </w:p>
    <w:p w14:paraId="07B8DEBA" w14:textId="3DB77D34" w:rsidR="00AD279E" w:rsidRPr="00346627" w:rsidRDefault="00AD279E" w:rsidP="000867BA">
      <w:pPr>
        <w:pStyle w:val="ListParagraph"/>
        <w:ind w:left="0"/>
        <w:rPr>
          <w:b/>
        </w:rPr>
      </w:pPr>
      <w:r>
        <w:rPr>
          <w:b/>
        </w:rPr>
        <w:t xml:space="preserve">Importantly, the key finding of this paper in which pre-diet fasting responses correlated with eventual weight gain was highly </w:t>
      </w:r>
      <w:proofErr w:type="spellStart"/>
      <w:r w:rsidR="007E2A90">
        <w:rPr>
          <w:b/>
        </w:rPr>
        <w:t>siginificant</w:t>
      </w:r>
      <w:proofErr w:type="spellEnd"/>
      <w:r w:rsidR="007E2A90">
        <w:rPr>
          <w:b/>
        </w:rPr>
        <w:t xml:space="preserve"> in both cohorts tested.  These data, separated by cohort are shown in Figure 2 of this response.</w:t>
      </w:r>
    </w:p>
    <w:p w14:paraId="695C9009" w14:textId="44834C8F" w:rsidR="000867BA" w:rsidRDefault="000867BA" w:rsidP="000867BA">
      <w:pPr>
        <w:pStyle w:val="ListParagraph"/>
        <w:ind w:left="360"/>
      </w:pPr>
    </w:p>
    <w:p w14:paraId="0656629C" w14:textId="6328CB44"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F728391" w14:textId="77777777" w:rsidR="00552AC8" w:rsidRDefault="00552AC8" w:rsidP="00552AC8">
      <w:pPr>
        <w:pStyle w:val="ListParagraph"/>
        <w:ind w:left="360"/>
      </w:pPr>
    </w:p>
    <w:p w14:paraId="1DA4E287" w14:textId="5B550A6E" w:rsidR="00552AC8" w:rsidRDefault="00552AC8" w:rsidP="00480F77">
      <w:pPr>
        <w:pStyle w:val="ListParagraph"/>
        <w:tabs>
          <w:tab w:val="left" w:pos="0"/>
          <w:tab w:val="left" w:pos="90"/>
          <w:tab w:val="left" w:pos="450"/>
        </w:tabs>
        <w:ind w:left="0"/>
        <w:rPr>
          <w:b/>
        </w:rPr>
      </w:pPr>
      <w:r>
        <w:rPr>
          <w:b/>
        </w:rPr>
        <w:t>Furthermore,</w:t>
      </w:r>
      <w:r w:rsidR="0090305D">
        <w:rPr>
          <w:b/>
        </w:rPr>
        <w:t xml:space="preserve"> we checked the data in Figure 1</w:t>
      </w:r>
      <w:r>
        <w:rPr>
          <w:b/>
        </w:rPr>
        <w:t>C</w:t>
      </w:r>
      <w:r w:rsidR="0090305D">
        <w:rPr>
          <w:b/>
        </w:rPr>
        <w:t xml:space="preserve"> (formerly 2C)</w:t>
      </w:r>
      <w:r w:rsidR="00480F77">
        <w:rPr>
          <w:b/>
        </w:rPr>
        <w:t>, and determined that there is no significant correlation between any of these hormones on either percent or absolute weight gain.  This is noted in the results section as well:</w:t>
      </w:r>
    </w:p>
    <w:p w14:paraId="1104A3BF" w14:textId="56CD35F2" w:rsidR="00480F77" w:rsidRDefault="00480F77" w:rsidP="00552AC8">
      <w:pPr>
        <w:pStyle w:val="ListParagraph"/>
        <w:ind w:left="360"/>
        <w:rPr>
          <w:b/>
        </w:rPr>
      </w:pPr>
    </w:p>
    <w:p w14:paraId="00A57CFB" w14:textId="299264AA"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w:t>
      </w:r>
      <w:r w:rsidR="0090305D">
        <w:rPr>
          <w:b/>
          <w:color w:val="FF0000"/>
        </w:rPr>
        <w:t>th HFD and CD fed mice (Figure 1</w:t>
      </w:r>
      <w:r w:rsidRPr="00480F77">
        <w:rPr>
          <w:b/>
          <w:color w:val="FF0000"/>
        </w:rPr>
        <w:t>C and Table 2).</w:t>
      </w:r>
    </w:p>
    <w:p w14:paraId="60857A9D" w14:textId="77777777" w:rsidR="00480F77" w:rsidRDefault="00480F77" w:rsidP="00552AC8">
      <w:pPr>
        <w:pStyle w:val="ListParagraph"/>
        <w:ind w:left="360"/>
        <w:rPr>
          <w:b/>
          <w:color w:val="FF0000"/>
        </w:rPr>
      </w:pPr>
    </w:p>
    <w:p w14:paraId="7BBDCE85" w14:textId="1B5FAFD4" w:rsidR="00480F77" w:rsidRDefault="00480F77" w:rsidP="00480F77">
      <w:pPr>
        <w:rPr>
          <w:b/>
        </w:rPr>
      </w:pPr>
      <w:r w:rsidRPr="00480F77">
        <w:rPr>
          <w:b/>
        </w:rPr>
        <w:t>Since absolute weight gain data are not included in the revised manusc</w:t>
      </w:r>
      <w:r w:rsidR="00F17272">
        <w:rPr>
          <w:b/>
        </w:rPr>
        <w:t>rip</w:t>
      </w:r>
      <w:r w:rsidR="007E2A90">
        <w:rPr>
          <w:b/>
        </w:rPr>
        <w:t>t they are presented in Figure 3</w:t>
      </w:r>
      <w:r w:rsidR="00F17272">
        <w:rPr>
          <w:b/>
        </w:rPr>
        <w:t xml:space="preserve"> of this response.  </w:t>
      </w:r>
    </w:p>
    <w:p w14:paraId="27591E32" w14:textId="77777777" w:rsidR="00F17272" w:rsidRDefault="00F17272" w:rsidP="00480F77">
      <w:pPr>
        <w:rPr>
          <w:b/>
        </w:rPr>
      </w:pPr>
    </w:p>
    <w:p w14:paraId="03EDF419" w14:textId="4EDD0A64" w:rsidR="00F17272" w:rsidRDefault="002E751F" w:rsidP="00480F77">
      <w:pPr>
        <w:rPr>
          <w:b/>
        </w:rPr>
      </w:pPr>
      <w:r>
        <w:rPr>
          <w:b/>
          <w:noProof/>
        </w:rPr>
        <mc:AlternateContent>
          <mc:Choice Requires="wps">
            <w:drawing>
              <wp:anchor distT="0" distB="0" distL="114300" distR="114300" simplePos="0" relativeHeight="251659264" behindDoc="0" locked="0" layoutInCell="1" allowOverlap="1" wp14:anchorId="55B19FDE" wp14:editId="10E46B95">
                <wp:simplePos x="0" y="0"/>
                <wp:positionH relativeFrom="column">
                  <wp:posOffset>1943100</wp:posOffset>
                </wp:positionH>
                <wp:positionV relativeFrom="paragraph">
                  <wp:posOffset>69850</wp:posOffset>
                </wp:positionV>
                <wp:extent cx="3429000" cy="4229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429000" cy="4229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7E2A90" w:rsidRDefault="007E2A90">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71C202D" w:rsidR="007E2A90" w:rsidRPr="00480F77" w:rsidRDefault="007E2A90">
                            <w:r>
                              <w:rPr>
                                <w:b/>
                              </w:rPr>
                              <w:t>Figure 3: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53pt;margin-top:5.5pt;width:270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" filled="f" stroked="f">
                <v:textbox>
                  <w:txbxContent>
                    <w:p w14:paraId="1AA79A2F" w14:textId="6E925054" w:rsidR="007E2A90" w:rsidRDefault="007E2A90">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71C202D" w:rsidR="007E2A90" w:rsidRPr="00480F77" w:rsidRDefault="007E2A90">
                      <w:r>
                        <w:rPr>
                          <w:b/>
                        </w:rPr>
                        <w:t>Figure 3: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v:textbox>
                <w10:wrap type="square"/>
              </v:shape>
            </w:pict>
          </mc:Fallback>
        </mc:AlternateContent>
      </w:r>
      <w:r w:rsidR="00F17272">
        <w:rPr>
          <w:b/>
        </w:rPr>
        <w:t>Finally, as noted below in comment #12, we examined weight gain and fasting response in grams rather than in percent fo</w:t>
      </w:r>
      <w:r w:rsidR="0090305D">
        <w:rPr>
          <w:b/>
        </w:rPr>
        <w:t>r the data presented in Figure 3</w:t>
      </w:r>
      <w:r w:rsidR="007E2A90">
        <w:rPr>
          <w:b/>
        </w:rPr>
        <w:t xml:space="preserve"> </w:t>
      </w:r>
      <w:r w:rsidR="0090305D">
        <w:rPr>
          <w:b/>
        </w:rPr>
        <w:t xml:space="preserve"> (formerly Figure 4)</w:t>
      </w:r>
      <w:r w:rsidR="00F17272">
        <w:rPr>
          <w:b/>
        </w:rPr>
        <w:t>.</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CF9D0F" w14:textId="186AA8DE" w:rsidR="001701BF" w:rsidRDefault="00FC2429" w:rsidP="001701BF">
      <w:pPr>
        <w:pStyle w:val="ListParagraph"/>
        <w:numPr>
          <w:ilvl w:val="0"/>
          <w:numId w:val="2"/>
        </w:numPr>
      </w:pPr>
      <w:r>
        <w:t xml:space="preserve">Why were there 3 fasting weight loss periods reported in Figure 3A? This was only done twice 12 weeks apart? </w:t>
      </w:r>
    </w:p>
    <w:p w14:paraId="4A5B7559" w14:textId="77777777" w:rsidR="00EF5C51" w:rsidRDefault="00EF5C51" w:rsidP="00EF5C51">
      <w:pPr>
        <w:pStyle w:val="ListParagraph"/>
        <w:ind w:left="360"/>
      </w:pPr>
    </w:p>
    <w:p w14:paraId="13DA14D6" w14:textId="6BBE5FE7" w:rsidR="001701BF" w:rsidRPr="00EF5C51" w:rsidRDefault="006F4BDF" w:rsidP="001701BF">
      <w:pPr>
        <w:rPr>
          <w:b/>
        </w:rPr>
      </w:pPr>
      <w:r>
        <w:rPr>
          <w:b/>
        </w:rPr>
        <w:t>In addition to the 10-week and 22-</w:t>
      </w:r>
      <w:r w:rsidR="007520EE">
        <w:rPr>
          <w:b/>
        </w:rPr>
        <w:t>week weights (which were part of the pre-diet and post-diet measurements), w</w:t>
      </w:r>
      <w:r w:rsidR="001701BF" w:rsidRPr="00EF5C51">
        <w:rPr>
          <w:b/>
        </w:rPr>
        <w:t xml:space="preserve">e also included an extra cohort, of only wild-type normal chow C57BL/6J that were untreated and left on a chow diet for an extended period of time.  These mice make up the </w:t>
      </w:r>
      <w:r w:rsidR="00EF5C51" w:rsidRPr="00EF5C51">
        <w:rPr>
          <w:b/>
        </w:rPr>
        <w:t xml:space="preserve">~215 </w:t>
      </w:r>
      <w:r w:rsidR="0090305D">
        <w:rPr>
          <w:b/>
        </w:rPr>
        <w:t>day old cohort shown in Figure 2</w:t>
      </w:r>
      <w:r w:rsidR="00EF5C51" w:rsidRPr="00EF5C51">
        <w:rPr>
          <w:b/>
        </w:rPr>
        <w:t>A</w:t>
      </w:r>
      <w:r w:rsidR="0090305D">
        <w:rPr>
          <w:b/>
        </w:rPr>
        <w:t xml:space="preserve"> (formerly 3A)</w:t>
      </w:r>
      <w:r w:rsidR="007520EE">
        <w:rPr>
          <w:b/>
        </w:rPr>
        <w:t xml:space="preserve">.  </w:t>
      </w:r>
      <w:r w:rsidR="00EF5C51" w:rsidRPr="00EF5C51">
        <w:rPr>
          <w:b/>
        </w:rPr>
        <w:t xml:space="preserve">No other studies were performed on this cohort, and they were not used in any other analyses since they had no age matched HFD/CD cohort.  </w:t>
      </w:r>
      <w:r w:rsidR="00EF5C51">
        <w:rPr>
          <w:b/>
        </w:rPr>
        <w:t xml:space="preserve">We include this to demonstrate over a longer range of ages that fasting responses are quite stable at a population level.  </w:t>
      </w:r>
      <w:r w:rsidR="00EF5C51" w:rsidRPr="00EF5C51">
        <w:rPr>
          <w:b/>
        </w:rPr>
        <w:t>We indicated this in the</w:t>
      </w:r>
      <w:r w:rsidR="00EF5C51">
        <w:rPr>
          <w:b/>
        </w:rPr>
        <w:t xml:space="preserve"> results section where we clarify that these are NCD fed mice and in the</w:t>
      </w:r>
      <w:r w:rsidR="00EF5C51" w:rsidRPr="00EF5C51">
        <w:rPr>
          <w:b/>
        </w:rPr>
        <w:t xml:space="preserve"> methods section:</w:t>
      </w:r>
    </w:p>
    <w:p w14:paraId="39080B93" w14:textId="77777777" w:rsidR="00EF5C51" w:rsidRDefault="00EF5C51" w:rsidP="001701BF"/>
    <w:p w14:paraId="73ED5F0A" w14:textId="39D2D9A5" w:rsidR="00EF5C51" w:rsidRDefault="00EF5C51" w:rsidP="00EF5C51">
      <w:pPr>
        <w:ind w:left="360"/>
        <w:rPr>
          <w:b/>
          <w:color w:val="FF0000"/>
        </w:rPr>
      </w:pPr>
      <w:r w:rsidRPr="00EF5C51">
        <w:rPr>
          <w:b/>
          <w:color w:val="FF0000"/>
        </w:rPr>
        <w:t>For the ~215 day old mouse cohort s</w:t>
      </w:r>
      <w:r w:rsidR="0090305D">
        <w:rPr>
          <w:b/>
          <w:color w:val="FF0000"/>
        </w:rPr>
        <w:t>hown in Figure 2</w:t>
      </w:r>
      <w:r w:rsidRPr="00EF5C51">
        <w:rPr>
          <w:b/>
          <w:color w:val="FF0000"/>
        </w:rPr>
        <w:t>A, these mice were maintained on NCD for a longer duration than other cohorts, before fasting responses were measured.</w:t>
      </w:r>
    </w:p>
    <w:p w14:paraId="31B1A6AF" w14:textId="789F569E" w:rsidR="00EF5C51" w:rsidRDefault="00EF5C51" w:rsidP="00EF5C51">
      <w:pPr>
        <w:ind w:left="360"/>
        <w:rPr>
          <w:b/>
          <w:color w:val="FF0000"/>
        </w:rPr>
      </w:pPr>
    </w:p>
    <w:p w14:paraId="47783BBA" w14:textId="7D47E570" w:rsidR="00EF5C51" w:rsidRDefault="00EF5C51" w:rsidP="00EF5C51">
      <w:pPr>
        <w:pStyle w:val="ListParagraph"/>
        <w:numPr>
          <w:ilvl w:val="0"/>
          <w:numId w:val="2"/>
        </w:numPr>
      </w:pPr>
      <w:proofErr w:type="gramStart"/>
      <w:r>
        <w:t>There were also 2 outliers</w:t>
      </w:r>
      <w:proofErr w:type="gramEnd"/>
      <w:r>
        <w:t xml:space="preserve">, </w:t>
      </w:r>
      <w:proofErr w:type="gramStart"/>
      <w:r>
        <w:t>did results include these individuals</w:t>
      </w:r>
      <w:proofErr w:type="gramEnd"/>
      <w:r>
        <w:t xml:space="preserve">? </w:t>
      </w:r>
    </w:p>
    <w:p w14:paraId="1253792F" w14:textId="40E234AC" w:rsidR="00EF5C51" w:rsidRDefault="00EF5C51" w:rsidP="00EF5C51">
      <w:pPr>
        <w:pStyle w:val="ListParagraph"/>
        <w:ind w:left="360"/>
      </w:pPr>
    </w:p>
    <w:p w14:paraId="66B75B49" w14:textId="410B720B" w:rsidR="00EF5C51" w:rsidRDefault="002E751F" w:rsidP="006A661A">
      <w:pPr>
        <w:pStyle w:val="ListParagraph"/>
        <w:ind w:left="0"/>
        <w:rPr>
          <w:b/>
        </w:rPr>
      </w:pPr>
      <w:r>
        <w:rPr>
          <w:b/>
          <w:noProof/>
        </w:rPr>
        <mc:AlternateContent>
          <mc:Choice Requires="wps">
            <w:drawing>
              <wp:anchor distT="0" distB="0" distL="114300" distR="114300" simplePos="0" relativeHeight="251660288" behindDoc="0" locked="0" layoutInCell="1" allowOverlap="1" wp14:anchorId="1E149CD2" wp14:editId="4BDA0146">
                <wp:simplePos x="0" y="0"/>
                <wp:positionH relativeFrom="column">
                  <wp:posOffset>2400300</wp:posOffset>
                </wp:positionH>
                <wp:positionV relativeFrom="paragraph">
                  <wp:posOffset>1091565</wp:posOffset>
                </wp:positionV>
                <wp:extent cx="2971800" cy="46863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971800" cy="4686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9F2FE" w14:textId="67C3BA8D" w:rsidR="007E2A90" w:rsidRDefault="007E2A90">
                            <w:pPr>
                              <w:rPr>
                                <w:b/>
                              </w:rPr>
                            </w:pPr>
                          </w:p>
                          <w:p w14:paraId="7416059F" w14:textId="07B6C203" w:rsidR="007E2A90" w:rsidRDefault="007E2A90">
                            <w:pPr>
                              <w:rPr>
                                <w:b/>
                              </w:rPr>
                            </w:pPr>
                            <w:r>
                              <w:rPr>
                                <w:b/>
                                <w:noProof/>
                              </w:rPr>
                              <w:drawing>
                                <wp:inline distT="0" distB="0" distL="0" distR="0" wp14:anchorId="093D9914" wp14:editId="0E27C650">
                                  <wp:extent cx="2769704" cy="2769704"/>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0246" cy="2770246"/>
                                          </a:xfrm>
                                          <a:prstGeom prst="rect">
                                            <a:avLst/>
                                          </a:prstGeom>
                                          <a:noFill/>
                                          <a:ln>
                                            <a:noFill/>
                                          </a:ln>
                                        </pic:spPr>
                                      </pic:pic>
                                    </a:graphicData>
                                  </a:graphic>
                                </wp:inline>
                              </w:drawing>
                            </w:r>
                          </w:p>
                          <w:p w14:paraId="7170F434" w14:textId="66CE2801" w:rsidR="007E2A90" w:rsidRPr="00B50A5D" w:rsidRDefault="002E751F">
                            <w:pPr>
                              <w:rPr>
                                <w:b/>
                              </w:rPr>
                            </w:pPr>
                            <w:r>
                              <w:rPr>
                                <w:b/>
                              </w:rPr>
                              <w:t>Figure 4</w:t>
                            </w:r>
                            <w:r w:rsidR="007E2A90">
                              <w:rPr>
                                <w:b/>
                              </w:rPr>
                              <w:t>: Full set of comparisons between relative/absolute fasting response and relative/absolute weight gain.</w:t>
                            </w:r>
                            <w:r w:rsidR="007E2A90">
                              <w:t xml:space="preserve">  These data compare the correlation between the pre-diet fasting response and the eventual weight gain during the dietary treatment.  See Table 1 of t his response for correlation coefficients and p-values.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margin-left:189pt;margin-top:85.95pt;width:234pt;height:3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" filled="f" stroked="f">
                <v:textbox>
                  <w:txbxContent>
                    <w:p w14:paraId="1359F2FE" w14:textId="67C3BA8D" w:rsidR="007E2A90" w:rsidRDefault="007E2A90">
                      <w:pPr>
                        <w:rPr>
                          <w:b/>
                        </w:rPr>
                      </w:pPr>
                    </w:p>
                    <w:p w14:paraId="7416059F" w14:textId="07B6C203" w:rsidR="007E2A90" w:rsidRDefault="007E2A90">
                      <w:pPr>
                        <w:rPr>
                          <w:b/>
                        </w:rPr>
                      </w:pPr>
                      <w:r>
                        <w:rPr>
                          <w:b/>
                          <w:noProof/>
                        </w:rPr>
                        <w:drawing>
                          <wp:inline distT="0" distB="0" distL="0" distR="0" wp14:anchorId="093D9914" wp14:editId="0E27C650">
                            <wp:extent cx="2769704" cy="2769704"/>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0246" cy="2770246"/>
                                    </a:xfrm>
                                    <a:prstGeom prst="rect">
                                      <a:avLst/>
                                    </a:prstGeom>
                                    <a:noFill/>
                                    <a:ln>
                                      <a:noFill/>
                                    </a:ln>
                                  </pic:spPr>
                                </pic:pic>
                              </a:graphicData>
                            </a:graphic>
                          </wp:inline>
                        </w:drawing>
                      </w:r>
                    </w:p>
                    <w:p w14:paraId="7170F434" w14:textId="66CE2801" w:rsidR="007E2A90" w:rsidRPr="00B50A5D" w:rsidRDefault="002E751F">
                      <w:pPr>
                        <w:rPr>
                          <w:b/>
                        </w:rPr>
                      </w:pPr>
                      <w:r>
                        <w:rPr>
                          <w:b/>
                        </w:rPr>
                        <w:t>Figure 4</w:t>
                      </w:r>
                      <w:r w:rsidR="007E2A90">
                        <w:rPr>
                          <w:b/>
                        </w:rPr>
                        <w:t>: Full set of comparisons between relative/absolute fasting response and relative/absolute weight gain.</w:t>
                      </w:r>
                      <w:r w:rsidR="007E2A90">
                        <w:t xml:space="preserve">  These data compare the correlation between the pre-diet fasting response and the eventual weight gain during the dietary treatment.  See Table 1 of t his response for correlation coefficients and p-values. </w:t>
                      </w:r>
                    </w:p>
                  </w:txbxContent>
                </v:textbox>
                <w10:wrap type="square"/>
              </v:shape>
            </w:pict>
          </mc:Fallback>
        </mc:AlternateContent>
      </w:r>
      <w:r w:rsidR="00EF5C51" w:rsidRPr="007520EE">
        <w:rPr>
          <w:b/>
        </w:rPr>
        <w:t xml:space="preserve">Yes, throughout the study all outliers were included in the analysis.  As per this particular figure, there </w:t>
      </w:r>
      <w:r w:rsidR="006A661A">
        <w:rPr>
          <w:b/>
        </w:rPr>
        <w:t>were</w:t>
      </w:r>
      <w:r w:rsidR="00EF5C51" w:rsidRPr="007520EE">
        <w:rPr>
          <w:b/>
        </w:rPr>
        <w:t xml:space="preserve"> </w:t>
      </w:r>
      <w:r w:rsidR="009109D7">
        <w:rPr>
          <w:b/>
        </w:rPr>
        <w:t>several</w:t>
      </w:r>
      <w:r w:rsidR="006A661A">
        <w:rPr>
          <w:b/>
        </w:rPr>
        <w:t xml:space="preserve"> outliers.  </w:t>
      </w:r>
      <w:r w:rsidR="009109D7">
        <w:rPr>
          <w:b/>
        </w:rPr>
        <w:t xml:space="preserve">One of these was determined to be a data entry error, in one Control Diet animal’s pre-diet fasting response.  This was corrected in the revised analysis.  </w:t>
      </w:r>
      <w:r w:rsidR="007520EE" w:rsidRPr="007520EE">
        <w:rPr>
          <w:b/>
        </w:rPr>
        <w:t xml:space="preserve">Removing </w:t>
      </w:r>
      <w:r w:rsidR="009109D7">
        <w:rPr>
          <w:b/>
        </w:rPr>
        <w:t>the other actual outliers</w:t>
      </w:r>
      <w:r w:rsidR="007520EE" w:rsidRPr="007520EE">
        <w:rPr>
          <w:b/>
        </w:rPr>
        <w:t xml:space="preserve"> did not affect the results of this regression analysis</w:t>
      </w:r>
      <w:r w:rsidR="007520EE">
        <w:rPr>
          <w:b/>
        </w:rPr>
        <w:t>.</w:t>
      </w:r>
      <w:r w:rsidR="00CD680E">
        <w:rPr>
          <w:b/>
        </w:rPr>
        <w:t xml:space="preserve">  </w:t>
      </w:r>
      <w:r w:rsidR="006A661A" w:rsidRPr="006A661A">
        <w:rPr>
          <w:b/>
        </w:rPr>
        <w:t>For percent weight loss upon fasting the Spearman's rank ordered test showe</w:t>
      </w:r>
      <w:r w:rsidR="006A661A">
        <w:rPr>
          <w:b/>
        </w:rPr>
        <w:t>d no significant correlation. (Rho</w:t>
      </w:r>
      <w:r w:rsidR="006A661A" w:rsidRPr="006A661A">
        <w:rPr>
          <w:b/>
        </w:rPr>
        <w:t xml:space="preserve">=0.0427 </w:t>
      </w:r>
      <w:r w:rsidR="006A661A">
        <w:rPr>
          <w:b/>
        </w:rPr>
        <w:t>Rho</w:t>
      </w:r>
      <w:r w:rsidR="006A661A" w:rsidRPr="006A661A">
        <w:rPr>
          <w:b/>
          <w:vertAlign w:val="superscript"/>
        </w:rPr>
        <w:t>2</w:t>
      </w:r>
      <w:r w:rsidR="006A661A" w:rsidRPr="006A661A">
        <w:rPr>
          <w:b/>
        </w:rPr>
        <w:t>= 0.0177 and p=0.26</w:t>
      </w:r>
      <w:r w:rsidR="006A661A">
        <w:rPr>
          <w:b/>
        </w:rPr>
        <w:t>85) and with outliers removed (Rho</w:t>
      </w:r>
      <w:r w:rsidR="006A661A" w:rsidRPr="006A661A">
        <w:rPr>
          <w:b/>
        </w:rPr>
        <w:t xml:space="preserve">=0.1772 </w:t>
      </w:r>
      <w:r w:rsidR="006A661A">
        <w:rPr>
          <w:b/>
        </w:rPr>
        <w:t>Rho</w:t>
      </w:r>
      <w:r w:rsidR="006A661A" w:rsidRPr="006A661A">
        <w:rPr>
          <w:b/>
          <w:vertAlign w:val="superscript"/>
        </w:rPr>
        <w:t>2</w:t>
      </w:r>
      <w:r w:rsidR="006A661A" w:rsidRPr="006A661A">
        <w:rPr>
          <w:b/>
        </w:rPr>
        <w:t xml:space="preserve">= 0.0314 and p=0.1484). For total weight loss </w:t>
      </w:r>
      <w:r w:rsidR="006A661A">
        <w:rPr>
          <w:b/>
        </w:rPr>
        <w:t>there was also no correlation (Rho</w:t>
      </w:r>
      <w:r w:rsidR="006A661A" w:rsidRPr="006A661A">
        <w:rPr>
          <w:b/>
        </w:rPr>
        <w:t xml:space="preserve">=-0.093 </w:t>
      </w:r>
      <w:r w:rsidR="006A661A">
        <w:rPr>
          <w:b/>
        </w:rPr>
        <w:t>Rho</w:t>
      </w:r>
      <w:r w:rsidR="006A661A" w:rsidRPr="006A661A">
        <w:rPr>
          <w:b/>
          <w:vertAlign w:val="superscript"/>
        </w:rPr>
        <w:t>2</w:t>
      </w:r>
      <w:r w:rsidR="006A661A" w:rsidRPr="006A661A">
        <w:rPr>
          <w:b/>
        </w:rPr>
        <w:t>= 0.0071 and p=0.48</w:t>
      </w:r>
      <w:r w:rsidR="006A661A">
        <w:rPr>
          <w:b/>
        </w:rPr>
        <w:t>34) and with outliers removed (Rho</w:t>
      </w:r>
      <w:r w:rsidR="006A661A" w:rsidRPr="006A661A">
        <w:rPr>
          <w:b/>
        </w:rPr>
        <w:t xml:space="preserve">=-0.0618 </w:t>
      </w:r>
      <w:r w:rsidR="006A661A">
        <w:rPr>
          <w:b/>
        </w:rPr>
        <w:t>Rho</w:t>
      </w:r>
      <w:r w:rsidR="006A661A" w:rsidRPr="006A661A">
        <w:rPr>
          <w:b/>
          <w:vertAlign w:val="superscript"/>
        </w:rPr>
        <w:t>2</w:t>
      </w:r>
      <w:r w:rsidR="006A661A" w:rsidRPr="006A661A">
        <w:rPr>
          <w:b/>
        </w:rPr>
        <w:t>= 0.0038 and p=0.6167).</w:t>
      </w:r>
      <w:r w:rsidR="009109D7">
        <w:rPr>
          <w:b/>
        </w:rPr>
        <w:t xml:space="preserve">  </w:t>
      </w:r>
    </w:p>
    <w:p w14:paraId="23E777E0" w14:textId="77777777" w:rsidR="006A661A" w:rsidRDefault="006A661A" w:rsidP="006A661A">
      <w:pPr>
        <w:pStyle w:val="ListParagraph"/>
        <w:ind w:left="0"/>
      </w:pPr>
    </w:p>
    <w:p w14:paraId="4A07B30A" w14:textId="473128C5" w:rsidR="00FC2429" w:rsidRDefault="00FC2429" w:rsidP="00FC2429">
      <w:pPr>
        <w:pStyle w:val="ListParagraph"/>
        <w:numPr>
          <w:ilvl w:val="0"/>
          <w:numId w:val="2"/>
        </w:numPr>
      </w:pPr>
      <w:r>
        <w:t>Figure 3B can be deleted.</w:t>
      </w:r>
    </w:p>
    <w:p w14:paraId="6D726A99" w14:textId="77777777" w:rsidR="003049AB" w:rsidRDefault="003049AB" w:rsidP="003049AB"/>
    <w:p w14:paraId="3D814611" w14:textId="3478D9C0" w:rsidR="003049AB" w:rsidRDefault="003049AB" w:rsidP="003049AB">
      <w:pPr>
        <w:rPr>
          <w:b/>
        </w:rPr>
      </w:pPr>
      <w:r w:rsidRPr="003049AB">
        <w:rPr>
          <w:b/>
        </w:rPr>
        <w:t>We disagree, our findings show that fasting responses at ~10 weeks of age are quite predictive of weight gain, but that the fasting response of a mouse is not</w:t>
      </w:r>
      <w:r w:rsidR="0090305D">
        <w:rPr>
          <w:b/>
        </w:rPr>
        <w:t xml:space="preserve"> stable over time.  This figure (now 2B, formerly 3B) </w:t>
      </w:r>
      <w:r w:rsidRPr="003049AB">
        <w:rPr>
          <w:b/>
        </w:rPr>
        <w:t>is essential to this point as noted in the discussion section:</w:t>
      </w:r>
    </w:p>
    <w:p w14:paraId="0DCA5023" w14:textId="77777777" w:rsidR="007E0977" w:rsidRDefault="007E0977" w:rsidP="003049AB">
      <w:pPr>
        <w:rPr>
          <w:b/>
        </w:rPr>
      </w:pPr>
    </w:p>
    <w:p w14:paraId="25710198" w14:textId="780D67EE" w:rsidR="007E0977" w:rsidRDefault="007E0977" w:rsidP="007E0977">
      <w:pPr>
        <w:ind w:left="360"/>
        <w:rPr>
          <w:b/>
          <w:color w:val="FF0000"/>
        </w:rPr>
      </w:pPr>
      <w:r w:rsidRPr="007E0977">
        <w:rPr>
          <w:b/>
          <w:color w:val="FF0000"/>
        </w:rPr>
        <w:t>Of note it is interesting that fasting responses themselves are not stable throughout life on</w:t>
      </w:r>
      <w:r w:rsidR="0090305D">
        <w:rPr>
          <w:b/>
          <w:color w:val="FF0000"/>
        </w:rPr>
        <w:t xml:space="preserve"> a per mouse basis (see Figure 2</w:t>
      </w:r>
      <w:r w:rsidRPr="007E0977">
        <w:rPr>
          <w:b/>
          <w:color w:val="FF0000"/>
        </w:rPr>
        <w:t xml:space="preserve">B).  This suggests that either the fasting response is not causative of weight gain directly, or is only causal during a younger age. These data are consistent with reports that among adult human populations, basal metabolic rate is not reduced in obese individuals </w:t>
      </w:r>
      <w:r w:rsidRPr="007E0977">
        <w:rPr>
          <w:b/>
          <w:color w:val="FF0000"/>
        </w:rPr>
        <w:fldChar w:fldCharType="begin" w:fldLock="1"/>
      </w:r>
      <w:r w:rsidR="00C414FC">
        <w:rPr>
          <w:b/>
          <w:color w:val="FF0000"/>
        </w:rP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"[8, 9]" }, "properties" : { "noteIndex" : 0 }, "schema" : "https://github.com/citation-style-language/schema/raw/master/csl-citation.json" }</w:instrText>
      </w:r>
      <w:r w:rsidRPr="007E0977">
        <w:rPr>
          <w:b/>
          <w:color w:val="FF0000"/>
        </w:rPr>
        <w:fldChar w:fldCharType="separate"/>
      </w:r>
      <w:r w:rsidR="00C414FC" w:rsidRPr="00C414FC">
        <w:rPr>
          <w:noProof/>
          <w:color w:val="FF0000"/>
        </w:rPr>
        <w:t>[8, 9]</w:t>
      </w:r>
      <w:r w:rsidRPr="007E0977">
        <w:rPr>
          <w:b/>
          <w:color w:val="FF0000"/>
        </w:rPr>
        <w:fldChar w:fldCharType="end"/>
      </w:r>
      <w:r w:rsidR="00C414FC">
        <w:rPr>
          <w:b/>
          <w:color w:val="FF0000"/>
        </w:rPr>
        <w:t xml:space="preserve"> to the extent that reductions in metabolic rates in pediatric populations are predictive of obesity </w:t>
      </w:r>
      <w:r w:rsidR="00C414FC" w:rsidRPr="00C414FC">
        <w:rPr>
          <w:b/>
          <w:color w:val="FF0000"/>
        </w:rPr>
        <w:fldChar w:fldCharType="begin" w:fldLock="1"/>
      </w:r>
      <w:r w:rsidR="00C414FC">
        <w:rPr>
          <w:b/>
          <w:color w:val="FF0000"/>
        </w:rPr>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"[10, 11]" }, "properties" : { "noteIndex" : 0 }, "schema" : "https://github.com/citation-style-language/schema/raw/master/csl-citation.json" }</w:instrText>
      </w:r>
      <w:r w:rsidR="00C414FC" w:rsidRPr="00C414FC">
        <w:rPr>
          <w:b/>
          <w:color w:val="FF0000"/>
        </w:rPr>
        <w:fldChar w:fldCharType="separate"/>
      </w:r>
      <w:r w:rsidR="00C414FC" w:rsidRPr="00C414FC">
        <w:rPr>
          <w:noProof/>
          <w:color w:val="FF0000"/>
        </w:rPr>
        <w:t>[10, 11]</w:t>
      </w:r>
      <w:r w:rsidR="00C414FC" w:rsidRPr="00C414FC">
        <w:rPr>
          <w:b/>
          <w:color w:val="FF0000"/>
        </w:rPr>
        <w:fldChar w:fldCharType="end"/>
      </w:r>
      <w:r w:rsidRPr="00C414FC">
        <w:rPr>
          <w:b/>
          <w:color w:val="FF0000"/>
        </w:rPr>
        <w:t>.</w:t>
      </w:r>
      <w:r w:rsidRPr="007E0977">
        <w:rPr>
          <w:b/>
          <w:color w:val="FF0000"/>
        </w:rPr>
        <w:t xml:space="preserve">  </w:t>
      </w:r>
    </w:p>
    <w:p w14:paraId="4F892338" w14:textId="77777777" w:rsidR="007E0977" w:rsidRDefault="007E0977" w:rsidP="007E0977">
      <w:pPr>
        <w:ind w:left="360"/>
        <w:rPr>
          <w:b/>
          <w:color w:val="FF0000"/>
        </w:rPr>
      </w:pPr>
    </w:p>
    <w:p w14:paraId="5B190D02" w14:textId="1DF94B02" w:rsidR="007E0977" w:rsidRPr="007E0977" w:rsidRDefault="007E0977" w:rsidP="007E0977">
      <w:pPr>
        <w:rPr>
          <w:b/>
        </w:rPr>
      </w:pPr>
      <w:r w:rsidRPr="007E0977">
        <w:rPr>
          <w:b/>
        </w:rPr>
        <w:t>We therefore feel that this figure is essential to the interpretation of how fasting responses are established and when they exert their effects.</w:t>
      </w:r>
    </w:p>
    <w:p w14:paraId="2369D9A3" w14:textId="77777777" w:rsidR="003049AB" w:rsidRDefault="003049AB" w:rsidP="003049AB"/>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69ABADC" w14:textId="15DA9565" w:rsidR="00B3527E" w:rsidRDefault="00B3527E" w:rsidP="00B3527E"/>
    <w:p w14:paraId="2F9A490A" w14:textId="7D28039F" w:rsidR="00B3527E" w:rsidRDefault="00B3527E" w:rsidP="00B3527E">
      <w:pPr>
        <w:rPr>
          <w:b/>
        </w:rPr>
      </w:pPr>
      <w:r w:rsidRPr="00B3527E">
        <w:rPr>
          <w:b/>
        </w:rPr>
        <w:t>This paragraph was revised and shortened as suggested</w:t>
      </w:r>
      <w:r w:rsidR="00C5168C">
        <w:rPr>
          <w:b/>
        </w:rPr>
        <w:t>.  To clarify the effects of fasting response to weight gain, we only included the effect of relative weight loss to relative weight gain on the diet.  In our opinion this is the most direct answer to our question.  We have removed from the manuscript the other potentially distracting correlates.</w:t>
      </w:r>
      <w:r w:rsidR="006C56B0">
        <w:rPr>
          <w:b/>
        </w:rPr>
        <w:t xml:space="preserve">  The full set of potential </w:t>
      </w:r>
      <w:r w:rsidR="0074124A">
        <w:rPr>
          <w:b/>
        </w:rPr>
        <w:t>comparisons</w:t>
      </w:r>
      <w:r w:rsidR="006C56B0">
        <w:rPr>
          <w:b/>
        </w:rPr>
        <w:t xml:space="preserve"> between relative and absolute fasting responses and relative and absolute weight gain are presented here</w:t>
      </w:r>
      <w:r w:rsidR="0074124A">
        <w:rPr>
          <w:b/>
        </w:rPr>
        <w:t xml:space="preserve"> both in statistical </w:t>
      </w:r>
      <w:r w:rsidR="00023A25">
        <w:rPr>
          <w:b/>
        </w:rPr>
        <w:t xml:space="preserve">(Table 1 of this response) </w:t>
      </w:r>
      <w:r w:rsidR="0074124A">
        <w:rPr>
          <w:b/>
        </w:rPr>
        <w:t>and graphed form</w:t>
      </w:r>
      <w:r w:rsidR="002E751F">
        <w:rPr>
          <w:b/>
        </w:rPr>
        <w:t xml:space="preserve"> (see Figure 4</w:t>
      </w:r>
      <w:r w:rsidR="00023A25">
        <w:rPr>
          <w:b/>
        </w:rPr>
        <w:t xml:space="preserve"> of this response)</w:t>
      </w:r>
      <w:r w:rsidR="006C56B0">
        <w:rPr>
          <w:b/>
        </w:rPr>
        <w:t>:</w:t>
      </w:r>
    </w:p>
    <w:p w14:paraId="701E5E7F" w14:textId="77777777" w:rsidR="00AA4F71" w:rsidRDefault="00AA4F71" w:rsidP="00B3527E">
      <w:pPr>
        <w:rPr>
          <w:b/>
        </w:rPr>
      </w:pPr>
    </w:p>
    <w:p w14:paraId="581C1A1B" w14:textId="48933D8A" w:rsidR="00AA4F71" w:rsidRPr="00023A25" w:rsidRDefault="00023A25" w:rsidP="00B3527E">
      <w:r>
        <w:rPr>
          <w:b/>
        </w:rPr>
        <w:t xml:space="preserve">Table 1: </w:t>
      </w:r>
      <w:r w:rsidR="00AA4F71">
        <w:rPr>
          <w:b/>
        </w:rPr>
        <w:t>Correlation Coefficients as calculated by Spearman’s Rho</w:t>
      </w:r>
      <w:r w:rsidR="00B50A5D">
        <w:rPr>
          <w:b/>
        </w:rPr>
        <w:t xml:space="preserve"> between weight gain during the diet and fasting response prior to the diet</w:t>
      </w:r>
      <w:r w:rsidR="00AA4F71" w:rsidRPr="00023A25">
        <w:t>.   Asterisk indicates p&lt;0.05</w:t>
      </w:r>
    </w:p>
    <w:p w14:paraId="6B51A221" w14:textId="77777777" w:rsidR="006C56B0" w:rsidRDefault="006C56B0" w:rsidP="00B3527E">
      <w:pPr>
        <w:rPr>
          <w:b/>
        </w:rPr>
      </w:pPr>
    </w:p>
    <w:tbl>
      <w:tblPr>
        <w:tblW w:w="8640" w:type="dxa"/>
        <w:tblBorders>
          <w:top w:val="nil"/>
          <w:left w:val="nil"/>
          <w:right w:val="nil"/>
        </w:tblBorders>
        <w:tblLayout w:type="fixed"/>
        <w:tblLook w:val="0000" w:firstRow="0" w:lastRow="0" w:firstColumn="0" w:lastColumn="0" w:noHBand="0" w:noVBand="0"/>
      </w:tblPr>
      <w:tblGrid>
        <w:gridCol w:w="3240"/>
        <w:gridCol w:w="2520"/>
        <w:gridCol w:w="2880"/>
      </w:tblGrid>
      <w:tr w:rsidR="006C56B0" w14:paraId="7ACBE8EF" w14:textId="77777777" w:rsidTr="00AA4F71">
        <w:tc>
          <w:tcPr>
            <w:tcW w:w="3240" w:type="dxa"/>
            <w:tcMar>
              <w:top w:w="20" w:type="nil"/>
              <w:left w:w="20" w:type="nil"/>
              <w:bottom w:w="20" w:type="nil"/>
              <w:right w:w="20" w:type="nil"/>
            </w:tcMar>
            <w:vAlign w:val="center"/>
          </w:tcPr>
          <w:p w14:paraId="5DCC76D5" w14:textId="77777777" w:rsidR="006C56B0" w:rsidRDefault="006C56B0" w:rsidP="00AA4F71">
            <w:pPr>
              <w:widowControl w:val="0"/>
              <w:autoSpaceDE w:val="0"/>
              <w:autoSpaceDN w:val="0"/>
              <w:adjustRightInd w:val="0"/>
              <w:rPr>
                <w:rFonts w:ascii="Helvetica" w:hAnsi="Helvetica" w:cs="Helvetica"/>
                <w:b/>
                <w:bCs/>
              </w:rPr>
            </w:pPr>
          </w:p>
        </w:tc>
        <w:tc>
          <w:tcPr>
            <w:tcW w:w="2520" w:type="dxa"/>
            <w:tcMar>
              <w:top w:w="20" w:type="nil"/>
              <w:left w:w="20" w:type="nil"/>
              <w:bottom w:w="20" w:type="nil"/>
              <w:right w:w="20" w:type="nil"/>
            </w:tcMar>
            <w:vAlign w:val="center"/>
          </w:tcPr>
          <w:p w14:paraId="07F7A279"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Relative Fasting Response</w:t>
            </w:r>
          </w:p>
        </w:tc>
        <w:tc>
          <w:tcPr>
            <w:tcW w:w="2880" w:type="dxa"/>
            <w:tcMar>
              <w:top w:w="20" w:type="nil"/>
              <w:left w:w="20" w:type="nil"/>
              <w:bottom w:w="20" w:type="nil"/>
              <w:right w:w="20" w:type="nil"/>
            </w:tcMar>
            <w:vAlign w:val="center"/>
          </w:tcPr>
          <w:p w14:paraId="4220AE4F"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Absolute Fasting Response</w:t>
            </w:r>
          </w:p>
        </w:tc>
      </w:tr>
      <w:tr w:rsidR="006C56B0" w14:paraId="2177AAD3"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BB409AA" w14:textId="675C561E" w:rsidR="006C56B0" w:rsidRDefault="00AA4F71">
            <w:pPr>
              <w:widowControl w:val="0"/>
              <w:autoSpaceDE w:val="0"/>
              <w:autoSpaceDN w:val="0"/>
              <w:adjustRightInd w:val="0"/>
              <w:jc w:val="right"/>
              <w:rPr>
                <w:rFonts w:ascii="Helvetica" w:hAnsi="Helvetica" w:cs="Helvetica"/>
              </w:rPr>
            </w:pPr>
            <w:r>
              <w:rPr>
                <w:rFonts w:ascii="Helvetica" w:hAnsi="Helvetica" w:cs="Helvetica"/>
              </w:rPr>
              <w:t>HFD - Absolute Weight Gain</w:t>
            </w:r>
          </w:p>
        </w:tc>
        <w:tc>
          <w:tcPr>
            <w:tcW w:w="2520" w:type="dxa"/>
            <w:shd w:val="clear" w:color="auto" w:fill="FFFFFF"/>
            <w:tcMar>
              <w:top w:w="20" w:type="nil"/>
              <w:left w:w="20" w:type="nil"/>
              <w:bottom w:w="20" w:type="nil"/>
              <w:right w:w="20" w:type="nil"/>
            </w:tcMar>
            <w:vAlign w:val="center"/>
          </w:tcPr>
          <w:p w14:paraId="44E3ADE0" w14:textId="36B656AC"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-0.398*</w:t>
            </w:r>
          </w:p>
        </w:tc>
        <w:tc>
          <w:tcPr>
            <w:tcW w:w="2880" w:type="dxa"/>
            <w:shd w:val="clear" w:color="auto" w:fill="FFFFFF"/>
            <w:tcMar>
              <w:top w:w="20" w:type="nil"/>
              <w:left w:w="20" w:type="nil"/>
              <w:bottom w:w="20" w:type="nil"/>
              <w:right w:w="20" w:type="nil"/>
            </w:tcMar>
            <w:vAlign w:val="center"/>
          </w:tcPr>
          <w:p w14:paraId="6D925299" w14:textId="139EFDA5"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-0.332*</w:t>
            </w:r>
          </w:p>
        </w:tc>
      </w:tr>
      <w:tr w:rsidR="006C56B0" w14:paraId="58A000A8"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57ED2E02" w14:textId="02E7E6CA"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HFD - Relative Weight Gain </w:t>
            </w:r>
          </w:p>
        </w:tc>
        <w:tc>
          <w:tcPr>
            <w:tcW w:w="2520" w:type="dxa"/>
            <w:shd w:val="clear" w:color="auto" w:fill="FFFFFF"/>
            <w:tcMar>
              <w:top w:w="20" w:type="nil"/>
              <w:left w:w="20" w:type="nil"/>
              <w:bottom w:w="20" w:type="nil"/>
              <w:right w:w="20" w:type="nil"/>
            </w:tcMar>
            <w:vAlign w:val="center"/>
          </w:tcPr>
          <w:p w14:paraId="410AF5F7" w14:textId="6ECB5BDE"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-0.610*</w:t>
            </w:r>
          </w:p>
        </w:tc>
        <w:tc>
          <w:tcPr>
            <w:tcW w:w="2880" w:type="dxa"/>
            <w:shd w:val="clear" w:color="auto" w:fill="FFFFFF"/>
            <w:tcMar>
              <w:top w:w="20" w:type="nil"/>
              <w:left w:w="20" w:type="nil"/>
              <w:bottom w:w="20" w:type="nil"/>
              <w:right w:w="20" w:type="nil"/>
            </w:tcMar>
            <w:vAlign w:val="center"/>
          </w:tcPr>
          <w:p w14:paraId="5C8AEC81" w14:textId="140B5190"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-0.618*</w:t>
            </w:r>
          </w:p>
        </w:tc>
      </w:tr>
      <w:tr w:rsidR="006C56B0" w14:paraId="4DD58C27"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127013B" w14:textId="1824F2AB" w:rsidR="006C56B0" w:rsidRDefault="006C56B0">
            <w:pPr>
              <w:widowControl w:val="0"/>
              <w:autoSpaceDE w:val="0"/>
              <w:autoSpaceDN w:val="0"/>
              <w:adjustRightInd w:val="0"/>
              <w:jc w:val="right"/>
              <w:rPr>
                <w:rFonts w:ascii="Helvetica" w:hAnsi="Helvetica" w:cs="Helvetica"/>
              </w:rPr>
            </w:pPr>
            <w:r>
              <w:rPr>
                <w:rFonts w:ascii="Helvetica" w:hAnsi="Helvetica" w:cs="Helvetica"/>
              </w:rPr>
              <w:t>CD - Abso</w:t>
            </w:r>
            <w:r w:rsidR="00AA4F71">
              <w:rPr>
                <w:rFonts w:ascii="Helvetica" w:hAnsi="Helvetica" w:cs="Helvetica"/>
              </w:rPr>
              <w:t xml:space="preserve">lute Weight Gain </w:t>
            </w:r>
          </w:p>
        </w:tc>
        <w:tc>
          <w:tcPr>
            <w:tcW w:w="2520" w:type="dxa"/>
            <w:shd w:val="clear" w:color="auto" w:fill="FFFFFF"/>
            <w:tcMar>
              <w:top w:w="20" w:type="nil"/>
              <w:left w:w="20" w:type="nil"/>
              <w:bottom w:w="20" w:type="nil"/>
              <w:right w:w="20" w:type="nil"/>
            </w:tcMar>
            <w:vAlign w:val="center"/>
          </w:tcPr>
          <w:p w14:paraId="00672129" w14:textId="4FD78F02"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-0.324</w:t>
            </w:r>
          </w:p>
        </w:tc>
        <w:tc>
          <w:tcPr>
            <w:tcW w:w="2880" w:type="dxa"/>
            <w:shd w:val="clear" w:color="auto" w:fill="FFFFFF"/>
            <w:tcMar>
              <w:top w:w="20" w:type="nil"/>
              <w:left w:w="20" w:type="nil"/>
              <w:bottom w:w="20" w:type="nil"/>
              <w:right w:w="20" w:type="nil"/>
            </w:tcMar>
            <w:vAlign w:val="center"/>
          </w:tcPr>
          <w:p w14:paraId="0F6FC497" w14:textId="4479E411"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-0.31</w:t>
            </w:r>
            <w:r w:rsidR="00AA4F71">
              <w:rPr>
                <w:rFonts w:ascii="Helvetica" w:hAnsi="Helvetica" w:cs="Helvetica"/>
              </w:rPr>
              <w:t>9</w:t>
            </w:r>
          </w:p>
        </w:tc>
      </w:tr>
      <w:tr w:rsidR="006C56B0" w14:paraId="0F2EF79E"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3F1B50FB" w14:textId="0378716D"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CD - Relative Weight Gain </w:t>
            </w:r>
          </w:p>
        </w:tc>
        <w:tc>
          <w:tcPr>
            <w:tcW w:w="2520" w:type="dxa"/>
            <w:shd w:val="clear" w:color="auto" w:fill="FFFFFF"/>
            <w:tcMar>
              <w:top w:w="20" w:type="nil"/>
              <w:left w:w="20" w:type="nil"/>
              <w:bottom w:w="20" w:type="nil"/>
              <w:right w:w="20" w:type="nil"/>
            </w:tcMar>
            <w:vAlign w:val="center"/>
          </w:tcPr>
          <w:p w14:paraId="15FE8394" w14:textId="361502DF"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-0.33</w:t>
            </w:r>
            <w:r w:rsidR="00AA4F71">
              <w:rPr>
                <w:rFonts w:ascii="Helvetica" w:hAnsi="Helvetica" w:cs="Helvetica"/>
              </w:rPr>
              <w:t>5</w:t>
            </w:r>
          </w:p>
        </w:tc>
        <w:tc>
          <w:tcPr>
            <w:tcW w:w="2880" w:type="dxa"/>
            <w:shd w:val="clear" w:color="auto" w:fill="FFFFFF"/>
            <w:tcMar>
              <w:top w:w="20" w:type="nil"/>
              <w:left w:w="20" w:type="nil"/>
              <w:bottom w:w="20" w:type="nil"/>
              <w:right w:w="20" w:type="nil"/>
            </w:tcMar>
            <w:vAlign w:val="center"/>
          </w:tcPr>
          <w:p w14:paraId="600A88CD" w14:textId="507CDDD3"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-0.418*</w:t>
            </w:r>
          </w:p>
        </w:tc>
      </w:tr>
    </w:tbl>
    <w:p w14:paraId="27E608F8" w14:textId="2EA0C6A7" w:rsidR="00B50A5D" w:rsidRDefault="00B50A5D" w:rsidP="00B3527E">
      <w:pPr>
        <w:rPr>
          <w:b/>
        </w:rPr>
      </w:pPr>
    </w:p>
    <w:p w14:paraId="2BC2F382" w14:textId="22AF91B7" w:rsidR="0074124A" w:rsidRDefault="0074124A" w:rsidP="00B3527E">
      <w:pPr>
        <w:rPr>
          <w:b/>
        </w:rPr>
      </w:pPr>
      <w:r>
        <w:rPr>
          <w:b/>
        </w:rPr>
        <w:t>As these data show, the trend is quite consistent</w:t>
      </w:r>
      <w:r w:rsidR="00B50A5D">
        <w:rPr>
          <w:b/>
        </w:rPr>
        <w:t xml:space="preserve"> n</w:t>
      </w:r>
      <w:r w:rsidR="00FD214A">
        <w:rPr>
          <w:b/>
        </w:rPr>
        <w:t>o matter how the data is analyze</w:t>
      </w:r>
      <w:r w:rsidR="00B50A5D">
        <w:rPr>
          <w:b/>
        </w:rPr>
        <w:t>d.</w:t>
      </w:r>
      <w:r w:rsidR="00023A25">
        <w:rPr>
          <w:b/>
        </w:rPr>
        <w:t xml:space="preserve">  The description in the results section has now been clarified to read:</w:t>
      </w:r>
    </w:p>
    <w:p w14:paraId="3FCF2306" w14:textId="77777777" w:rsidR="00023A25" w:rsidRDefault="00023A25" w:rsidP="00B3527E">
      <w:pPr>
        <w:rPr>
          <w:b/>
        </w:rPr>
      </w:pPr>
    </w:p>
    <w:p w14:paraId="6F3F8DF2" w14:textId="6F24F006" w:rsidR="00023A25" w:rsidRPr="00023A25" w:rsidRDefault="00023A25" w:rsidP="00023A25">
      <w:pPr>
        <w:ind w:left="360"/>
        <w:rPr>
          <w:b/>
          <w:color w:val="FF0000"/>
        </w:rPr>
      </w:pPr>
      <w:r w:rsidRPr="00023A25">
        <w:rPr>
          <w:b/>
          <w:color w:val="FF0000"/>
        </w:rPr>
        <w:t xml:space="preserve">Both HFD and CD fed mice </w:t>
      </w:r>
      <w:r w:rsidR="00687B7A">
        <w:rPr>
          <w:b/>
          <w:color w:val="FF0000"/>
        </w:rPr>
        <w:t>exhibited</w:t>
      </w:r>
      <w:r w:rsidRPr="00023A25">
        <w:rPr>
          <w:b/>
          <w:color w:val="FF0000"/>
        </w:rPr>
        <w:t xml:space="preserve"> </w:t>
      </w:r>
      <w:r w:rsidR="00687B7A">
        <w:rPr>
          <w:b/>
          <w:color w:val="FF0000"/>
        </w:rPr>
        <w:t>less weight gain when the</w:t>
      </w:r>
      <w:r w:rsidRPr="00023A25">
        <w:rPr>
          <w:b/>
          <w:color w:val="FF0000"/>
        </w:rPr>
        <w:t xml:space="preserve"> pre-diet fasting response </w:t>
      </w:r>
      <w:r w:rsidR="00687B7A">
        <w:rPr>
          <w:b/>
          <w:color w:val="FF0000"/>
        </w:rPr>
        <w:t xml:space="preserve">was elevated </w:t>
      </w:r>
      <w:r w:rsidR="0090305D">
        <w:rPr>
          <w:b/>
          <w:color w:val="FF0000"/>
        </w:rPr>
        <w:t>(Figure 3</w:t>
      </w:r>
      <w:r w:rsidRPr="00023A25">
        <w:rPr>
          <w:b/>
          <w:color w:val="FF0000"/>
        </w:rPr>
        <w:t>).  We found a strong negative correlation between percent weight gain and relative fasting response (Rho=-0.61, Rho</w:t>
      </w:r>
      <w:r w:rsidRPr="00023A25">
        <w:rPr>
          <w:b/>
          <w:color w:val="FF0000"/>
          <w:vertAlign w:val="superscript"/>
        </w:rPr>
        <w:t>2</w:t>
      </w:r>
      <w:r w:rsidRPr="00023A25">
        <w:rPr>
          <w:b/>
          <w:color w:val="FF0000"/>
        </w:rPr>
        <w:t xml:space="preserve"> =0.373, p=6.6 x 10</w:t>
      </w:r>
      <w:r w:rsidRPr="00023A25">
        <w:rPr>
          <w:b/>
          <w:color w:val="FF0000"/>
          <w:vertAlign w:val="superscript"/>
        </w:rPr>
        <w:t>-6</w:t>
      </w:r>
      <w:r w:rsidRPr="00023A25">
        <w:rPr>
          <w:b/>
          <w:color w:val="FF0000"/>
        </w:rPr>
        <w:t>). For CD fed mice the same pattern was present, though the correlation did not quite reach statistical significance (Rho=-0.334, Rho</w:t>
      </w:r>
      <w:r w:rsidRPr="00023A25">
        <w:rPr>
          <w:b/>
          <w:color w:val="FF0000"/>
          <w:vertAlign w:val="superscript"/>
        </w:rPr>
        <w:t>2</w:t>
      </w:r>
      <w:r w:rsidRPr="00023A25">
        <w:rPr>
          <w:b/>
          <w:color w:val="FF0000"/>
        </w:rPr>
        <w:t xml:space="preserve"> =0.112, p=0.0538).  These trends also reached statistical significance for </w:t>
      </w:r>
      <w:r w:rsidR="005741FE">
        <w:rPr>
          <w:b/>
          <w:color w:val="FF0000"/>
        </w:rPr>
        <w:t xml:space="preserve">all </w:t>
      </w:r>
      <w:r w:rsidRPr="00023A25">
        <w:rPr>
          <w:b/>
          <w:color w:val="FF0000"/>
        </w:rPr>
        <w:t xml:space="preserve">the </w:t>
      </w:r>
      <w:r w:rsidR="005741FE">
        <w:rPr>
          <w:b/>
          <w:color w:val="FF0000"/>
        </w:rPr>
        <w:t>combinations tested</w:t>
      </w:r>
      <w:r w:rsidRPr="00023A25">
        <w:rPr>
          <w:b/>
          <w:color w:val="FF0000"/>
        </w:rPr>
        <w:t xml:space="preserve"> between both relative and absolute fasting responses and relative and absolute weight gain during HFD (p&lt;0.03 and Rho &lt; -0.33 for all comparisons). These data show that mice which resisted weight loss during the pre-diet 16 hour fast were far more susceptible to weight gain while on the experimental diet, and that this factor predicted weight gain much more comprehensively than hormonal factors, or pre-d</w:t>
      </w:r>
      <w:r w:rsidR="0090305D">
        <w:rPr>
          <w:b/>
          <w:color w:val="FF0000"/>
        </w:rPr>
        <w:t>iet weight (Table 2 and Figure 3</w:t>
      </w:r>
      <w:r w:rsidRPr="00023A25">
        <w:rPr>
          <w:b/>
          <w:color w:val="FF0000"/>
        </w:rPr>
        <w:t>).</w:t>
      </w:r>
      <w:r w:rsidRPr="00023A25">
        <w:rPr>
          <w:b/>
          <w:color w:val="FF0000"/>
        </w:rPr>
        <w:tab/>
      </w:r>
    </w:p>
    <w:p w14:paraId="1A70AA3C" w14:textId="77777777" w:rsidR="00023A25" w:rsidRPr="00B3527E" w:rsidRDefault="00023A25" w:rsidP="00B3527E">
      <w:pPr>
        <w:rPr>
          <w:b/>
        </w:rPr>
      </w:pPr>
    </w:p>
    <w:p w14:paraId="4CF0C7B1" w14:textId="77777777" w:rsidR="00B3527E" w:rsidRDefault="00B3527E" w:rsidP="00B3527E"/>
    <w:p w14:paraId="6F4A5645" w14:textId="77777777" w:rsidR="00FC2429" w:rsidRDefault="00FC2429" w:rsidP="00FC2429">
      <w:pPr>
        <w:pStyle w:val="ListParagraph"/>
        <w:numPr>
          <w:ilvl w:val="0"/>
          <w:numId w:val="2"/>
        </w:numPr>
      </w:pPr>
      <w:r>
        <w:t xml:space="preserve">Please be consistent with terminology </w:t>
      </w:r>
      <w:proofErr w:type="spellStart"/>
      <w:r>
        <w:t>utilising</w:t>
      </w:r>
      <w:proofErr w:type="spellEnd"/>
      <w:r>
        <w:t xml:space="preserve">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5F73712A" w14:textId="77777777" w:rsidR="00F75FBF" w:rsidRDefault="00F75FBF" w:rsidP="00F75FBF"/>
    <w:p w14:paraId="2E4DED04" w14:textId="22CB2C80" w:rsidR="00F75FBF" w:rsidRDefault="00F75FBF" w:rsidP="00F75FBF">
      <w:pPr>
        <w:rPr>
          <w:b/>
        </w:rPr>
      </w:pPr>
      <w:r>
        <w:rPr>
          <w:b/>
        </w:rPr>
        <w:t>The word trend was remove</w:t>
      </w:r>
      <w:bookmarkStart w:id="0" w:name="_GoBack"/>
      <w:bookmarkEnd w:id="0"/>
      <w:r>
        <w:rPr>
          <w:b/>
        </w:rPr>
        <w:t>d.  The sentence now reads:</w:t>
      </w:r>
    </w:p>
    <w:p w14:paraId="5B067BE0" w14:textId="77777777" w:rsidR="00F75FBF" w:rsidRDefault="00F75FBF" w:rsidP="00F75FBF">
      <w:pPr>
        <w:rPr>
          <w:b/>
        </w:rPr>
      </w:pPr>
    </w:p>
    <w:p w14:paraId="594F6D4E" w14:textId="57211E27" w:rsidR="00F75FBF" w:rsidRPr="00F75FBF" w:rsidRDefault="00F75FBF" w:rsidP="00F75FBF">
      <w:pPr>
        <w:ind w:left="360"/>
        <w:rPr>
          <w:b/>
          <w:color w:val="FF0000"/>
        </w:rPr>
      </w:pPr>
      <w:r w:rsidRPr="00F75FBF">
        <w:rPr>
          <w:b/>
          <w:color w:val="FF0000"/>
        </w:rPr>
        <w:t xml:space="preserve">We found that food intake on both a per gram basis (Supplementary Figure 1D, p=0.0033) and a caloric basis (Supplementary Figure 1E, p=0.0038) decreased even as the mice gained weight.  </w:t>
      </w:r>
    </w:p>
    <w:p w14:paraId="6776E218" w14:textId="77777777" w:rsidR="00F75FBF" w:rsidRPr="00F75FBF" w:rsidRDefault="00F75FBF" w:rsidP="00F75FBF">
      <w:pPr>
        <w:rPr>
          <w:b/>
        </w:rPr>
      </w:pP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587850D7" w:rsidR="003A791C" w:rsidRDefault="003A791C" w:rsidP="003A791C">
      <w:pPr>
        <w:rPr>
          <w:b/>
        </w:rPr>
      </w:pPr>
      <w:r>
        <w:rPr>
          <w:b/>
        </w:rPr>
        <w:t xml:space="preserve">This has been </w:t>
      </w:r>
      <w:proofErr w:type="gramStart"/>
      <w:r>
        <w:rPr>
          <w:b/>
        </w:rPr>
        <w:t>fixed,</w:t>
      </w:r>
      <w:proofErr w:type="gramEnd"/>
      <w:r>
        <w:rPr>
          <w:b/>
        </w:rPr>
        <w:t xml:space="preserve"> we thank the reviewer for noticing this error</w:t>
      </w:r>
      <w:r w:rsidR="005A7923">
        <w:rPr>
          <w:b/>
        </w:rPr>
        <w:t>.</w:t>
      </w:r>
    </w:p>
    <w:p w14:paraId="7857254F" w14:textId="3845CF87" w:rsidR="005A7923" w:rsidRPr="003A791C" w:rsidRDefault="005A7923" w:rsidP="003A791C">
      <w:pPr>
        <w:rPr>
          <w:b/>
        </w:rPr>
      </w:pPr>
    </w:p>
    <w:p w14:paraId="0EC2112C" w14:textId="77777777" w:rsidR="005A7923" w:rsidRDefault="00FC2429" w:rsidP="00FC2429">
      <w:pPr>
        <w:pStyle w:val="ListParagraph"/>
        <w:numPr>
          <w:ilvl w:val="0"/>
          <w:numId w:val="2"/>
        </w:numPr>
      </w:pPr>
      <w:proofErr w:type="gramStart"/>
      <w:r>
        <w:t>Figures 2 is</w:t>
      </w:r>
      <w:proofErr w:type="gramEnd"/>
      <w:r>
        <w:t xml:space="preserve"> not significant and could be removed. </w:t>
      </w:r>
    </w:p>
    <w:p w14:paraId="59AE9BC3" w14:textId="77777777" w:rsidR="00ED7494" w:rsidRDefault="00ED7494" w:rsidP="00ED7494"/>
    <w:p w14:paraId="1A790CFB" w14:textId="19E3A626" w:rsidR="00ED7494" w:rsidRPr="00ED7494" w:rsidRDefault="00ED7494" w:rsidP="00ED7494">
      <w:pPr>
        <w:rPr>
          <w:b/>
        </w:rPr>
      </w:pPr>
      <w:r>
        <w:rPr>
          <w:b/>
        </w:rPr>
        <w:t xml:space="preserve">Figure 2 (now Figure 1) is important even though there were no significant differences detected.  Of course, the absence of proof is not proof of an absence, but these results, as well as those in Table 2 rule out some common possibilities of predictors of weight gain.  We feel it is essential that these negative data </w:t>
      </w:r>
      <w:proofErr w:type="gramStart"/>
      <w:r>
        <w:rPr>
          <w:b/>
        </w:rPr>
        <w:t>are</w:t>
      </w:r>
      <w:proofErr w:type="gramEnd"/>
      <w:r>
        <w:rPr>
          <w:b/>
        </w:rPr>
        <w:t xml:space="preserve"> reported.</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5F8A528D" w14:textId="77777777" w:rsidR="007840C4" w:rsidRDefault="007840C4" w:rsidP="007840C4"/>
    <w:p w14:paraId="61D26570" w14:textId="0CE8A95F" w:rsidR="007840C4" w:rsidRDefault="007840C4" w:rsidP="007840C4">
      <w:pPr>
        <w:rPr>
          <w:b/>
        </w:rPr>
      </w:pPr>
      <w:r w:rsidRPr="00D538A4">
        <w:rPr>
          <w:b/>
        </w:rPr>
        <w:t>As noted in Suppl</w:t>
      </w:r>
      <w:r w:rsidR="00D538A4">
        <w:rPr>
          <w:b/>
        </w:rPr>
        <w:t>ementary Figure 1 and Figure 3</w:t>
      </w:r>
      <w:r w:rsidRPr="00D538A4">
        <w:rPr>
          <w:b/>
        </w:rPr>
        <w:t xml:space="preserve"> there are dramatic differences in the weight gain and feeding responses in NCD fed animals compared to CD fed animals.  This is likely due to the different nature of the ingredients (grain for chow, chemically defined ingredients for CD/HFD).  We therefore decided that it would be difficult to interpret fasting</w:t>
      </w:r>
      <w:r w:rsidR="00D538A4" w:rsidRPr="00D538A4">
        <w:rPr>
          <w:b/>
        </w:rPr>
        <w:t xml:space="preserve"> responses in this system, and that the appropriate control for HFD was the CD.</w:t>
      </w:r>
      <w:r w:rsidR="00D538A4">
        <w:rPr>
          <w:b/>
        </w:rPr>
        <w:t xml:space="preserve">  We therefore did not perform these studies using animals kept on chow throughout.  This is explicated in the results section as such:</w:t>
      </w:r>
    </w:p>
    <w:p w14:paraId="7A27878C" w14:textId="77777777" w:rsidR="00D538A4" w:rsidRDefault="00D538A4" w:rsidP="007840C4">
      <w:pPr>
        <w:rPr>
          <w:b/>
        </w:rPr>
      </w:pPr>
    </w:p>
    <w:p w14:paraId="51E1CB0B" w14:textId="139FD76D" w:rsidR="00D538A4" w:rsidRPr="00D538A4" w:rsidRDefault="00D538A4" w:rsidP="00D538A4">
      <w:pPr>
        <w:ind w:left="360"/>
        <w:rPr>
          <w:b/>
        </w:rPr>
      </w:pPr>
      <w:r w:rsidRPr="00D538A4">
        <w:rPr>
          <w:b/>
          <w:color w:val="FF0000"/>
        </w:rPr>
        <w:t>Due to the dramatically different fasting responses observed in NCD mice com</w:t>
      </w:r>
      <w:r w:rsidR="0090305D">
        <w:rPr>
          <w:b/>
          <w:color w:val="FF0000"/>
        </w:rPr>
        <w:t>pared with CD mice (See Figure 2</w:t>
      </w:r>
      <w:r w:rsidRPr="00D538A4">
        <w:rPr>
          <w:b/>
          <w:color w:val="FF0000"/>
        </w:rPr>
        <w:t xml:space="preserve">C and E) we only </w:t>
      </w:r>
      <w:r>
        <w:rPr>
          <w:b/>
          <w:color w:val="FF0000"/>
        </w:rPr>
        <w:t>performed</w:t>
      </w:r>
      <w:r w:rsidRPr="00D538A4">
        <w:rPr>
          <w:b/>
          <w:color w:val="FF0000"/>
        </w:rPr>
        <w:t xml:space="preserve"> these studies comparing the more chemically comparable CD and HFD diets</w:t>
      </w:r>
      <w:r>
        <w:t>.</w:t>
      </w:r>
    </w:p>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6BE0730F" w14:textId="77777777" w:rsidR="00B775C2" w:rsidRDefault="00B775C2" w:rsidP="00B775C2"/>
    <w:p w14:paraId="27ECAB78" w14:textId="4E81745F" w:rsidR="00B775C2" w:rsidRDefault="00B775C2" w:rsidP="00B775C2">
      <w:pPr>
        <w:rPr>
          <w:b/>
        </w:rPr>
      </w:pPr>
      <w:r>
        <w:rPr>
          <w:b/>
        </w:rPr>
        <w:t xml:space="preserve">Supplementary figure 2 now clearly indicates which diet/feeding status changes were statistically significant.  We have clarified the meaning of the asterisks in the </w:t>
      </w:r>
      <w:r w:rsidR="00B879CE">
        <w:rPr>
          <w:b/>
        </w:rPr>
        <w:t>figure legend.</w:t>
      </w:r>
      <w:r w:rsidR="00EB52D2">
        <w:rPr>
          <w:b/>
        </w:rPr>
        <w:t xml:space="preserve">  We have also added more details regarding</w:t>
      </w:r>
      <w:r w:rsidR="00695369">
        <w:rPr>
          <w:b/>
        </w:rPr>
        <w:t xml:space="preserve"> these hormonal changes being c</w:t>
      </w:r>
      <w:r w:rsidR="0065339D">
        <w:rPr>
          <w:b/>
        </w:rPr>
        <w:t>onsistent with previous reports, and for which changes we observed statistically significant differences:</w:t>
      </w:r>
    </w:p>
    <w:p w14:paraId="575A31CF" w14:textId="77777777" w:rsidR="0065339D" w:rsidRDefault="0065339D" w:rsidP="00B775C2">
      <w:pPr>
        <w:rPr>
          <w:b/>
        </w:rPr>
      </w:pPr>
    </w:p>
    <w:p w14:paraId="3A35AF1C" w14:textId="18C0FCF3" w:rsidR="0065339D" w:rsidRPr="0065339D" w:rsidRDefault="0065339D" w:rsidP="00774DDD">
      <w:pPr>
        <w:ind w:left="360"/>
        <w:rPr>
          <w:b/>
          <w:color w:val="FF0000"/>
        </w:rPr>
      </w:pPr>
      <w:r w:rsidRPr="0065339D">
        <w:rPr>
          <w:b/>
          <w:color w:val="FF0000"/>
        </w:rPr>
        <w:t>Significant differences of were detected between several hormones (</w:t>
      </w:r>
      <w:proofErr w:type="spellStart"/>
      <w:r w:rsidRPr="0065339D">
        <w:rPr>
          <w:b/>
          <w:color w:val="FF0000"/>
        </w:rPr>
        <w:t>resistin</w:t>
      </w:r>
      <w:proofErr w:type="spellEnd"/>
      <w:r w:rsidRPr="0065339D">
        <w:rPr>
          <w:b/>
          <w:color w:val="FF0000"/>
        </w:rPr>
        <w:t xml:space="preserve">, total ghrelin, GLP-1 and </w:t>
      </w:r>
      <w:proofErr w:type="spellStart"/>
      <w:r w:rsidRPr="0065339D">
        <w:rPr>
          <w:b/>
          <w:color w:val="FF0000"/>
        </w:rPr>
        <w:t>leptin</w:t>
      </w:r>
      <w:proofErr w:type="spellEnd"/>
      <w:r w:rsidRPr="0065339D">
        <w:rPr>
          <w:b/>
          <w:color w:val="FF0000"/>
        </w:rPr>
        <w:t xml:space="preserve">) as well as fasting glucose levels between these diets.  These are consistent with previous reports of HFD induced changes relative to NCD diets for </w:t>
      </w:r>
      <w:proofErr w:type="spellStart"/>
      <w:r w:rsidRPr="0065339D">
        <w:rPr>
          <w:b/>
          <w:color w:val="FF0000"/>
        </w:rPr>
        <w:t>resistin</w:t>
      </w:r>
      <w:proofErr w:type="spellEnd"/>
      <w:r w:rsidRPr="0065339D">
        <w:rPr>
          <w:b/>
          <w:color w:val="FF0000"/>
        </w:rPr>
        <w:t xml:space="preserve"> and </w:t>
      </w:r>
      <w:proofErr w:type="spellStart"/>
      <w:r w:rsidRPr="0065339D">
        <w:rPr>
          <w:b/>
          <w:color w:val="FF0000"/>
        </w:rPr>
        <w:t>leptin</w:t>
      </w:r>
      <w:proofErr w:type="spellEnd"/>
      <w:r w:rsidRPr="0065339D">
        <w:rPr>
          <w:b/>
          <w:color w:val="FF0000"/>
        </w:rPr>
        <w:t xml:space="preserve"> </w:t>
      </w:r>
      <w:r w:rsidRPr="0065339D">
        <w:rPr>
          <w:b/>
          <w:color w:val="FF0000"/>
        </w:rPr>
        <w:fldChar w:fldCharType="begin" w:fldLock="1"/>
      </w:r>
      <w:r w:rsidR="00C414FC">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"[12, 13]" }, "properties" : { "noteIndex" : 0 }, "schema" : "https://github.com/citation-style-language/schema/raw/master/csl-citation.json" }</w:instrText>
      </w:r>
      <w:r w:rsidRPr="0065339D">
        <w:rPr>
          <w:b/>
          <w:color w:val="FF0000"/>
        </w:rPr>
        <w:fldChar w:fldCharType="separate"/>
      </w:r>
      <w:r w:rsidR="00C414FC" w:rsidRPr="00C414FC">
        <w:rPr>
          <w:noProof/>
          <w:color w:val="FF0000"/>
        </w:rPr>
        <w:t>[12, 13]</w:t>
      </w:r>
      <w:r w:rsidRPr="0065339D">
        <w:rPr>
          <w:b/>
          <w:color w:val="FF0000"/>
        </w:rPr>
        <w:fldChar w:fldCharType="end"/>
      </w:r>
      <w:r w:rsidRPr="0065339D">
        <w:rPr>
          <w:b/>
          <w:color w:val="FF0000"/>
        </w:rPr>
        <w:t>.</w:t>
      </w:r>
    </w:p>
    <w:p w14:paraId="7502A3BE" w14:textId="77777777" w:rsidR="00FC2429" w:rsidRDefault="00FC2429" w:rsidP="00FC2429"/>
    <w:p w14:paraId="0150B686" w14:textId="77777777" w:rsidR="00FC2429" w:rsidRDefault="00FC2429" w:rsidP="00FC2429"/>
    <w:p w14:paraId="1076E7F5" w14:textId="77777777" w:rsidR="00FC2429" w:rsidRDefault="00FC2429" w:rsidP="0065339D">
      <w:pPr>
        <w:pStyle w:val="Heading2"/>
      </w:pPr>
      <w:r w:rsidRPr="0065339D">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13CFCBC3" w14:textId="77777777" w:rsidR="00F2593F" w:rsidRDefault="00F2593F" w:rsidP="00FC2429"/>
    <w:p w14:paraId="25C8BA27" w14:textId="54CA77E7" w:rsidR="00F2593F" w:rsidRPr="00F2593F" w:rsidRDefault="00F2593F" w:rsidP="00FC2429">
      <w:pPr>
        <w:rPr>
          <w:b/>
        </w:rPr>
      </w:pPr>
      <w:r>
        <w:rPr>
          <w:b/>
        </w:rPr>
        <w:t xml:space="preserve">Although, it was not specified which </w:t>
      </w:r>
      <w:r w:rsidR="00C0523D">
        <w:rPr>
          <w:b/>
        </w:rPr>
        <w:t>data</w:t>
      </w:r>
      <w:r>
        <w:rPr>
          <w:b/>
        </w:rPr>
        <w:t xml:space="preserve"> are </w:t>
      </w:r>
      <w:r w:rsidR="00C0523D">
        <w:rPr>
          <w:b/>
        </w:rPr>
        <w:t>problematic</w:t>
      </w:r>
      <w:r>
        <w:rPr>
          <w:b/>
        </w:rPr>
        <w:t>, we believe that these very likely overlap with some of the comments and clarifications suggested by reviewer #1.  This is especially true for reviewer 1’s comments 1, 3 and 7</w:t>
      </w:r>
      <w:r w:rsidR="006F4BDF">
        <w:rPr>
          <w:b/>
        </w:rPr>
        <w:t>,</w:t>
      </w:r>
      <w:r>
        <w:rPr>
          <w:b/>
        </w:rPr>
        <w:t xml:space="preserve"> which we </w:t>
      </w:r>
      <w:r w:rsidR="00EA33F9">
        <w:rPr>
          <w:b/>
        </w:rPr>
        <w:t>have discussed in detail above.</w:t>
      </w:r>
    </w:p>
    <w:p w14:paraId="7027BB6E" w14:textId="77777777" w:rsidR="00FC2429" w:rsidRDefault="00FC2429" w:rsidP="00FC2429"/>
    <w:p w14:paraId="3F4E6C5D" w14:textId="19CD93A7" w:rsidR="004B4ED6" w:rsidRDefault="00FC2429" w:rsidP="00FC2429">
      <w:pPr>
        <w:rPr>
          <w:rStyle w:val="Hyperlink"/>
        </w:rPr>
      </w:pPr>
      <w:r>
        <w:t xml:space="preserve">I saw this paper published on </w:t>
      </w:r>
      <w:proofErr w:type="spellStart"/>
      <w:r>
        <w:t>biorxiv</w:t>
      </w:r>
      <w:proofErr w:type="spellEnd"/>
      <w:r>
        <w:t xml:space="preserve"> already. </w:t>
      </w:r>
      <w:hyperlink r:id="rId14" w:history="1">
        <w:r w:rsidR="00617CC1" w:rsidRPr="0028275F">
          <w:rPr>
            <w:rStyle w:val="Hyperlink"/>
          </w:rPr>
          <w:t>http://biorxiv.org/content/early/2014/04/23/004283</w:t>
        </w:r>
      </w:hyperlink>
    </w:p>
    <w:p w14:paraId="7FF078D6" w14:textId="77777777" w:rsidR="00EA33F9" w:rsidRDefault="00EA33F9" w:rsidP="00FC2429"/>
    <w:p w14:paraId="72955D4B" w14:textId="77777777" w:rsidR="00617CC1" w:rsidRDefault="00617CC1" w:rsidP="00FC2429"/>
    <w:p w14:paraId="6B048214" w14:textId="7666BDFE" w:rsidR="0045263D" w:rsidRPr="0082040F" w:rsidRDefault="00EA33F9" w:rsidP="00FC2429">
      <w:pPr>
        <w:rPr>
          <w:b/>
        </w:rPr>
      </w:pPr>
      <w:r w:rsidRPr="0082040F">
        <w:rPr>
          <w:b/>
        </w:rPr>
        <w:t>With respect to the previous publication issue</w:t>
      </w:r>
      <w:r w:rsidR="0045263D" w:rsidRPr="0082040F">
        <w:rPr>
          <w:b/>
        </w:rPr>
        <w:t xml:space="preserve">, there is a quite simple explanation.  </w:t>
      </w:r>
      <w:proofErr w:type="spellStart"/>
      <w:r w:rsidR="0045263D" w:rsidRPr="0082040F">
        <w:rPr>
          <w:b/>
        </w:rPr>
        <w:t>Biorxiv</w:t>
      </w:r>
      <w:proofErr w:type="spellEnd"/>
      <w:r w:rsidR="0045263D" w:rsidRPr="0082040F">
        <w:rPr>
          <w:b/>
        </w:rPr>
        <w:t xml:space="preserve"> is a pre-print server where publications under </w:t>
      </w:r>
      <w:r w:rsidR="0082040F">
        <w:rPr>
          <w:b/>
        </w:rPr>
        <w:t xml:space="preserve">peer </w:t>
      </w:r>
      <w:r w:rsidR="0045263D" w:rsidRPr="0082040F">
        <w:rPr>
          <w:b/>
        </w:rPr>
        <w:t xml:space="preserve">review can be placed to get more broad feedback from the scientific community.  For example the comments listed in other changes were due to feedback on this public preprint.  This is an emerging publishing theme in biological sciences, but is quite common in mathematics and physics </w:t>
      </w:r>
      <w:r w:rsidR="0045263D" w:rsidRPr="0082040F">
        <w:rPr>
          <w:b/>
        </w:rPr>
        <w:fldChar w:fldCharType="begin" w:fldLock="1"/>
      </w:r>
      <w:r w:rsidR="00C414FC">
        <w:rPr>
          <w:b/>
        </w:rPr>
        <w:instrText>ADDIN CSL_CITATION { "citationItems" : [ { "id" : "ITEM-1", "itemData" : { "DOI" : "10.1371/journal.pbio.1001563", "ISSN" : "1545-7885", "PMID" : "23690752", "author" : [ { "dropping-particle" : "", "family" : "Desjardins-Proulx", "given" : "Philippe", "non-dropping-particle" : "", "parse-names" : false, "suffix" : "" }, { "dropping-particle" : "", "family" : "White", "given" : "Ethan P", "non-dropping-particle" : "", "parse-names" : false, "suffix" : "" }, { "dropping-particle" : "", "family" : "Adamson", "given" : "Joel J", "non-dropping-particle" : "", "parse-names" : false, "suffix" : "" }, { "dropping-particle" : "", "family" : "Ram", "given" : "Karthik", "non-dropping-particle" : "", "parse-names" : false, "suffix" : "" }, { "dropping-particle" : "", "family" : "Poisot", "given" : "Timoth\u00e9e", "non-dropping-particle" : "", "parse-names" : false, "suffix" : "" }, { "dropping-particle" : "", "family" : "Gravel", "given" : "Dominique", "non-dropping-particle" : "", "parse-names" : false, "suffix" : "" } ], "container-title" : "PLoS biology", "id" : "ITEM-1", "issue" : "5", "issued" : { "date-parts" : [ [ "2013", "1" ] ] }, "page" : "e1001563", "title" : "The case for open preprints in biology.", "type" : "article-journal", "volume" : "11" }, "uris" : [ "http://www.mendeley.com/documents/?uuid=6c18a075-d43f-478b-a9a6-df11009692fd" ] } ], "mendeley" : { "previouslyFormattedCitation" : "[14]" }, "properties" : { "noteIndex" : 0 }, "schema" : "https://github.com/citation-style-language/schema/raw/master/csl-citation.json" }</w:instrText>
      </w:r>
      <w:r w:rsidR="0045263D" w:rsidRPr="0082040F">
        <w:rPr>
          <w:b/>
        </w:rPr>
        <w:fldChar w:fldCharType="separate"/>
      </w:r>
      <w:r w:rsidR="00C414FC" w:rsidRPr="00C414FC">
        <w:rPr>
          <w:noProof/>
        </w:rPr>
        <w:t>[14]</w:t>
      </w:r>
      <w:r w:rsidR="0045263D" w:rsidRPr="0082040F">
        <w:rPr>
          <w:b/>
        </w:rPr>
        <w:fldChar w:fldCharType="end"/>
      </w:r>
      <w:r w:rsidR="0045263D" w:rsidRPr="0082040F">
        <w:rPr>
          <w:b/>
        </w:rPr>
        <w:t xml:space="preserve">.  </w:t>
      </w:r>
      <w:r w:rsidR="000973AD">
        <w:rPr>
          <w:b/>
        </w:rPr>
        <w:t xml:space="preserve">Some </w:t>
      </w:r>
      <w:r w:rsidR="00E1186E">
        <w:rPr>
          <w:b/>
        </w:rPr>
        <w:t xml:space="preserve">recent </w:t>
      </w:r>
      <w:r w:rsidR="000973AD">
        <w:rPr>
          <w:b/>
        </w:rPr>
        <w:t xml:space="preserve">examples of articles which started as preprints and then were subsequently accepted for publication </w:t>
      </w:r>
      <w:r w:rsidR="00197D79">
        <w:rPr>
          <w:b/>
        </w:rPr>
        <w:t xml:space="preserve">in high impact journals </w:t>
      </w:r>
      <w:r w:rsidR="000973AD" w:rsidRPr="00197D79">
        <w:rPr>
          <w:b/>
        </w:rPr>
        <w:t>include</w:t>
      </w:r>
      <w:r w:rsidR="00197D79" w:rsidRPr="00197D79">
        <w:rPr>
          <w:b/>
        </w:rPr>
        <w:t xml:space="preserve"> </w:t>
      </w:r>
      <w:r w:rsidR="00197D79" w:rsidRPr="00197D79">
        <w:rPr>
          <w:b/>
        </w:rPr>
        <w:fldChar w:fldCharType="begin" w:fldLock="1"/>
      </w:r>
      <w:r w:rsidR="00C414FC">
        <w:rPr>
          <w:b/>
        </w:rPr>
        <w:instrText>ADDIN CSL_CITATION { "citationItems" : [ { "id" : "ITEM-1", "itemData" : { "DOI" : "10.1371/journal.pgen.1004293", "ISSN" : "1553-7404", "PMID" : "24762628", "abstract" : "Temperature affects both the timing and outcome of animal development, but the detailed effects of temperature on the progress of early development have been poorly characterized. To determine the impact of temperature on the order and timing of events during Drosophila melanogaster embryogenesis, we used time-lapse imaging to track the progress of embryos from shortly after egg laying through hatching at seven precisely maintained temperatures between 17.5 \u00b0C and 32.5 \u00b0C. We employed a combination of automated and manual annotation to determine when 36 milestones occurred in each embryo. D. melanogaster embryogenesis takes [Formula: see text]33 hours at 17.5 \u00b0C, and accelerates with increasing temperature to a low of 16 hours at 27.5 \u00b0C, above which embryogenesis slows slightly. Remarkably, while the total time of embryogenesis varies over two fold, the relative timing of events from cellularization through hatching is constant across temperatures. To further explore the relationship between temperature and embryogenesis, we expanded our analysis to cover ten additional Drosophila species of varying climatic origins. Six of these species, like D. melanogaster, are of tropical origin, and embryogenesis time at different temperatures was similar for them all. D. mojavensis, a sub-tropical fly, develops slower than the tropical species at lower temperatures, while D. virilis, a temperate fly, exhibits slower development at all temperatures. The alpine sister species D. persimilis and D. pseudoobscura develop as rapidly as tropical flies at cooler temperatures, but exhibit diminished acceleration above 22.5 \u00b0C and have drastically slowed development by 30 \u00b0C. Despite ranging from 13 hours for D. erecta at 30 \u00b0C to 46 hours for D. virilis at 17.5 \u00b0C, the relative timing of events from cellularization through hatching is constant across all species and temperatures examined here, suggesting the existence of a previously unrecognized timer controlling the progress of embryogenesis that has been tuned by natural selection as each species diverges.", "author" : [ { "dropping-particle" : "", "family" : "Kuntz", "given" : "Steven G", "non-dropping-particle" : "", "parse-names" : false, "suffix" : "" }, { "dropping-particle" : "", "family" : "Eisen", "given" : "Michael B", "non-dropping-particle" : "", "parse-names" : false, "suffix" : "" } ], "container-title" : "PLoS genetics", "id" : "ITEM-1", "issue" : "4", "issued" : { "date-parts" : [ [ "2014", "4" ] ] }, "page" : "e1004293", "title" : "Drosophila embryogenesis scales uniformly across temperature in developmentally diverse species.", "type" : "article-journal", "volume" : "10" }, "uris" : [ "http://www.mendeley.com/documents/?uuid=2fcf0b64-6455-48d7-8f75-106badacaeb8" ] }, { "id" : "ITEM-2",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"ITEM-2", "issue" : "7436", "issued" : { "date-parts" : [ [ "2013", "2", "14" ] ] }, "page" : "234-7", "title" : "Finding the sources of missing heritability in a yeast cross.", "type" : "article-journal", "volume" : "494" }, "uris" : [ "http://www.mendeley.com/documents/?uuid=3086d26c-045d-47fd-8f4d-96a2f41a1b62" ] } ], "mendeley" : { "previouslyFormattedCitation" : "[15, 16]" }, "properties" : { "noteIndex" : 0 }, "schema" : "https://github.com/citation-style-language/schema/raw/master/csl-citation.json" }</w:instrText>
      </w:r>
      <w:r w:rsidR="00197D79" w:rsidRPr="00197D79">
        <w:rPr>
          <w:b/>
        </w:rPr>
        <w:fldChar w:fldCharType="separate"/>
      </w:r>
      <w:r w:rsidR="00C414FC" w:rsidRPr="00C414FC">
        <w:rPr>
          <w:noProof/>
        </w:rPr>
        <w:t>[15, 16]</w:t>
      </w:r>
      <w:r w:rsidR="00197D79" w:rsidRPr="00197D79">
        <w:rPr>
          <w:b/>
        </w:rPr>
        <w:fldChar w:fldCharType="end"/>
      </w:r>
      <w:r w:rsidR="00E1186E">
        <w:rPr>
          <w:b/>
        </w:rPr>
        <w:t>.</w:t>
      </w:r>
    </w:p>
    <w:p w14:paraId="23645AEF" w14:textId="77777777" w:rsidR="0045263D" w:rsidRPr="0082040F" w:rsidRDefault="0045263D" w:rsidP="00FC2429">
      <w:pPr>
        <w:rPr>
          <w:b/>
        </w:rPr>
      </w:pPr>
    </w:p>
    <w:p w14:paraId="7EA63BAA" w14:textId="080D830C" w:rsidR="00617CC1" w:rsidRPr="0082040F" w:rsidRDefault="0045263D" w:rsidP="00FC2429">
      <w:pPr>
        <w:rPr>
          <w:b/>
        </w:rPr>
      </w:pPr>
      <w:r w:rsidRPr="0082040F">
        <w:rPr>
          <w:b/>
        </w:rPr>
        <w:t>Based on data obtained from the SHERPA/</w:t>
      </w:r>
      <w:proofErr w:type="spellStart"/>
      <w:r w:rsidRPr="0082040F">
        <w:rPr>
          <w:b/>
        </w:rPr>
        <w:t>RoMEO</w:t>
      </w:r>
      <w:proofErr w:type="spellEnd"/>
      <w:r w:rsidRPr="0082040F">
        <w:rPr>
          <w:b/>
        </w:rPr>
        <w:t xml:space="preserve"> database (</w:t>
      </w:r>
      <w:hyperlink r:id="rId15" w:history="1">
        <w:r w:rsidRPr="0082040F">
          <w:rPr>
            <w:rStyle w:val="Hyperlink"/>
            <w:b/>
          </w:rPr>
          <w:t>http://www.sherpa.ac.uk/romeo/issn/2090-0708/</w:t>
        </w:r>
      </w:hyperlink>
      <w:r w:rsidRPr="0082040F">
        <w:rPr>
          <w:b/>
        </w:rPr>
        <w:t>) the Journal of Obesity allows posting of pre-prints.   This pre</w:t>
      </w:r>
      <w:r w:rsidR="00D851E3">
        <w:rPr>
          <w:b/>
        </w:rPr>
        <w:t>-</w:t>
      </w:r>
      <w:r w:rsidRPr="0082040F">
        <w:rPr>
          <w:b/>
        </w:rPr>
        <w:t>print is identical to the submitted version, and will be updated with this revised version</w:t>
      </w:r>
      <w:r w:rsidR="00D851E3">
        <w:rPr>
          <w:b/>
        </w:rPr>
        <w:t>(s)</w:t>
      </w:r>
      <w:r w:rsidRPr="0082040F">
        <w:rPr>
          <w:b/>
        </w:rPr>
        <w:t>.  Upon acceptance of this manuscript, there will be a link to the official JOBE article indicating that the finished version of the manuscript is present there.  This is not therefore a duplicate publication, but rather an attempt to engage</w:t>
      </w:r>
      <w:r w:rsidR="0082040F" w:rsidRPr="0082040F">
        <w:rPr>
          <w:b/>
        </w:rPr>
        <w:t xml:space="preserve"> in a less canonical model of publication and review.</w:t>
      </w:r>
    </w:p>
    <w:p w14:paraId="4A4BEC55" w14:textId="5DB65138" w:rsidR="00617CC1" w:rsidRDefault="00617CC1" w:rsidP="0065339D">
      <w:pPr>
        <w:pStyle w:val="Heading2"/>
      </w:pPr>
      <w:r>
        <w:t>Other Changes</w:t>
      </w:r>
    </w:p>
    <w:p w14:paraId="3656B11A" w14:textId="06DA048F" w:rsidR="00617CC1" w:rsidRPr="00D966C7" w:rsidRDefault="00617CC1" w:rsidP="00617CC1">
      <w:pPr>
        <w:pStyle w:val="ListParagraph"/>
        <w:numPr>
          <w:ilvl w:val="0"/>
          <w:numId w:val="3"/>
        </w:numPr>
        <w:rPr>
          <w:b/>
        </w:rPr>
      </w:pPr>
      <w:r w:rsidRPr="00D966C7">
        <w:rPr>
          <w:b/>
        </w:rPr>
        <w:t xml:space="preserve">Based on a suggestion of someone who read the article on </w:t>
      </w:r>
      <w:proofErr w:type="spellStart"/>
      <w:r w:rsidRPr="00D966C7">
        <w:rPr>
          <w:b/>
        </w:rPr>
        <w:t>biorxiv</w:t>
      </w:r>
      <w:proofErr w:type="spellEnd"/>
      <w:r w:rsidRPr="00D966C7">
        <w:rPr>
          <w:b/>
        </w:rPr>
        <w:t xml:space="preserve">, we tested the assumption that the pre-diet hormones and </w:t>
      </w:r>
      <w:r w:rsidR="0012536A" w:rsidRPr="00D966C7">
        <w:rPr>
          <w:b/>
        </w:rPr>
        <w:t>body weight gain (both absolute and percent) fit a normal distribution.  We did this via a Shapiro-</w:t>
      </w:r>
      <w:proofErr w:type="spellStart"/>
      <w:r w:rsidR="0012536A" w:rsidRPr="00D966C7">
        <w:rPr>
          <w:b/>
        </w:rPr>
        <w:t>Wilk</w:t>
      </w:r>
      <w:proofErr w:type="spellEnd"/>
      <w:r w:rsidR="0012536A" w:rsidRPr="00D966C7">
        <w:rPr>
          <w:b/>
        </w:rPr>
        <w:t xml:space="preserve"> test, and determined that the data were not normally distributed.  Therefore rather than use Pearson’s R to calculate correlations we used Spearman’s Rank Order test, which does not presume normality between covariates.  This </w:t>
      </w:r>
      <w:r w:rsidR="00D51751" w:rsidRPr="00D966C7">
        <w:rPr>
          <w:b/>
        </w:rPr>
        <w:t>alters</w:t>
      </w:r>
      <w:r w:rsidR="0012536A" w:rsidRPr="00D966C7">
        <w:rPr>
          <w:b/>
        </w:rPr>
        <w:t xml:space="preserve"> the values in Table 2, </w:t>
      </w:r>
      <w:r w:rsidR="00D966C7">
        <w:rPr>
          <w:b/>
        </w:rPr>
        <w:t>and in the descriptions of Figure</w:t>
      </w:r>
      <w:r w:rsidR="00C3790F">
        <w:rPr>
          <w:b/>
        </w:rPr>
        <w:t>s</w:t>
      </w:r>
      <w:r w:rsidR="0090305D">
        <w:rPr>
          <w:b/>
        </w:rPr>
        <w:t xml:space="preserve"> </w:t>
      </w:r>
      <w:r w:rsidR="00942102">
        <w:rPr>
          <w:b/>
        </w:rPr>
        <w:t xml:space="preserve">1, </w:t>
      </w:r>
      <w:r w:rsidR="0090305D">
        <w:rPr>
          <w:b/>
        </w:rPr>
        <w:t xml:space="preserve">2 and 3 (formerly </w:t>
      </w:r>
      <w:r w:rsidR="00942102">
        <w:rPr>
          <w:b/>
        </w:rPr>
        <w:t xml:space="preserve">2, </w:t>
      </w:r>
      <w:r w:rsidR="0090305D">
        <w:rPr>
          <w:b/>
        </w:rPr>
        <w:t>3 and 4)</w:t>
      </w:r>
      <w:r w:rsidR="00C3790F">
        <w:rPr>
          <w:b/>
        </w:rPr>
        <w:t xml:space="preserve">.  These changes are described </w:t>
      </w:r>
      <w:r w:rsidR="0012536A" w:rsidRPr="00D966C7">
        <w:rPr>
          <w:b/>
        </w:rPr>
        <w:t>in the methods section:</w:t>
      </w:r>
    </w:p>
    <w:p w14:paraId="36A7DC2D" w14:textId="77777777" w:rsidR="0012536A" w:rsidRDefault="0012536A" w:rsidP="0012536A">
      <w:pPr>
        <w:pStyle w:val="ListParagraph"/>
      </w:pPr>
    </w:p>
    <w:p w14:paraId="332DB4CD" w14:textId="61A835FB" w:rsidR="00594BC2" w:rsidRDefault="004810A3" w:rsidP="00594BC2">
      <w:r w:rsidRPr="004810A3">
        <w:rPr>
          <w:b/>
          <w:color w:val="FF0000"/>
        </w:rPr>
        <w:t>Correlations were determined using Spearman’s rho after testing whether the covariates were normally distributed (Shapiro-</w:t>
      </w:r>
      <w:proofErr w:type="spellStart"/>
      <w:r w:rsidRPr="004810A3">
        <w:rPr>
          <w:b/>
          <w:color w:val="FF0000"/>
        </w:rPr>
        <w:t>Wilk</w:t>
      </w:r>
      <w:proofErr w:type="spellEnd"/>
      <w:r w:rsidRPr="004810A3">
        <w:rPr>
          <w:b/>
          <w:color w:val="FF0000"/>
        </w:rPr>
        <w:t xml:space="preserve"> test p&lt;0.05).  </w:t>
      </w:r>
    </w:p>
    <w:p w14:paraId="7CA4823B" w14:textId="4E25081F" w:rsidR="00594BC2" w:rsidRDefault="00594BC2" w:rsidP="0065339D">
      <w:pPr>
        <w:pStyle w:val="Heading2"/>
      </w:pPr>
      <w:r>
        <w:t>References</w:t>
      </w:r>
    </w:p>
    <w:p w14:paraId="48CF763D" w14:textId="3E76814A" w:rsidR="00C414FC" w:rsidRPr="00C414FC" w:rsidRDefault="00594BC2">
      <w:pPr>
        <w:pStyle w:val="NormalWeb"/>
        <w:ind w:left="640" w:hanging="640"/>
        <w:divId w:val="1652756464"/>
        <w:rPr>
          <w:rFonts w:ascii="Cambria" w:hAnsi="Cambria"/>
          <w:noProof/>
          <w:sz w:val="24"/>
        </w:rPr>
      </w:pPr>
      <w:r>
        <w:fldChar w:fldCharType="begin" w:fldLock="1"/>
      </w:r>
      <w:r>
        <w:instrText xml:space="preserve">ADDIN Mendeley Bibliography CSL_BIBLIOGRAPHY </w:instrText>
      </w:r>
      <w:r>
        <w:fldChar w:fldCharType="separate"/>
      </w:r>
      <w:r w:rsidR="00C414FC" w:rsidRPr="00C414FC">
        <w:rPr>
          <w:rFonts w:ascii="Cambria" w:hAnsi="Cambria"/>
          <w:noProof/>
          <w:sz w:val="24"/>
        </w:rPr>
        <w:t>1.</w:t>
      </w:r>
      <w:r w:rsidR="00C414FC" w:rsidRPr="00C414FC">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00C414FC" w:rsidRPr="00C414FC">
        <w:rPr>
          <w:rFonts w:ascii="Cambria" w:hAnsi="Cambria"/>
          <w:i/>
          <w:iCs/>
          <w:noProof/>
          <w:sz w:val="24"/>
        </w:rPr>
        <w:t>81</w:t>
      </w:r>
      <w:r w:rsidR="00C414FC" w:rsidRPr="00C414FC">
        <w:rPr>
          <w:rFonts w:ascii="Cambria" w:hAnsi="Cambria"/>
          <w:noProof/>
          <w:sz w:val="24"/>
        </w:rPr>
        <w:t>, 968–975.</w:t>
      </w:r>
    </w:p>
    <w:p w14:paraId="59F7CAD7"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2.</w:t>
      </w:r>
      <w:r w:rsidRPr="00C414FC">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C414FC">
        <w:rPr>
          <w:rFonts w:ascii="Cambria" w:hAnsi="Cambria"/>
          <w:i/>
          <w:iCs/>
          <w:noProof/>
          <w:sz w:val="24"/>
        </w:rPr>
        <w:t>148</w:t>
      </w:r>
      <w:r w:rsidRPr="00C414FC">
        <w:rPr>
          <w:rFonts w:ascii="Cambria" w:hAnsi="Cambria"/>
          <w:noProof/>
          <w:sz w:val="24"/>
        </w:rPr>
        <w:t>, 300–9.</w:t>
      </w:r>
    </w:p>
    <w:p w14:paraId="122D7B4A"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3.</w:t>
      </w:r>
      <w:r w:rsidRPr="00C414FC">
        <w:rPr>
          <w:rFonts w:ascii="Cambria" w:hAnsi="Cambria"/>
          <w:noProof/>
          <w:sz w:val="24"/>
        </w:rPr>
        <w:tab/>
        <w:t>Lu, B., Bridges, D., Yang, Y., Fisher, K., Cheng, A., Chang, L., Meng, Z., Lin, J., Downes, M., Yu, R. T., et al. (2014). Metabolic Crosstalk: molecular links between glycogen and lipid metabolism in obesity. Diabetes.</w:t>
      </w:r>
    </w:p>
    <w:p w14:paraId="75DF8FE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4.</w:t>
      </w:r>
      <w:r w:rsidRPr="00C414FC">
        <w:rPr>
          <w:rFonts w:ascii="Cambria" w:hAnsi="Cambria"/>
          <w:noProof/>
          <w:sz w:val="24"/>
        </w:rPr>
        <w:tab/>
        <w:t xml:space="preserve">Holst, J. J., Orskov, C., Nielsen, O. V, and Schwartz, T. W. (1987). Truncated glucagon-like peptide I, an insulin-releasing hormone from the distal gut. FEBS Lett. </w:t>
      </w:r>
      <w:r w:rsidRPr="00C414FC">
        <w:rPr>
          <w:rFonts w:ascii="Cambria" w:hAnsi="Cambria"/>
          <w:i/>
          <w:iCs/>
          <w:noProof/>
          <w:sz w:val="24"/>
        </w:rPr>
        <w:t>211</w:t>
      </w:r>
      <w:r w:rsidRPr="00C414FC">
        <w:rPr>
          <w:rFonts w:ascii="Cambria" w:hAnsi="Cambria"/>
          <w:noProof/>
          <w:sz w:val="24"/>
        </w:rPr>
        <w:t>, 169–74.</w:t>
      </w:r>
    </w:p>
    <w:p w14:paraId="1CA0C92B"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5.</w:t>
      </w:r>
      <w:r w:rsidRPr="00C414FC">
        <w:rPr>
          <w:rFonts w:ascii="Cambria" w:hAnsi="Cambria"/>
          <w:noProof/>
          <w:sz w:val="24"/>
        </w:rPr>
        <w:tab/>
        <w:t xml:space="preserve">Kreymann, B., Ghatei, M. A., Williams, G., and Bloom, S. R. (1987). Glucagon-Like Peptide-1 7-36: A Physiological Incretin in Man. Lancet </w:t>
      </w:r>
      <w:r w:rsidRPr="00C414FC">
        <w:rPr>
          <w:rFonts w:ascii="Cambria" w:hAnsi="Cambria"/>
          <w:i/>
          <w:iCs/>
          <w:noProof/>
          <w:sz w:val="24"/>
        </w:rPr>
        <w:t>330</w:t>
      </w:r>
      <w:r w:rsidRPr="00C414FC">
        <w:rPr>
          <w:rFonts w:ascii="Cambria" w:hAnsi="Cambria"/>
          <w:noProof/>
          <w:sz w:val="24"/>
        </w:rPr>
        <w:t>, 1300–1304.</w:t>
      </w:r>
    </w:p>
    <w:p w14:paraId="5F524345"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6.</w:t>
      </w:r>
      <w:r w:rsidRPr="00C414FC">
        <w:rPr>
          <w:rFonts w:ascii="Cambria" w:hAnsi="Cambria"/>
          <w:noProof/>
          <w:sz w:val="24"/>
        </w:rPr>
        <w:tab/>
        <w:t xml:space="preserve">Tschöp, M., Weyer, C., Tataranni, P. a, Devanarayan, V., Ravussin, E., and Heiman, M. L. (2001). Circulating ghrelin levels are decreased in human obesity. Diabetes </w:t>
      </w:r>
      <w:r w:rsidRPr="00C414FC">
        <w:rPr>
          <w:rFonts w:ascii="Cambria" w:hAnsi="Cambria"/>
          <w:i/>
          <w:iCs/>
          <w:noProof/>
          <w:sz w:val="24"/>
        </w:rPr>
        <w:t>50</w:t>
      </w:r>
      <w:r w:rsidRPr="00C414FC">
        <w:rPr>
          <w:rFonts w:ascii="Cambria" w:hAnsi="Cambria"/>
          <w:noProof/>
          <w:sz w:val="24"/>
        </w:rPr>
        <w:t>, 707–9.</w:t>
      </w:r>
    </w:p>
    <w:p w14:paraId="71EBA7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7.</w:t>
      </w:r>
      <w:r w:rsidRPr="00C414FC">
        <w:rPr>
          <w:rFonts w:ascii="Cambria" w:hAnsi="Cambria"/>
          <w:noProof/>
          <w:sz w:val="24"/>
        </w:rPr>
        <w:tab/>
        <w:t xml:space="preserve">Tschöp, M., Smiley, D. L., and Heiman, M. L. (2000). Ghrelin induces adiposity in rodents. Nature </w:t>
      </w:r>
      <w:r w:rsidRPr="00C414FC">
        <w:rPr>
          <w:rFonts w:ascii="Cambria" w:hAnsi="Cambria"/>
          <w:i/>
          <w:iCs/>
          <w:noProof/>
          <w:sz w:val="24"/>
        </w:rPr>
        <w:t>407</w:t>
      </w:r>
      <w:r w:rsidRPr="00C414FC">
        <w:rPr>
          <w:rFonts w:ascii="Cambria" w:hAnsi="Cambria"/>
          <w:noProof/>
          <w:sz w:val="24"/>
        </w:rPr>
        <w:t>, 908–13.</w:t>
      </w:r>
    </w:p>
    <w:p w14:paraId="787E0AC3"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8.</w:t>
      </w:r>
      <w:r w:rsidRPr="00C414FC">
        <w:rPr>
          <w:rFonts w:ascii="Cambria" w:hAnsi="Cambria"/>
          <w:noProof/>
          <w:sz w:val="24"/>
        </w:rPr>
        <w:tab/>
        <w:t xml:space="preserve">Leibel, R. L., Rosenbaum, M., and Hirsch, J. (1995). Changes in energy expenditure resulting from altered body weight. N. Engl. J. Med. </w:t>
      </w:r>
      <w:r w:rsidRPr="00C414FC">
        <w:rPr>
          <w:rFonts w:ascii="Cambria" w:hAnsi="Cambria"/>
          <w:i/>
          <w:iCs/>
          <w:noProof/>
          <w:sz w:val="24"/>
        </w:rPr>
        <w:t>332</w:t>
      </w:r>
      <w:r w:rsidRPr="00C414FC">
        <w:rPr>
          <w:rFonts w:ascii="Cambria" w:hAnsi="Cambria"/>
          <w:noProof/>
          <w:sz w:val="24"/>
        </w:rPr>
        <w:t>, 621–8.</w:t>
      </w:r>
    </w:p>
    <w:p w14:paraId="166FDA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9.</w:t>
      </w:r>
      <w:r w:rsidRPr="00C414FC">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C414FC">
        <w:rPr>
          <w:rFonts w:ascii="Cambria" w:hAnsi="Cambria"/>
          <w:i/>
          <w:iCs/>
          <w:noProof/>
          <w:sz w:val="24"/>
        </w:rPr>
        <w:t>78</w:t>
      </w:r>
      <w:r w:rsidRPr="00C414FC">
        <w:rPr>
          <w:rFonts w:ascii="Cambria" w:hAnsi="Cambria"/>
          <w:noProof/>
          <w:sz w:val="24"/>
        </w:rPr>
        <w:t>, 1568–78.</w:t>
      </w:r>
    </w:p>
    <w:p w14:paraId="5C16480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10.</w:t>
      </w:r>
      <w:r w:rsidRPr="00C414FC">
        <w:rPr>
          <w:rFonts w:ascii="Cambria" w:hAnsi="Cambria"/>
          <w:noProof/>
          <w:sz w:val="24"/>
        </w:rPr>
        <w:tab/>
        <w:t xml:space="preserve">Griffiths, M., Payne, P. ., Rivers, J. P. ., Cox, M., and Stunkard, A. . (1990). Metabolic rate and physical development in children at risk of obesity. Lancet </w:t>
      </w:r>
      <w:r w:rsidRPr="00C414FC">
        <w:rPr>
          <w:rFonts w:ascii="Cambria" w:hAnsi="Cambria"/>
          <w:i/>
          <w:iCs/>
          <w:noProof/>
          <w:sz w:val="24"/>
        </w:rPr>
        <w:t>336</w:t>
      </w:r>
      <w:r w:rsidRPr="00C414FC">
        <w:rPr>
          <w:rFonts w:ascii="Cambria" w:hAnsi="Cambria"/>
          <w:noProof/>
          <w:sz w:val="24"/>
        </w:rPr>
        <w:t>, 76–78.</w:t>
      </w:r>
    </w:p>
    <w:p w14:paraId="5DD6647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11.</w:t>
      </w:r>
      <w:r w:rsidRPr="00C414FC">
        <w:rPr>
          <w:rFonts w:ascii="Cambria" w:hAnsi="Cambria"/>
          <w:noProof/>
          <w:sz w:val="24"/>
        </w:rPr>
        <w:tab/>
        <w:t xml:space="preserve">Roberts, S. B., Savage, J., Coward, W. A., Chew, B., and Lucas, A. (1988). Energy expenditure and intake in infants born to lean and overweight mothers. N. Engl. J. Med. </w:t>
      </w:r>
      <w:r w:rsidRPr="00C414FC">
        <w:rPr>
          <w:rFonts w:ascii="Cambria" w:hAnsi="Cambria"/>
          <w:i/>
          <w:iCs/>
          <w:noProof/>
          <w:sz w:val="24"/>
        </w:rPr>
        <w:t>318</w:t>
      </w:r>
      <w:r w:rsidRPr="00C414FC">
        <w:rPr>
          <w:rFonts w:ascii="Cambria" w:hAnsi="Cambria"/>
          <w:noProof/>
          <w:sz w:val="24"/>
        </w:rPr>
        <w:t>, 461–6.</w:t>
      </w:r>
    </w:p>
    <w:p w14:paraId="04D962A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12.</w:t>
      </w:r>
      <w:r w:rsidRPr="00C414FC">
        <w:rPr>
          <w:rFonts w:ascii="Cambria" w:hAnsi="Cambria"/>
          <w:noProof/>
          <w:sz w:val="24"/>
        </w:rPr>
        <w:tab/>
        <w:t xml:space="preserve">Steppan, C. M., Bailey, S. T., Bhat, S., Brown, E. J., Banerjee, R. R., Wright, C. M., Patel, H. R., Ahima, R. S., and Lazar, M. a (2001). The hormone resistin links obesity to diabetes. Nature </w:t>
      </w:r>
      <w:r w:rsidRPr="00C414FC">
        <w:rPr>
          <w:rFonts w:ascii="Cambria" w:hAnsi="Cambria"/>
          <w:i/>
          <w:iCs/>
          <w:noProof/>
          <w:sz w:val="24"/>
        </w:rPr>
        <w:t>409</w:t>
      </w:r>
      <w:r w:rsidRPr="00C414FC">
        <w:rPr>
          <w:rFonts w:ascii="Cambria" w:hAnsi="Cambria"/>
          <w:noProof/>
          <w:sz w:val="24"/>
        </w:rPr>
        <w:t>, 307–12.</w:t>
      </w:r>
    </w:p>
    <w:p w14:paraId="22AB7631"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13.</w:t>
      </w:r>
      <w:r w:rsidRPr="00C414FC">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C414FC">
        <w:rPr>
          <w:rFonts w:ascii="Cambria" w:hAnsi="Cambria"/>
          <w:i/>
          <w:iCs/>
          <w:noProof/>
          <w:sz w:val="24"/>
        </w:rPr>
        <w:t>1</w:t>
      </w:r>
      <w:r w:rsidRPr="00C414FC">
        <w:rPr>
          <w:rFonts w:ascii="Cambria" w:hAnsi="Cambria"/>
          <w:noProof/>
          <w:sz w:val="24"/>
        </w:rPr>
        <w:t>, 1311–4.</w:t>
      </w:r>
    </w:p>
    <w:p w14:paraId="26E20C7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14.</w:t>
      </w:r>
      <w:r w:rsidRPr="00C414FC">
        <w:rPr>
          <w:rFonts w:ascii="Cambria" w:hAnsi="Cambria"/>
          <w:noProof/>
          <w:sz w:val="24"/>
        </w:rPr>
        <w:tab/>
        <w:t xml:space="preserve">Desjardins-Proulx, P., White, E. P., Adamson, J. J., Ram, K., Poisot, T., and Gravel, D. (2013). The case for open preprints in biology. PLoS Biol. </w:t>
      </w:r>
      <w:r w:rsidRPr="00C414FC">
        <w:rPr>
          <w:rFonts w:ascii="Cambria" w:hAnsi="Cambria"/>
          <w:i/>
          <w:iCs/>
          <w:noProof/>
          <w:sz w:val="24"/>
        </w:rPr>
        <w:t>11</w:t>
      </w:r>
      <w:r w:rsidRPr="00C414FC">
        <w:rPr>
          <w:rFonts w:ascii="Cambria" w:hAnsi="Cambria"/>
          <w:noProof/>
          <w:sz w:val="24"/>
        </w:rPr>
        <w:t>, e1001563.</w:t>
      </w:r>
    </w:p>
    <w:p w14:paraId="49061DAE"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15.</w:t>
      </w:r>
      <w:r w:rsidRPr="00C414FC">
        <w:rPr>
          <w:rFonts w:ascii="Cambria" w:hAnsi="Cambria"/>
          <w:noProof/>
          <w:sz w:val="24"/>
        </w:rPr>
        <w:tab/>
        <w:t xml:space="preserve">Kuntz, S. G., and Eisen, M. B. (2014). Drosophila embryogenesis scales uniformly across temperature in developmentally diverse species. PLoS Genet. </w:t>
      </w:r>
      <w:r w:rsidRPr="00C414FC">
        <w:rPr>
          <w:rFonts w:ascii="Cambria" w:hAnsi="Cambria"/>
          <w:i/>
          <w:iCs/>
          <w:noProof/>
          <w:sz w:val="24"/>
        </w:rPr>
        <w:t>10</w:t>
      </w:r>
      <w:r w:rsidRPr="00C414FC">
        <w:rPr>
          <w:rFonts w:ascii="Cambria" w:hAnsi="Cambria"/>
          <w:noProof/>
          <w:sz w:val="24"/>
        </w:rPr>
        <w:t>, e1004293.</w:t>
      </w:r>
    </w:p>
    <w:p w14:paraId="0AAD893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16.</w:t>
      </w:r>
      <w:r w:rsidRPr="00C414FC">
        <w:rPr>
          <w:rFonts w:ascii="Cambria" w:hAnsi="Cambria"/>
          <w:noProof/>
          <w:sz w:val="24"/>
        </w:rPr>
        <w:tab/>
        <w:t xml:space="preserve">Bloom, J. S., Ehrenreich, I. M., Loo, W. T., Lite, T.-L. V., and Kruglyak, L. (2013). Finding the sources of missing heritability in a yeast cross. Nature </w:t>
      </w:r>
      <w:r w:rsidRPr="00C414FC">
        <w:rPr>
          <w:rFonts w:ascii="Cambria" w:hAnsi="Cambria"/>
          <w:i/>
          <w:iCs/>
          <w:noProof/>
          <w:sz w:val="24"/>
        </w:rPr>
        <w:t>494</w:t>
      </w:r>
      <w:r w:rsidRPr="00C414FC">
        <w:rPr>
          <w:rFonts w:ascii="Cambria" w:hAnsi="Cambria"/>
          <w:noProof/>
          <w:sz w:val="24"/>
        </w:rPr>
        <w:t xml:space="preserve">, 234–7. </w:t>
      </w:r>
    </w:p>
    <w:p w14:paraId="725C333A" w14:textId="7BB3E482" w:rsidR="00594BC2" w:rsidRPr="007B01D8" w:rsidRDefault="00594BC2" w:rsidP="00C414FC">
      <w:pPr>
        <w:pStyle w:val="NormalWeb"/>
        <w:ind w:left="640" w:hanging="640"/>
        <w:divId w:val="701831657"/>
      </w:pPr>
      <w:r>
        <w:fldChar w:fldCharType="end"/>
      </w:r>
    </w:p>
    <w:sectPr w:rsidR="00594BC2" w:rsidRPr="007B01D8"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54EA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23A25"/>
    <w:rsid w:val="000867BA"/>
    <w:rsid w:val="000973AD"/>
    <w:rsid w:val="000C4AA9"/>
    <w:rsid w:val="0012536A"/>
    <w:rsid w:val="001502D6"/>
    <w:rsid w:val="001701BF"/>
    <w:rsid w:val="00197D79"/>
    <w:rsid w:val="002149EC"/>
    <w:rsid w:val="00224DF8"/>
    <w:rsid w:val="00257D04"/>
    <w:rsid w:val="002E751F"/>
    <w:rsid w:val="003049AB"/>
    <w:rsid w:val="00346627"/>
    <w:rsid w:val="00380CA4"/>
    <w:rsid w:val="003A5DDA"/>
    <w:rsid w:val="003A791C"/>
    <w:rsid w:val="0045263D"/>
    <w:rsid w:val="00480F77"/>
    <w:rsid w:val="004810A3"/>
    <w:rsid w:val="004B4ED6"/>
    <w:rsid w:val="004C309B"/>
    <w:rsid w:val="004C4E28"/>
    <w:rsid w:val="004D2EC5"/>
    <w:rsid w:val="004E2286"/>
    <w:rsid w:val="00501B5F"/>
    <w:rsid w:val="00552AC8"/>
    <w:rsid w:val="005741FE"/>
    <w:rsid w:val="00594BC2"/>
    <w:rsid w:val="005A7923"/>
    <w:rsid w:val="00617CC1"/>
    <w:rsid w:val="00617FF3"/>
    <w:rsid w:val="0065339D"/>
    <w:rsid w:val="00686E64"/>
    <w:rsid w:val="00687B7A"/>
    <w:rsid w:val="00695369"/>
    <w:rsid w:val="006A270D"/>
    <w:rsid w:val="006A661A"/>
    <w:rsid w:val="006C56B0"/>
    <w:rsid w:val="006F4BDF"/>
    <w:rsid w:val="00701DE8"/>
    <w:rsid w:val="00734333"/>
    <w:rsid w:val="0074124A"/>
    <w:rsid w:val="007520EE"/>
    <w:rsid w:val="00774DDD"/>
    <w:rsid w:val="007840C4"/>
    <w:rsid w:val="007B01D8"/>
    <w:rsid w:val="007E0977"/>
    <w:rsid w:val="007E171E"/>
    <w:rsid w:val="007E2A90"/>
    <w:rsid w:val="00807942"/>
    <w:rsid w:val="0082040F"/>
    <w:rsid w:val="0090305D"/>
    <w:rsid w:val="009109D7"/>
    <w:rsid w:val="00942102"/>
    <w:rsid w:val="009E609F"/>
    <w:rsid w:val="00A01EEE"/>
    <w:rsid w:val="00A34EF3"/>
    <w:rsid w:val="00A86DD4"/>
    <w:rsid w:val="00A91CAE"/>
    <w:rsid w:val="00A94DF2"/>
    <w:rsid w:val="00AA4F71"/>
    <w:rsid w:val="00AA5EFD"/>
    <w:rsid w:val="00AB1AFF"/>
    <w:rsid w:val="00AD279E"/>
    <w:rsid w:val="00AE1279"/>
    <w:rsid w:val="00AF4DB9"/>
    <w:rsid w:val="00B3527E"/>
    <w:rsid w:val="00B50A5D"/>
    <w:rsid w:val="00B775C2"/>
    <w:rsid w:val="00B843A9"/>
    <w:rsid w:val="00B879CE"/>
    <w:rsid w:val="00BD4565"/>
    <w:rsid w:val="00C04A86"/>
    <w:rsid w:val="00C0523D"/>
    <w:rsid w:val="00C3790F"/>
    <w:rsid w:val="00C414FC"/>
    <w:rsid w:val="00C452F0"/>
    <w:rsid w:val="00C5168C"/>
    <w:rsid w:val="00C73CB5"/>
    <w:rsid w:val="00C821B5"/>
    <w:rsid w:val="00CB7625"/>
    <w:rsid w:val="00CD680E"/>
    <w:rsid w:val="00D034C3"/>
    <w:rsid w:val="00D26FE4"/>
    <w:rsid w:val="00D51751"/>
    <w:rsid w:val="00D538A4"/>
    <w:rsid w:val="00D60D3E"/>
    <w:rsid w:val="00D851E3"/>
    <w:rsid w:val="00D966C7"/>
    <w:rsid w:val="00DC038A"/>
    <w:rsid w:val="00E10E45"/>
    <w:rsid w:val="00E1186E"/>
    <w:rsid w:val="00E270C1"/>
    <w:rsid w:val="00E31140"/>
    <w:rsid w:val="00E429CB"/>
    <w:rsid w:val="00EA33F9"/>
    <w:rsid w:val="00EB52D2"/>
    <w:rsid w:val="00EC716A"/>
    <w:rsid w:val="00ED7494"/>
    <w:rsid w:val="00EF5C51"/>
    <w:rsid w:val="00F17272"/>
    <w:rsid w:val="00F2593F"/>
    <w:rsid w:val="00F75FBF"/>
    <w:rsid w:val="00F87980"/>
    <w:rsid w:val="00F93C51"/>
    <w:rsid w:val="00FC2429"/>
    <w:rsid w:val="00FD214A"/>
    <w:rsid w:val="00FF7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0987">
      <w:bodyDiv w:val="1"/>
      <w:marLeft w:val="0"/>
      <w:marRight w:val="0"/>
      <w:marTop w:val="0"/>
      <w:marBottom w:val="0"/>
      <w:divBdr>
        <w:top w:val="none" w:sz="0" w:space="0" w:color="auto"/>
        <w:left w:val="none" w:sz="0" w:space="0" w:color="auto"/>
        <w:bottom w:val="none" w:sz="0" w:space="0" w:color="auto"/>
        <w:right w:val="none" w:sz="0" w:space="0" w:color="auto"/>
      </w:divBdr>
      <w:divsChild>
        <w:div w:id="1293638582">
          <w:marLeft w:val="0"/>
          <w:marRight w:val="0"/>
          <w:marTop w:val="0"/>
          <w:marBottom w:val="0"/>
          <w:divBdr>
            <w:top w:val="none" w:sz="0" w:space="0" w:color="auto"/>
            <w:left w:val="none" w:sz="0" w:space="0" w:color="auto"/>
            <w:bottom w:val="none" w:sz="0" w:space="0" w:color="auto"/>
            <w:right w:val="none" w:sz="0" w:space="0" w:color="auto"/>
          </w:divBdr>
          <w:divsChild>
            <w:div w:id="1356544666">
              <w:marLeft w:val="0"/>
              <w:marRight w:val="0"/>
              <w:marTop w:val="0"/>
              <w:marBottom w:val="0"/>
              <w:divBdr>
                <w:top w:val="none" w:sz="0" w:space="0" w:color="auto"/>
                <w:left w:val="none" w:sz="0" w:space="0" w:color="auto"/>
                <w:bottom w:val="none" w:sz="0" w:space="0" w:color="auto"/>
                <w:right w:val="none" w:sz="0" w:space="0" w:color="auto"/>
              </w:divBdr>
              <w:divsChild>
                <w:div w:id="701831657">
                  <w:marLeft w:val="0"/>
                  <w:marRight w:val="0"/>
                  <w:marTop w:val="0"/>
                  <w:marBottom w:val="0"/>
                  <w:divBdr>
                    <w:top w:val="none" w:sz="0" w:space="0" w:color="auto"/>
                    <w:left w:val="none" w:sz="0" w:space="0" w:color="auto"/>
                    <w:bottom w:val="none" w:sz="0" w:space="0" w:color="auto"/>
                    <w:right w:val="none" w:sz="0" w:space="0" w:color="auto"/>
                  </w:divBdr>
                  <w:divsChild>
                    <w:div w:id="16527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0.png"/><Relationship Id="rId12" Type="http://schemas.openxmlformats.org/officeDocument/2006/relationships/image" Target="media/image4.png"/><Relationship Id="rId13" Type="http://schemas.openxmlformats.org/officeDocument/2006/relationships/image" Target="media/image40.png"/><Relationship Id="rId14" Type="http://schemas.openxmlformats.org/officeDocument/2006/relationships/hyperlink" Target="http://biorxiv.org/content/early/2014/04/23/004283" TargetMode="External"/><Relationship Id="rId15" Type="http://schemas.openxmlformats.org/officeDocument/2006/relationships/hyperlink" Target="http://www.sherpa.ac.uk/romeo/issn/2090-070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2.png"/><Relationship Id="rId9" Type="http://schemas.openxmlformats.org/officeDocument/2006/relationships/image" Target="media/image20.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11</Pages>
  <Words>10582</Words>
  <Characters>60320</Characters>
  <Application>Microsoft Macintosh Word</Application>
  <DocSecurity>0</DocSecurity>
  <Lines>502</Lines>
  <Paragraphs>141</Paragraphs>
  <ScaleCrop>false</ScaleCrop>
  <Company>UT-HSC</Company>
  <LinksUpToDate>false</LinksUpToDate>
  <CharactersWithSpaces>70761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57</cp:revision>
  <dcterms:created xsi:type="dcterms:W3CDTF">2014-05-23T11:57:00Z</dcterms:created>
  <dcterms:modified xsi:type="dcterms:W3CDTF">2014-06-17T16:48:00Z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