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70A5CCF2" w:rsidR="001502D6" w:rsidRPr="001502D6" w:rsidRDefault="001502D6" w:rsidP="001502D6">
      <w:pPr>
        <w:rPr>
          <w:b/>
        </w:rPr>
      </w:pPr>
      <w:r>
        <w:rPr>
          <w:b/>
        </w:rPr>
        <w:t>We thank the reviewers for their insightful and carefully considered comments, as considering and addressing these issues makes this a much clearer and more coherent manuscript</w:t>
      </w:r>
      <w:proofErr w:type="gramStart"/>
      <w:r>
        <w:rPr>
          <w:b/>
        </w:rPr>
        <w:t>..</w:t>
      </w:r>
      <w:proofErr w:type="gramEnd"/>
      <w:r>
        <w:rPr>
          <w:b/>
        </w:rPr>
        <w:t xml:space="preserve">  We have substantially revised the manuscript based on these suggestions, by providing extra data and more refined explanations for each of these comments.  A point-by point response to each of these comments is presented below.</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lastRenderedPageBreak/>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7E0977" w:rsidRDefault="007E0977">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7E0977" w:rsidRPr="00480F77" w:rsidRDefault="007E0977">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7E0977" w:rsidRDefault="007E0977">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7E0977" w:rsidRPr="00480F77" w:rsidRDefault="007E0977">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6D53FE9B"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4A883C5A" w:rsidR="001701BF" w:rsidRPr="00EF5C51" w:rsidRDefault="007520EE" w:rsidP="001701BF">
      <w:pPr>
        <w:rPr>
          <w:b/>
        </w:rPr>
      </w:pPr>
      <w:r>
        <w:rPr>
          <w:b/>
        </w:rPr>
        <w:t xml:space="preserve">In addition to the </w:t>
      </w:r>
      <w:proofErr w:type="gramStart"/>
      <w:r>
        <w:rPr>
          <w:b/>
        </w:rPr>
        <w:t>10 week</w:t>
      </w:r>
      <w:proofErr w:type="gramEnd"/>
      <w:r>
        <w:rPr>
          <w:b/>
        </w:rPr>
        <w:t xml:space="preserve"> and 22 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~215 day old cohort shown in Figure 3A</w:t>
      </w:r>
      <w:r>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7463ED7A" w:rsidR="00EF5C51" w:rsidRDefault="00EF5C51" w:rsidP="00EF5C51">
      <w:pPr>
        <w:ind w:left="360"/>
        <w:rPr>
          <w:b/>
          <w:color w:val="FF0000"/>
        </w:rPr>
      </w:pPr>
      <w:r w:rsidRPr="00EF5C51">
        <w:rPr>
          <w:b/>
          <w:color w:val="FF0000"/>
        </w:rPr>
        <w:t>For the ~215 day old mouse cohort shown in Figure 3A,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77777777" w:rsidR="00EF5C51" w:rsidRDefault="00EF5C51" w:rsidP="00EF5C51">
      <w:pPr>
        <w:pStyle w:val="ListParagraph"/>
        <w:ind w:left="360"/>
      </w:pPr>
    </w:p>
    <w:p w14:paraId="0F7AE900" w14:textId="67802BF9" w:rsidR="00EF5C51" w:rsidRPr="007520EE" w:rsidRDefault="00EF5C51" w:rsidP="007520EE">
      <w:pPr>
        <w:pStyle w:val="ListParagraph"/>
        <w:ind w:left="0"/>
        <w:rPr>
          <w:b/>
        </w:rPr>
      </w:pPr>
      <w:r w:rsidRPr="007520EE">
        <w:rPr>
          <w:b/>
        </w:rPr>
        <w:t xml:space="preserve">Yes, throughout the study all outliers were included in the analysis.  As per this particular figure, there </w:t>
      </w:r>
      <w:proofErr w:type="gramStart"/>
      <w:r w:rsidRPr="007520EE">
        <w:rPr>
          <w:b/>
        </w:rPr>
        <w:t>was</w:t>
      </w:r>
      <w:proofErr w:type="gramEnd"/>
      <w:r w:rsidRPr="007520EE">
        <w:rPr>
          <w:b/>
        </w:rPr>
        <w:t xml:space="preserve"> </w:t>
      </w:r>
      <w:r w:rsidR="007520EE" w:rsidRPr="007520EE">
        <w:rPr>
          <w:b/>
        </w:rPr>
        <w:t>two outliers one high and one low fasting responder.  Removing these did not affect the results of this regression analysis</w:t>
      </w:r>
      <w:r w:rsidR="007520EE">
        <w:rPr>
          <w:b/>
        </w:rPr>
        <w:t>.</w:t>
      </w:r>
    </w:p>
    <w:p w14:paraId="66B75B49" w14:textId="77777777" w:rsidR="00EF5C51" w:rsidRDefault="00EF5C51" w:rsidP="001701BF"/>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19CB5611" w:rsidR="003049AB" w:rsidRDefault="003049AB" w:rsidP="003049AB">
      <w:pPr>
        <w:rPr>
          <w:b/>
        </w:rPr>
      </w:pPr>
      <w:r w:rsidRPr="003049AB">
        <w:rPr>
          <w:b/>
        </w:rPr>
        <w:t>We disagree, our findings show that fasting responses at ~10 weeks of age are quite predictive of weight gain, but that the fasting response of a mouse is not stable over time.  This figure is essential to this point as noted in the discussion section:</w:t>
      </w:r>
    </w:p>
    <w:p w14:paraId="0DCA5023" w14:textId="77777777" w:rsidR="007E0977" w:rsidRDefault="007E0977" w:rsidP="003049AB">
      <w:pPr>
        <w:rPr>
          <w:b/>
        </w:rPr>
      </w:pPr>
    </w:p>
    <w:p w14:paraId="25710198" w14:textId="0509788B" w:rsidR="007E0977" w:rsidRDefault="007E0977" w:rsidP="007E0977">
      <w:pPr>
        <w:ind w:left="360"/>
        <w:rPr>
          <w:b/>
          <w:color w:val="FF0000"/>
        </w:rPr>
      </w:pPr>
      <w:r w:rsidRPr="007E0977">
        <w:rPr>
          <w:b/>
          <w:color w:val="FF0000"/>
        </w:rPr>
        <w:t xml:space="preserve">Of note it is interesting that fasting responses themselves are not stable throughout life on a per mouse basis (see Figure 3B).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w:t>
      </w:r>
      <w:bookmarkStart w:id="0" w:name="_GoBack"/>
      <w:bookmarkEnd w:id="0"/>
      <w:r w:rsidR="00C414FC">
        <w:rPr>
          <w:b/>
          <w:color w:val="FF0000"/>
        </w:rPr>
        <w:t xml:space="preserve">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598802D7"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11B36290"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xml:space="preserve">, we believe that these very likely overlap with some of the comments and clarifications suggested by reviewer #1.  This is especially true for reviewer 1’s comments 1, 3 and </w:t>
      </w:r>
      <w:proofErr w:type="gramStart"/>
      <w:r>
        <w:rPr>
          <w:b/>
        </w:rPr>
        <w:t>7 which</w:t>
      </w:r>
      <w:proofErr w:type="gramEnd"/>
      <w:r>
        <w:rPr>
          <w:b/>
        </w:rPr>
        <w:t xml:space="preserve">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7"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24257896"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8" w:history="1">
        <w:r w:rsidRPr="0082040F">
          <w:rPr>
            <w:rStyle w:val="Hyperlink"/>
            <w:b/>
          </w:rPr>
          <w:t>http://www.sherpa.ac.uk/romeo/issn/2090-0708/</w:t>
        </w:r>
      </w:hyperlink>
      <w:r w:rsidRPr="0082040F">
        <w:rPr>
          <w:b/>
        </w:rPr>
        <w:t>) the Journal of Obesity allows posting of pre-prints.   This preprint is identical to the submitted version, and will be updated with this revised version.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72642114" w:rsidR="00617CC1" w:rsidRDefault="00617CC1" w:rsidP="00617CC1">
      <w:pPr>
        <w:pStyle w:val="ListParagraph"/>
        <w:numPr>
          <w:ilvl w:val="0"/>
          <w:numId w:val="3"/>
        </w:numPr>
      </w:pPr>
      <w:r>
        <w:t xml:space="preserve">Based on a suggestion of someone who read the article on </w:t>
      </w:r>
      <w:proofErr w:type="spellStart"/>
      <w:r>
        <w:t>biorxiv</w:t>
      </w:r>
      <w:proofErr w:type="spellEnd"/>
      <w:r>
        <w:t xml:space="preserve">, we tested the assumption that the pre-diet hormones and </w:t>
      </w:r>
      <w:r w:rsidR="0012536A">
        <w:t>body weight gain (both absolute and percent) fit a normal distribution.  We did this via a Shapiro-</w:t>
      </w:r>
      <w:proofErr w:type="spellStart"/>
      <w:r w:rsidR="0012536A">
        <w:t>Wilk</w:t>
      </w:r>
      <w:proofErr w:type="spellEnd"/>
      <w:r w:rsidR="0012536A">
        <w:t xml:space="preserve"> test, and determined that the data were not normally distributed.  Therefore rather than use Pearson’s R to calculate correlations we used Spearman’s Rank Order test, which does not presume normality between covariates.  This </w:t>
      </w:r>
      <w:r w:rsidR="00D51751">
        <w:t>alters</w:t>
      </w:r>
      <w:r w:rsidR="0012536A">
        <w:t xml:space="preserve"> the values in Table 2, and is described as such in the methods section:</w:t>
      </w:r>
    </w:p>
    <w:p w14:paraId="36A7DC2D" w14:textId="77777777" w:rsidR="0012536A" w:rsidRDefault="0012536A" w:rsidP="0012536A">
      <w:pPr>
        <w:pStyle w:val="ListParagraph"/>
      </w:pPr>
    </w:p>
    <w:p w14:paraId="4ACA1E9D" w14:textId="1650641D" w:rsidR="0012536A" w:rsidRDefault="0012536A" w:rsidP="0012536A">
      <w:pPr>
        <w:ind w:left="360"/>
        <w:rPr>
          <w:b/>
          <w:color w:val="FF0000"/>
        </w:rPr>
      </w:pPr>
      <w:proofErr w:type="gramStart"/>
      <w:r w:rsidRPr="0012536A">
        <w:rPr>
          <w:b/>
          <w:color w:val="FF0000"/>
        </w:rPr>
        <w:t>Potential correlations were tested by determining Spearman’s rho after finding that both absolute and percent weight gain did not fit a normal distribution</w:t>
      </w:r>
      <w:proofErr w:type="gramEnd"/>
      <w:r w:rsidRPr="0012536A">
        <w:rPr>
          <w:b/>
          <w:color w:val="FF0000"/>
        </w:rPr>
        <w:t xml:space="preserve"> (Shapiro-</w:t>
      </w:r>
      <w:proofErr w:type="spellStart"/>
      <w:r w:rsidRPr="0012536A">
        <w:rPr>
          <w:b/>
          <w:color w:val="FF0000"/>
        </w:rPr>
        <w:t>Wilk</w:t>
      </w:r>
      <w:proofErr w:type="spellEnd"/>
      <w:r w:rsidRPr="0012536A">
        <w:rPr>
          <w:b/>
          <w:color w:val="FF0000"/>
        </w:rPr>
        <w:t xml:space="preserve"> test p&lt;0.05).  </w:t>
      </w:r>
    </w:p>
    <w:p w14:paraId="332DB4CD" w14:textId="77777777" w:rsidR="00594BC2" w:rsidRDefault="00594BC2" w:rsidP="00594BC2"/>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973AD"/>
    <w:rsid w:val="000C4AA9"/>
    <w:rsid w:val="0012536A"/>
    <w:rsid w:val="001502D6"/>
    <w:rsid w:val="001701BF"/>
    <w:rsid w:val="00197D79"/>
    <w:rsid w:val="00224DF8"/>
    <w:rsid w:val="00257D04"/>
    <w:rsid w:val="003049AB"/>
    <w:rsid w:val="003A791C"/>
    <w:rsid w:val="0045263D"/>
    <w:rsid w:val="00480F77"/>
    <w:rsid w:val="004B4ED6"/>
    <w:rsid w:val="004C309B"/>
    <w:rsid w:val="00552AC8"/>
    <w:rsid w:val="00594BC2"/>
    <w:rsid w:val="005A7923"/>
    <w:rsid w:val="00617CC1"/>
    <w:rsid w:val="00617FF3"/>
    <w:rsid w:val="0065339D"/>
    <w:rsid w:val="00686E64"/>
    <w:rsid w:val="00695369"/>
    <w:rsid w:val="006A270D"/>
    <w:rsid w:val="00701DE8"/>
    <w:rsid w:val="007520EE"/>
    <w:rsid w:val="00774DDD"/>
    <w:rsid w:val="007840C4"/>
    <w:rsid w:val="007B01D8"/>
    <w:rsid w:val="007E0977"/>
    <w:rsid w:val="007E171E"/>
    <w:rsid w:val="00807942"/>
    <w:rsid w:val="0082040F"/>
    <w:rsid w:val="009E609F"/>
    <w:rsid w:val="00A34EF3"/>
    <w:rsid w:val="00A86DD4"/>
    <w:rsid w:val="00A91CAE"/>
    <w:rsid w:val="00A94DF2"/>
    <w:rsid w:val="00AA5EFD"/>
    <w:rsid w:val="00AE1279"/>
    <w:rsid w:val="00B775C2"/>
    <w:rsid w:val="00B879CE"/>
    <w:rsid w:val="00C04A86"/>
    <w:rsid w:val="00C414FC"/>
    <w:rsid w:val="00C452F0"/>
    <w:rsid w:val="00C73CB5"/>
    <w:rsid w:val="00C821B5"/>
    <w:rsid w:val="00CB7625"/>
    <w:rsid w:val="00D26FE4"/>
    <w:rsid w:val="00D51751"/>
    <w:rsid w:val="00D538A4"/>
    <w:rsid w:val="00DC038A"/>
    <w:rsid w:val="00E1186E"/>
    <w:rsid w:val="00E31140"/>
    <w:rsid w:val="00EA33F9"/>
    <w:rsid w:val="00EB52D2"/>
    <w:rsid w:val="00EC716A"/>
    <w:rsid w:val="00EF5C51"/>
    <w:rsid w:val="00F2593F"/>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iorxiv.org/content/early/2014/04/23/004283" TargetMode="External"/><Relationship Id="rId8" Type="http://schemas.openxmlformats.org/officeDocument/2006/relationships/hyperlink" Target="http://www.sherpa.ac.uk/romeo/issn/2090-07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9744</Words>
  <Characters>55545</Characters>
  <Application>Microsoft Macintosh Word</Application>
  <DocSecurity>0</DocSecurity>
  <Lines>462</Lines>
  <Paragraphs>130</Paragraphs>
  <ScaleCrop>false</ScaleCrop>
  <Company>UT-HSC</Company>
  <LinksUpToDate>false</LinksUpToDate>
  <CharactersWithSpaces>65159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27</cp:revision>
  <dcterms:created xsi:type="dcterms:W3CDTF">2014-05-23T11:57:00Z</dcterms:created>
  <dcterms:modified xsi:type="dcterms:W3CDTF">2014-05-29T16:41:00Z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