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3C486C53" w:rsidR="005A7923" w:rsidRPr="005A7923" w:rsidRDefault="00E270C1" w:rsidP="005A7923">
      <w:pPr>
        <w:pStyle w:val="ListParagraph"/>
        <w:ind w:left="360"/>
        <w:rPr>
          <w:b/>
        </w:rPr>
      </w:pPr>
      <w:r>
        <w:rPr>
          <w:b/>
          <w:noProof/>
        </w:rPr>
        <mc:AlternateContent>
          <mc:Choice Requires="wps">
            <w:drawing>
              <wp:anchor distT="0" distB="0" distL="114300" distR="114300" simplePos="0" relativeHeight="251661312" behindDoc="0" locked="0" layoutInCell="1" allowOverlap="1" wp14:anchorId="18D918DC" wp14:editId="10BEEF64">
                <wp:simplePos x="0" y="0"/>
                <wp:positionH relativeFrom="column">
                  <wp:posOffset>2057400</wp:posOffset>
                </wp:positionH>
                <wp:positionV relativeFrom="paragraph">
                  <wp:posOffset>84455</wp:posOffset>
                </wp:positionV>
                <wp:extent cx="3657600" cy="4572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AB1AFF" w:rsidRDefault="00AB1AF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AB1AFF" w:rsidRDefault="00AB1AFF"/>
                          <w:p w14:paraId="4CE42E02" w14:textId="5211A0FC" w:rsidR="00AB1AFF" w:rsidRDefault="00AB1AFF">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6.65pt;width:4in;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" filled="f" stroked="f">
                <v:textbox>
                  <w:txbxContent>
                    <w:p w14:paraId="0959C735" w14:textId="1CEDAEF4" w:rsidR="00E270C1" w:rsidRDefault="00501B5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E270C1" w:rsidRDefault="00E270C1"/>
                    <w:p w14:paraId="4CE42E02" w14:textId="5211A0FC" w:rsidR="00E270C1" w:rsidRDefault="00E270C1">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77777777" w:rsidR="00E270C1" w:rsidRDefault="00E270C1" w:rsidP="000867BA">
      <w:pPr>
        <w:pStyle w:val="ListParagraph"/>
        <w:ind w:left="0"/>
        <w:rPr>
          <w:b/>
        </w:rPr>
      </w:pPr>
    </w:p>
    <w:p w14:paraId="3EF83CEF" w14:textId="7D492088"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1C3C9F3A"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77777777" w:rsidR="00AB1AFF" w:rsidRDefault="00AB1AFF" w:rsidP="000867BA">
      <w:pPr>
        <w:pStyle w:val="ListParagraph"/>
        <w:ind w:left="0"/>
        <w:rPr>
          <w:b/>
        </w:rPr>
      </w:pPr>
    </w:p>
    <w:p w14:paraId="5CB52BF7" w14:textId="4179ED64" w:rsidR="00AB1AFF" w:rsidRPr="00AB1AFF" w:rsidRDefault="00AB1AFF" w:rsidP="00AB1AFF">
      <w:pPr>
        <w:pStyle w:val="ListParagraph"/>
        <w:ind w:left="360"/>
        <w:rPr>
          <w:b/>
          <w:color w:val="FF0000"/>
        </w:rPr>
      </w:pPr>
      <w:bookmarkStart w:id="0" w:name="_GoBack"/>
      <w:r w:rsidRPr="00AB1AFF">
        <w:rPr>
          <w:b/>
          <w:color w:val="FF0000"/>
        </w:rPr>
        <w:t>When a difference or correlation was observed to be significant (or not to be significant) over multiple combined cohorts of mice we also examined each of these cohorts separately.  If the combined trend agreed with ¾ of these cohorts, we used the combined groups with its increased statistical power.  If there was not agreement in ¾ cohorts we do not report this effect as significant, even if the combined analysis suggested it was.</w:t>
      </w:r>
    </w:p>
    <w:bookmarkEnd w:id="0"/>
    <w:p w14:paraId="3F6899F3" w14:textId="649D332C" w:rsidR="00380CA4" w:rsidRPr="00346627" w:rsidRDefault="00380CA4" w:rsidP="000867BA">
      <w:pPr>
        <w:pStyle w:val="ListParagraph"/>
        <w:ind w:left="0"/>
        <w:rPr>
          <w:b/>
        </w:rPr>
      </w:pPr>
    </w:p>
    <w:p w14:paraId="695C9009" w14:textId="77777777" w:rsidR="000867BA" w:rsidRDefault="000867BA" w:rsidP="000867BA">
      <w:pPr>
        <w:pStyle w:val="ListParagraph"/>
        <w:ind w:left="360"/>
      </w:pP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449539C4"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3F9A313B" w:rsidR="00480F77" w:rsidRDefault="00480F77" w:rsidP="00480F77">
      <w:pPr>
        <w:rPr>
          <w:b/>
        </w:rPr>
      </w:pPr>
      <w:r w:rsidRPr="00480F77">
        <w:rPr>
          <w:b/>
        </w:rPr>
        <w:t>Since absolute weight gain data are not included in the revised manusc</w:t>
      </w:r>
      <w:r w:rsidR="00F17272">
        <w:rPr>
          <w:b/>
        </w:rPr>
        <w:t>rip</w:t>
      </w:r>
      <w:r w:rsidR="00380CA4">
        <w:rPr>
          <w:b/>
        </w:rPr>
        <w:t>t they are presented in Figure 2</w:t>
      </w:r>
      <w:r w:rsidR="00F17272">
        <w:rPr>
          <w:b/>
        </w:rPr>
        <w:t xml:space="preserve"> of this response.  </w:t>
      </w:r>
    </w:p>
    <w:p w14:paraId="27591E32" w14:textId="77777777" w:rsidR="00F17272" w:rsidRDefault="00F17272" w:rsidP="00480F77">
      <w:pPr>
        <w:rPr>
          <w:b/>
        </w:rPr>
      </w:pPr>
    </w:p>
    <w:p w14:paraId="03EDF419" w14:textId="2219D902"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45541AC1" w:rsidR="001701BF" w:rsidRDefault="00F17272" w:rsidP="001701BF">
      <w:pPr>
        <w:pStyle w:val="ListParagraph"/>
        <w:numPr>
          <w:ilvl w:val="0"/>
          <w:numId w:val="2"/>
        </w:numPr>
      </w:pPr>
      <w:r>
        <w:rPr>
          <w:b/>
          <w:noProof/>
        </w:rPr>
        <mc:AlternateContent>
          <mc:Choice Requires="wps">
            <w:drawing>
              <wp:anchor distT="0" distB="0" distL="114300" distR="114300" simplePos="0" relativeHeight="251659264" behindDoc="0" locked="0" layoutInCell="1" allowOverlap="1" wp14:anchorId="55B19FDE" wp14:editId="3F5B29A3">
                <wp:simplePos x="0" y="0"/>
                <wp:positionH relativeFrom="column">
                  <wp:posOffset>1943100</wp:posOffset>
                </wp:positionH>
                <wp:positionV relativeFrom="paragraph">
                  <wp:posOffset>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AB1AFF" w:rsidRDefault="00AB1AFF">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AB1AFF" w:rsidRPr="00480F77" w:rsidRDefault="00AB1AFF">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3pt;margin-top:0;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" filled="f" stroked="f">
                <v:textbox>
                  <w:txbxContent>
                    <w:p w14:paraId="1AA79A2F" w14:textId="6E925054" w:rsidR="00E270C1" w:rsidRDefault="00E270C1">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E270C1" w:rsidRPr="00480F77" w:rsidRDefault="00E270C1">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C2429">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11B85C16"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AB1AFF" w:rsidRDefault="00AB1AFF">
                            <w:pPr>
                              <w:rPr>
                                <w:b/>
                              </w:rPr>
                            </w:pPr>
                          </w:p>
                          <w:p w14:paraId="7416059F" w14:textId="07B6C203" w:rsidR="00AB1AFF" w:rsidRDefault="00AB1AFF">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AB1AFF" w:rsidRPr="00B50A5D" w:rsidRDefault="00AB1AFF">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3"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4"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24DF8"/>
    <w:rsid w:val="00257D04"/>
    <w:rsid w:val="003049AB"/>
    <w:rsid w:val="00346627"/>
    <w:rsid w:val="00380CA4"/>
    <w:rsid w:val="003A5DDA"/>
    <w:rsid w:val="003A791C"/>
    <w:rsid w:val="0045263D"/>
    <w:rsid w:val="00480F77"/>
    <w:rsid w:val="004810A3"/>
    <w:rsid w:val="004B4ED6"/>
    <w:rsid w:val="004C309B"/>
    <w:rsid w:val="004C4E28"/>
    <w:rsid w:val="004D2EC5"/>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4124A"/>
    <w:rsid w:val="007520EE"/>
    <w:rsid w:val="00774DDD"/>
    <w:rsid w:val="007840C4"/>
    <w:rsid w:val="007B01D8"/>
    <w:rsid w:val="007E0977"/>
    <w:rsid w:val="007E171E"/>
    <w:rsid w:val="00807942"/>
    <w:rsid w:val="0082040F"/>
    <w:rsid w:val="0090305D"/>
    <w:rsid w:val="009109D7"/>
    <w:rsid w:val="00942102"/>
    <w:rsid w:val="009E609F"/>
    <w:rsid w:val="00A34EF3"/>
    <w:rsid w:val="00A86DD4"/>
    <w:rsid w:val="00A91CAE"/>
    <w:rsid w:val="00A94DF2"/>
    <w:rsid w:val="00AA4F71"/>
    <w:rsid w:val="00AA5EFD"/>
    <w:rsid w:val="00AB1AFF"/>
    <w:rsid w:val="00AE1279"/>
    <w:rsid w:val="00AF4DB9"/>
    <w:rsid w:val="00B3527E"/>
    <w:rsid w:val="00B50A5D"/>
    <w:rsid w:val="00B775C2"/>
    <w:rsid w:val="00B879CE"/>
    <w:rsid w:val="00BD4565"/>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20.png"/><Relationship Id="rId13" Type="http://schemas.openxmlformats.org/officeDocument/2006/relationships/hyperlink" Target="http://biorxiv.org/content/early/2014/04/23/004283" TargetMode="External"/><Relationship Id="rId14" Type="http://schemas.openxmlformats.org/officeDocument/2006/relationships/hyperlink" Target="http://www.sherpa.ac.uk/romeo/issn/2090-070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1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10467</Words>
  <Characters>59663</Characters>
  <Application>Microsoft Macintosh Word</Application>
  <DocSecurity>0</DocSecurity>
  <Lines>497</Lines>
  <Paragraphs>139</Paragraphs>
  <ScaleCrop>false</ScaleCrop>
  <Company>UT-HSC</Company>
  <LinksUpToDate>false</LinksUpToDate>
  <CharactersWithSpaces>69991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50</cp:revision>
  <dcterms:created xsi:type="dcterms:W3CDTF">2014-05-23T11:57:00Z</dcterms:created>
  <dcterms:modified xsi:type="dcterms:W3CDTF">2014-06-16T16:26:00Z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