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B910B2" w:rsidRDefault="00B910B2">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B910B2" w:rsidRDefault="00B910B2"/>
                          <w:p w14:paraId="4CE42E02" w14:textId="5211A0FC" w:rsidR="00B910B2" w:rsidRDefault="00B910B2">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6A5EAC8F" w:rsidR="00AB1AFF" w:rsidRDefault="002E751F"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4D0EE176">
                <wp:simplePos x="0" y="0"/>
                <wp:positionH relativeFrom="column">
                  <wp:posOffset>0</wp:posOffset>
                </wp:positionH>
                <wp:positionV relativeFrom="paragraph">
                  <wp:posOffset>133985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B910B2" w:rsidRDefault="00B910B2" w:rsidP="007E2A90"/>
                          <w:p w14:paraId="5E3A429A" w14:textId="10E3A268" w:rsidR="00B910B2" w:rsidRDefault="00B910B2"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B910B2" w:rsidRPr="004E2286" w:rsidRDefault="00B910B2"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 xml:space="preserve">the </w:t>
                            </w:r>
                            <w:proofErr w:type="spellStart"/>
                            <w:r>
                              <w:t>the</w:t>
                            </w:r>
                            <w:proofErr w:type="spellEnd"/>
                            <w:proofErr w:type="gramEnd"/>
                            <w:r>
                              <w:t xml:space="preserve"> relationship between pre-diet fasting response and weight gain by HFD was   p&lt;0.003 with a Rho</w:t>
                            </w:r>
                            <w:r>
                              <w:rPr>
                                <w:vertAlign w:val="superscript"/>
                              </w:rPr>
                              <w:t>2</w:t>
                            </w:r>
                            <w:r>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0.5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" filled="f" stroked="f">
                <v:textbo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7E2A90" w:rsidRPr="004E2286" w:rsidRDefault="002E751F" w:rsidP="007E2A90">
                      <w:r>
                        <w:rPr>
                          <w:b/>
                        </w:rPr>
                        <w:t>Figure 2</w:t>
                      </w:r>
                      <w:r w:rsidR="007E2A90" w:rsidRPr="00E270C1">
                        <w:rPr>
                          <w:b/>
                        </w:rPr>
                        <w:t xml:space="preserve">: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v:textbox>
                <w10:wrap type="square"/>
              </v:shape>
            </w:pict>
          </mc:Fallback>
        </mc:AlternateContent>
      </w: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proofErr w:type="spellStart"/>
      <w:r w:rsidR="007E2A90">
        <w:rPr>
          <w:b/>
        </w:rPr>
        <w:t>siginificant</w:t>
      </w:r>
      <w:proofErr w:type="spellEnd"/>
      <w:r w:rsidR="007E2A90">
        <w:rPr>
          <w:b/>
        </w:rPr>
        <w:t xml:space="preserve">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4069051" w14:textId="77777777" w:rsidR="00B910B2" w:rsidRDefault="00B910B2" w:rsidP="00B910B2"/>
    <w:p w14:paraId="45382E4C" w14:textId="2D300D11" w:rsidR="00B910B2" w:rsidRDefault="00B910B2" w:rsidP="00B910B2">
      <w:pPr>
        <w:rPr>
          <w:b/>
        </w:rPr>
      </w:pPr>
      <w:r w:rsidRPr="00B910B2">
        <w:rPr>
          <w:b/>
        </w:rPr>
        <w:t>We have now clarified throughout the manuscript both relative and absolute weight loss and weight gain, and which effects were significant.</w:t>
      </w:r>
      <w:r>
        <w:rPr>
          <w:b/>
        </w:rPr>
        <w:t xml:space="preserve">  For Figure 3 (now Figure 2), </w:t>
      </w:r>
      <w:r w:rsidR="00C8232A">
        <w:rPr>
          <w:b/>
        </w:rPr>
        <w:t xml:space="preserve">we present only one set of graphs for space reasons, but describe weight loss in </w:t>
      </w:r>
      <w:proofErr w:type="gramStart"/>
      <w:r w:rsidR="00C8232A">
        <w:rPr>
          <w:b/>
        </w:rPr>
        <w:t>both absolute (g lost) or</w:t>
      </w:r>
      <w:proofErr w:type="gramEnd"/>
      <w:r w:rsidR="00C8232A">
        <w:rPr>
          <w:b/>
        </w:rPr>
        <w:t xml:space="preserve"> relative (% loss) terms throughout.  For example:</w:t>
      </w:r>
    </w:p>
    <w:p w14:paraId="3815CEA9" w14:textId="77777777" w:rsidR="00C8232A" w:rsidRDefault="00C8232A" w:rsidP="00B910B2">
      <w:pPr>
        <w:rPr>
          <w:b/>
        </w:rPr>
      </w:pPr>
    </w:p>
    <w:p w14:paraId="76E825B1" w14:textId="42FADE54" w:rsidR="00C8232A" w:rsidRPr="00C8232A" w:rsidRDefault="00C8232A" w:rsidP="00C8232A">
      <w:pPr>
        <w:ind w:left="720"/>
        <w:rPr>
          <w:b/>
          <w:color w:val="FF0000"/>
        </w:rPr>
      </w:pPr>
      <w:r w:rsidRPr="00C8232A">
        <w:rPr>
          <w:b/>
          <w:color w:val="FF0000"/>
        </w:rPr>
        <w:t>Fasting responses, as measured by either absolute or percent reductions in body weight were stable within NCD fed male C57BL/6J mice over time (Figure 2A, Rho</w:t>
      </w:r>
      <w:r w:rsidRPr="00C8232A">
        <w:rPr>
          <w:b/>
          <w:color w:val="FF0000"/>
          <w:vertAlign w:val="superscript"/>
        </w:rPr>
        <w:t>2</w:t>
      </w:r>
      <w:r w:rsidRPr="00C8232A">
        <w:rPr>
          <w:b/>
          <w:color w:val="FF0000"/>
        </w:rPr>
        <w:t>&lt;0.02, p&gt;0.26), and only weakly correlated with the pre-diet weight fasting responses within mice in either relative or absolute terms</w:t>
      </w:r>
      <w:r w:rsidRPr="00C8232A">
        <w:rPr>
          <w:rStyle w:val="CommentReference"/>
          <w:b/>
          <w:color w:val="FF0000"/>
        </w:rPr>
        <w:t xml:space="preserve"> </w:t>
      </w:r>
      <w:r w:rsidRPr="00C8232A">
        <w:rPr>
          <w:b/>
          <w:color w:val="FF0000"/>
        </w:rPr>
        <w:t>(Figure 2B, Rho</w:t>
      </w:r>
      <w:r w:rsidRPr="00C8232A">
        <w:rPr>
          <w:b/>
          <w:color w:val="FF0000"/>
          <w:vertAlign w:val="superscript"/>
        </w:rPr>
        <w:t>2</w:t>
      </w:r>
      <w:r w:rsidRPr="00C8232A">
        <w:rPr>
          <w:b/>
          <w:color w:val="FF0000"/>
        </w:rPr>
        <w:t>&lt;0.12, p&lt;0.019 for HFD and Rho</w:t>
      </w:r>
      <w:r w:rsidRPr="00C8232A">
        <w:rPr>
          <w:b/>
          <w:color w:val="FF0000"/>
          <w:vertAlign w:val="superscript"/>
        </w:rPr>
        <w:t>2</w:t>
      </w:r>
      <w:r w:rsidRPr="00C8232A">
        <w:rPr>
          <w:b/>
          <w:color w:val="FF0000"/>
        </w:rPr>
        <w:t xml:space="preserve">&lt;0.153,p&lt;0.031 for CD).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69A4BC29" w:rsidR="00480F77" w:rsidRDefault="00C8232A"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6FD35A51">
                <wp:simplePos x="0" y="0"/>
                <wp:positionH relativeFrom="column">
                  <wp:posOffset>2057400</wp:posOffset>
                </wp:positionH>
                <wp:positionV relativeFrom="paragraph">
                  <wp:posOffset>84455</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B910B2" w:rsidRDefault="00B910B2">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B910B2" w:rsidRPr="00480F77" w:rsidRDefault="00B910B2">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left:0;text-align:left;margin-left:162pt;margin-top:6.6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" filled="f" stroked="f">
                <v:textbox>
                  <w:txbxContent>
                    <w:p w14:paraId="1AA79A2F" w14:textId="6E925054" w:rsidR="00B910B2" w:rsidRDefault="00B910B2">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B910B2" w:rsidRPr="00480F77" w:rsidRDefault="00B910B2">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60BDBA66"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02BC38F8" w:rsidR="00EF5C51" w:rsidRDefault="00C8232A" w:rsidP="00EF5C51">
      <w:pPr>
        <w:ind w:left="360"/>
        <w:rPr>
          <w:b/>
          <w:color w:val="FF0000"/>
        </w:rPr>
      </w:pPr>
      <w:bookmarkStart w:id="0" w:name="_GoBack"/>
      <w:r>
        <w:rPr>
          <w:b/>
          <w:noProof/>
        </w:rPr>
        <mc:AlternateContent>
          <mc:Choice Requires="wps">
            <w:drawing>
              <wp:anchor distT="0" distB="0" distL="114300" distR="114300" simplePos="0" relativeHeight="251660288" behindDoc="0" locked="0" layoutInCell="1" allowOverlap="1" wp14:anchorId="1E149CD2" wp14:editId="09E23CEB">
                <wp:simplePos x="0" y="0"/>
                <wp:positionH relativeFrom="column">
                  <wp:posOffset>2400300</wp:posOffset>
                </wp:positionH>
                <wp:positionV relativeFrom="paragraph">
                  <wp:posOffset>98425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B910B2" w:rsidRDefault="00B910B2">
                            <w:pPr>
                              <w:rPr>
                                <w:b/>
                              </w:rPr>
                            </w:pPr>
                          </w:p>
                          <w:p w14:paraId="7416059F" w14:textId="07B6C203" w:rsidR="00B910B2" w:rsidRDefault="00B910B2">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B910B2" w:rsidRPr="00B50A5D" w:rsidRDefault="00B910B2">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189pt;margin-top:7.7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" filled="f" stroked="f">
                <v:textbox>
                  <w:txbxContent>
                    <w:p w14:paraId="1359F2FE" w14:textId="67C3BA8D" w:rsidR="00B910B2" w:rsidRDefault="00B910B2">
                      <w:pPr>
                        <w:rPr>
                          <w:b/>
                        </w:rPr>
                      </w:pPr>
                    </w:p>
                    <w:p w14:paraId="7416059F" w14:textId="07B6C203" w:rsidR="00B910B2" w:rsidRDefault="00B910B2">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B910B2" w:rsidRPr="00B50A5D" w:rsidRDefault="00B910B2">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bookmarkEnd w:id="0"/>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09FE7ADD"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removed.  The sentence now reads:</w:t>
      </w:r>
    </w:p>
    <w:p w14:paraId="5B067BE0" w14:textId="77777777" w:rsidR="00F75FBF" w:rsidRDefault="00F75FBF" w:rsidP="00F75FBF">
      <w:pPr>
        <w:rPr>
          <w:b/>
        </w:rPr>
      </w:pPr>
    </w:p>
    <w:p w14:paraId="594F6D4E" w14:textId="57211E27"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AE9BC3" w14:textId="77777777" w:rsidR="00ED7494" w:rsidRDefault="00ED7494" w:rsidP="00ED7494"/>
    <w:p w14:paraId="1A790CFB" w14:textId="19E3A626" w:rsidR="00ED7494" w:rsidRPr="00ED7494" w:rsidRDefault="00ED7494" w:rsidP="00ED7494">
      <w:pPr>
        <w:rPr>
          <w:b/>
        </w:rPr>
      </w:pPr>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essential that these negative data </w:t>
      </w:r>
      <w:proofErr w:type="gramStart"/>
      <w:r>
        <w:rPr>
          <w:b/>
        </w:rPr>
        <w:t>are</w:t>
      </w:r>
      <w:proofErr w:type="gramEnd"/>
      <w:r>
        <w:rPr>
          <w:b/>
        </w:rPr>
        <w:t xml:space="preserve"> reported.</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2"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7666BDFE"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3"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E609F"/>
    <w:rsid w:val="00A01EEE"/>
    <w:rsid w:val="00A34EF3"/>
    <w:rsid w:val="00A86DD4"/>
    <w:rsid w:val="00A91CAE"/>
    <w:rsid w:val="00A94DF2"/>
    <w:rsid w:val="00AA4F71"/>
    <w:rsid w:val="00AA5EFD"/>
    <w:rsid w:val="00AB1AFF"/>
    <w:rsid w:val="00AD279E"/>
    <w:rsid w:val="00AE1279"/>
    <w:rsid w:val="00AF4DB9"/>
    <w:rsid w:val="00B3527E"/>
    <w:rsid w:val="00B50A5D"/>
    <w:rsid w:val="00B775C2"/>
    <w:rsid w:val="00B843A9"/>
    <w:rsid w:val="00B879CE"/>
    <w:rsid w:val="00B910B2"/>
    <w:rsid w:val="00BD4565"/>
    <w:rsid w:val="00C04A86"/>
    <w:rsid w:val="00C0523D"/>
    <w:rsid w:val="00C3790F"/>
    <w:rsid w:val="00C414FC"/>
    <w:rsid w:val="00C452F0"/>
    <w:rsid w:val="00C5168C"/>
    <w:rsid w:val="00C73CB5"/>
    <w:rsid w:val="00C821B5"/>
    <w:rsid w:val="00C8232A"/>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D7494"/>
    <w:rsid w:val="00EF5C51"/>
    <w:rsid w:val="00F17272"/>
    <w:rsid w:val="00F2593F"/>
    <w:rsid w:val="00F75FB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biorxiv.org/content/early/2014/04/23/004283" TargetMode="External"/><Relationship Id="rId13" Type="http://schemas.openxmlformats.org/officeDocument/2006/relationships/hyperlink" Target="http://www.sherpa.ac.uk/romeo/issn/2090-070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10686</Words>
  <Characters>60912</Characters>
  <Application>Microsoft Macintosh Word</Application>
  <DocSecurity>0</DocSecurity>
  <Lines>507</Lines>
  <Paragraphs>142</Paragraphs>
  <ScaleCrop>false</ScaleCrop>
  <Company>UT-HSC</Company>
  <LinksUpToDate>false</LinksUpToDate>
  <CharactersWithSpaces>71456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58</cp:revision>
  <dcterms:created xsi:type="dcterms:W3CDTF">2014-05-23T11:57:00Z</dcterms:created>
  <dcterms:modified xsi:type="dcterms:W3CDTF">2014-06-17T17:01:00Z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