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7AE6D7BE"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983FBA">
        <w:rPr>
          <w:b/>
        </w:rPr>
        <w:t xml:space="preserve"> </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We checked with the vendors and we have updated Table 1 accordingly.  The percentages are given as % of calories, but maltodextran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Note that there are seasonal variations in the composition of the Teklad diet, and therefore these numbers are reasonable estimates on a batch to batch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Why was a 16h fast chosen? This should be discussed, this is prolonged and likely induces some stress, could stress susceptibility be a factor related to weight gain? Can cortisol be assessed?</w:t>
      </w:r>
    </w:p>
    <w:p w14:paraId="1992ECE2" w14:textId="77777777" w:rsidR="00686E64" w:rsidRDefault="00686E64" w:rsidP="00686E64"/>
    <w:p w14:paraId="7A10629D" w14:textId="7791CB57"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E84CD6">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E84CD6">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r w:rsidR="00257D04">
        <w:rPr>
          <w:b/>
        </w:rPr>
        <w:t xml:space="preserve">issue </w:t>
      </w:r>
      <w:r w:rsidR="00E31140">
        <w:rPr>
          <w:b/>
        </w:rPr>
        <w:t xml:space="preserve"> </w:t>
      </w:r>
      <w:r w:rsidR="00257D04">
        <w:rPr>
          <w:b/>
        </w:rPr>
        <w:t xml:space="preserve">in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60C0DB4F"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E84CD6">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EF4F8AA" w:rsidR="00594BC2" w:rsidRPr="00594BC2" w:rsidRDefault="00594BC2" w:rsidP="00A94DF2">
      <w:pPr>
        <w:ind w:left="360"/>
        <w:rPr>
          <w:b/>
          <w:color w:val="FF0000"/>
        </w:rPr>
      </w:pPr>
      <w:r w:rsidRPr="00594BC2">
        <w:rPr>
          <w:b/>
          <w:color w:val="FF0000"/>
        </w:rPr>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E84CD6">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ghrein and </w:t>
      </w:r>
      <w:r>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631F96" w:rsidRDefault="00631F96">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631F96" w:rsidRDefault="00631F96"/>
                          <w:p w14:paraId="4CE42E02" w14:textId="5211A0FC" w:rsidR="00631F96" w:rsidRDefault="00631F96">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631F96" w:rsidRDefault="00631F96">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631F96" w:rsidRDefault="00631F96"/>
                    <w:p w14:paraId="4CE42E02" w14:textId="5211A0FC" w:rsidR="00631F96" w:rsidRDefault="00631F96">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6A5EAC8F" w:rsidR="00AB1AFF" w:rsidRDefault="002E751F"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4D0EE176">
                <wp:simplePos x="0" y="0"/>
                <wp:positionH relativeFrom="column">
                  <wp:posOffset>0</wp:posOffset>
                </wp:positionH>
                <wp:positionV relativeFrom="paragraph">
                  <wp:posOffset>133985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631F96" w:rsidRDefault="00631F96" w:rsidP="007E2A90"/>
                          <w:p w14:paraId="5E3A429A" w14:textId="10E3A268" w:rsidR="00631F96" w:rsidRDefault="00631F9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631F96" w:rsidRPr="004E2286" w:rsidRDefault="00631F96" w:rsidP="007E2A90">
                            <w:r>
                              <w:rPr>
                                <w:b/>
                              </w:rPr>
                              <w:t>Figure 2</w:t>
                            </w:r>
                            <w:r w:rsidRPr="00E270C1">
                              <w:rPr>
                                <w:b/>
                              </w:rPr>
                              <w:t xml:space="preserve">: Cohort </w:t>
                            </w:r>
                            <w:r>
                              <w:rPr>
                                <w:b/>
                              </w:rPr>
                              <w:t>separated effects of pre-diet fasting response to weight gain during HFD.</w:t>
                            </w:r>
                            <w:r>
                              <w:t xml:space="preserve">  In both cohorts, the the relationship between pre-diet fasting response and weight gain by HFD was   p&lt;0.003 with a Rho</w:t>
                            </w:r>
                            <w:r>
                              <w:rPr>
                                <w:vertAlign w:val="superscript"/>
                              </w:rPr>
                              <w:t>2</w:t>
                            </w:r>
                            <w:r>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0.5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MCjtECAAAW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" filled="f" stroked="f">
                <v:textbox>
                  <w:txbxContent>
                    <w:p w14:paraId="7DFC9703" w14:textId="72991E61" w:rsidR="00631F96" w:rsidRDefault="00631F96" w:rsidP="007E2A90"/>
                    <w:p w14:paraId="5E3A429A" w14:textId="10E3A268" w:rsidR="00631F96" w:rsidRDefault="00631F9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631F96" w:rsidRPr="004E2286" w:rsidRDefault="00631F96" w:rsidP="007E2A90">
                      <w:r>
                        <w:rPr>
                          <w:b/>
                        </w:rPr>
                        <w:t>Figure 2</w:t>
                      </w:r>
                      <w:r w:rsidRPr="00E270C1">
                        <w:rPr>
                          <w:b/>
                        </w:rPr>
                        <w:t xml:space="preserve">: Cohort </w:t>
                      </w:r>
                      <w:r>
                        <w:rPr>
                          <w:b/>
                        </w:rPr>
                        <w:t>separated effects of pre-diet fasting response to weight gain during HFD.</w:t>
                      </w:r>
                      <w:r>
                        <w:t xml:space="preserve">  In both cohorts, the the relationship between pre-diet fasting response and weight gain by HFD was   p&lt;0.003 with a Rho</w:t>
                      </w:r>
                      <w:r>
                        <w:rPr>
                          <w:vertAlign w:val="superscript"/>
                        </w:rPr>
                        <w:t>2</w:t>
                      </w:r>
                      <w:r>
                        <w:t xml:space="preserve"> of &gt;0.33.</w:t>
                      </w:r>
                    </w:p>
                  </w:txbxContent>
                </v:textbox>
                <w10:wrap type="square"/>
              </v:shape>
            </w:pict>
          </mc:Fallback>
        </mc:AlternateContent>
      </w: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r w:rsidR="007E2A90">
        <w:rPr>
          <w:b/>
        </w:rPr>
        <w:t>siginificant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4069051" w14:textId="77777777" w:rsidR="00B910B2" w:rsidRDefault="00B910B2" w:rsidP="00B910B2"/>
    <w:p w14:paraId="45382E4C" w14:textId="2D300D11" w:rsidR="00B910B2" w:rsidRDefault="00B910B2" w:rsidP="00B910B2">
      <w:pPr>
        <w:rPr>
          <w:b/>
        </w:rPr>
      </w:pPr>
      <w:r w:rsidRPr="00B910B2">
        <w:rPr>
          <w:b/>
        </w:rPr>
        <w:t>We have now clarified throughout the manuscript both relative and absolute weight loss and weight gain, and which effects were significant.</w:t>
      </w:r>
      <w:r>
        <w:rPr>
          <w:b/>
        </w:rPr>
        <w:t xml:space="preserve">  For Figure 3 (now Figure 2), </w:t>
      </w:r>
      <w:r w:rsidR="00C8232A">
        <w:rPr>
          <w:b/>
        </w:rPr>
        <w:t>we present only one set of graphs for space reasons, but describe weight loss in both absolute (g lost) or relative (% loss) terms throughout.  For example:</w:t>
      </w:r>
    </w:p>
    <w:p w14:paraId="3815CEA9" w14:textId="77777777" w:rsidR="00C8232A" w:rsidRDefault="00C8232A" w:rsidP="00B910B2">
      <w:pPr>
        <w:rPr>
          <w:b/>
        </w:rPr>
      </w:pPr>
    </w:p>
    <w:p w14:paraId="76E825B1" w14:textId="42FADE54" w:rsidR="00C8232A" w:rsidRPr="00C8232A" w:rsidRDefault="00C8232A" w:rsidP="00C8232A">
      <w:pPr>
        <w:ind w:left="720"/>
        <w:rPr>
          <w:b/>
          <w:color w:val="FF0000"/>
        </w:rPr>
      </w:pPr>
      <w:r w:rsidRPr="00C8232A">
        <w:rPr>
          <w:b/>
          <w:color w:val="FF0000"/>
        </w:rPr>
        <w:t>Fasting responses, as measured by either absolute or percent reductions in body weight were stable within NCD fed male C57BL/6J mice over time (Figure 2A, Rho</w:t>
      </w:r>
      <w:r w:rsidRPr="00C8232A">
        <w:rPr>
          <w:b/>
          <w:color w:val="FF0000"/>
          <w:vertAlign w:val="superscript"/>
        </w:rPr>
        <w:t>2</w:t>
      </w:r>
      <w:r w:rsidRPr="00C8232A">
        <w:rPr>
          <w:b/>
          <w:color w:val="FF0000"/>
        </w:rPr>
        <w:t>&lt;0.02, p&gt;0.26), and only weakly correlated with the pre-diet weight fasting responses within mice in either relative or absolute terms</w:t>
      </w:r>
      <w:r w:rsidRPr="00C8232A">
        <w:rPr>
          <w:rStyle w:val="CommentReference"/>
          <w:b/>
          <w:color w:val="FF0000"/>
        </w:rPr>
        <w:t xml:space="preserve"> </w:t>
      </w:r>
      <w:r w:rsidRPr="00C8232A">
        <w:rPr>
          <w:b/>
          <w:color w:val="FF0000"/>
        </w:rPr>
        <w:t>(Figure 2B, Rho</w:t>
      </w:r>
      <w:r w:rsidRPr="00C8232A">
        <w:rPr>
          <w:b/>
          <w:color w:val="FF0000"/>
          <w:vertAlign w:val="superscript"/>
        </w:rPr>
        <w:t>2</w:t>
      </w:r>
      <w:r w:rsidRPr="00C8232A">
        <w:rPr>
          <w:b/>
          <w:color w:val="FF0000"/>
        </w:rPr>
        <w:t>&lt;0.12, p&lt;0.019 for HFD and Rho</w:t>
      </w:r>
      <w:r w:rsidRPr="00C8232A">
        <w:rPr>
          <w:b/>
          <w:color w:val="FF0000"/>
          <w:vertAlign w:val="superscript"/>
        </w:rPr>
        <w:t>2</w:t>
      </w:r>
      <w:r w:rsidRPr="00C8232A">
        <w:rPr>
          <w:b/>
          <w:color w:val="FF0000"/>
        </w:rPr>
        <w:t xml:space="preserve">&lt;0.153,p&lt;0.031 for CD).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69A4BC29" w:rsidR="00480F77" w:rsidRDefault="00C8232A"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6FD35A51">
                <wp:simplePos x="0" y="0"/>
                <wp:positionH relativeFrom="column">
                  <wp:posOffset>2057400</wp:posOffset>
                </wp:positionH>
                <wp:positionV relativeFrom="paragraph">
                  <wp:posOffset>84455</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631F96" w:rsidRDefault="00631F96">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631F96" w:rsidRPr="00480F77" w:rsidRDefault="00631F96">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62pt;margin-top:6.6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" filled="f" stroked="f">
                <v:textbox>
                  <w:txbxContent>
                    <w:p w14:paraId="1AA79A2F" w14:textId="6E925054" w:rsidR="00631F96" w:rsidRDefault="00631F96">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631F96" w:rsidRPr="00480F77" w:rsidRDefault="00631F96">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60BDBA66"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02BC38F8" w:rsidR="00EF5C51" w:rsidRDefault="00C8232A" w:rsidP="00EF5C51">
      <w:pPr>
        <w:ind w:left="360"/>
        <w:rPr>
          <w:b/>
          <w:color w:val="FF0000"/>
        </w:rPr>
      </w:pPr>
      <w:r>
        <w:rPr>
          <w:b/>
          <w:noProof/>
        </w:rPr>
        <mc:AlternateContent>
          <mc:Choice Requires="wps">
            <w:drawing>
              <wp:anchor distT="0" distB="0" distL="114300" distR="114300" simplePos="0" relativeHeight="251660288" behindDoc="0" locked="0" layoutInCell="1" allowOverlap="1" wp14:anchorId="1E149CD2" wp14:editId="09E23CEB">
                <wp:simplePos x="0" y="0"/>
                <wp:positionH relativeFrom="column">
                  <wp:posOffset>2400300</wp:posOffset>
                </wp:positionH>
                <wp:positionV relativeFrom="paragraph">
                  <wp:posOffset>98425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631F96" w:rsidRDefault="00631F96">
                            <w:pPr>
                              <w:rPr>
                                <w:b/>
                              </w:rPr>
                            </w:pPr>
                          </w:p>
                          <w:p w14:paraId="7416059F" w14:textId="07B6C203" w:rsidR="00631F96" w:rsidRDefault="00631F96">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631F96" w:rsidRPr="00B50A5D" w:rsidRDefault="00631F96">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189pt;margin-top:7.7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" filled="f" stroked="f">
                <v:textbox>
                  <w:txbxContent>
                    <w:p w14:paraId="1359F2FE" w14:textId="67C3BA8D" w:rsidR="00631F96" w:rsidRDefault="00631F96">
                      <w:pPr>
                        <w:rPr>
                          <w:b/>
                        </w:rPr>
                      </w:pPr>
                    </w:p>
                    <w:p w14:paraId="7416059F" w14:textId="07B6C203" w:rsidR="00631F96" w:rsidRDefault="00631F96">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631F96" w:rsidRPr="00B50A5D" w:rsidRDefault="00631F96">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47783BBA" w14:textId="7D47E570" w:rsidR="00EF5C51" w:rsidRDefault="00EF5C51" w:rsidP="00EF5C51">
      <w:pPr>
        <w:pStyle w:val="ListParagraph"/>
        <w:numPr>
          <w:ilvl w:val="0"/>
          <w:numId w:val="2"/>
        </w:numPr>
      </w:pPr>
      <w:r>
        <w:t xml:space="preserve">There were also 2 outliers, did results include these individuals? </w:t>
      </w:r>
    </w:p>
    <w:p w14:paraId="1253792F" w14:textId="40E234AC" w:rsidR="00EF5C51" w:rsidRDefault="00EF5C51" w:rsidP="00EF5C51">
      <w:pPr>
        <w:pStyle w:val="ListParagraph"/>
        <w:ind w:left="360"/>
      </w:pPr>
    </w:p>
    <w:p w14:paraId="66B75B49" w14:textId="09FE7ADD"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1CB9D666"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E84CD6">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E84CD6">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removed.  The sentence now reads:</w:t>
      </w:r>
    </w:p>
    <w:p w14:paraId="5B067BE0" w14:textId="77777777" w:rsidR="00F75FBF" w:rsidRDefault="00F75FBF" w:rsidP="00F75FBF">
      <w:pPr>
        <w:rPr>
          <w:b/>
        </w:rPr>
      </w:pPr>
    </w:p>
    <w:p w14:paraId="594F6D4E" w14:textId="57211E27"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This has been fixed,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r>
        <w:t xml:space="preserve">Figures 2 is not significant and could be removed. </w:t>
      </w:r>
    </w:p>
    <w:p w14:paraId="59AE9BC3" w14:textId="77777777" w:rsidR="00ED7494" w:rsidRDefault="00ED7494" w:rsidP="00ED7494"/>
    <w:p w14:paraId="1A790CFB" w14:textId="19E3A626" w:rsidR="00ED7494" w:rsidRPr="00ED7494" w:rsidRDefault="00ED7494" w:rsidP="00ED7494">
      <w:pPr>
        <w:rPr>
          <w:b/>
        </w:rPr>
      </w:pPr>
      <w:r>
        <w:rPr>
          <w:b/>
        </w:rPr>
        <w:t>Figure 2 (now Figure 1) is important even though there were no significant differences detected.  Of course, the absence of proof is not proof of an absence, but these results, as well as those in Table 2 rule out some common possibilities of predictors of weight gain.  We feel it is essential that these negative data are reported.</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330884AF" w:rsidR="0065339D" w:rsidRPr="0065339D" w:rsidRDefault="0065339D" w:rsidP="00774DDD">
      <w:pPr>
        <w:ind w:left="36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sidR="00E84CD6">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biorxiv already. </w:t>
      </w:r>
      <w:hyperlink r:id="rId10"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572CA2B9"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Biorxiv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E84CD6">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E84CD6">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SHERPA/RoMEO database (</w:t>
      </w:r>
      <w:hyperlink r:id="rId11"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biorxiv, we tested the assumption that the pre-diet hormones and </w:t>
      </w:r>
      <w:r w:rsidR="0012536A" w:rsidRPr="00D966C7">
        <w:rPr>
          <w:b/>
        </w:rPr>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pPr>
        <w:rPr>
          <w:b/>
          <w:color w:val="FF0000"/>
        </w:rPr>
      </w:pPr>
      <w:r w:rsidRPr="004810A3">
        <w:rPr>
          <w:b/>
          <w:color w:val="FF0000"/>
        </w:rPr>
        <w:t xml:space="preserve">Correlations were determined using Spearman’s rho after testing whether the covariates were normally distributed (Shapiro-Wilk test p&lt;0.05).  </w:t>
      </w:r>
    </w:p>
    <w:p w14:paraId="49990D25" w14:textId="77777777" w:rsidR="00AA62A6" w:rsidRDefault="00AA62A6" w:rsidP="00594BC2">
      <w:pPr>
        <w:rPr>
          <w:b/>
          <w:color w:val="FF0000"/>
        </w:rPr>
      </w:pPr>
    </w:p>
    <w:p w14:paraId="0F9A1D3C" w14:textId="390E1951" w:rsidR="00AA62A6" w:rsidRPr="00AA62A6" w:rsidRDefault="00AA62A6" w:rsidP="00AA62A6">
      <w:pPr>
        <w:pStyle w:val="ListParagraph"/>
        <w:numPr>
          <w:ilvl w:val="0"/>
          <w:numId w:val="3"/>
        </w:numPr>
        <w:rPr>
          <w:b/>
        </w:rPr>
      </w:pPr>
      <w:r w:rsidRPr="00AA62A6">
        <w:rPr>
          <w:b/>
        </w:rPr>
        <w:t>Another colleague pointed out that we observe the negative correlation between fasting responses and weight gain for both diets, indicating that this is potentially an epiphenomena rather than a diet-specific effect.  We brought up this point in the discussion:</w:t>
      </w:r>
    </w:p>
    <w:p w14:paraId="5B893048" w14:textId="77777777" w:rsidR="00AA62A6" w:rsidRDefault="00AA62A6" w:rsidP="00AA62A6"/>
    <w:p w14:paraId="468D745F" w14:textId="77777777" w:rsidR="00AA62A6" w:rsidRDefault="00AA62A6" w:rsidP="00AA62A6">
      <w:pPr>
        <w:rPr>
          <w:b/>
          <w:color w:val="FF0000"/>
        </w:rPr>
      </w:pPr>
      <w:r w:rsidRPr="00AA62A6">
        <w:rPr>
          <w:b/>
          <w:color w:val="FF0000"/>
        </w:rPr>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6C20EF69" w14:textId="611BDB42" w:rsidR="00AA62A6" w:rsidRPr="00E84CD6" w:rsidRDefault="00E84CD6" w:rsidP="00AA62A6">
      <w:pPr>
        <w:pStyle w:val="ListParagraph"/>
        <w:numPr>
          <w:ilvl w:val="0"/>
          <w:numId w:val="3"/>
        </w:numPr>
        <w:rPr>
          <w:b/>
        </w:rPr>
      </w:pPr>
      <w:r w:rsidRPr="00E84CD6">
        <w:rPr>
          <w:b/>
        </w:rPr>
        <w:t>Another comment was that the</w:t>
      </w:r>
      <w:bookmarkStart w:id="0" w:name="_GoBack"/>
      <w:bookmarkEnd w:id="0"/>
      <w:r w:rsidRPr="00E84CD6">
        <w:rPr>
          <w:b/>
        </w:rPr>
        <w:t xml:space="preserve">re was a relatively recent paper that discussed the influence of pre-diet fat mass on weight gain in mice </w:t>
      </w:r>
      <w:r w:rsidRPr="00E84CD6">
        <w:rPr>
          <w:b/>
        </w:rPr>
        <w:fldChar w:fldCharType="begin" w:fldLock="1"/>
      </w:r>
      <w:r>
        <w:rPr>
          <w:b/>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"[17]" }, "properties" : { "noteIndex" : 0 }, "schema" : "https://github.com/citation-style-language/schema/raw/master/csl-citation.json" }</w:instrText>
      </w:r>
      <w:r w:rsidRPr="00E84CD6">
        <w:rPr>
          <w:b/>
        </w:rPr>
        <w:fldChar w:fldCharType="separate"/>
      </w:r>
      <w:r w:rsidRPr="00E84CD6">
        <w:rPr>
          <w:b/>
          <w:noProof/>
        </w:rPr>
        <w:t>[17]</w:t>
      </w:r>
      <w:r w:rsidRPr="00E84CD6">
        <w:rPr>
          <w:b/>
        </w:rPr>
        <w:fldChar w:fldCharType="end"/>
      </w:r>
      <w:r w:rsidRPr="00E84CD6">
        <w:rPr>
          <w:b/>
        </w:rPr>
        <w:t>.  We had overlooked this study previously and have included its findings in our discussion section:</w:t>
      </w:r>
    </w:p>
    <w:p w14:paraId="1176C9E8" w14:textId="77777777" w:rsidR="00E84CD6" w:rsidRPr="00E84CD6" w:rsidRDefault="00E84CD6" w:rsidP="00E84CD6">
      <w:pPr>
        <w:pStyle w:val="ListParagraph"/>
        <w:rPr>
          <w:b/>
        </w:rPr>
      </w:pPr>
    </w:p>
    <w:p w14:paraId="1D264F1C" w14:textId="19707DBB" w:rsidR="00E84CD6" w:rsidRPr="00E84CD6" w:rsidRDefault="00E84CD6" w:rsidP="00E84CD6">
      <w:pPr>
        <w:rPr>
          <w:b/>
          <w:color w:val="FF0000"/>
        </w:rPr>
      </w:pPr>
      <w:r w:rsidRPr="00E84CD6">
        <w:rPr>
          <w:b/>
          <w:color w:val="FF0000"/>
        </w:rPr>
        <w:t xml:space="preserve">The negative relationship between fasting responses and weight gain is similar in magnitude to the positive relationship between absolute fat mass on HFD-induced weight gain in mice </w:t>
      </w:r>
      <w:r w:rsidRPr="00E84CD6">
        <w:rPr>
          <w:b/>
          <w:color w:val="FF0000"/>
        </w:rPr>
        <w:fldChar w:fldCharType="begin" w:fldLock="1"/>
      </w:r>
      <w:r>
        <w:rPr>
          <w:b/>
          <w:color w:val="FF0000"/>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"[17]" }, "properties" : { "noteIndex" : 0 }, "schema" : "https://github.com/citation-style-language/schema/raw/master/csl-citation.json" }</w:instrText>
      </w:r>
      <w:r w:rsidRPr="00E84CD6">
        <w:rPr>
          <w:b/>
          <w:color w:val="FF0000"/>
        </w:rPr>
        <w:fldChar w:fldCharType="separate"/>
      </w:r>
      <w:r w:rsidRPr="00E84CD6">
        <w:rPr>
          <w:noProof/>
          <w:color w:val="FF0000"/>
        </w:rPr>
        <w:t>[17]</w:t>
      </w:r>
      <w:r w:rsidRPr="00E84CD6">
        <w:rPr>
          <w:b/>
          <w:color w:val="FF0000"/>
        </w:rPr>
        <w:fldChar w:fldCharType="end"/>
      </w:r>
      <w:r w:rsidRPr="00E84CD6">
        <w:rPr>
          <w:b/>
          <w:color w:val="FF0000"/>
        </w:rPr>
        <w:t>. It is possible that young mice that have larger fat stores are able to lose more weight in response to fasting than lean mice and that fasting responses and fat mass levels are related, both to teach other and to predicting weight gain during HFD feeding.</w:t>
      </w:r>
    </w:p>
    <w:p w14:paraId="46865EC6" w14:textId="77777777" w:rsidR="00E84CD6" w:rsidRDefault="00E84CD6" w:rsidP="00E84CD6"/>
    <w:p w14:paraId="7CA4823B" w14:textId="4E25081F" w:rsidR="00594BC2" w:rsidRDefault="00594BC2" w:rsidP="0065339D">
      <w:pPr>
        <w:pStyle w:val="Heading2"/>
      </w:pPr>
      <w:r>
        <w:t>References</w:t>
      </w:r>
    </w:p>
    <w:p w14:paraId="3FADAE7C" w14:textId="2BF3B288" w:rsidR="00E84CD6" w:rsidRPr="00E84CD6" w:rsidRDefault="00594BC2">
      <w:pPr>
        <w:pStyle w:val="NormalWeb"/>
        <w:ind w:left="640" w:hanging="640"/>
        <w:divId w:val="194269268"/>
        <w:rPr>
          <w:rFonts w:ascii="Cambria" w:hAnsi="Cambria"/>
          <w:noProof/>
          <w:sz w:val="24"/>
        </w:rPr>
      </w:pPr>
      <w:r>
        <w:fldChar w:fldCharType="begin" w:fldLock="1"/>
      </w:r>
      <w:r>
        <w:instrText xml:space="preserve">ADDIN Mendeley Bibliography CSL_BIBLIOGRAPHY </w:instrText>
      </w:r>
      <w:r>
        <w:fldChar w:fldCharType="separate"/>
      </w:r>
      <w:r w:rsidR="00E84CD6" w:rsidRPr="00E84CD6">
        <w:rPr>
          <w:rFonts w:ascii="Cambria" w:hAnsi="Cambria"/>
          <w:noProof/>
          <w:sz w:val="24"/>
        </w:rPr>
        <w:t>1.</w:t>
      </w:r>
      <w:r w:rsidR="00E84CD6" w:rsidRPr="00E84CD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E84CD6" w:rsidRPr="00E84CD6">
        <w:rPr>
          <w:rFonts w:ascii="Cambria" w:hAnsi="Cambria"/>
          <w:i/>
          <w:iCs/>
          <w:noProof/>
          <w:sz w:val="24"/>
        </w:rPr>
        <w:t>81</w:t>
      </w:r>
      <w:r w:rsidR="00E84CD6" w:rsidRPr="00E84CD6">
        <w:rPr>
          <w:rFonts w:ascii="Cambria" w:hAnsi="Cambria"/>
          <w:noProof/>
          <w:sz w:val="24"/>
        </w:rPr>
        <w:t>, 968–975.</w:t>
      </w:r>
    </w:p>
    <w:p w14:paraId="050B97DA"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2.</w:t>
      </w:r>
      <w:r w:rsidRPr="00E84CD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84CD6">
        <w:rPr>
          <w:rFonts w:ascii="Cambria" w:hAnsi="Cambria"/>
          <w:i/>
          <w:iCs/>
          <w:noProof/>
          <w:sz w:val="24"/>
        </w:rPr>
        <w:t>148</w:t>
      </w:r>
      <w:r w:rsidRPr="00E84CD6">
        <w:rPr>
          <w:rFonts w:ascii="Cambria" w:hAnsi="Cambria"/>
          <w:noProof/>
          <w:sz w:val="24"/>
        </w:rPr>
        <w:t>, 300–9.</w:t>
      </w:r>
    </w:p>
    <w:p w14:paraId="28CD40A4"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3.</w:t>
      </w:r>
      <w:r w:rsidRPr="00E84CD6">
        <w:rPr>
          <w:rFonts w:ascii="Cambria" w:hAnsi="Cambria"/>
          <w:noProof/>
          <w:sz w:val="24"/>
        </w:rPr>
        <w:tab/>
        <w:t>Lu, B., Bridges, D., Yang, Y., Fisher, K., Cheng, A., Chang, L., Meng, Z., Lin, J., Downes, M., Yu, R. T., et al. (2014). Metabolic Crosstalk: molecular links between glycogen and lipid metabolism in obesity. Diabetes.</w:t>
      </w:r>
    </w:p>
    <w:p w14:paraId="6535A121"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4.</w:t>
      </w:r>
      <w:r w:rsidRPr="00E84CD6">
        <w:rPr>
          <w:rFonts w:ascii="Cambria" w:hAnsi="Cambria"/>
          <w:noProof/>
          <w:sz w:val="24"/>
        </w:rPr>
        <w:tab/>
        <w:t xml:space="preserve">Holst, J. J., Orskov, C., Nielsen, O. V, and Schwartz, T. W. (1987). Truncated glucagon-like peptide I, an insulin-releasing hormone from the distal gut. FEBS Lett. </w:t>
      </w:r>
      <w:r w:rsidRPr="00E84CD6">
        <w:rPr>
          <w:rFonts w:ascii="Cambria" w:hAnsi="Cambria"/>
          <w:i/>
          <w:iCs/>
          <w:noProof/>
          <w:sz w:val="24"/>
        </w:rPr>
        <w:t>211</w:t>
      </w:r>
      <w:r w:rsidRPr="00E84CD6">
        <w:rPr>
          <w:rFonts w:ascii="Cambria" w:hAnsi="Cambria"/>
          <w:noProof/>
          <w:sz w:val="24"/>
        </w:rPr>
        <w:t>, 169–74.</w:t>
      </w:r>
    </w:p>
    <w:p w14:paraId="557348C0"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5.</w:t>
      </w:r>
      <w:r w:rsidRPr="00E84CD6">
        <w:rPr>
          <w:rFonts w:ascii="Cambria" w:hAnsi="Cambria"/>
          <w:noProof/>
          <w:sz w:val="24"/>
        </w:rPr>
        <w:tab/>
        <w:t xml:space="preserve">Kreymann, B., Ghatei, M. A., Williams, G., and Bloom, S. R. (1987). Glucagon-Like Peptide-1 7-36: A Physiological Incretin in Man. Lancet </w:t>
      </w:r>
      <w:r w:rsidRPr="00E84CD6">
        <w:rPr>
          <w:rFonts w:ascii="Cambria" w:hAnsi="Cambria"/>
          <w:i/>
          <w:iCs/>
          <w:noProof/>
          <w:sz w:val="24"/>
        </w:rPr>
        <w:t>330</w:t>
      </w:r>
      <w:r w:rsidRPr="00E84CD6">
        <w:rPr>
          <w:rFonts w:ascii="Cambria" w:hAnsi="Cambria"/>
          <w:noProof/>
          <w:sz w:val="24"/>
        </w:rPr>
        <w:t>, 1300–1304.</w:t>
      </w:r>
    </w:p>
    <w:p w14:paraId="42BADED1"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6.</w:t>
      </w:r>
      <w:r w:rsidRPr="00E84CD6">
        <w:rPr>
          <w:rFonts w:ascii="Cambria" w:hAnsi="Cambria"/>
          <w:noProof/>
          <w:sz w:val="24"/>
        </w:rPr>
        <w:tab/>
        <w:t xml:space="preserve">Tschöp, M., Weyer, C., Tataranni, P. a, Devanarayan, V., Ravussin, E., and Heiman, M. L. (2001). Circulating ghrelin levels are decreased in human obesity. Diabetes </w:t>
      </w:r>
      <w:r w:rsidRPr="00E84CD6">
        <w:rPr>
          <w:rFonts w:ascii="Cambria" w:hAnsi="Cambria"/>
          <w:i/>
          <w:iCs/>
          <w:noProof/>
          <w:sz w:val="24"/>
        </w:rPr>
        <w:t>50</w:t>
      </w:r>
      <w:r w:rsidRPr="00E84CD6">
        <w:rPr>
          <w:rFonts w:ascii="Cambria" w:hAnsi="Cambria"/>
          <w:noProof/>
          <w:sz w:val="24"/>
        </w:rPr>
        <w:t>, 707–9.</w:t>
      </w:r>
    </w:p>
    <w:p w14:paraId="1602D570"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7.</w:t>
      </w:r>
      <w:r w:rsidRPr="00E84CD6">
        <w:rPr>
          <w:rFonts w:ascii="Cambria" w:hAnsi="Cambria"/>
          <w:noProof/>
          <w:sz w:val="24"/>
        </w:rPr>
        <w:tab/>
        <w:t xml:space="preserve">Tschöp, M., Smiley, D. L., and Heiman, M. L. (2000). Ghrelin induces adiposity in rodents. Nature </w:t>
      </w:r>
      <w:r w:rsidRPr="00E84CD6">
        <w:rPr>
          <w:rFonts w:ascii="Cambria" w:hAnsi="Cambria"/>
          <w:i/>
          <w:iCs/>
          <w:noProof/>
          <w:sz w:val="24"/>
        </w:rPr>
        <w:t>407</w:t>
      </w:r>
      <w:r w:rsidRPr="00E84CD6">
        <w:rPr>
          <w:rFonts w:ascii="Cambria" w:hAnsi="Cambria"/>
          <w:noProof/>
          <w:sz w:val="24"/>
        </w:rPr>
        <w:t>, 908–13.</w:t>
      </w:r>
    </w:p>
    <w:p w14:paraId="05C2F78B"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8.</w:t>
      </w:r>
      <w:r w:rsidRPr="00E84CD6">
        <w:rPr>
          <w:rFonts w:ascii="Cambria" w:hAnsi="Cambria"/>
          <w:noProof/>
          <w:sz w:val="24"/>
        </w:rPr>
        <w:tab/>
        <w:t xml:space="preserve">Leibel, R. L., Rosenbaum, M., and Hirsch, J. (1995). Changes in energy expenditure resulting from altered body weight. N. Engl. J. Med. </w:t>
      </w:r>
      <w:r w:rsidRPr="00E84CD6">
        <w:rPr>
          <w:rFonts w:ascii="Cambria" w:hAnsi="Cambria"/>
          <w:i/>
          <w:iCs/>
          <w:noProof/>
          <w:sz w:val="24"/>
        </w:rPr>
        <w:t>332</w:t>
      </w:r>
      <w:r w:rsidRPr="00E84CD6">
        <w:rPr>
          <w:rFonts w:ascii="Cambria" w:hAnsi="Cambria"/>
          <w:noProof/>
          <w:sz w:val="24"/>
        </w:rPr>
        <w:t>, 621–8.</w:t>
      </w:r>
    </w:p>
    <w:p w14:paraId="239F3869"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9.</w:t>
      </w:r>
      <w:r w:rsidRPr="00E84CD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84CD6">
        <w:rPr>
          <w:rFonts w:ascii="Cambria" w:hAnsi="Cambria"/>
          <w:i/>
          <w:iCs/>
          <w:noProof/>
          <w:sz w:val="24"/>
        </w:rPr>
        <w:t>78</w:t>
      </w:r>
      <w:r w:rsidRPr="00E84CD6">
        <w:rPr>
          <w:rFonts w:ascii="Cambria" w:hAnsi="Cambria"/>
          <w:noProof/>
          <w:sz w:val="24"/>
        </w:rPr>
        <w:t>, 1568–78.</w:t>
      </w:r>
    </w:p>
    <w:p w14:paraId="2E43CE5D"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10.</w:t>
      </w:r>
      <w:r w:rsidRPr="00E84CD6">
        <w:rPr>
          <w:rFonts w:ascii="Cambria" w:hAnsi="Cambria"/>
          <w:noProof/>
          <w:sz w:val="24"/>
        </w:rPr>
        <w:tab/>
        <w:t xml:space="preserve">Griffiths, M., Payne, P. ., Rivers, J. P. ., Cox, M., and Stunkard, A. . (1990). Metabolic rate and physical development in children at risk of obesity. Lancet </w:t>
      </w:r>
      <w:r w:rsidRPr="00E84CD6">
        <w:rPr>
          <w:rFonts w:ascii="Cambria" w:hAnsi="Cambria"/>
          <w:i/>
          <w:iCs/>
          <w:noProof/>
          <w:sz w:val="24"/>
        </w:rPr>
        <w:t>336</w:t>
      </w:r>
      <w:r w:rsidRPr="00E84CD6">
        <w:rPr>
          <w:rFonts w:ascii="Cambria" w:hAnsi="Cambria"/>
          <w:noProof/>
          <w:sz w:val="24"/>
        </w:rPr>
        <w:t>, 76–78.</w:t>
      </w:r>
    </w:p>
    <w:p w14:paraId="7A50A4CA"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11.</w:t>
      </w:r>
      <w:r w:rsidRPr="00E84CD6">
        <w:rPr>
          <w:rFonts w:ascii="Cambria" w:hAnsi="Cambria"/>
          <w:noProof/>
          <w:sz w:val="24"/>
        </w:rPr>
        <w:tab/>
        <w:t xml:space="preserve">Roberts, S. B., Savage, J., Coward, W. A., Chew, B., and Lucas, A. (1988). Energy expenditure and intake in infants born to lean and overweight mothers. N. Engl. J. Med. </w:t>
      </w:r>
      <w:r w:rsidRPr="00E84CD6">
        <w:rPr>
          <w:rFonts w:ascii="Cambria" w:hAnsi="Cambria"/>
          <w:i/>
          <w:iCs/>
          <w:noProof/>
          <w:sz w:val="24"/>
        </w:rPr>
        <w:t>318</w:t>
      </w:r>
      <w:r w:rsidRPr="00E84CD6">
        <w:rPr>
          <w:rFonts w:ascii="Cambria" w:hAnsi="Cambria"/>
          <w:noProof/>
          <w:sz w:val="24"/>
        </w:rPr>
        <w:t>, 461–6.</w:t>
      </w:r>
    </w:p>
    <w:p w14:paraId="02CEE5E1"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12.</w:t>
      </w:r>
      <w:r w:rsidRPr="00E84CD6">
        <w:rPr>
          <w:rFonts w:ascii="Cambria" w:hAnsi="Cambria"/>
          <w:noProof/>
          <w:sz w:val="24"/>
        </w:rPr>
        <w:tab/>
        <w:t xml:space="preserve">Steppan, C. M., Bailey, S. T., Bhat, S., Brown, E. J., Banerjee, R. R., Wright, C. M., Patel, H. R., Ahima, R. S., and Lazar, M. a (2001). The hormone resistin links obesity to diabetes. Nature </w:t>
      </w:r>
      <w:r w:rsidRPr="00E84CD6">
        <w:rPr>
          <w:rFonts w:ascii="Cambria" w:hAnsi="Cambria"/>
          <w:i/>
          <w:iCs/>
          <w:noProof/>
          <w:sz w:val="24"/>
        </w:rPr>
        <w:t>409</w:t>
      </w:r>
      <w:r w:rsidRPr="00E84CD6">
        <w:rPr>
          <w:rFonts w:ascii="Cambria" w:hAnsi="Cambria"/>
          <w:noProof/>
          <w:sz w:val="24"/>
        </w:rPr>
        <w:t>, 307–12.</w:t>
      </w:r>
    </w:p>
    <w:p w14:paraId="56558C07"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13.</w:t>
      </w:r>
      <w:r w:rsidRPr="00E84CD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84CD6">
        <w:rPr>
          <w:rFonts w:ascii="Cambria" w:hAnsi="Cambria"/>
          <w:i/>
          <w:iCs/>
          <w:noProof/>
          <w:sz w:val="24"/>
        </w:rPr>
        <w:t>1</w:t>
      </w:r>
      <w:r w:rsidRPr="00E84CD6">
        <w:rPr>
          <w:rFonts w:ascii="Cambria" w:hAnsi="Cambria"/>
          <w:noProof/>
          <w:sz w:val="24"/>
        </w:rPr>
        <w:t>, 1311–4.</w:t>
      </w:r>
    </w:p>
    <w:p w14:paraId="2AE9D797"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14.</w:t>
      </w:r>
      <w:r w:rsidRPr="00E84CD6">
        <w:rPr>
          <w:rFonts w:ascii="Cambria" w:hAnsi="Cambria"/>
          <w:noProof/>
          <w:sz w:val="24"/>
        </w:rPr>
        <w:tab/>
        <w:t xml:space="preserve">Desjardins-Proulx, P., White, E. P., Adamson, J. J., Ram, K., Poisot, T., and Gravel, D. (2013). The case for open preprints in biology. PLoS Biol. </w:t>
      </w:r>
      <w:r w:rsidRPr="00E84CD6">
        <w:rPr>
          <w:rFonts w:ascii="Cambria" w:hAnsi="Cambria"/>
          <w:i/>
          <w:iCs/>
          <w:noProof/>
          <w:sz w:val="24"/>
        </w:rPr>
        <w:t>11</w:t>
      </w:r>
      <w:r w:rsidRPr="00E84CD6">
        <w:rPr>
          <w:rFonts w:ascii="Cambria" w:hAnsi="Cambria"/>
          <w:noProof/>
          <w:sz w:val="24"/>
        </w:rPr>
        <w:t>, e1001563.</w:t>
      </w:r>
    </w:p>
    <w:p w14:paraId="68008DAD"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15.</w:t>
      </w:r>
      <w:r w:rsidRPr="00E84CD6">
        <w:rPr>
          <w:rFonts w:ascii="Cambria" w:hAnsi="Cambria"/>
          <w:noProof/>
          <w:sz w:val="24"/>
        </w:rPr>
        <w:tab/>
        <w:t xml:space="preserve">Kuntz, S. G., and Eisen, M. B. (2014). Drosophila embryogenesis scales uniformly across temperature in developmentally diverse species. PLoS Genet. </w:t>
      </w:r>
      <w:r w:rsidRPr="00E84CD6">
        <w:rPr>
          <w:rFonts w:ascii="Cambria" w:hAnsi="Cambria"/>
          <w:i/>
          <w:iCs/>
          <w:noProof/>
          <w:sz w:val="24"/>
        </w:rPr>
        <w:t>10</w:t>
      </w:r>
      <w:r w:rsidRPr="00E84CD6">
        <w:rPr>
          <w:rFonts w:ascii="Cambria" w:hAnsi="Cambria"/>
          <w:noProof/>
          <w:sz w:val="24"/>
        </w:rPr>
        <w:t>, e1004293.</w:t>
      </w:r>
    </w:p>
    <w:p w14:paraId="78480D2C"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16.</w:t>
      </w:r>
      <w:r w:rsidRPr="00E84CD6">
        <w:rPr>
          <w:rFonts w:ascii="Cambria" w:hAnsi="Cambria"/>
          <w:noProof/>
          <w:sz w:val="24"/>
        </w:rPr>
        <w:tab/>
        <w:t xml:space="preserve">Bloom, J. S., Ehrenreich, I. M., Loo, W. T., Lite, T.-L. V., and Kruglyak, L. (2013). Finding the sources of missing heritability in a yeast cross. Nature </w:t>
      </w:r>
      <w:r w:rsidRPr="00E84CD6">
        <w:rPr>
          <w:rFonts w:ascii="Cambria" w:hAnsi="Cambria"/>
          <w:i/>
          <w:iCs/>
          <w:noProof/>
          <w:sz w:val="24"/>
        </w:rPr>
        <w:t>494</w:t>
      </w:r>
      <w:r w:rsidRPr="00E84CD6">
        <w:rPr>
          <w:rFonts w:ascii="Cambria" w:hAnsi="Cambria"/>
          <w:noProof/>
          <w:sz w:val="24"/>
        </w:rPr>
        <w:t>, 234–7.</w:t>
      </w:r>
    </w:p>
    <w:p w14:paraId="7F2E3D54" w14:textId="77777777" w:rsidR="00E84CD6" w:rsidRPr="00E84CD6" w:rsidRDefault="00E84CD6">
      <w:pPr>
        <w:pStyle w:val="NormalWeb"/>
        <w:ind w:left="640" w:hanging="640"/>
        <w:divId w:val="194269268"/>
        <w:rPr>
          <w:rFonts w:ascii="Cambria" w:hAnsi="Cambria"/>
          <w:noProof/>
          <w:sz w:val="24"/>
        </w:rPr>
      </w:pPr>
      <w:r w:rsidRPr="00E84CD6">
        <w:rPr>
          <w:rFonts w:ascii="Cambria" w:hAnsi="Cambria"/>
          <w:noProof/>
          <w:sz w:val="24"/>
        </w:rPr>
        <w:t>17.</w:t>
      </w:r>
      <w:r w:rsidRPr="00E84CD6">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E84CD6">
        <w:rPr>
          <w:rFonts w:ascii="Cambria" w:hAnsi="Cambria"/>
          <w:i/>
          <w:iCs/>
          <w:noProof/>
          <w:sz w:val="24"/>
        </w:rPr>
        <w:t>20</w:t>
      </w:r>
      <w:r w:rsidRPr="00E84CD6">
        <w:rPr>
          <w:rFonts w:ascii="Cambria" w:hAnsi="Cambria"/>
          <w:noProof/>
          <w:sz w:val="24"/>
        </w:rPr>
        <w:t xml:space="preserve">, 1179–88. </w:t>
      </w:r>
    </w:p>
    <w:p w14:paraId="725C333A" w14:textId="501FC39F" w:rsidR="00594BC2" w:rsidRPr="007B01D8" w:rsidRDefault="00594BC2" w:rsidP="00E84CD6">
      <w:pPr>
        <w:pStyle w:val="NormalWeb"/>
        <w:ind w:left="640" w:hanging="640"/>
        <w:divId w:val="2051146680"/>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984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31F96"/>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83FBA"/>
    <w:rsid w:val="009E609F"/>
    <w:rsid w:val="00A01EEE"/>
    <w:rsid w:val="00A34EF3"/>
    <w:rsid w:val="00A86DD4"/>
    <w:rsid w:val="00A91CAE"/>
    <w:rsid w:val="00A94DF2"/>
    <w:rsid w:val="00AA4F71"/>
    <w:rsid w:val="00AA5EFD"/>
    <w:rsid w:val="00AA62A6"/>
    <w:rsid w:val="00AB1AFF"/>
    <w:rsid w:val="00AD279E"/>
    <w:rsid w:val="00AE1279"/>
    <w:rsid w:val="00AF4DB9"/>
    <w:rsid w:val="00B3527E"/>
    <w:rsid w:val="00B50A5D"/>
    <w:rsid w:val="00B775C2"/>
    <w:rsid w:val="00B843A9"/>
    <w:rsid w:val="00B879CE"/>
    <w:rsid w:val="00B910B2"/>
    <w:rsid w:val="00BD4565"/>
    <w:rsid w:val="00C04A86"/>
    <w:rsid w:val="00C0523D"/>
    <w:rsid w:val="00C3790F"/>
    <w:rsid w:val="00C414FC"/>
    <w:rsid w:val="00C452F0"/>
    <w:rsid w:val="00C5168C"/>
    <w:rsid w:val="00C73CB5"/>
    <w:rsid w:val="00C821B5"/>
    <w:rsid w:val="00C8232A"/>
    <w:rsid w:val="00CB7625"/>
    <w:rsid w:val="00CD680E"/>
    <w:rsid w:val="00D034C3"/>
    <w:rsid w:val="00D26FE4"/>
    <w:rsid w:val="00D51751"/>
    <w:rsid w:val="00D538A4"/>
    <w:rsid w:val="00D60D3E"/>
    <w:rsid w:val="00D851E3"/>
    <w:rsid w:val="00D966C7"/>
    <w:rsid w:val="00DC038A"/>
    <w:rsid w:val="00DF19F5"/>
    <w:rsid w:val="00E10E45"/>
    <w:rsid w:val="00E1186E"/>
    <w:rsid w:val="00E270C1"/>
    <w:rsid w:val="00E31140"/>
    <w:rsid w:val="00E429CB"/>
    <w:rsid w:val="00E84CD6"/>
    <w:rsid w:val="00EA33F9"/>
    <w:rsid w:val="00EB52D2"/>
    <w:rsid w:val="00EC716A"/>
    <w:rsid w:val="00ED7494"/>
    <w:rsid w:val="00EF5C51"/>
    <w:rsid w:val="00F17272"/>
    <w:rsid w:val="00F2593F"/>
    <w:rsid w:val="00F75FB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sChild>
                        <w:div w:id="962272852">
                          <w:marLeft w:val="0"/>
                          <w:marRight w:val="0"/>
                          <w:marTop w:val="0"/>
                          <w:marBottom w:val="0"/>
                          <w:divBdr>
                            <w:top w:val="none" w:sz="0" w:space="0" w:color="auto"/>
                            <w:left w:val="none" w:sz="0" w:space="0" w:color="auto"/>
                            <w:bottom w:val="none" w:sz="0" w:space="0" w:color="auto"/>
                            <w:right w:val="none" w:sz="0" w:space="0" w:color="auto"/>
                          </w:divBdr>
                          <w:divsChild>
                            <w:div w:id="1001733676">
                              <w:marLeft w:val="0"/>
                              <w:marRight w:val="0"/>
                              <w:marTop w:val="0"/>
                              <w:marBottom w:val="0"/>
                              <w:divBdr>
                                <w:top w:val="none" w:sz="0" w:space="0" w:color="auto"/>
                                <w:left w:val="none" w:sz="0" w:space="0" w:color="auto"/>
                                <w:bottom w:val="none" w:sz="0" w:space="0" w:color="auto"/>
                                <w:right w:val="none" w:sz="0" w:space="0" w:color="auto"/>
                              </w:divBdr>
                              <w:divsChild>
                                <w:div w:id="946230987">
                                  <w:marLeft w:val="0"/>
                                  <w:marRight w:val="0"/>
                                  <w:marTop w:val="0"/>
                                  <w:marBottom w:val="0"/>
                                  <w:divBdr>
                                    <w:top w:val="none" w:sz="0" w:space="0" w:color="auto"/>
                                    <w:left w:val="none" w:sz="0" w:space="0" w:color="auto"/>
                                    <w:bottom w:val="none" w:sz="0" w:space="0" w:color="auto"/>
                                    <w:right w:val="none" w:sz="0" w:space="0" w:color="auto"/>
                                  </w:divBdr>
                                  <w:divsChild>
                                    <w:div w:id="1840458645">
                                      <w:marLeft w:val="0"/>
                                      <w:marRight w:val="0"/>
                                      <w:marTop w:val="0"/>
                                      <w:marBottom w:val="0"/>
                                      <w:divBdr>
                                        <w:top w:val="none" w:sz="0" w:space="0" w:color="auto"/>
                                        <w:left w:val="none" w:sz="0" w:space="0" w:color="auto"/>
                                        <w:bottom w:val="none" w:sz="0" w:space="0" w:color="auto"/>
                                        <w:right w:val="none" w:sz="0" w:space="0" w:color="auto"/>
                                      </w:divBdr>
                                      <w:divsChild>
                                        <w:div w:id="2051146680">
                                          <w:marLeft w:val="0"/>
                                          <w:marRight w:val="0"/>
                                          <w:marTop w:val="0"/>
                                          <w:marBottom w:val="0"/>
                                          <w:divBdr>
                                            <w:top w:val="none" w:sz="0" w:space="0" w:color="auto"/>
                                            <w:left w:val="none" w:sz="0" w:space="0" w:color="auto"/>
                                            <w:bottom w:val="none" w:sz="0" w:space="0" w:color="auto"/>
                                            <w:right w:val="none" w:sz="0" w:space="0" w:color="auto"/>
                                          </w:divBdr>
                                          <w:divsChild>
                                            <w:div w:id="1942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erpa.ac.uk/romeo/issn/2090-070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biorxiv.org/content/early/2014/04/23/004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11768</Words>
  <Characters>67081</Characters>
  <Application>Microsoft Macintosh Word</Application>
  <DocSecurity>0</DocSecurity>
  <Lines>559</Lines>
  <Paragraphs>157</Paragraphs>
  <ScaleCrop>false</ScaleCrop>
  <Company>UT-HSC</Company>
  <LinksUpToDate>false</LinksUpToDate>
  <CharactersWithSpaces>78692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62</cp:revision>
  <dcterms:created xsi:type="dcterms:W3CDTF">2014-05-23T11:57:00Z</dcterms:created>
  <dcterms:modified xsi:type="dcterms:W3CDTF">2014-06-17T19:06:00Z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