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816E00" w14:textId="4BF67E78" w:rsidR="001502D6" w:rsidRPr="001502D6" w:rsidRDefault="001502D6" w:rsidP="001502D6">
      <w:pPr>
        <w:rPr>
          <w:b/>
        </w:rPr>
      </w:pPr>
      <w:r>
        <w:rPr>
          <w:b/>
        </w:rPr>
        <w:t>We thank the reviewers for their insightful and carefully</w:t>
      </w:r>
      <w:r w:rsidR="00D034C3">
        <w:rPr>
          <w:b/>
        </w:rPr>
        <w:t xml:space="preserve"> considered comments.   C</w:t>
      </w:r>
      <w:r>
        <w:rPr>
          <w:b/>
        </w:rPr>
        <w:t>onsidering and addressing these issues makes this a much clearer</w:t>
      </w:r>
      <w:r w:rsidR="00D034C3">
        <w:rPr>
          <w:b/>
        </w:rPr>
        <w:t xml:space="preserve"> and more coherent manuscript.</w:t>
      </w:r>
      <w:r>
        <w:rPr>
          <w:b/>
        </w:rPr>
        <w:t xml:space="preserve"> We have substantially revised the manuscript based on these suggestions, by providing extra data and</w:t>
      </w:r>
      <w:r w:rsidR="00983FBA">
        <w:rPr>
          <w:b/>
        </w:rPr>
        <w:t xml:space="preserve"> </w:t>
      </w:r>
      <w:r>
        <w:rPr>
          <w:b/>
        </w:rPr>
        <w:t xml:space="preserve">more refined </w:t>
      </w:r>
      <w:r w:rsidR="00ED0EED">
        <w:rPr>
          <w:b/>
        </w:rPr>
        <w:t>details</w:t>
      </w:r>
      <w:r>
        <w:rPr>
          <w:b/>
        </w:rPr>
        <w:t xml:space="preserve"> for each of these comments.  A point-by point response to each of these comments is presented below.</w:t>
      </w:r>
      <w:r w:rsidR="00E429CB">
        <w:rPr>
          <w:b/>
        </w:rPr>
        <w:t xml:space="preserve">  Our comments are in bold, and direct quotes from the </w:t>
      </w:r>
      <w:r w:rsidR="00ED0EED">
        <w:rPr>
          <w:b/>
        </w:rPr>
        <w:t xml:space="preserve">revised </w:t>
      </w:r>
      <w:r w:rsidR="00E429CB">
        <w:rPr>
          <w:b/>
        </w:rPr>
        <w:t>manuscript are shown in bold and red.</w:t>
      </w:r>
    </w:p>
    <w:p w14:paraId="44D4C80E" w14:textId="77777777" w:rsidR="00FC2429" w:rsidRDefault="00FC2429" w:rsidP="00FC2429">
      <w:pPr>
        <w:pStyle w:val="Heading2"/>
      </w:pPr>
      <w:r>
        <w:t>Reviewer 1</w:t>
      </w:r>
    </w:p>
    <w:p w14:paraId="320BA9E9" w14:textId="77777777" w:rsidR="00FC2429" w:rsidRDefault="00FC2429" w:rsidP="00FC2429"/>
    <w:p w14:paraId="0E08F5E4" w14:textId="77777777" w:rsidR="006E3DD3" w:rsidRDefault="00FC2429" w:rsidP="00FC2429">
      <w:r>
        <w:t xml:space="preserve">The aim of this study was to examine factors predicting weight gain on chow, a synthetic control diet, and a synthetic HFD in C57BL6/J mice. The authors report larger variation in weight gain in mice on HFD that was not present in </w:t>
      </w:r>
      <w:proofErr w:type="spellStart"/>
      <w:r>
        <w:t>leptin</w:t>
      </w:r>
      <w:proofErr w:type="spellEnd"/>
      <w:r>
        <w:t xml:space="preserve"> deficit models, that was unrelated to animal dominance. Weight gain was inversely related to pre-diet weight loss in response to a 16hour fast, please rationale why this was tested as a predictive factor in the introduction. </w:t>
      </w:r>
    </w:p>
    <w:p w14:paraId="608BBC03" w14:textId="77777777" w:rsidR="006E3DD3" w:rsidRDefault="006E3DD3" w:rsidP="00FC2429"/>
    <w:p w14:paraId="6BB89674" w14:textId="0E1CD91E" w:rsidR="006E3DD3" w:rsidRDefault="006E3DD3" w:rsidP="00FC2429">
      <w:pPr>
        <w:rPr>
          <w:b/>
        </w:rPr>
      </w:pPr>
      <w:r>
        <w:rPr>
          <w:b/>
        </w:rPr>
        <w:t>Fasting induced weight loss was tested as a potential predictive factor based on the hypothesis that body weight defense mechanisms broadly may play a role in susceptibility to obesity.  This is now mentioned in the introduction:</w:t>
      </w:r>
    </w:p>
    <w:p w14:paraId="753F07D8" w14:textId="77777777" w:rsidR="006E3DD3" w:rsidRDefault="006E3DD3" w:rsidP="00FC2429">
      <w:pPr>
        <w:rPr>
          <w:b/>
        </w:rPr>
      </w:pPr>
    </w:p>
    <w:p w14:paraId="03C1F9E4" w14:textId="024C32CD" w:rsidR="006E3DD3" w:rsidRPr="00074264" w:rsidRDefault="00074264" w:rsidP="00074264">
      <w:pPr>
        <w:ind w:left="720"/>
        <w:rPr>
          <w:b/>
          <w:color w:val="FF0000"/>
        </w:rPr>
      </w:pPr>
      <w:r w:rsidRPr="00074264">
        <w:rPr>
          <w:b/>
          <w:color w:val="FF0000"/>
        </w:rPr>
        <w:t xml:space="preserve">Previously, studies on rodent models of diet-induced obesity have described a set point in which animals defend their homeostatic body weight </w:t>
      </w:r>
      <w:r w:rsidRPr="00074264">
        <w:rPr>
          <w:b/>
          <w:color w:val="FF0000"/>
        </w:rPr>
        <w:fldChar w:fldCharType="begin" w:fldLock="1"/>
      </w:r>
      <w:r w:rsidR="00FF28F4">
        <w:rPr>
          <w:b/>
          <w:color w:val="FF0000"/>
        </w:rPr>
        <w:instrText>ADDIN CSL_CITATION { "citationItems" : [ { "id" : "ITEM-1", "itemData" : { "ISSN" : "0002-9513", "PMID" : "9486299", "abstract" : "Among outbred Sprague-Dawley rats, approximately one-half develop diet-induced obesity (DIO) and one-half are diet resistant (DR) on a diet relatively high in fat and energy content (HE diet). Here we examined the defense of body weight in these two phenotypes. After HE diet for 13 wk, followed by chow for 6 wk, DR rats gained weight comparably but their plasma leptin levels fell to 54% of chow-fed controls. When a palatable liquid diet (Ensure) was added for 13 wk, other DR rats became obese. But when switched to chow, their intakes fell by 60%, and body and retroperitoneal (RP) fat pad weights and plasma leptin and insulin levels all declined for 2 wk and then stabilized at control levels after 6 wk. In contrast, comparably obese DIO rats decreased their intake by only 20%, and their weights plateaued when they were switched to chow after 13 wk on HE diet. When a subgroup of these DIO rats was restricted to 60% of prior intake, their weights fell to chow-fed control levels over 2 wk. But their leptin and insulin levels both fell disproportionately to 30% of controls. When no longer restricted, their intake and feed efficiency rose immediately, and their body and RP pad weights and leptin and insulin levels rose to those of unrestricted DIO rats within 2 wk. Thus diet and genetic background interact to establish high (DIO) or low (DR) body weight set points, which are then defended against subsequent changes in diet composition and/or energy availability. If leptin affects energy homeostasis, it does so differentially in DIO vs. DR rats since comparably low and high levels were associated with differing patterns of weight change between the two phenotypes.", "author" : [ { "dropping-particle" : "", "family" : "Levin", "given" : "B E", "non-dropping-particle" : "", "parse-names" : false, "suffix" : "" }, { "dropping-particle" : "", "family" : "Keesey", "given" : "R E", "non-dropping-particle" : "", "parse-names" : false, "suffix" : "" } ], "container-title" : "The American journal of physiology", "id" : "ITEM-1", "issue" : "2 Pt 2", "issued" : { "date-parts" : [ [ "1998", "3" ] ] }, "page" : "R412-9", "title" : "Defense of differing body weight set points in diet-induced obese and resistant rats.", "type" : "article-journal", "volume" : "274" }, "uris" : [ "http://www.mendeley.com/documents/?uuid=05ad3921-9e6d-43f5-90b6-0c3f6f81db6e" ] }, { "id" : "ITEM-2", "itemData" : { "ISSN" : "0363-6119", "PMID" : "10644644", "abstract" : "Half of Sprague-Dawley rats develop and defend diet-induced obesity (DIO) or diet resistance (DR) when fed a high-energy (HE) diet. Here, adult male rats were made DIO or DR after 10 wk on HE diet. Then half of each group was food restricted for 8 wk on chow to maintain their body weights at 90% of their respective baselines. Rate and magnitude of weight loss were comparable, but maintenance energy intake and the degree of sympathetic activity (24-h urine norepinephrine) inhibition were 17 and 29% lower, respectively, in restricted DR than DIO rats. Restricted DIO rats reduced adipose depot weights, plasma leptin, and insulin levels by 35%. Restricted DR rats reduced none of these. When fed ad libitum, both DR and DIO rats returned to the body weights of their respective chow-fed phenotype controls within 2 wk. This was associated with increased adipose mass and leptin and insulin levels only in DIO rats. Thus DR rats appear to alter primarily their lean body mass, whereas DIO rats primarily alter their adipose mass during chronic caloric restriction and refeeding.", "author" : [ { "dropping-particle" : "", "family" : "Levin", "given" : "B E", "non-dropping-particle" : "", "parse-names" : false, "suffix" : "" }, { "dropping-particle" : "", "family" : "Dunn-Meynell", "given" : "a a", "non-dropping-particle" : "", "parse-names" : false, "suffix" : "" } ], "container-title" : "American journal of physiology. Regulatory, integrative and comparative physiology", "id" : "ITEM-2", "issue" : "1", "issued" : { "date-parts" : [ [ "2000", "1" ] ] }, "page" : "R231-7", "title" : "Defense of body weight against chronic caloric restriction in obesity-prone and -resistant rats.", "type" : "article-journal", "volume" : "278" }, "uris" : [ "http://www.mendeley.com/documents/?uuid=3d95caae-6e17-459a-bfe8-5bca70a267d7" ] } ], "mendeley" : { "previouslyFormattedCitation" : "[1, 2]" }, "properties" : { "noteIndex" : 0 }, "schema" : "https://github.com/citation-style-language/schema/raw/master/csl-citation.json" }</w:instrText>
      </w:r>
      <w:r w:rsidRPr="00074264">
        <w:rPr>
          <w:b/>
          <w:color w:val="FF0000"/>
        </w:rPr>
        <w:fldChar w:fldCharType="separate"/>
      </w:r>
      <w:r w:rsidR="00AB000C" w:rsidRPr="00AB000C">
        <w:rPr>
          <w:noProof/>
          <w:color w:val="FF0000"/>
        </w:rPr>
        <w:t>[1, 2]</w:t>
      </w:r>
      <w:r w:rsidRPr="00074264">
        <w:rPr>
          <w:b/>
          <w:color w:val="FF0000"/>
        </w:rPr>
        <w:fldChar w:fldCharType="end"/>
      </w:r>
      <w:r w:rsidRPr="00074264">
        <w:rPr>
          <w:b/>
          <w:color w:val="FF0000"/>
        </w:rPr>
        <w:t>.  In this study we examine body weight defense, as measured by weight reductions during fasting, to test whether set point maintenance correlates with weight gain.</w:t>
      </w:r>
    </w:p>
    <w:p w14:paraId="2370D867" w14:textId="77777777" w:rsidR="006E3DD3" w:rsidRDefault="006E3DD3" w:rsidP="00FC2429"/>
    <w:p w14:paraId="04822DE9" w14:textId="08CDF70F" w:rsidR="00FC2429" w:rsidRDefault="00FC2429" w:rsidP="00FC2429">
      <w:r>
        <w:t xml:space="preserve">Weight gain was not related to the measured appetite and </w:t>
      </w:r>
      <w:proofErr w:type="spellStart"/>
      <w:r>
        <w:t>glucoregulatory</w:t>
      </w:r>
      <w:proofErr w:type="spellEnd"/>
      <w:r>
        <w:t xml:space="preserve"> hormonal factors. There are a lot of small errors and omissions in this work throughout that require attention. I found some of the figures a bit confusing and don’t understand why some figures are supplementary and others are not. </w:t>
      </w:r>
    </w:p>
    <w:p w14:paraId="1127E417" w14:textId="77777777" w:rsidR="00FC2429" w:rsidRDefault="00FC2429" w:rsidP="00FC2429"/>
    <w:p w14:paraId="5C863971" w14:textId="77777777" w:rsidR="00C452F0" w:rsidRDefault="00FC2429" w:rsidP="00FC2429">
      <w:pPr>
        <w:pStyle w:val="ListParagraph"/>
        <w:numPr>
          <w:ilvl w:val="0"/>
          <w:numId w:val="2"/>
        </w:numPr>
      </w:pPr>
      <w:r>
        <w:t xml:space="preserve">Table 1 - the percentages given as fat, CHO and protein do not add up to 100% (67% for chow, 89 and 91% for CD and HFD so this leads me to believe that it is by weight with </w:t>
      </w:r>
      <w:proofErr w:type="spellStart"/>
      <w:r>
        <w:t>fibre</w:t>
      </w:r>
      <w:proofErr w:type="spellEnd"/>
      <w:r>
        <w:t xml:space="preserve"> missing from the calculation?</w:t>
      </w:r>
    </w:p>
    <w:p w14:paraId="27AC4888" w14:textId="77777777" w:rsidR="00C452F0" w:rsidRDefault="00C452F0" w:rsidP="00C452F0">
      <w:pPr>
        <w:pStyle w:val="ListParagraph"/>
        <w:ind w:left="360"/>
      </w:pPr>
    </w:p>
    <w:p w14:paraId="6D1E7174" w14:textId="210BB34F" w:rsidR="00C452F0" w:rsidRDefault="00C452F0" w:rsidP="00C821B5">
      <w:pPr>
        <w:rPr>
          <w:b/>
        </w:rPr>
      </w:pPr>
      <w:r>
        <w:rPr>
          <w:b/>
        </w:rPr>
        <w:t xml:space="preserve">We checked with the vendors and we have updated Table 1 accordingly.  The percentages are given as % of calories, but </w:t>
      </w:r>
      <w:proofErr w:type="spellStart"/>
      <w:r>
        <w:rPr>
          <w:b/>
        </w:rPr>
        <w:t>maltodextran</w:t>
      </w:r>
      <w:proofErr w:type="spellEnd"/>
      <w:r>
        <w:rPr>
          <w:b/>
        </w:rPr>
        <w:t xml:space="preserve"> was accidentally omitted from the table.  Now that it is included, the CD and HFD amounts add up to 100% of the calories. </w:t>
      </w:r>
      <w:r w:rsidR="00C821B5">
        <w:rPr>
          <w:b/>
        </w:rPr>
        <w:t xml:space="preserve">Furthermore, NCD was erroneously presented as percent weight not percent calories.  This has been rectified as well.  We apologize for this error. </w:t>
      </w:r>
      <w:r w:rsidR="009E609F">
        <w:rPr>
          <w:b/>
        </w:rPr>
        <w:t xml:space="preserve">  </w:t>
      </w:r>
      <w:r w:rsidR="00903F28">
        <w:rPr>
          <w:b/>
        </w:rPr>
        <w:t>We</w:t>
      </w:r>
      <w:r w:rsidR="009E609F">
        <w:rPr>
          <w:b/>
        </w:rPr>
        <w:t xml:space="preserve"> have indicated a note in the methods section </w:t>
      </w:r>
      <w:r w:rsidR="00701DE8">
        <w:rPr>
          <w:b/>
        </w:rPr>
        <w:t xml:space="preserve">and table legend </w:t>
      </w:r>
      <w:r w:rsidR="009E609F">
        <w:rPr>
          <w:b/>
        </w:rPr>
        <w:t xml:space="preserve">specifying the seasonal variability </w:t>
      </w:r>
      <w:r w:rsidR="00AA5EFD">
        <w:rPr>
          <w:b/>
        </w:rPr>
        <w:t xml:space="preserve">in the </w:t>
      </w:r>
      <w:proofErr w:type="spellStart"/>
      <w:r w:rsidR="00AA5EFD">
        <w:rPr>
          <w:b/>
        </w:rPr>
        <w:t>Teklad</w:t>
      </w:r>
      <w:proofErr w:type="spellEnd"/>
      <w:r w:rsidR="00AA5EFD">
        <w:rPr>
          <w:b/>
        </w:rPr>
        <w:t xml:space="preserve"> diet:</w:t>
      </w:r>
    </w:p>
    <w:p w14:paraId="307D0D3A" w14:textId="77777777" w:rsidR="00AA5EFD" w:rsidRDefault="00AA5EFD" w:rsidP="00C821B5">
      <w:pPr>
        <w:rPr>
          <w:b/>
        </w:rPr>
      </w:pPr>
    </w:p>
    <w:p w14:paraId="3939367E" w14:textId="58EAA94D" w:rsidR="00AA5EFD" w:rsidRPr="00A94DF2" w:rsidRDefault="00AA5EFD" w:rsidP="00AA5EFD">
      <w:pPr>
        <w:ind w:left="360"/>
        <w:rPr>
          <w:b/>
          <w:color w:val="FF0000"/>
        </w:rPr>
      </w:pPr>
      <w:r w:rsidRPr="00A94DF2">
        <w:rPr>
          <w:b/>
          <w:color w:val="FF0000"/>
        </w:rPr>
        <w:lastRenderedPageBreak/>
        <w:t xml:space="preserve">Note that there are seasonal variations in the composition of the </w:t>
      </w:r>
      <w:proofErr w:type="spellStart"/>
      <w:r w:rsidRPr="00A94DF2">
        <w:rPr>
          <w:b/>
          <w:color w:val="FF0000"/>
        </w:rPr>
        <w:t>Teklad</w:t>
      </w:r>
      <w:proofErr w:type="spellEnd"/>
      <w:r w:rsidRPr="00A94DF2">
        <w:rPr>
          <w:b/>
          <w:color w:val="FF0000"/>
        </w:rPr>
        <w:t xml:space="preserve"> diet, and therefore these numbers are reasonable estimates on a batch to batch basis</w:t>
      </w:r>
      <w:r w:rsidR="00903F28">
        <w:rPr>
          <w:b/>
          <w:color w:val="FF0000"/>
        </w:rPr>
        <w:t xml:space="preserve"> </w:t>
      </w:r>
      <w:proofErr w:type="gramStart"/>
      <w:r w:rsidR="00903F28">
        <w:rPr>
          <w:b/>
          <w:color w:val="FF0000"/>
        </w:rPr>
        <w:t>provided  by</w:t>
      </w:r>
      <w:proofErr w:type="gramEnd"/>
      <w:r w:rsidR="00903F28">
        <w:rPr>
          <w:b/>
          <w:color w:val="FF0000"/>
        </w:rPr>
        <w:t xml:space="preserve"> the vendor</w:t>
      </w:r>
      <w:r w:rsidRPr="00A94DF2">
        <w:rPr>
          <w:b/>
          <w:color w:val="FF0000"/>
        </w:rPr>
        <w:t>.</w:t>
      </w:r>
    </w:p>
    <w:p w14:paraId="51CC7529" w14:textId="77777777" w:rsidR="00C452F0" w:rsidRDefault="00C452F0" w:rsidP="00C452F0">
      <w:pPr>
        <w:rPr>
          <w:b/>
        </w:rPr>
      </w:pPr>
    </w:p>
    <w:p w14:paraId="448AF98B" w14:textId="7F68E933" w:rsidR="00AE1279" w:rsidRPr="00AE1279" w:rsidRDefault="00AE1279" w:rsidP="00C452F0">
      <w:pPr>
        <w:rPr>
          <w:b/>
        </w:rPr>
      </w:pPr>
      <w:r>
        <w:rPr>
          <w:b/>
        </w:rPr>
        <w:t>These changes have also altered the calculations shown in Supplementary Figure 1</w:t>
      </w:r>
      <w:r w:rsidR="00686E64">
        <w:rPr>
          <w:b/>
        </w:rPr>
        <w:t>E</w:t>
      </w:r>
      <w:r>
        <w:rPr>
          <w:b/>
        </w:rPr>
        <w:t>, and we have updated both that figure, and the p-values obtained from the mixed linear models in the results section.</w:t>
      </w:r>
    </w:p>
    <w:p w14:paraId="73E9FE78" w14:textId="77777777" w:rsidR="00C452F0" w:rsidRDefault="00C452F0" w:rsidP="00C452F0">
      <w:pPr>
        <w:pStyle w:val="ListParagraph"/>
        <w:ind w:left="360"/>
      </w:pPr>
    </w:p>
    <w:p w14:paraId="426612C8" w14:textId="24568EAD" w:rsidR="00FC2429" w:rsidRDefault="00FC2429" w:rsidP="00FC2429">
      <w:pPr>
        <w:pStyle w:val="ListParagraph"/>
        <w:numPr>
          <w:ilvl w:val="0"/>
          <w:numId w:val="2"/>
        </w:numPr>
      </w:pPr>
      <w:r>
        <w:t xml:space="preserve"> But I cannot compute how a 45% fat by weight diet is only 0.7kcals/g less than the 5% by weight fat diet. Please check.</w:t>
      </w:r>
    </w:p>
    <w:p w14:paraId="0C6ACC05" w14:textId="77777777" w:rsidR="004C309B" w:rsidRDefault="004C309B" w:rsidP="00C452F0">
      <w:pPr>
        <w:rPr>
          <w:b/>
        </w:rPr>
      </w:pPr>
    </w:p>
    <w:p w14:paraId="427B2B33" w14:textId="11D751D3" w:rsidR="00C452F0" w:rsidRPr="00C821B5" w:rsidRDefault="00C821B5" w:rsidP="00C452F0">
      <w:pPr>
        <w:rPr>
          <w:b/>
        </w:rPr>
      </w:pPr>
      <w:r>
        <w:rPr>
          <w:b/>
        </w:rPr>
        <w:t xml:space="preserve">These values have been </w:t>
      </w:r>
      <w:r w:rsidR="004C309B">
        <w:rPr>
          <w:b/>
        </w:rPr>
        <w:t>now verified with the vendors.</w:t>
      </w:r>
    </w:p>
    <w:p w14:paraId="6EAE0928" w14:textId="77777777" w:rsidR="00C821B5" w:rsidRDefault="00C821B5" w:rsidP="00C452F0"/>
    <w:p w14:paraId="60EB66FC" w14:textId="1ADB54C6" w:rsidR="00FC2429" w:rsidRDefault="00FC2429" w:rsidP="00FC2429">
      <w:pPr>
        <w:pStyle w:val="ListParagraph"/>
        <w:numPr>
          <w:ilvl w:val="0"/>
          <w:numId w:val="2"/>
        </w:numPr>
      </w:pPr>
      <w:r>
        <w:t xml:space="preserve">I disagree that a high fat content specifically causes weight gain, even if the calculations from table 1 are correct and there was no difference in energy intakes. Activity levels of mice were not assessed and so this claim should be removed. </w:t>
      </w:r>
    </w:p>
    <w:p w14:paraId="7B92A9DA" w14:textId="77777777" w:rsidR="00AE1279" w:rsidRDefault="00AE1279" w:rsidP="00AE1279">
      <w:pPr>
        <w:pStyle w:val="ListParagraph"/>
        <w:ind w:left="360"/>
      </w:pPr>
    </w:p>
    <w:p w14:paraId="4470474E" w14:textId="62ACD440" w:rsidR="00686E64" w:rsidRDefault="00AE1279" w:rsidP="00686E64">
      <w:pPr>
        <w:rPr>
          <w:b/>
        </w:rPr>
      </w:pPr>
      <w:r>
        <w:rPr>
          <w:b/>
        </w:rPr>
        <w:t xml:space="preserve">This </w:t>
      </w:r>
      <w:r w:rsidR="00686E64">
        <w:rPr>
          <w:b/>
        </w:rPr>
        <w:t>statement was removed</w:t>
      </w:r>
      <w:r w:rsidR="00EC716A">
        <w:rPr>
          <w:b/>
        </w:rPr>
        <w:t xml:space="preserve">, as the reviewer makes and excellent point regarding our interrogation of energy expenditure without </w:t>
      </w:r>
      <w:r w:rsidR="00903F28">
        <w:rPr>
          <w:b/>
        </w:rPr>
        <w:t>a direct measurement</w:t>
      </w:r>
      <w:r w:rsidR="00EC716A">
        <w:rPr>
          <w:b/>
        </w:rPr>
        <w:t>.</w:t>
      </w:r>
    </w:p>
    <w:p w14:paraId="2F1574C7" w14:textId="77777777" w:rsidR="00EC716A" w:rsidRDefault="00EC716A" w:rsidP="00686E64">
      <w:pPr>
        <w:rPr>
          <w:b/>
        </w:rPr>
      </w:pPr>
    </w:p>
    <w:p w14:paraId="41DAB3B4" w14:textId="226C4E22" w:rsidR="00FC2429" w:rsidRDefault="00FC2429" w:rsidP="00686E64">
      <w:pPr>
        <w:pStyle w:val="ListParagraph"/>
        <w:numPr>
          <w:ilvl w:val="0"/>
          <w:numId w:val="2"/>
        </w:numPr>
      </w:pPr>
      <w:r>
        <w:t xml:space="preserve">Why was a 16h fast chosen? This should be </w:t>
      </w:r>
      <w:proofErr w:type="gramStart"/>
      <w:r>
        <w:t>discussed,</w:t>
      </w:r>
      <w:proofErr w:type="gramEnd"/>
      <w:r>
        <w:t xml:space="preserve"> this is prolonged and likely induces some stress, could stress susceptibility be a factor related to weight gain? Can cortisol be assessed?</w:t>
      </w:r>
    </w:p>
    <w:p w14:paraId="1992ECE2" w14:textId="77777777" w:rsidR="00686E64" w:rsidRDefault="00686E64" w:rsidP="00686E64"/>
    <w:p w14:paraId="7A10629D" w14:textId="27385245" w:rsidR="00686E64" w:rsidRDefault="00C73CB5" w:rsidP="00686E64">
      <w:pPr>
        <w:rPr>
          <w:b/>
        </w:rPr>
      </w:pPr>
      <w:r w:rsidRPr="00C73CB5">
        <w:rPr>
          <w:b/>
        </w:rPr>
        <w:t xml:space="preserve">We chose to examine mice after a 16h fast in order to activate the full breadth of body weight defense mechanisms, outside of food intake.  </w:t>
      </w:r>
      <w:r w:rsidR="00E31140">
        <w:rPr>
          <w:b/>
        </w:rPr>
        <w:t xml:space="preserve">This includes activation of not only glucagon, but also cortisol, and growth hormone dependent catabolic pathways (see </w:t>
      </w:r>
      <w:r w:rsidR="00257D04">
        <w:rPr>
          <w:b/>
        </w:rPr>
        <w:fldChar w:fldCharType="begin" w:fldLock="1"/>
      </w:r>
      <w:r w:rsidR="00FF28F4">
        <w:rPr>
          <w:b/>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"[3, 4]" }, "properties" : { "noteIndex" : 0 }, "schema" : "https://github.com/citation-style-language/schema/raw/master/csl-citation.json" }</w:instrText>
      </w:r>
      <w:r w:rsidR="00257D04">
        <w:rPr>
          <w:b/>
        </w:rPr>
        <w:fldChar w:fldCharType="separate"/>
      </w:r>
      <w:r w:rsidR="00AB000C" w:rsidRPr="00AB000C">
        <w:rPr>
          <w:noProof/>
        </w:rPr>
        <w:t>[3, 4]</w:t>
      </w:r>
      <w:r w:rsidR="00257D04">
        <w:rPr>
          <w:b/>
        </w:rPr>
        <w:fldChar w:fldCharType="end"/>
      </w:r>
      <w:r w:rsidR="00E31140">
        <w:rPr>
          <w:b/>
        </w:rPr>
        <w:t xml:space="preserve">). </w:t>
      </w:r>
      <w:r w:rsidRPr="00C73CB5">
        <w:rPr>
          <w:b/>
        </w:rPr>
        <w:t>At this stage, we did not observe substantial ingestion of the bedding materials</w:t>
      </w:r>
      <w:r w:rsidR="00903F28">
        <w:rPr>
          <w:b/>
        </w:rPr>
        <w:t>.  We</w:t>
      </w:r>
      <w:r>
        <w:rPr>
          <w:b/>
        </w:rPr>
        <w:t xml:space="preserve"> and </w:t>
      </w:r>
      <w:r w:rsidR="00257D04">
        <w:rPr>
          <w:b/>
        </w:rPr>
        <w:t xml:space="preserve">we and others </w:t>
      </w:r>
      <w:r>
        <w:rPr>
          <w:b/>
        </w:rPr>
        <w:t xml:space="preserve">have </w:t>
      </w:r>
      <w:r w:rsidR="00E31140">
        <w:rPr>
          <w:b/>
        </w:rPr>
        <w:t xml:space="preserve">previously </w:t>
      </w:r>
      <w:r>
        <w:rPr>
          <w:b/>
        </w:rPr>
        <w:t xml:space="preserve">used this duration of fast in other studies </w:t>
      </w:r>
      <w:r>
        <w:rPr>
          <w:b/>
        </w:rPr>
        <w:fldChar w:fldCharType="begin" w:fldLock="1"/>
      </w:r>
      <w:r w:rsidR="00FF28F4">
        <w:rPr>
          <w:b/>
        </w:rPr>
        <w:instrText>ADDIN CSL_CITATION { "citationItems" : [ { "id" : "ITEM-1", "itemData" : { "DOI" : "10.2337/db13-1531",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"issued" : { "date-parts" : [ [ "2014", "4", "10" ] ] }, "page" : "1-49", "title" : "Metabolic Crosstalk: molecular links between glycogen and lipid metabolism in obesity.", "type" : "article-journal" }, "uris" : [ "http://www.mendeley.com/documents/?uuid=098fbdfd-260f-433b-93e7-c3a8071dc6b2" ] }, { "id" : "ITEM-2", "itemData" : { "DOI" : "10.1172/JCI200214596.Introduction", "author" : [ { "dropping-particle" : "", "family" : "Hajri", "given" : "Tahar", "non-dropping-particle" : "", "parse-names" : false, "suffix" : "" }, { "dropping-particle" : "", "family" : "Han", "given" : "Xiao Xia", "non-dropping-particle" : "", "parse-names" : false, "suffix" : "" }, { "dropping-particle" : "", "family" : "Bonen", "given" : "Arend", "non-dropping-particle" : "", "parse-names" : false, "suffix" : "" }, { "dropping-particle" : "", "family" : "Abumrad", "given" : "Nada A", "non-dropping-particle" : "", "parse-names" : false, "suffix" : "" } ], "id" : "ITEM-2", "issue" : "10", "issued" : { "date-parts" : [ [ "2002" ] ] }, "title" : "Defective fatty acid uptake modulates insulin responsiveness and metabolic responses to diet in CD36-null mice", "type" : "article-journal", "volume" : "109" }, "uris" : [ "http://www.mendeley.com/documents/?uuid=b6d8144c-91e5-4cba-bfe3-0f225e2a3d57" ] }, { "id" : "ITEM-3", "itemData" : { "DOI" : "10.1111/acel.12097", "ISSN" : "1474-9726", "PMID" : "23648089", "abstract" : "Rapamycin, an inhibitor of the mechanistic target of rapamycin (mTOR) signaling pathway, extends the life span of yeast, worms, flies, and mice. Interventions that promote longevity are often correlated with increased insulin sensitivity, and it therefore is surprising that chronic rapamycin treatment of mice, rats, and humans is associated with insulin resistance (J Am Soc Nephrol., 19, 2008, 1411; Diabetes, 00, 2010, 00; Science, 335, 2012, 1638). We examined the effect of dietary rapamycin treatment on glucose homeostasis and insulin resistance in the genetically heterogeneous HET3 mouse strain, a strain in which dietary rapamycin robustly extends mean and maximum life span. We find that rapamycin treatment leads to glucose intolerance in both young and old HET3 mice, but in contrast to the previously reported effect of injected rapamycin in C57BL/6 mice, HET3 mice treated with dietary rapamycin responded normally in an insulin tolerance test. To gauge the overall consequences of rapamycin treatment on average blood glucose levels, we measured HBA1c. Dietary rapamycin increased HBA1c over the first 3 weeks of treatment in young animals, but the effect was lost by 3 months, and no effect was detected in older animals. Our results demonstrate that the extended life span of HET3 mice on a rapamycin diet occurs in the absence of major changes in insulin sensitivity and highlight the importance of strain background and delivery method in testing effects of longevity interventions.", "author" : [ { "dropping-particle" : "", "family" : "Lamming", "given" : "Dudley W.", "non-dropping-particle" : "", "parse-names" : false, "suffix" : "" }, { "dropping-particle" : "", "family" : "Ye", "given" : "Lan", "non-dropping-particle" : "", "parse-names" : false, "suffix" : "" }, { "dropping-particle" : "", "family" : "Astle", "given" : "Clinton M", "non-dropping-particle" : "", "parse-names" : false, "suffix" : "" }, { "dropping-particle" : "", "family" : "Baur", "given" : "Joseph A", "non-dropping-particle" : "", "parse-names" : false, "suffix" : "" }, { "dropping-particle" : "", "family" : "Sabatini", "given" : "David\u00a0M.", "non-dropping-particle" : "", "parse-names" : false, "suffix" : "" }, { "dropping-particle" : "", "family" : "Harrison", "given" : "David E", "non-dropping-particle" : "", "parse-names" : false, "suffix" : "" } ], "container-title" : "Aging cell", "id" : "ITEM-3", "issued" : { "date-parts" : [ [ "2013", "5", "4" ] ] }, "title" : "Young and old genetically heterogeneous HET3 mice on a rapamycin diet are glucose intolerant but insulin sensitive.", "type" : "article-journal" }, "uris" : [ "http://www.mendeley.com/documents/?uuid=e27c9760-af6d-40ea-a0e2-45242ac6710c" ] }, { "id" : "ITEM-4", "itemData" : { "DOI" : "10.1172/JCI67674", "ISSN" : "1558-8238", "PMID" : "23863708", "abstract" : "Aging is a major risk factor for a large number of disorders and functional impairments. Therapeutic targeting of the aging process may therefore represent an innovative strategy in the quest for novel and broadly effective treatments against age-related diseases. The recent report of lifespan extension in mice treated with the FDA-approved mTOR inhibitor rapamycin represented the first demonstration of pharmacological extension of maximal lifespan in mammals. Longevity effects of rapamycin may, however, be due to rapamycin's effects on specific life-limiting pathologies, such as cancers, and it remains unclear if this compound actually slows the rate of aging in mammals. Here, we present results from a comprehensive, large-scale assessment of a wide range of structural and functional aging phenotypes, which we performed to determine whether rapamycin slows the rate of aging in male C57BL/6J mice. While rapamycin did extend lifespan, it ameliorated few studied aging phenotypes. A subset of aging traits appeared to be rescued by rapamycin. Rapamycin, however, had similar effects on many of these traits in young animals, indicating that these effects were not due to a modulation of aging, but rather related to aging-independent drug effects. Therefore, our data largely dissociate rapamycin's longevity effects from effects on aging itself.", "author" : [ { "dropping-particle" : "", "family" : "Neff", "given" : "Frauke", "non-dropping-particle" : "", "parse-names" : false, "suffix" : "" }, { "dropping-particle" : "", "family" : "Flores-Dominguez", "given" : "Diana", "non-dropping-particle" : "", "parse-names" : false, "suffix" : "" }, { "dropping-particle" : "", "family" : "Ryan", "given" : "Devon P", "non-dropping-particle" : "", "parse-names" : false, "suffix" : "" }, { "dropping-particle" : "", "family" : "Horsch", "given" : "Marion", "non-dropping-particle" : "", "parse-names" : false, "suffix" : "" }, { "dropping-particle" : "", "family" : "Schr\u00f6der", "given" : "Susanne", "non-dropping-particle" : "", "parse-names" : false, "suffix" : "" }, { "dropping-particle" : "", "family" : "Adler", "given" : "Thure", "non-dropping-particle" : "", "parse-names" : false, "suffix" : "" }, { "dropping-particle" : "", "family" : "Afonso", "given" : "Luciana Caminha", "non-dropping-particle" : "", "parse-names" : false, "suffix" : "" }, { "dropping-particle" : "", "family" : "Aguilar-Pimentel", "given" : "Juan Antonio", "non-dropping-particle" : "", "parse-names" : false, "suffix" : "" }, { "dropping-particle" : "", "family" : "Becker", "given" : "Lore", "non-dropping-particle" : "", "parse-names" : false, "suffix" : "" }, { "dropping-particle" : "", "family" : "Garrett", "given" : "Lillian", "non-dropping-particle" : "", "parse-names" : false, "suffix" : "" }, { "dropping-particle" : "", "family" : "Hans", "given" : "Wolfgang", "non-dropping-particle" : "", "parse-names" : false, "suffix" : "" }, { "dropping-particle" : "", "family" : "Hettich", "given" : "Moritz M", "non-dropping-particle" : "", "parse-names" : false, "suffix" : "" }, { "dropping-particle" : "", "family" : "Holtmeier", "given" : "Richard", "non-dropping-particle" : "", "parse-names" : false, "suffix" : "" }, { "dropping-particle" : "", "family" : "H\u00f6lter", "given" : "Sabine M", "non-dropping-particle" : "", "parse-names" : false, "suffix" : "" }, { "dropping-particle" : "", "family" : "Moreth", "given" : "Kristin", "non-dropping-particle" : "", "parse-names" : false, "suffix" : "" }, { "dropping-particle" : "", "family" : "Prehn", "given" : "Cornelia", "non-dropping-particle" : "", "parse-names" : false, "suffix" : "" }, { "dropping-particle" : "", "family" : "Puk", "given" : "Oliver", "non-dropping-particle" : "", "parse-names" : false, "suffix" : "" }, { "dropping-particle" : "", "family" : "R\u00e1cz", "given" : "Ildik\u00f3", "non-dropping-particle" : "", "parse-names" : false, "suffix" : "" }, { "dropping-particle" : "", "family" : "Rathkolb", "given" : "Birgit", "non-dropping-particle" : "", "parse-names" : false, "suffix" : "" }, { "dropping-particle" : "", "family" : "Rozman", "given" : "Jan", "non-dropping-particle" : "", "parse-names" : false, "suffix" : "" }, { "dropping-particle" : "", "family" : "Naton", "given" : "Beatrix", "non-dropping-particle" : "", "parse-names" : false, "suffix" : "" }, { "dropping-particle" : "", "family" : "Ordemann", "given" : "Rainer", "non-dropping-particle" : "", "parse-names" : false, "suffix" : "" }, { "dropping-particle" : "", "family" : "Adamski", "given" : "Jerzy", "non-dropping-particle" : "", "parse-names" : false, "suffix" : "" }, { "dropping-particle" : "", "family" : "Beckers", "given" : "Johannes", "non-dropping-particle" : "", "parse-names" : false, "suffix" : "" }, { "dropping-particle" : "", "family" : "Bekeredjian", "given" : "Raffi", "non-dropping-particle" : "", "parse-names" : false, "suffix" : "" }, { "dropping-particle" : "", "family" : "Busch", "given" : "Dirk H", "non-dropping-particle" : "", "parse-names" : false, "suffix" : "" }, { "dropping-particle" : "", "family" : "Ehninger", "given" : "Gerhard", "non-dropping-particle" : "", "parse-names" : false, "suffix" : "" }, { "dropping-particle" : "", "family" : "Graw", "given" : "Jochen", "non-dropping-particle" : "", "parse-names" : false, "suffix" : "" }, { "dropping-particle" : "", "family" : "H\u00f6fler", "given" : "Heinz", "non-dropping-particle" : "", "parse-names" : false, "suffix" : "" }, { "dropping-particle" : "", "family" : "Klingenspor", "given" : "Martin", "non-dropping-particle" : "", "parse-names" : false, "suffix" : "" }, { "dropping-particle" : "", "family" : "Klopstock", "given" : "Thomas", "non-dropping-particle" : "", "parse-names" : false, "suffix" : "" }, { "dropping-particle" : "", "family" : "Ollert", "given" : "Markus", "non-dropping-particle" : "", "parse-names" : false, "suffix" : "" }, { "dropping-particle" : "", "family" : "Stypmann", "given" : "J\u00f6rg", "non-dropping-particle" : "", "parse-names" : false, "suffix" : "" }, { "dropping-particle" : "", "family" : "Wolf", "given" : "Eckhard", "non-dropping-particle" : "", "parse-names" : false, "suffix" : "" }, { "dropping-particle" : "", "family" : "Wurst", "given" : "Wolfgang", "non-dropping-particle" : "", "parse-names" : false, "suffix" : "" }, { "dropping-particle" : "", "family" : "Zimmer", "given" : "Andreas", "non-dropping-particle" : "", "parse-names" : false, "suffix" : "" }, { "dropping-particle" : "", "family" : "Fuchs", "given" : "Helmut", "non-dropping-particle" : "", "parse-names" : false, "suffix" : "" }, { "dropping-particle" : "", "family" : "Gailus-Durner", "given" : "Val\u00e9rie", "non-dropping-particle" : "", "parse-names" : false, "suffix" : "" }, { "dropping-particle" : "", "family" : "Hrabe de Angelis", "given" : "Martin", "non-dropping-particle" : "", "parse-names" : false, "suffix" : "" }, { "dropping-particle" : "", "family" : "Ehninger", "given" : "Dan", "non-dropping-particle" : "", "parse-names" : false, "suffix" : "" } ], "container-title" : "The Journal of clinical investigation", "id" : "ITEM-4", "issue" : "8", "issued" : { "date-parts" : [ [ "2013", "8", "1" ] ] }, "page" : "3272-91", "title" : "Rapamycin extends murine lifespan but has limited effects on aging.", "type" : "article-journal", "volume" : "123" }, "uris" : [ "http://www.mendeley.com/documents/?uuid=81032c7b-402f-4549-9d93-b1c4e507208f" ] }, { "id" : "ITEM-5", "itemData" : { "DOI" : "10.1210/en.2013-1362", "ISSN" : "1945-7170", "PMID" : "23832962", "abstract" : "Metabolic syndrome is growing in importance with the rising levels of obesity, type 2 diabetes, and insulin resistance. Metabolic syndrome shares many characteristics with Cushing's syndrome, which has led to investigation of the link between excess glucocorticoids and metabolic syndrome. Indeed, increased glucocorticoids from intracellular regeneration by 11\u03b2-hydroxysteroid dehydrogenase type 1 (11\u03b2-HSD1) drives insulin resistance and increases adiposity, but these metabolic changes are assumed to be due to increased circulating glucocorticoids. We hypothesized that increasing the substrate for 11\u03b2-HSD1 (11-dehydrocorticosterone, 11-DHC) would adversely affect metabolic parameters. We found that chronic administration of 11-DHC to male C57BL/6J mice resulted in increased circulating glucocorticoids, and down-regulation of the hypothalamic-pituitary-adrenal axis. This elevated 11\u03b2-HSD1-derived corticosterone led to increased body weight gain and adiposity and produced marked insulin resistance. Surprisingly liver-specific 11\u03b2-HSD1 knockout (LKO) mice given 11-DHC did not show any of the adverse metabolic effects seen in wild-type mice. This occurred despite the 11-DHC administration resulting in elevated circulating corticosterone, presumably from adipose tissue. Mice with global deletion of 11\u03b2-HSD1 (global knockout) were unaffected by treatment with 11-DHC, having no increase in circulating corticosterone and exhibiting no signs of metabolic impairment. Taken together, these data show that in the absence of 11\u03b2-HSD1 in the liver, mice are protected from the metabolic effects of 11-DHC administration, even though circulating glucocorticoids are increased. This implies that liver-derived intratissue glucocorticoids, rather than circulating glucocorticoids, contribute significantly to the development of metabolic syndrome and suggest that local action within hepatic tissue mediates these effects.", "author" : [ { "dropping-particle" : "", "family" : "Harno", "given" : "Erika", "non-dropping-particle" : "", "parse-names" : false, "suffix" : "" }, { "dropping-particle" : "", "family" : "Cottrell", "given" : "Elizabeth C", "non-dropping-particle" : "", "parse-names" : false, "suffix" : "" }, { "dropping-particle" : "", "family" : "Keevil", "given" : "Brian G", "non-dropping-particle" : "", "parse-names" : false, "suffix" : "" }, { "dropping-particle" : "", "family" : "DeSchoolmeester", "given" : "Joanne", "non-dropping-particle" : "", "parse-names" : false, "suffix" : "" }, { "dropping-particle" : "", "family" : "Bohlooly-Y", "given" : "Mohammad", "non-dropping-particle" : "", "parse-names" : false, "suffix" : "" }, { "dropping-particle" : "", "family" : "Anders\u00e9n", "given" : "Harriet", "non-dropping-particle" : "", "parse-names" : false, "suffix" : "" }, { "dropping-particle" : "V", "family" : "Turnbull", "given" : "Andrew", "non-dropping-particle" : "", "parse-names" : false, "suffix" : "" }, { "dropping-particle" : "", "family" : "Leighton", "given" : "Brendan", "non-dropping-particle" : "", "parse-names" : false, "suffix" : "" }, { "dropping-particle" : "", "family" : "White", "given" : "Anne", "non-dropping-particle" : "", "parse-names" : false, "suffix" : "" } ], "container-title" : "Endocrinology", "id" : "ITEM-5", "issue" : "10", "issued" : { "date-parts" : [ [ "2013", "10" ] ] }, "page" : "3599-609", "title" : "11-Dehydrocorticosterone causes metabolic syndrome, which is prevented when 11\u03b2-HSD1 is knocked out in livers of male mice.", "type" : "article-journal", "volume" : "154" }, "uris" : [ "http://www.mendeley.com/documents/?uuid=7c03afaf-a546-4edf-a61d-d6668e3c90e5" ] }, { "id" : "ITEM-6", "itemData" : { "DOI" : "10.1172/JCI29881", "ISSN" : "0021-9738", "PMID" : "17200717", "abstract" : "Adipose tissue macrophages (ATMs) infiltrate adipose tissue during obesity and contribute to insulin resistance. We hypothesized that macrophages migrating to adipose tissue upon high-fat feeding may differ from those that reside there under normal diet conditions. To this end, we found a novel F4/80(+)CD11c(+) population of ATMs in adipose tissue of obese mice that was not seen in lean mice. ATMs from lean mice expressed many genes characteristic of M2 or \"alternatively activated\" macrophages, including Ym1, arginase 1, and Il10. Diet-induced obesity decreased expression of these genes in ATMs while increasing expression of genes such as those encoding TNF-alpha and iNOS that are characteristic of M1 or \"classically activated\" macrophages. Interestingly, ATMs from obese C-C motif chemokine receptor 2-KO (Ccr2-KO) mice express M2 markers at levels similar to those from lean mice. The antiinflammatory cytokine IL-10, which was overexpressed in ATMs from lean mice, protected adipocytes from TNF-alpha-induced insulin resistance. Thus, diet-induced obesity leads to a shift in the activation state of ATMs from an M2-polarized state in lean animals that may protect adipocytes from inflammation to an M1 proinflammatory state that contributes to insulin resistance.", "author" : [ { "dropping-particle" : "", "family" : "Lumeng", "given" : "Carey N", "non-dropping-particle" : "", "parse-names" : false, "suffix" : "" }, { "dropping-particle" : "", "family" : "Bodzin", "given" : "Jennifer L", "non-dropping-particle" : "", "parse-names" : false, "suffix" : "" }, { "dropping-particle" : "", "family" : "Saltiel", "given" : "Alan R", "non-dropping-particle" : "", "parse-names" : false, "suffix" : "" } ], "container-title" : "The Journal of clinical investigation", "id" : "ITEM-6", "issue" : "1", "issued" : { "date-parts" : [ [ "2007", "1" ] ] }, "page" : "175-84", "title" : "Obesity induces a phenotypic switch in adipose tissue macrophage polarization.", "type" : "article-journal", "volume" : "117" }, "uris" : [ "http://www.mendeley.com/documents/?uuid=ca28d913-029e-4d8e-8235-23f3c89aad2c" ] }, { "id" : "ITEM-7", "itemData" : { "DOI" : "10.1172/JCI24196", "ISSN" : "0021-9738", "PMID" : "16239968", "abstract" : "The G protein G(s)alpha is essential for hormone-stimulated cAMP generation and is an important metabolic regulator. We investigated the role of liver G(s)-signaling pathways by developing mice with liver-specific G(s)alpha deficiency (LGsKO mice). LGsKO mice had increased liver weight and glycogen content and reduced adiposity, whereas survival, body weight, food intake, and metabolic rates at ambient temperature were unaffected. LGsKO mice had increased glucose tolerance with both increased glucose-stimulated insulin secretion and increased insulin sensitivity in liver and muscle. Fed LGsKO mice were hypoglycemic and hypoinsulinemic, with low expression of hepatic gluconeogenic enzymes and PPARgamma coactivator-1. However, LGsKO mice maintained normal fasting glucose and insulin levels, probably due to prolonged breakdown of glycogen stores and possibly increased extrahepatic gluconeogenesis. Lipid metabolism was unaffected in fed LGsKO mice, but fasted LGsKO mice had increased lipogenic and reduced lipid oxidation gene expression in liver and increased serum triglyceride and FFA levels. LGsKO mice had very high serum glucagon and glucagon-like peptide-1 levels and pancreatic alpha cell hyperplasia, probably secondary to hepatic glucagon resistance and/or chronic hypoglycemia. Our results define novel roles for hepatic G(s)-signaling pathways in glucose and lipid regulation, which may prove useful in designing new therapeutic targets for diabetes and obesity.", "author" : [ { "dropping-particle" : "", "family" : "Chen", "given" : "Min", "non-dropping-particle" : "", "parse-names" : false, "suffix" : "" }, { "dropping-particle" : "", "family" : "Gavrilova", "given" : "Oksana", "non-dropping-particle" : "", "parse-names" : false, "suffix" : "" }, { "dropping-particle" : "", "family" : "Zhao", "given" : "Wei-qin", "non-dropping-particle" : "", "parse-names" : false, "suffix" : "" }, { "dropping-particle" : "", "family" : "Nguyen", "given" : "Annie", "non-dropping-particle" : "", "parse-names" : false, "suffix" : "" }, { "dropping-particle" : "", "family" : "Lorenzo", "given" : "Javier", "non-dropping-particle" : "", "parse-names" : false, "suffix" : "" }, { "dropping-particle" : "", "family" : "Shen", "given" : "Laura", "non-dropping-particle" : "", "parse-names" : false, "suffix" : "" }, { "dropping-particle" : "", "family" : "Nackers", "given" : "Lisa", "non-dropping-particle" : "", "parse-names" : false, "suffix" : "" }, { "dropping-particle" : "", "family" : "Pack", "given" : "Stephanie", "non-dropping-particle" : "", "parse-names" : false, "suffix" : "" }, { "dropping-particle" : "", "family" : "Jou", "given" : "William", "non-dropping-particle" : "", "parse-names" : false, "suffix" : "" }, { "dropping-particle" : "", "family" : "Weinstein", "given" : "Lee S", "non-dropping-particle" : "", "parse-names" : false, "suffix" : "" } ], "container-title" : "The Journal of clinical investigation", "id" : "ITEM-7", "issue" : "11", "issued" : { "date-parts" : [ [ "2005", "11" ] ] }, "page" : "3217-27", "title" : "Increased glucose tolerance and reduced adiposity in the absence of fasting hypoglycemia in mice with liver-specific Gs alpha deficiency.", "type" : "article-journal", "volume" : "115" }, "uris" : [ "http://www.mendeley.com/documents/?uuid=7a9406fa-a451-476f-ab62-87f0deb04feb" ] }, { "id" : "ITEM-8", "itemData" : { "DOI" : "10.1210/me.2010-0120", "ISSN" : "1944-9917", "PMID" : "20592160", "abstract" : "The major role of glucagon is to promote hepatic gluconeogenesis and glycogenolysis to raise blood glucose levels during hypoglycemic conditions. Several animal models have been established to examine the in vivo function of glucagon in the liver through attenuation of glucagon via glucagon receptor knockout animals and pharmacological interventions. To investigate the consequences of glucagon loss to hepatic glucose production and glucose homeostasis, we derived mice with a pancreas specific ablation of the alpha-cell transcription factor, Arx, resulting in a complete loss of the glucagon-producing pancreatic alpha-cell. Using this model, we found that glucagon is not required for the general health of mice but is essential for total hepatic glucose production. Our data clarifies the importance of glucagon during the regulation of fasting and postprandial glucose homeostasis.", "author" : [ { "dropping-particle" : "", "family" : "Hancock", "given" : "Aidan S", "non-dropping-particle" : "", "parse-names" : false, "suffix" : "" }, { "dropping-particle" : "", "family" : "Du", "given" : "Aiping", "non-dropping-particle" : "", "parse-names" : false, "suffix" : "" }, { "dropping-particle" : "", "family" : "Liu", "given" : "Jingxuan", "non-dropping-particle" : "", "parse-names" : false, "suffix" : "" }, { "dropping-particle" : "", "family" : "Miller", "given" : "Mayumi", "non-dropping-particle" : "", "parse-names" : false, "suffix" : "" }, { "dropping-particle" : "", "family" : "May", "given" : "Catherine L", "non-dropping-particle" : "", "parse-names" : false, "suffix" : "" } ], "container-title" : "Molecular endocrinology (Baltimore, Md.)", "id" : "ITEM-8", "issue" : "8", "issued" : { "date-parts" : [ [ "2010", "8" ] ] }, "page" : "1605-14", "title" : "Glucagon deficiency reduces hepatic glucose production and improves glucose tolerance in adult mice.", "type" : "article-journal", "volume" : "24" }, "uris" : [ "http://www.mendeley.com/documents/?uuid=c6c6b452-c617-4980-8ad5-ea6b5ed58683" ] } ], "mendeley" : { "previouslyFormattedCitation" : "[5\u201312]" }, "properties" : { "noteIndex" : 0 }, "schema" : "https://github.com/citation-style-language/schema/raw/master/csl-citation.json" }</w:instrText>
      </w:r>
      <w:r>
        <w:rPr>
          <w:b/>
        </w:rPr>
        <w:fldChar w:fldCharType="separate"/>
      </w:r>
      <w:r w:rsidR="00FF28F4" w:rsidRPr="00FF28F4">
        <w:rPr>
          <w:noProof/>
        </w:rPr>
        <w:t>[5–12]</w:t>
      </w:r>
      <w:r>
        <w:rPr>
          <w:b/>
        </w:rPr>
        <w:fldChar w:fldCharType="end"/>
      </w:r>
      <w:r w:rsidRPr="00C73CB5">
        <w:rPr>
          <w:b/>
        </w:rPr>
        <w:t>.</w:t>
      </w:r>
      <w:r>
        <w:rPr>
          <w:b/>
        </w:rPr>
        <w:t xml:space="preserve">  Although it is possible that we may observe altered effects with shorter or longer fasting times, we have not performed those studies. </w:t>
      </w:r>
      <w:r w:rsidR="00E31140">
        <w:rPr>
          <w:b/>
        </w:rPr>
        <w:t xml:space="preserve">  We have addressed this </w:t>
      </w:r>
      <w:proofErr w:type="gramStart"/>
      <w:r w:rsidR="00257D04">
        <w:rPr>
          <w:b/>
        </w:rPr>
        <w:t xml:space="preserve">issue </w:t>
      </w:r>
      <w:r w:rsidR="00E31140">
        <w:rPr>
          <w:b/>
        </w:rPr>
        <w:t xml:space="preserve"> </w:t>
      </w:r>
      <w:r w:rsidR="00257D04">
        <w:rPr>
          <w:b/>
        </w:rPr>
        <w:t>in</w:t>
      </w:r>
      <w:proofErr w:type="gramEnd"/>
      <w:r w:rsidR="00257D04">
        <w:rPr>
          <w:b/>
        </w:rPr>
        <w:t xml:space="preserve"> </w:t>
      </w:r>
      <w:r w:rsidR="00E31140">
        <w:rPr>
          <w:b/>
        </w:rPr>
        <w:t>the</w:t>
      </w:r>
      <w:r w:rsidR="00257D04">
        <w:rPr>
          <w:b/>
        </w:rPr>
        <w:t xml:space="preserve"> discussion section</w:t>
      </w:r>
      <w:r w:rsidR="00A94DF2">
        <w:rPr>
          <w:b/>
        </w:rPr>
        <w:t xml:space="preserve"> (note, references are numbered relative to this document)</w:t>
      </w:r>
      <w:r w:rsidR="00257D04">
        <w:rPr>
          <w:b/>
        </w:rPr>
        <w:t>:</w:t>
      </w:r>
    </w:p>
    <w:p w14:paraId="01C4A50A" w14:textId="77777777" w:rsidR="00257D04" w:rsidRDefault="00257D04" w:rsidP="00686E64">
      <w:pPr>
        <w:rPr>
          <w:b/>
        </w:rPr>
      </w:pPr>
    </w:p>
    <w:p w14:paraId="02A07BD3" w14:textId="0B72D5A2" w:rsidR="00594BC2" w:rsidRDefault="00A94DF2" w:rsidP="00A94DF2">
      <w:pPr>
        <w:ind w:left="360"/>
        <w:rPr>
          <w:b/>
          <w:color w:val="FF0000"/>
        </w:rPr>
      </w:pPr>
      <w:r w:rsidRPr="00A94DF2">
        <w:rPr>
          <w:b/>
          <w:color w:val="FF0000"/>
        </w:rPr>
        <w:t xml:space="preserve">We tested the effects of </w:t>
      </w:r>
      <w:r w:rsidR="00BD67C8">
        <w:rPr>
          <w:b/>
          <w:color w:val="FF0000"/>
        </w:rPr>
        <w:t>a</w:t>
      </w:r>
      <w:r w:rsidRPr="00A94DF2">
        <w:rPr>
          <w:b/>
          <w:color w:val="FF0000"/>
        </w:rPr>
        <w:t xml:space="preserve"> prolonged food deprivation, as this </w:t>
      </w:r>
      <w:r w:rsidR="00BD67C8">
        <w:rPr>
          <w:b/>
          <w:color w:val="FF0000"/>
        </w:rPr>
        <w:t>intervention</w:t>
      </w:r>
      <w:r w:rsidRPr="00A94DF2">
        <w:rPr>
          <w:b/>
          <w:color w:val="FF0000"/>
        </w:rPr>
        <w:t xml:space="preserve"> will activate not only glucagon signaling, but also other catabolic signaling cascades including growth hormone and </w:t>
      </w:r>
      <w:r>
        <w:rPr>
          <w:b/>
          <w:color w:val="FF0000"/>
        </w:rPr>
        <w:t>glucocorticoids</w:t>
      </w:r>
      <w:r w:rsidRPr="00A94DF2">
        <w:rPr>
          <w:b/>
          <w:color w:val="FF0000"/>
        </w:rPr>
        <w:t xml:space="preserve"> </w:t>
      </w:r>
      <w:r w:rsidRPr="00A94DF2">
        <w:rPr>
          <w:b/>
          <w:color w:val="FF0000"/>
        </w:rPr>
        <w:fldChar w:fldCharType="begin" w:fldLock="1"/>
      </w:r>
      <w:r w:rsidR="00FF28F4">
        <w:rPr>
          <w:b/>
          <w:color w:val="FF0000"/>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"[3, 4]" }, "properties" : { "noteIndex" : 0 }, "schema" : "https://github.com/citation-style-language/schema/raw/master/csl-citation.json" }</w:instrText>
      </w:r>
      <w:r w:rsidRPr="00A94DF2">
        <w:rPr>
          <w:b/>
          <w:color w:val="FF0000"/>
        </w:rPr>
        <w:fldChar w:fldCharType="separate"/>
      </w:r>
      <w:r w:rsidR="00AB000C" w:rsidRPr="00AB000C">
        <w:rPr>
          <w:noProof/>
          <w:color w:val="FF0000"/>
        </w:rPr>
        <w:t>[3, 4]</w:t>
      </w:r>
      <w:r w:rsidRPr="00A94DF2">
        <w:rPr>
          <w:b/>
          <w:color w:val="FF0000"/>
        </w:rPr>
        <w:fldChar w:fldCharType="end"/>
      </w:r>
      <w:r w:rsidRPr="00A94DF2">
        <w:rPr>
          <w:b/>
          <w:color w:val="FF0000"/>
        </w:rPr>
        <w:t xml:space="preserve">.  In this way, our protocol for food deprivation is likely to engage all of these pathways to defend body weight in the absence of food. </w:t>
      </w:r>
    </w:p>
    <w:p w14:paraId="5BA78D70" w14:textId="77777777" w:rsidR="00594BC2" w:rsidRDefault="00594BC2" w:rsidP="00A94DF2">
      <w:pPr>
        <w:ind w:left="360"/>
        <w:rPr>
          <w:b/>
          <w:color w:val="FF0000"/>
        </w:rPr>
      </w:pPr>
    </w:p>
    <w:p w14:paraId="0A1FD62B" w14:textId="40ADA781" w:rsidR="00A94DF2" w:rsidRPr="00594BC2" w:rsidRDefault="00594BC2" w:rsidP="00594BC2">
      <w:pPr>
        <w:rPr>
          <w:b/>
        </w:rPr>
      </w:pPr>
      <w:r w:rsidRPr="00594BC2">
        <w:rPr>
          <w:b/>
        </w:rPr>
        <w:t>We also mentioned in the results section that hormones were altered during fasting in manner consistent with other reports:</w:t>
      </w:r>
    </w:p>
    <w:p w14:paraId="1E6FC38D" w14:textId="77777777" w:rsidR="00594BC2" w:rsidRDefault="00594BC2" w:rsidP="00A94DF2">
      <w:pPr>
        <w:ind w:left="360"/>
        <w:rPr>
          <w:color w:val="FF0000"/>
        </w:rPr>
      </w:pPr>
    </w:p>
    <w:p w14:paraId="60FFD953" w14:textId="7AC4F370" w:rsidR="00594BC2" w:rsidRPr="00594BC2" w:rsidRDefault="00594BC2" w:rsidP="00A94DF2">
      <w:pPr>
        <w:ind w:left="360"/>
        <w:rPr>
          <w:b/>
          <w:color w:val="FF0000"/>
        </w:rPr>
      </w:pPr>
      <w:proofErr w:type="spellStart"/>
      <w:r w:rsidRPr="00594BC2">
        <w:rPr>
          <w:b/>
          <w:color w:val="FF0000"/>
        </w:rPr>
        <w:lastRenderedPageBreak/>
        <w:t>Futhermore</w:t>
      </w:r>
      <w:proofErr w:type="spellEnd"/>
      <w:r w:rsidRPr="00594BC2">
        <w:rPr>
          <w:b/>
          <w:color w:val="FF0000"/>
        </w:rPr>
        <w:t>, the fasting/</w:t>
      </w:r>
      <w:proofErr w:type="spellStart"/>
      <w:r w:rsidRPr="00594BC2">
        <w:rPr>
          <w:b/>
          <w:color w:val="FF0000"/>
        </w:rPr>
        <w:t>refeeding</w:t>
      </w:r>
      <w:proofErr w:type="spellEnd"/>
      <w:r w:rsidRPr="00594BC2">
        <w:rPr>
          <w:b/>
          <w:color w:val="FF0000"/>
        </w:rPr>
        <w:t xml:space="preserve"> responses (decreases in total ghrelin, glucagon, GLP-1 and increases with insulin) are consistent with previous data, supportive of a normal fasting response </w:t>
      </w:r>
      <w:r w:rsidRPr="00594BC2">
        <w:rPr>
          <w:b/>
          <w:color w:val="FF0000"/>
        </w:rPr>
        <w:fldChar w:fldCharType="begin" w:fldLock="1"/>
      </w:r>
      <w:r w:rsidR="00FF28F4">
        <w:rPr>
          <w:b/>
          <w:color w:val="FF0000"/>
        </w:rPr>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"[13\u201316]" }, "properties" : { "noteIndex" : 0 }, "schema" : "https://github.com/citation-style-language/schema/raw/master/csl-citation.json" }</w:instrText>
      </w:r>
      <w:r w:rsidRPr="00594BC2">
        <w:rPr>
          <w:b/>
          <w:color w:val="FF0000"/>
        </w:rPr>
        <w:fldChar w:fldCharType="separate"/>
      </w:r>
      <w:r w:rsidR="00FF28F4" w:rsidRPr="00FF28F4">
        <w:rPr>
          <w:noProof/>
          <w:color w:val="FF0000"/>
        </w:rPr>
        <w:t>[13–16]</w:t>
      </w:r>
      <w:r w:rsidRPr="00594BC2">
        <w:rPr>
          <w:b/>
          <w:color w:val="FF0000"/>
        </w:rPr>
        <w:fldChar w:fldCharType="end"/>
      </w:r>
      <w:r w:rsidRPr="00594BC2">
        <w:rPr>
          <w:b/>
          <w:color w:val="FF0000"/>
        </w:rPr>
        <w:t xml:space="preserve">.  </w:t>
      </w:r>
    </w:p>
    <w:p w14:paraId="36F6985D" w14:textId="77777777" w:rsidR="00257D04" w:rsidRPr="00C73CB5" w:rsidRDefault="00257D04" w:rsidP="00686E64">
      <w:pPr>
        <w:rPr>
          <w:b/>
        </w:rPr>
      </w:pPr>
    </w:p>
    <w:p w14:paraId="0C393A71" w14:textId="77777777" w:rsidR="00C73CB5" w:rsidRDefault="00C73CB5" w:rsidP="00686E64"/>
    <w:p w14:paraId="7E2CD847" w14:textId="77777777" w:rsidR="00FC2429" w:rsidRDefault="00FC2429" w:rsidP="00FC2429">
      <w:pPr>
        <w:pStyle w:val="ListParagraph"/>
        <w:numPr>
          <w:ilvl w:val="0"/>
          <w:numId w:val="2"/>
        </w:numPr>
      </w:pPr>
      <w:r>
        <w:t xml:space="preserve">Do the investigators consider that fasting levels of gut related peptides and one </w:t>
      </w:r>
      <w:proofErr w:type="spellStart"/>
      <w:r>
        <w:t>refed</w:t>
      </w:r>
      <w:proofErr w:type="spellEnd"/>
      <w:r>
        <w:t xml:space="preserve"> </w:t>
      </w:r>
      <w:proofErr w:type="spellStart"/>
      <w:r>
        <w:t>timpoint</w:t>
      </w:r>
      <w:proofErr w:type="spellEnd"/>
      <w:r>
        <w:t xml:space="preserve"> is sufficient for proper assessment of appetite related factors? Please discuss. Please clarify the re-fed time taken in the methodology.</w:t>
      </w:r>
    </w:p>
    <w:p w14:paraId="32236967" w14:textId="77777777" w:rsidR="007E171E" w:rsidRDefault="007E171E" w:rsidP="007E171E"/>
    <w:p w14:paraId="12A976AD" w14:textId="0AFDF5F9" w:rsidR="007E171E" w:rsidRDefault="007E171E" w:rsidP="007E171E">
      <w:pPr>
        <w:rPr>
          <w:b/>
        </w:rPr>
      </w:pPr>
      <w:proofErr w:type="spellStart"/>
      <w:r w:rsidRPr="007E171E">
        <w:rPr>
          <w:b/>
        </w:rPr>
        <w:t>Refeeding</w:t>
      </w:r>
      <w:proofErr w:type="spellEnd"/>
      <w:r w:rsidRPr="007E171E">
        <w:rPr>
          <w:b/>
        </w:rPr>
        <w:t xml:space="preserve"> was performed for 6h in these animals, as cla</w:t>
      </w:r>
      <w:r>
        <w:rPr>
          <w:b/>
        </w:rPr>
        <w:t>rified in the methods section:</w:t>
      </w:r>
    </w:p>
    <w:p w14:paraId="641EC1CE" w14:textId="77777777" w:rsidR="007E171E" w:rsidRDefault="007E171E" w:rsidP="007E171E">
      <w:pPr>
        <w:rPr>
          <w:b/>
        </w:rPr>
      </w:pPr>
    </w:p>
    <w:p w14:paraId="29D8DF23" w14:textId="77777777" w:rsidR="007E171E" w:rsidRDefault="007E171E" w:rsidP="007E171E">
      <w:pPr>
        <w:ind w:left="360"/>
        <w:rPr>
          <w:b/>
          <w:color w:val="FF0000"/>
        </w:rPr>
      </w:pPr>
      <w:r w:rsidRPr="007E171E">
        <w:rPr>
          <w:b/>
          <w:color w:val="FF0000"/>
        </w:rPr>
        <w:t xml:space="preserve">For re-feeding experiments, the indicated food was re-administered to fasted animals for 6 hours </w:t>
      </w:r>
      <w:r w:rsidRPr="007E171E">
        <w:rPr>
          <w:b/>
          <w:i/>
          <w:color w:val="FF0000"/>
        </w:rPr>
        <w:t>ad libitum</w:t>
      </w:r>
      <w:r w:rsidRPr="007E171E">
        <w:rPr>
          <w:b/>
          <w:color w:val="FF0000"/>
        </w:rPr>
        <w:t xml:space="preserve"> along with water.</w:t>
      </w:r>
    </w:p>
    <w:p w14:paraId="1B098DBB" w14:textId="77777777" w:rsidR="007E171E" w:rsidRPr="007E171E" w:rsidRDefault="007E171E" w:rsidP="007E171E">
      <w:pPr>
        <w:ind w:left="360"/>
        <w:rPr>
          <w:b/>
          <w:color w:val="FF0000"/>
        </w:rPr>
      </w:pPr>
    </w:p>
    <w:p w14:paraId="30980874" w14:textId="6897BFC7" w:rsidR="000C4AA9" w:rsidRPr="000C4AA9" w:rsidRDefault="00AB000C" w:rsidP="0065339D">
      <w:pPr>
        <w:rPr>
          <w:b/>
          <w:color w:val="FF0000"/>
        </w:rPr>
      </w:pPr>
      <w:r>
        <w:rPr>
          <w:b/>
          <w:noProof/>
        </w:rPr>
        <mc:AlternateContent>
          <mc:Choice Requires="wps">
            <w:drawing>
              <wp:anchor distT="0" distB="0" distL="114300" distR="114300" simplePos="0" relativeHeight="251661312" behindDoc="0" locked="0" layoutInCell="1" allowOverlap="1" wp14:anchorId="18D918DC" wp14:editId="05462670">
                <wp:simplePos x="0" y="0"/>
                <wp:positionH relativeFrom="column">
                  <wp:posOffset>2057400</wp:posOffset>
                </wp:positionH>
                <wp:positionV relativeFrom="paragraph">
                  <wp:posOffset>405765</wp:posOffset>
                </wp:positionV>
                <wp:extent cx="3657600" cy="5257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657600" cy="5257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59C735" w14:textId="1CEDAEF4" w:rsidR="008F5852" w:rsidRDefault="008F5852">
                            <w:r>
                              <w:rPr>
                                <w:noProof/>
                              </w:rPr>
                              <w:drawing>
                                <wp:inline distT="0" distB="0" distL="0" distR="0" wp14:anchorId="48393DC3" wp14:editId="0A2DDFC1">
                                  <wp:extent cx="3472180" cy="3458845"/>
                                  <wp:effectExtent l="0" t="0" r="7620" b="0"/>
                                  <wp:docPr id="7" name="Picture 7" descr="Macintosh HD:Users:davebridges:Documents:Source:PredictorsDietInducedObesity:publications:reviews:response figures:cohort-end-weight-var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publications:reviews:response figures:cohort-end-weight-vari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2180" cy="3458845"/>
                                          </a:xfrm>
                                          <a:prstGeom prst="rect">
                                            <a:avLst/>
                                          </a:prstGeom>
                                          <a:noFill/>
                                          <a:ln>
                                            <a:noFill/>
                                          </a:ln>
                                        </pic:spPr>
                                      </pic:pic>
                                    </a:graphicData>
                                  </a:graphic>
                                </wp:inline>
                              </w:drawing>
                            </w:r>
                          </w:p>
                          <w:p w14:paraId="543BDFB2" w14:textId="39755D59" w:rsidR="008F5852" w:rsidRDefault="008F5852"/>
                          <w:p w14:paraId="4CE42E02" w14:textId="5211A0FC" w:rsidR="008F5852" w:rsidRDefault="008F5852">
                            <w:r w:rsidRPr="00E270C1">
                              <w:rPr>
                                <w:b/>
                              </w:rPr>
                              <w:t>Figure 1: Cohort and site-dependence of variations in end-point body weights.</w:t>
                            </w:r>
                            <w:r>
                              <w:t xml:space="preserve">  We examined the relative standard deviation of each cohort/diet group separately.  There was significantly more variation in both of the University of Michigan housed HFD fed animals, but </w:t>
                            </w:r>
                            <w:r>
                              <w:rPr>
                                <w:b/>
                              </w:rPr>
                              <w:t>not</w:t>
                            </w:r>
                            <w:r>
                              <w:t xml:space="preserve"> the Tennessee-housed HFD fed animals.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162pt;margin-top:31.95pt;width:4in;height:4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" filled="f" stroked="f">
                <v:textbox>
                  <w:txbxContent>
                    <w:p w14:paraId="0959C735" w14:textId="1CEDAEF4" w:rsidR="008F5852" w:rsidRDefault="008F5852">
                      <w:r>
                        <w:rPr>
                          <w:noProof/>
                        </w:rPr>
                        <w:drawing>
                          <wp:inline distT="0" distB="0" distL="0" distR="0" wp14:anchorId="48393DC3" wp14:editId="0A2DDFC1">
                            <wp:extent cx="3472180" cy="3458845"/>
                            <wp:effectExtent l="0" t="0" r="7620" b="0"/>
                            <wp:docPr id="7" name="Picture 7" descr="Macintosh HD:Users:davebridges:Documents:Source:PredictorsDietInducedObesity:publications:reviews:response figures:cohort-end-weight-var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publications:reviews:response figures:cohort-end-weight-vari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2180" cy="3458845"/>
                                    </a:xfrm>
                                    <a:prstGeom prst="rect">
                                      <a:avLst/>
                                    </a:prstGeom>
                                    <a:noFill/>
                                    <a:ln>
                                      <a:noFill/>
                                    </a:ln>
                                  </pic:spPr>
                                </pic:pic>
                              </a:graphicData>
                            </a:graphic>
                          </wp:inline>
                        </w:drawing>
                      </w:r>
                    </w:p>
                    <w:p w14:paraId="543BDFB2" w14:textId="39755D59" w:rsidR="008F5852" w:rsidRDefault="008F5852"/>
                    <w:p w14:paraId="4CE42E02" w14:textId="5211A0FC" w:rsidR="008F5852" w:rsidRDefault="008F5852">
                      <w:r w:rsidRPr="00E270C1">
                        <w:rPr>
                          <w:b/>
                        </w:rPr>
                        <w:t>Figure 1: Cohort and site-dependence of variations in end-point body weights.</w:t>
                      </w:r>
                      <w:r>
                        <w:t xml:space="preserve">  We examined the relative standard deviation of each cohort/diet group separately.  There was significantly more variation in both of the University of Michigan housed HFD fed animals, but </w:t>
                      </w:r>
                      <w:r>
                        <w:rPr>
                          <w:b/>
                        </w:rPr>
                        <w:t>not</w:t>
                      </w:r>
                      <w:r>
                        <w:t xml:space="preserve"> the Tennessee-housed HFD fed animals.   </w:t>
                      </w:r>
                    </w:p>
                  </w:txbxContent>
                </v:textbox>
                <w10:wrap type="square"/>
              </v:shape>
            </w:pict>
          </mc:Fallback>
        </mc:AlternateContent>
      </w:r>
      <w:r w:rsidR="007E171E">
        <w:rPr>
          <w:b/>
        </w:rPr>
        <w:t>The reviewer brings up an excellent point regarding the timing of ap</w:t>
      </w:r>
      <w:r w:rsidR="000C4AA9">
        <w:rPr>
          <w:b/>
        </w:rPr>
        <w:t>p</w:t>
      </w:r>
      <w:r w:rsidR="007E171E">
        <w:rPr>
          <w:b/>
        </w:rPr>
        <w:t>etite related factors.  Although we observe</w:t>
      </w:r>
      <w:r w:rsidR="000C4AA9">
        <w:rPr>
          <w:b/>
        </w:rPr>
        <w:t xml:space="preserve">d significant elevations in fasting </w:t>
      </w:r>
      <w:proofErr w:type="spellStart"/>
      <w:r w:rsidR="000C4AA9">
        <w:rPr>
          <w:b/>
        </w:rPr>
        <w:t>ghrein</w:t>
      </w:r>
      <w:proofErr w:type="spellEnd"/>
      <w:r w:rsidR="000C4AA9">
        <w:rPr>
          <w:b/>
        </w:rPr>
        <w:t xml:space="preserve"> and </w:t>
      </w:r>
      <w:r w:rsidR="007E171E">
        <w:rPr>
          <w:b/>
        </w:rPr>
        <w:t>glucagon</w:t>
      </w:r>
      <w:r w:rsidR="000C4AA9">
        <w:rPr>
          <w:b/>
        </w:rPr>
        <w:t xml:space="preserve">, and a modest elevation of GLP-1 between fasted and </w:t>
      </w:r>
      <w:proofErr w:type="spellStart"/>
      <w:r w:rsidR="000C4AA9">
        <w:rPr>
          <w:b/>
        </w:rPr>
        <w:t>refed</w:t>
      </w:r>
      <w:proofErr w:type="spellEnd"/>
      <w:r w:rsidR="000C4AA9">
        <w:rPr>
          <w:b/>
        </w:rPr>
        <w:t xml:space="preserve"> groups (see Supplementary Figure 2A), a thorough examination of the kinetics of these changes was not performed, and is beyond the scope of this study.  These markers do however provide a context to the extent of fasting and re-feedin</w:t>
      </w:r>
      <w:r w:rsidR="0090305D">
        <w:rPr>
          <w:b/>
        </w:rPr>
        <w:t>g responses observed in Figure 2 (formerly Figure 3)</w:t>
      </w:r>
      <w:r w:rsidR="000C4AA9">
        <w:rPr>
          <w:b/>
        </w:rPr>
        <w:t>.  This is mentioned in the results section</w:t>
      </w:r>
      <w:r w:rsidR="0065339D">
        <w:rPr>
          <w:b/>
        </w:rPr>
        <w:t xml:space="preserve"> </w:t>
      </w:r>
      <w:r w:rsidR="007923CE">
        <w:rPr>
          <w:b/>
        </w:rPr>
        <w:t>and i</w:t>
      </w:r>
      <w:r w:rsidR="0065339D">
        <w:rPr>
          <w:b/>
        </w:rPr>
        <w:t>s described above in comment #4 from this reviewer.</w:t>
      </w:r>
    </w:p>
    <w:p w14:paraId="7A3BD44C" w14:textId="77777777" w:rsidR="000C4AA9" w:rsidRPr="007E171E" w:rsidRDefault="000C4AA9" w:rsidP="007E171E">
      <w:pPr>
        <w:rPr>
          <w:b/>
        </w:rPr>
      </w:pPr>
    </w:p>
    <w:p w14:paraId="0A3A805A" w14:textId="27D5B00D" w:rsidR="007E171E" w:rsidRDefault="000C4AA9" w:rsidP="007E171E">
      <w:pPr>
        <w:rPr>
          <w:b/>
        </w:rPr>
      </w:pPr>
      <w:r w:rsidRPr="000C4AA9">
        <w:rPr>
          <w:b/>
        </w:rPr>
        <w:t>Furthermore, we clarify in both the results and discussion section that we determined total ghrelin and not active ghrelin.</w:t>
      </w:r>
      <w:r w:rsidR="007923CE">
        <w:rPr>
          <w:b/>
        </w:rPr>
        <w:t xml:space="preserve">  We have therefore not made any conclusions about the role of food intake in predicting weight gain in this study. </w:t>
      </w:r>
    </w:p>
    <w:p w14:paraId="5B2CB8BE" w14:textId="77777777" w:rsidR="00617FF3" w:rsidRPr="000C4AA9" w:rsidRDefault="00617FF3" w:rsidP="007E171E">
      <w:pPr>
        <w:rPr>
          <w:b/>
        </w:rPr>
      </w:pPr>
    </w:p>
    <w:p w14:paraId="00FC8771" w14:textId="34CAA958" w:rsidR="005A7923" w:rsidRDefault="00FC2429" w:rsidP="00FC2429">
      <w:pPr>
        <w:pStyle w:val="ListParagraph"/>
        <w:numPr>
          <w:ilvl w:val="0"/>
          <w:numId w:val="2"/>
        </w:numPr>
      </w:pPr>
      <w:r>
        <w:t xml:space="preserve">I am confused between cohorts 3-6 given in Figure S1 and Cohorts 1-4 in the text please reconcile. </w:t>
      </w:r>
    </w:p>
    <w:p w14:paraId="512DC72E" w14:textId="77777777" w:rsidR="005A7923" w:rsidRDefault="005A7923" w:rsidP="005A7923">
      <w:pPr>
        <w:pStyle w:val="ListParagraph"/>
        <w:ind w:left="360"/>
      </w:pPr>
    </w:p>
    <w:p w14:paraId="0B8F399D" w14:textId="45959272" w:rsidR="005A7923" w:rsidRDefault="005A7923" w:rsidP="00A91CAE">
      <w:pPr>
        <w:pStyle w:val="ListParagraph"/>
        <w:ind w:left="0"/>
        <w:rPr>
          <w:b/>
        </w:rPr>
      </w:pPr>
      <w:r>
        <w:rPr>
          <w:b/>
        </w:rPr>
        <w:t>This was a labeling error and has been fixed</w:t>
      </w:r>
      <w:r w:rsidR="00CB7625">
        <w:rPr>
          <w:b/>
        </w:rPr>
        <w:t xml:space="preserve"> in both the manuscript and Figure S1</w:t>
      </w:r>
      <w:r>
        <w:rPr>
          <w:b/>
        </w:rPr>
        <w:t>.</w:t>
      </w:r>
      <w:r w:rsidR="00501B5F">
        <w:rPr>
          <w:b/>
        </w:rPr>
        <w:t xml:space="preserve"> </w:t>
      </w:r>
    </w:p>
    <w:p w14:paraId="21179FED" w14:textId="55D58CC7" w:rsidR="005A7923" w:rsidRPr="005A7923" w:rsidRDefault="005A7923" w:rsidP="005A7923">
      <w:pPr>
        <w:pStyle w:val="ListParagraph"/>
        <w:ind w:left="360"/>
        <w:rPr>
          <w:b/>
        </w:rPr>
      </w:pPr>
    </w:p>
    <w:p w14:paraId="45F43BFA" w14:textId="77777777" w:rsidR="00E270C1" w:rsidRDefault="00FC2429" w:rsidP="00E270C1">
      <w:pPr>
        <w:pStyle w:val="ListParagraph"/>
        <w:numPr>
          <w:ilvl w:val="0"/>
          <w:numId w:val="2"/>
        </w:numPr>
      </w:pPr>
      <w:r>
        <w:t xml:space="preserve">Since HFD animals gained more at one location than the other, I do not think it is appropriate to combine these. Do the results hold when HFD groups are separated into cohorts by location? Could this be reason for variability in weight gain on HFD? </w:t>
      </w:r>
      <w:r w:rsidR="00E270C1">
        <w:t>I am not sure what is meant by “minimal variation across cohorts”? From the figure to me it looks as if there is considerable variation across the HFD cohorts, but within the same cohort is smaller variation?</w:t>
      </w:r>
    </w:p>
    <w:p w14:paraId="4C2D1B8F" w14:textId="25DD77C4" w:rsidR="000867BA" w:rsidRDefault="000867BA" w:rsidP="00E270C1">
      <w:pPr>
        <w:pStyle w:val="ListParagraph"/>
        <w:ind w:left="360"/>
      </w:pPr>
    </w:p>
    <w:p w14:paraId="4F7C29CD" w14:textId="77777777" w:rsidR="000867BA" w:rsidRDefault="000867BA" w:rsidP="000867BA">
      <w:pPr>
        <w:pStyle w:val="ListParagraph"/>
        <w:ind w:left="0"/>
      </w:pPr>
    </w:p>
    <w:p w14:paraId="1F0E9F0F" w14:textId="755FB4B7" w:rsidR="000867BA" w:rsidRDefault="00346627" w:rsidP="000867BA">
      <w:pPr>
        <w:pStyle w:val="ListParagraph"/>
        <w:ind w:left="0"/>
        <w:rPr>
          <w:b/>
        </w:rPr>
      </w:pPr>
      <w:r>
        <w:rPr>
          <w:b/>
        </w:rPr>
        <w:t xml:space="preserve">We examined these cohorts separately, according to this very insightful suggestion.  The reviewer is correct in noting that there may be differential variability between facilities.  For reasons we do not quite understand, the increased variation in HFD animals was only present at one location, not the other.  These separated data are presented </w:t>
      </w:r>
      <w:r w:rsidR="00E270C1">
        <w:rPr>
          <w:b/>
        </w:rPr>
        <w:t xml:space="preserve">in Figure 1 of this response.  </w:t>
      </w:r>
      <w:r w:rsidR="004D2EC5">
        <w:rPr>
          <w:b/>
        </w:rPr>
        <w:t xml:space="preserve">  </w:t>
      </w:r>
    </w:p>
    <w:p w14:paraId="4F3F8F03" w14:textId="5615F7F7" w:rsidR="00E270C1" w:rsidRDefault="00E270C1" w:rsidP="000867BA">
      <w:pPr>
        <w:pStyle w:val="ListParagraph"/>
        <w:ind w:left="0"/>
        <w:rPr>
          <w:b/>
        </w:rPr>
      </w:pPr>
    </w:p>
    <w:p w14:paraId="3EF83CEF" w14:textId="4808B226" w:rsidR="00E270C1" w:rsidRDefault="00AB000C" w:rsidP="000867BA">
      <w:pPr>
        <w:pStyle w:val="ListParagraph"/>
        <w:ind w:left="0"/>
        <w:rPr>
          <w:b/>
        </w:rPr>
      </w:pPr>
      <w:r>
        <w:rPr>
          <w:b/>
          <w:noProof/>
        </w:rPr>
        <mc:AlternateContent>
          <mc:Choice Requires="wps">
            <w:drawing>
              <wp:anchor distT="0" distB="0" distL="114300" distR="114300" simplePos="0" relativeHeight="251663360" behindDoc="0" locked="0" layoutInCell="1" allowOverlap="1" wp14:anchorId="7E7268DC" wp14:editId="637D53B1">
                <wp:simplePos x="0" y="0"/>
                <wp:positionH relativeFrom="column">
                  <wp:posOffset>0</wp:posOffset>
                </wp:positionH>
                <wp:positionV relativeFrom="paragraph">
                  <wp:posOffset>412750</wp:posOffset>
                </wp:positionV>
                <wp:extent cx="2743200" cy="4114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743200" cy="411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FC9703" w14:textId="72991E61" w:rsidR="008F5852" w:rsidRDefault="008F5852" w:rsidP="007E2A90"/>
                          <w:p w14:paraId="5E3A429A" w14:textId="10E3A268" w:rsidR="008F5852" w:rsidRDefault="008F5852" w:rsidP="007E2A90">
                            <w:r>
                              <w:rPr>
                                <w:noProof/>
                              </w:rPr>
                              <w:drawing>
                                <wp:inline distT="0" distB="0" distL="0" distR="0" wp14:anchorId="31FC77E6" wp14:editId="27C43D87">
                                  <wp:extent cx="2448114" cy="2522883"/>
                                  <wp:effectExtent l="0" t="0" r="0" b="0"/>
                                  <wp:docPr id="9" name="Picture 9" descr="Macintosh HD:Users:davebridges:Documents:Source:PredictorsDietInducedObesity:publications:reviews:response figures:gain-plot-pct-coh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publications:reviews:response figures:gain-plot-pct-cohor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8114" cy="2522883"/>
                                          </a:xfrm>
                                          <a:prstGeom prst="rect">
                                            <a:avLst/>
                                          </a:prstGeom>
                                          <a:noFill/>
                                          <a:ln>
                                            <a:noFill/>
                                          </a:ln>
                                        </pic:spPr>
                                      </pic:pic>
                                    </a:graphicData>
                                  </a:graphic>
                                </wp:inline>
                              </w:drawing>
                            </w:r>
                          </w:p>
                          <w:p w14:paraId="7C19F92A" w14:textId="579A352D" w:rsidR="008F5852" w:rsidRPr="004E2286" w:rsidRDefault="008F5852" w:rsidP="007E2A90">
                            <w:r>
                              <w:rPr>
                                <w:b/>
                              </w:rPr>
                              <w:t>Figure 2</w:t>
                            </w:r>
                            <w:r w:rsidRPr="00E270C1">
                              <w:rPr>
                                <w:b/>
                              </w:rPr>
                              <w:t xml:space="preserve">: Cohort </w:t>
                            </w:r>
                            <w:r>
                              <w:rPr>
                                <w:b/>
                              </w:rPr>
                              <w:t>separated effects of pre-diet fasting response to weight gain during HFD.</w:t>
                            </w:r>
                            <w:r>
                              <w:t xml:space="preserve">  In both cohorts, </w:t>
                            </w:r>
                            <w:proofErr w:type="gramStart"/>
                            <w:r>
                              <w:t xml:space="preserve">the </w:t>
                            </w:r>
                            <w:proofErr w:type="spellStart"/>
                            <w:r>
                              <w:t>the</w:t>
                            </w:r>
                            <w:proofErr w:type="spellEnd"/>
                            <w:proofErr w:type="gramEnd"/>
                            <w:r>
                              <w:t xml:space="preserve"> relationship between pre-diet fasting response and weight gain by HFD was   p&lt;0.003 with a Rho</w:t>
                            </w:r>
                            <w:r>
                              <w:rPr>
                                <w:vertAlign w:val="superscript"/>
                              </w:rPr>
                              <w:t>2</w:t>
                            </w:r>
                            <w:r>
                              <w:t xml:space="preserve"> of &gt;0.33.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0;margin-top:32.5pt;width:3in;height:3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" filled="f" stroked="f">
                <v:textbox>
                  <w:txbxContent>
                    <w:p w14:paraId="7DFC9703" w14:textId="72991E61" w:rsidR="008F5852" w:rsidRDefault="008F5852" w:rsidP="007E2A90"/>
                    <w:p w14:paraId="5E3A429A" w14:textId="10E3A268" w:rsidR="008F5852" w:rsidRDefault="008F5852" w:rsidP="007E2A90">
                      <w:r>
                        <w:rPr>
                          <w:noProof/>
                        </w:rPr>
                        <w:drawing>
                          <wp:inline distT="0" distB="0" distL="0" distR="0" wp14:anchorId="31FC77E6" wp14:editId="27C43D87">
                            <wp:extent cx="2448114" cy="2522883"/>
                            <wp:effectExtent l="0" t="0" r="0" b="0"/>
                            <wp:docPr id="9" name="Picture 9" descr="Macintosh HD:Users:davebridges:Documents:Source:PredictorsDietInducedObesity:publications:reviews:response figures:gain-plot-pct-coh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publications:reviews:response figures:gain-plot-pct-cohor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8114" cy="2522883"/>
                                    </a:xfrm>
                                    <a:prstGeom prst="rect">
                                      <a:avLst/>
                                    </a:prstGeom>
                                    <a:noFill/>
                                    <a:ln>
                                      <a:noFill/>
                                    </a:ln>
                                  </pic:spPr>
                                </pic:pic>
                              </a:graphicData>
                            </a:graphic>
                          </wp:inline>
                        </w:drawing>
                      </w:r>
                    </w:p>
                    <w:p w14:paraId="7C19F92A" w14:textId="579A352D" w:rsidR="008F5852" w:rsidRPr="004E2286" w:rsidRDefault="008F5852" w:rsidP="007E2A90">
                      <w:r>
                        <w:rPr>
                          <w:b/>
                        </w:rPr>
                        <w:t>Figure 2</w:t>
                      </w:r>
                      <w:r w:rsidRPr="00E270C1">
                        <w:rPr>
                          <w:b/>
                        </w:rPr>
                        <w:t xml:space="preserve">: Cohort </w:t>
                      </w:r>
                      <w:r>
                        <w:rPr>
                          <w:b/>
                        </w:rPr>
                        <w:t>separated effects of pre-diet fasting response to weight gain during HFD.</w:t>
                      </w:r>
                      <w:r>
                        <w:t xml:space="preserve">  In both cohorts, </w:t>
                      </w:r>
                      <w:proofErr w:type="gramStart"/>
                      <w:r>
                        <w:t xml:space="preserve">the </w:t>
                      </w:r>
                      <w:proofErr w:type="spellStart"/>
                      <w:r>
                        <w:t>the</w:t>
                      </w:r>
                      <w:proofErr w:type="spellEnd"/>
                      <w:proofErr w:type="gramEnd"/>
                      <w:r>
                        <w:t xml:space="preserve"> relationship between pre-diet fasting response and weight gain by HFD was   p&lt;0.003 with a Rho</w:t>
                      </w:r>
                      <w:r>
                        <w:rPr>
                          <w:vertAlign w:val="superscript"/>
                        </w:rPr>
                        <w:t>2</w:t>
                      </w:r>
                      <w:r>
                        <w:t xml:space="preserve"> of &gt;0.33.</w:t>
                      </w:r>
                    </w:p>
                  </w:txbxContent>
                </v:textbox>
                <w10:wrap type="square"/>
              </v:shape>
            </w:pict>
          </mc:Fallback>
        </mc:AlternateContent>
      </w:r>
      <w:r w:rsidR="00E270C1">
        <w:rPr>
          <w:b/>
        </w:rPr>
        <w:t xml:space="preserve">This re-analysis has </w:t>
      </w:r>
      <w:r w:rsidR="007923CE">
        <w:rPr>
          <w:b/>
        </w:rPr>
        <w:t xml:space="preserve">altered </w:t>
      </w:r>
      <w:r w:rsidR="00E270C1">
        <w:rPr>
          <w:b/>
        </w:rPr>
        <w:t>our interpretation of the variance.  It is possible that one of these facilities is an outlier</w:t>
      </w:r>
      <w:r w:rsidR="007923CE">
        <w:rPr>
          <w:b/>
        </w:rPr>
        <w:t xml:space="preserve">, </w:t>
      </w:r>
      <w:r w:rsidR="00E270C1">
        <w:rPr>
          <w:b/>
        </w:rPr>
        <w:t xml:space="preserve">but without repeating this at several other animal facilities we </w:t>
      </w:r>
      <w:proofErr w:type="gramStart"/>
      <w:r w:rsidR="00E270C1">
        <w:rPr>
          <w:b/>
        </w:rPr>
        <w:t>can not</w:t>
      </w:r>
      <w:proofErr w:type="gramEnd"/>
      <w:r w:rsidR="00E270C1">
        <w:rPr>
          <w:b/>
        </w:rPr>
        <w:t xml:space="preserve"> make any conclusive statements.  </w:t>
      </w:r>
      <w:r w:rsidR="004D2EC5">
        <w:rPr>
          <w:b/>
        </w:rPr>
        <w:t xml:space="preserve">We informally discussed this with several colleagues who have also done high fat diet treatment, and found that while there is some location-to-location variance, the enhanced variance present in cohorts 1 and 2 was especially high at the University of Michigan facility.  As </w:t>
      </w:r>
      <w:r w:rsidR="00E270C1">
        <w:rPr>
          <w:b/>
        </w:rPr>
        <w:t>such we have removed</w:t>
      </w:r>
      <w:r w:rsidR="0090305D">
        <w:rPr>
          <w:b/>
        </w:rPr>
        <w:t xml:space="preserve"> what was</w:t>
      </w:r>
      <w:r w:rsidR="00E270C1">
        <w:rPr>
          <w:b/>
        </w:rPr>
        <w:t xml:space="preserve"> Figure 1 from this paper, and any reference to the increase variation with high fat diet as we are not confident in these effects.  We profusely thank the reviewer for his</w:t>
      </w:r>
      <w:r w:rsidR="00501B5F">
        <w:rPr>
          <w:b/>
        </w:rPr>
        <w:t xml:space="preserve"> keen eye</w:t>
      </w:r>
      <w:r w:rsidR="00E270C1">
        <w:rPr>
          <w:b/>
        </w:rPr>
        <w:t>.</w:t>
      </w:r>
    </w:p>
    <w:p w14:paraId="366E31E0" w14:textId="77777777" w:rsidR="003A5DDA" w:rsidRDefault="003A5DDA" w:rsidP="000867BA">
      <w:pPr>
        <w:pStyle w:val="ListParagraph"/>
        <w:ind w:left="0"/>
        <w:rPr>
          <w:b/>
        </w:rPr>
      </w:pPr>
    </w:p>
    <w:p w14:paraId="3C7C3152" w14:textId="5A0095F9" w:rsidR="003A5DDA" w:rsidRDefault="003A5DDA" w:rsidP="000867BA">
      <w:pPr>
        <w:pStyle w:val="ListParagraph"/>
        <w:ind w:left="0"/>
        <w:rPr>
          <w:b/>
        </w:rPr>
      </w:pPr>
      <w:r>
        <w:rPr>
          <w:b/>
        </w:rPr>
        <w:t xml:space="preserve">Notably, there is quite strong consistency between cohorts 3 and </w:t>
      </w:r>
      <w:proofErr w:type="gramStart"/>
      <w:r>
        <w:rPr>
          <w:b/>
        </w:rPr>
        <w:t>4</w:t>
      </w:r>
      <w:r w:rsidR="007923CE">
        <w:rPr>
          <w:b/>
        </w:rPr>
        <w:t xml:space="preserve"> which</w:t>
      </w:r>
      <w:proofErr w:type="gramEnd"/>
      <w:r w:rsidR="007923CE">
        <w:rPr>
          <w:b/>
        </w:rPr>
        <w:t xml:space="preserve"> is the cohorts used in the majority of the experiments</w:t>
      </w:r>
      <w:r w:rsidR="004D2EC5">
        <w:rPr>
          <w:b/>
        </w:rPr>
        <w:t xml:space="preserve">.  In any case, to be careful, we re-examined all other figures in which multiple cohorts were combined.  </w:t>
      </w:r>
      <w:r w:rsidR="00AB1AFF">
        <w:rPr>
          <w:b/>
        </w:rPr>
        <w:t>As stated in the methods section:</w:t>
      </w:r>
    </w:p>
    <w:p w14:paraId="34C59D9F" w14:textId="147375DA" w:rsidR="00AB1AFF" w:rsidRDefault="00AB1AFF" w:rsidP="000867BA">
      <w:pPr>
        <w:pStyle w:val="ListParagraph"/>
        <w:ind w:left="0"/>
        <w:rPr>
          <w:b/>
        </w:rPr>
      </w:pPr>
    </w:p>
    <w:p w14:paraId="5CB52BF7" w14:textId="0A4CA713" w:rsidR="00AB1AFF" w:rsidRPr="00AB1AFF" w:rsidRDefault="00AB1AFF" w:rsidP="00AB1AFF">
      <w:pPr>
        <w:pStyle w:val="ListParagraph"/>
        <w:ind w:left="360"/>
        <w:rPr>
          <w:b/>
          <w:color w:val="FF0000"/>
        </w:rPr>
      </w:pPr>
      <w:r w:rsidRPr="00AB1AFF">
        <w:rPr>
          <w:b/>
          <w:color w:val="FF0000"/>
        </w:rPr>
        <w:t xml:space="preserve">When a difference or correlation was observed to be significant (or not to be significant) over multiple </w:t>
      </w:r>
      <w:r w:rsidRPr="00AB1AFF">
        <w:rPr>
          <w:b/>
          <w:color w:val="FF0000"/>
        </w:rPr>
        <w:lastRenderedPageBreak/>
        <w:t xml:space="preserve">combined cohorts of mice we also examined each of these cohorts separately.  If the combined trend agreed with </w:t>
      </w:r>
      <w:r w:rsidR="00B843A9">
        <w:rPr>
          <w:b/>
          <w:color w:val="FF0000"/>
        </w:rPr>
        <w:t>all</w:t>
      </w:r>
      <w:r w:rsidR="00A01EEE">
        <w:rPr>
          <w:b/>
          <w:color w:val="FF0000"/>
        </w:rPr>
        <w:t xml:space="preserve"> </w:t>
      </w:r>
      <w:r w:rsidRPr="00AB1AFF">
        <w:rPr>
          <w:b/>
          <w:color w:val="FF0000"/>
        </w:rPr>
        <w:t>of these cohorts</w:t>
      </w:r>
      <w:r w:rsidR="00B843A9">
        <w:rPr>
          <w:b/>
          <w:color w:val="FF0000"/>
        </w:rPr>
        <w:t xml:space="preserve"> independently</w:t>
      </w:r>
      <w:r w:rsidRPr="00AB1AFF">
        <w:rPr>
          <w:b/>
          <w:color w:val="FF0000"/>
        </w:rPr>
        <w:t xml:space="preserve">, we used the combined groups with its increased statistical power.  If there was not agreement in </w:t>
      </w:r>
      <w:r w:rsidR="00B843A9">
        <w:rPr>
          <w:b/>
          <w:color w:val="FF0000"/>
        </w:rPr>
        <w:t>all</w:t>
      </w:r>
      <w:r w:rsidRPr="00AB1AFF">
        <w:rPr>
          <w:b/>
          <w:color w:val="FF0000"/>
        </w:rPr>
        <w:t xml:space="preserve"> cohorts we do not report this effect as significant, even if the combined analysis suggested it was.</w:t>
      </w:r>
    </w:p>
    <w:p w14:paraId="3F6899F3" w14:textId="253D7DBA" w:rsidR="00380CA4" w:rsidRDefault="00380CA4" w:rsidP="000867BA">
      <w:pPr>
        <w:pStyle w:val="ListParagraph"/>
        <w:ind w:left="0"/>
        <w:rPr>
          <w:b/>
        </w:rPr>
      </w:pPr>
    </w:p>
    <w:p w14:paraId="07B8DEBA" w14:textId="3DB77D34" w:rsidR="00AD279E" w:rsidRPr="00346627" w:rsidRDefault="00AD279E" w:rsidP="000867BA">
      <w:pPr>
        <w:pStyle w:val="ListParagraph"/>
        <w:ind w:left="0"/>
        <w:rPr>
          <w:b/>
        </w:rPr>
      </w:pPr>
      <w:r>
        <w:rPr>
          <w:b/>
        </w:rPr>
        <w:t xml:space="preserve">Importantly, the key finding of this paper in which pre-diet fasting responses correlated with eventual weight gain was highly </w:t>
      </w:r>
      <w:proofErr w:type="spellStart"/>
      <w:r w:rsidR="007E2A90">
        <w:rPr>
          <w:b/>
        </w:rPr>
        <w:t>siginificant</w:t>
      </w:r>
      <w:proofErr w:type="spellEnd"/>
      <w:r w:rsidR="007E2A90">
        <w:rPr>
          <w:b/>
        </w:rPr>
        <w:t xml:space="preserve"> in both cohorts tested.  These data, separated by cohort are shown in Figure 2 of this response.</w:t>
      </w:r>
    </w:p>
    <w:p w14:paraId="695C9009" w14:textId="44834C8F" w:rsidR="000867BA" w:rsidRDefault="000867BA" w:rsidP="000867BA">
      <w:pPr>
        <w:pStyle w:val="ListParagraph"/>
        <w:ind w:left="360"/>
      </w:pPr>
    </w:p>
    <w:p w14:paraId="0656629C" w14:textId="6328CB44" w:rsidR="00552AC8" w:rsidRDefault="00FC2429" w:rsidP="00FC2429">
      <w:pPr>
        <w:pStyle w:val="ListParagraph"/>
        <w:numPr>
          <w:ilvl w:val="0"/>
          <w:numId w:val="2"/>
        </w:numPr>
      </w:pPr>
      <w:r>
        <w:t xml:space="preserve">Please also provide data as to all relationships between WL by fasting when given in grams rather than as % in Figure 3, do these results hold? </w:t>
      </w:r>
    </w:p>
    <w:p w14:paraId="24069051" w14:textId="77777777" w:rsidR="00B910B2" w:rsidRDefault="00B910B2" w:rsidP="00B910B2"/>
    <w:p w14:paraId="45382E4C" w14:textId="7D5CE318" w:rsidR="00B910B2" w:rsidRDefault="007923CE" w:rsidP="00B910B2">
      <w:pPr>
        <w:rPr>
          <w:b/>
        </w:rPr>
      </w:pPr>
      <w:r>
        <w:rPr>
          <w:b/>
          <w:noProof/>
        </w:rPr>
        <mc:AlternateContent>
          <mc:Choice Requires="wps">
            <w:drawing>
              <wp:anchor distT="0" distB="0" distL="114300" distR="114300" simplePos="0" relativeHeight="251659264" behindDoc="0" locked="0" layoutInCell="1" allowOverlap="1" wp14:anchorId="55B19FDE" wp14:editId="1D9263E1">
                <wp:simplePos x="0" y="0"/>
                <wp:positionH relativeFrom="column">
                  <wp:posOffset>2057400</wp:posOffset>
                </wp:positionH>
                <wp:positionV relativeFrom="paragraph">
                  <wp:posOffset>720090</wp:posOffset>
                </wp:positionV>
                <wp:extent cx="3429000" cy="42291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3429000" cy="4229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A79A2F" w14:textId="6E925054" w:rsidR="008F5852" w:rsidRDefault="008F5852">
                            <w:pPr>
                              <w:rPr>
                                <w:b/>
                              </w:rPr>
                            </w:pPr>
                            <w:r>
                              <w:rPr>
                                <w:b/>
                                <w:noProof/>
                              </w:rPr>
                              <w:drawing>
                                <wp:inline distT="0" distB="0" distL="0" distR="0" wp14:anchorId="041EA855" wp14:editId="7E6C510E">
                                  <wp:extent cx="3105978" cy="3105978"/>
                                  <wp:effectExtent l="0" t="0" r="0" b="0"/>
                                  <wp:docPr id="5" name="Picture 5"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978" cy="3105978"/>
                                          </a:xfrm>
                                          <a:prstGeom prst="rect">
                                            <a:avLst/>
                                          </a:prstGeom>
                                          <a:noFill/>
                                          <a:ln>
                                            <a:noFill/>
                                          </a:ln>
                                        </pic:spPr>
                                      </pic:pic>
                                    </a:graphicData>
                                  </a:graphic>
                                </wp:inline>
                              </w:drawing>
                            </w:r>
                          </w:p>
                          <w:p w14:paraId="577C0D79" w14:textId="771C202D" w:rsidR="008F5852" w:rsidRPr="00480F77" w:rsidRDefault="008F5852">
                            <w:r>
                              <w:rPr>
                                <w:b/>
                              </w:rPr>
                              <w:t>Figure 3: Effects of fasted pre-diet hormone levels on absolute weight gain.</w:t>
                            </w:r>
                            <w:r>
                              <w:t xml:space="preserve">   The correlations between these hormones and percent weight gain is still shown in Figure 2C.  All correlations are p&lt; 0.20 and Rho</w:t>
                            </w:r>
                            <w:r>
                              <w:rPr>
                                <w:vertAlign w:val="superscript"/>
                              </w:rPr>
                              <w:t xml:space="preserve">2 </w:t>
                            </w:r>
                            <w:r>
                              <w:t>&lt; 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162pt;margin-top:56.7pt;width:270pt;height:3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" filled="f" stroked="f">
                <v:textbox>
                  <w:txbxContent>
                    <w:p w14:paraId="1AA79A2F" w14:textId="6E925054" w:rsidR="008F5852" w:rsidRDefault="008F5852">
                      <w:pPr>
                        <w:rPr>
                          <w:b/>
                        </w:rPr>
                      </w:pPr>
                      <w:r>
                        <w:rPr>
                          <w:b/>
                          <w:noProof/>
                        </w:rPr>
                        <w:drawing>
                          <wp:inline distT="0" distB="0" distL="0" distR="0" wp14:anchorId="041EA855" wp14:editId="7E6C510E">
                            <wp:extent cx="3105978" cy="3105978"/>
                            <wp:effectExtent l="0" t="0" r="0" b="0"/>
                            <wp:docPr id="5" name="Picture 5"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978" cy="3105978"/>
                                    </a:xfrm>
                                    <a:prstGeom prst="rect">
                                      <a:avLst/>
                                    </a:prstGeom>
                                    <a:noFill/>
                                    <a:ln>
                                      <a:noFill/>
                                    </a:ln>
                                  </pic:spPr>
                                </pic:pic>
                              </a:graphicData>
                            </a:graphic>
                          </wp:inline>
                        </w:drawing>
                      </w:r>
                    </w:p>
                    <w:p w14:paraId="577C0D79" w14:textId="771C202D" w:rsidR="008F5852" w:rsidRPr="00480F77" w:rsidRDefault="008F5852">
                      <w:r>
                        <w:rPr>
                          <w:b/>
                        </w:rPr>
                        <w:t>Figure 3: Effects of fasted pre-diet hormone levels on absolute weight gain.</w:t>
                      </w:r>
                      <w:r>
                        <w:t xml:space="preserve">   The correlations between these hormones and percent weight gain is still shown in Figure 2C.  All correlations are p&lt; 0.20 and Rho</w:t>
                      </w:r>
                      <w:r>
                        <w:rPr>
                          <w:vertAlign w:val="superscript"/>
                        </w:rPr>
                        <w:t xml:space="preserve">2 </w:t>
                      </w:r>
                      <w:r>
                        <w:t>&lt; 0.14</w:t>
                      </w:r>
                    </w:p>
                  </w:txbxContent>
                </v:textbox>
                <w10:wrap type="square"/>
              </v:shape>
            </w:pict>
          </mc:Fallback>
        </mc:AlternateContent>
      </w:r>
      <w:r w:rsidR="00B910B2" w:rsidRPr="00B910B2">
        <w:rPr>
          <w:b/>
        </w:rPr>
        <w:t>We have now clarified throughout the manuscript both relative and absolute weight loss and weight gain, and which effects were</w:t>
      </w:r>
      <w:r>
        <w:rPr>
          <w:b/>
        </w:rPr>
        <w:t xml:space="preserve"> statistically</w:t>
      </w:r>
      <w:r w:rsidR="00B910B2" w:rsidRPr="00B910B2">
        <w:rPr>
          <w:b/>
        </w:rPr>
        <w:t xml:space="preserve"> significant.</w:t>
      </w:r>
      <w:r w:rsidR="00B910B2">
        <w:rPr>
          <w:b/>
        </w:rPr>
        <w:t xml:space="preserve">  For Figure 3 (now Figure 2), </w:t>
      </w:r>
      <w:r w:rsidR="00C8232A">
        <w:rPr>
          <w:b/>
        </w:rPr>
        <w:t xml:space="preserve">we present only one set of graphs for space reasons, but describe weight loss in </w:t>
      </w:r>
      <w:proofErr w:type="gramStart"/>
      <w:r w:rsidR="00C8232A">
        <w:rPr>
          <w:b/>
        </w:rPr>
        <w:t>both absolute (g lost) or</w:t>
      </w:r>
      <w:proofErr w:type="gramEnd"/>
      <w:r w:rsidR="00C8232A">
        <w:rPr>
          <w:b/>
        </w:rPr>
        <w:t xml:space="preserve"> relative (% loss) terms throughout.  For example:</w:t>
      </w:r>
    </w:p>
    <w:p w14:paraId="3815CEA9" w14:textId="6B92E4B5" w:rsidR="00C8232A" w:rsidRDefault="00C8232A" w:rsidP="00B910B2">
      <w:pPr>
        <w:rPr>
          <w:b/>
        </w:rPr>
      </w:pPr>
    </w:p>
    <w:p w14:paraId="76E825B1" w14:textId="08514A6E" w:rsidR="00C8232A" w:rsidRPr="00C8232A" w:rsidRDefault="00C8232A" w:rsidP="00C8232A">
      <w:pPr>
        <w:ind w:left="720"/>
        <w:rPr>
          <w:b/>
          <w:color w:val="FF0000"/>
        </w:rPr>
      </w:pPr>
      <w:r w:rsidRPr="00C8232A">
        <w:rPr>
          <w:b/>
          <w:color w:val="FF0000"/>
        </w:rPr>
        <w:t>Fasting responses, as measured by either absolute or percent reductions in body weight were stable within NCD fed male C57BL/6J mice over time (Figure 2A, Rho</w:t>
      </w:r>
      <w:r w:rsidRPr="00C8232A">
        <w:rPr>
          <w:b/>
          <w:color w:val="FF0000"/>
          <w:vertAlign w:val="superscript"/>
        </w:rPr>
        <w:t>2</w:t>
      </w:r>
      <w:r w:rsidRPr="00C8232A">
        <w:rPr>
          <w:b/>
          <w:color w:val="FF0000"/>
        </w:rPr>
        <w:t>&lt;0.02, p&gt;0.26), and only weakly correlated with the pre-diet weight fasting responses within mice in either relative or absolute terms</w:t>
      </w:r>
      <w:r w:rsidRPr="00C8232A">
        <w:rPr>
          <w:rStyle w:val="CommentReference"/>
          <w:b/>
          <w:color w:val="FF0000"/>
        </w:rPr>
        <w:t xml:space="preserve"> </w:t>
      </w:r>
      <w:r w:rsidRPr="00C8232A">
        <w:rPr>
          <w:b/>
          <w:color w:val="FF0000"/>
        </w:rPr>
        <w:t>(Figure 2B, Rho</w:t>
      </w:r>
      <w:r w:rsidRPr="00C8232A">
        <w:rPr>
          <w:b/>
          <w:color w:val="FF0000"/>
          <w:vertAlign w:val="superscript"/>
        </w:rPr>
        <w:t>2</w:t>
      </w:r>
      <w:r w:rsidRPr="00C8232A">
        <w:rPr>
          <w:b/>
          <w:color w:val="FF0000"/>
        </w:rPr>
        <w:t>&lt;0.12, p&lt;0.019 for HFD and Rho</w:t>
      </w:r>
      <w:r w:rsidRPr="00C8232A">
        <w:rPr>
          <w:b/>
          <w:color w:val="FF0000"/>
          <w:vertAlign w:val="superscript"/>
        </w:rPr>
        <w:t>2</w:t>
      </w:r>
      <w:r w:rsidRPr="00C8232A">
        <w:rPr>
          <w:b/>
          <w:color w:val="FF0000"/>
        </w:rPr>
        <w:t xml:space="preserve">&lt;0.153,p&lt;0.031 for CD).  </w:t>
      </w:r>
    </w:p>
    <w:p w14:paraId="2F728391" w14:textId="10560007" w:rsidR="00552AC8" w:rsidRDefault="00552AC8" w:rsidP="00552AC8">
      <w:pPr>
        <w:pStyle w:val="ListParagraph"/>
        <w:ind w:left="360"/>
      </w:pPr>
    </w:p>
    <w:p w14:paraId="1DA4E287" w14:textId="5B550A6E" w:rsidR="00552AC8" w:rsidRDefault="00552AC8" w:rsidP="00480F77">
      <w:pPr>
        <w:pStyle w:val="ListParagraph"/>
        <w:tabs>
          <w:tab w:val="left" w:pos="0"/>
          <w:tab w:val="left" w:pos="90"/>
          <w:tab w:val="left" w:pos="450"/>
        </w:tabs>
        <w:ind w:left="0"/>
        <w:rPr>
          <w:b/>
        </w:rPr>
      </w:pPr>
      <w:r>
        <w:rPr>
          <w:b/>
        </w:rPr>
        <w:t>Furthermore,</w:t>
      </w:r>
      <w:r w:rsidR="0090305D">
        <w:rPr>
          <w:b/>
        </w:rPr>
        <w:t xml:space="preserve"> we checked the data in Figure 1</w:t>
      </w:r>
      <w:r>
        <w:rPr>
          <w:b/>
        </w:rPr>
        <w:t>C</w:t>
      </w:r>
      <w:r w:rsidR="0090305D">
        <w:rPr>
          <w:b/>
        </w:rPr>
        <w:t xml:space="preserve"> (formerly 2C)</w:t>
      </w:r>
      <w:r w:rsidR="00480F77">
        <w:rPr>
          <w:b/>
        </w:rPr>
        <w:t xml:space="preserve">, and determined that there is no significant correlation between any of these hormones on either percent or absolute weight </w:t>
      </w:r>
      <w:r w:rsidR="00480F77">
        <w:rPr>
          <w:b/>
        </w:rPr>
        <w:lastRenderedPageBreak/>
        <w:t>gain.  This is noted in the results section as well:</w:t>
      </w:r>
    </w:p>
    <w:p w14:paraId="1104A3BF" w14:textId="5AEA8F64" w:rsidR="00480F77" w:rsidRDefault="00480F77" w:rsidP="00552AC8">
      <w:pPr>
        <w:pStyle w:val="ListParagraph"/>
        <w:ind w:left="360"/>
        <w:rPr>
          <w:b/>
        </w:rPr>
      </w:pPr>
    </w:p>
    <w:p w14:paraId="00A57CFB" w14:textId="299264AA" w:rsidR="00480F77" w:rsidRDefault="00480F77" w:rsidP="00552AC8">
      <w:pPr>
        <w:pStyle w:val="ListParagraph"/>
        <w:ind w:left="360"/>
        <w:rPr>
          <w:b/>
          <w:color w:val="FF0000"/>
        </w:rPr>
      </w:pPr>
      <w:r w:rsidRPr="00480F77">
        <w:rPr>
          <w:b/>
          <w:color w:val="FF0000"/>
        </w:rPr>
        <w:t>We observed no significant correlation between pre-diet hormone levels and either percent or absolute weight gain in bo</w:t>
      </w:r>
      <w:r w:rsidR="0090305D">
        <w:rPr>
          <w:b/>
          <w:color w:val="FF0000"/>
        </w:rPr>
        <w:t>th HFD and CD fed mice (Figure 1</w:t>
      </w:r>
      <w:r w:rsidRPr="00480F77">
        <w:rPr>
          <w:b/>
          <w:color w:val="FF0000"/>
        </w:rPr>
        <w:t>C and Table 2).</w:t>
      </w:r>
    </w:p>
    <w:p w14:paraId="60857A9D" w14:textId="77777777" w:rsidR="00480F77" w:rsidRDefault="00480F77" w:rsidP="00552AC8">
      <w:pPr>
        <w:pStyle w:val="ListParagraph"/>
        <w:ind w:left="360"/>
        <w:rPr>
          <w:b/>
          <w:color w:val="FF0000"/>
        </w:rPr>
      </w:pPr>
    </w:p>
    <w:p w14:paraId="7BBDCE85" w14:textId="1B5FAFD4" w:rsidR="00480F77" w:rsidRDefault="00480F77" w:rsidP="00480F77">
      <w:pPr>
        <w:rPr>
          <w:b/>
        </w:rPr>
      </w:pPr>
      <w:r w:rsidRPr="00480F77">
        <w:rPr>
          <w:b/>
        </w:rPr>
        <w:t>Since absolute weight gain data are not included in the revised manusc</w:t>
      </w:r>
      <w:r w:rsidR="00F17272">
        <w:rPr>
          <w:b/>
        </w:rPr>
        <w:t>rip</w:t>
      </w:r>
      <w:r w:rsidR="007E2A90">
        <w:rPr>
          <w:b/>
        </w:rPr>
        <w:t>t they are presented in Figure 3</w:t>
      </w:r>
      <w:r w:rsidR="00F17272">
        <w:rPr>
          <w:b/>
        </w:rPr>
        <w:t xml:space="preserve"> of this response.  </w:t>
      </w:r>
    </w:p>
    <w:p w14:paraId="27591E32" w14:textId="77777777" w:rsidR="00F17272" w:rsidRDefault="00F17272" w:rsidP="00480F77">
      <w:pPr>
        <w:rPr>
          <w:b/>
        </w:rPr>
      </w:pPr>
    </w:p>
    <w:p w14:paraId="03EDF419" w14:textId="60BDBA66" w:rsidR="00F17272" w:rsidRDefault="00F17272" w:rsidP="00480F77">
      <w:pPr>
        <w:rPr>
          <w:b/>
        </w:rPr>
      </w:pPr>
      <w:r>
        <w:rPr>
          <w:b/>
        </w:rPr>
        <w:t>Finally, as noted below in comment #12, we examined weight gain and fasting response in grams rather than in percent fo</w:t>
      </w:r>
      <w:r w:rsidR="0090305D">
        <w:rPr>
          <w:b/>
        </w:rPr>
        <w:t>r the data presented in Figure 3</w:t>
      </w:r>
      <w:r w:rsidR="007E2A90">
        <w:rPr>
          <w:b/>
        </w:rPr>
        <w:t xml:space="preserve"> </w:t>
      </w:r>
      <w:r w:rsidR="0090305D">
        <w:rPr>
          <w:b/>
        </w:rPr>
        <w:t xml:space="preserve"> (formerly Figure 4)</w:t>
      </w:r>
      <w:r>
        <w:rPr>
          <w:b/>
        </w:rPr>
        <w:t>.</w:t>
      </w:r>
    </w:p>
    <w:p w14:paraId="4DC2830F" w14:textId="01B3668A" w:rsidR="00480F77" w:rsidRPr="00480F77" w:rsidRDefault="00480F77" w:rsidP="00480F77">
      <w:pPr>
        <w:rPr>
          <w:b/>
        </w:rPr>
      </w:pPr>
    </w:p>
    <w:p w14:paraId="572E133D" w14:textId="77777777" w:rsidR="00552AC8" w:rsidRDefault="00552AC8" w:rsidP="00552AC8">
      <w:pPr>
        <w:pStyle w:val="ListParagraph"/>
        <w:ind w:left="360"/>
      </w:pPr>
    </w:p>
    <w:p w14:paraId="4ACF9D0F" w14:textId="186AA8DE" w:rsidR="001701BF" w:rsidRDefault="00FC2429" w:rsidP="001701BF">
      <w:pPr>
        <w:pStyle w:val="ListParagraph"/>
        <w:numPr>
          <w:ilvl w:val="0"/>
          <w:numId w:val="2"/>
        </w:numPr>
      </w:pPr>
      <w:r>
        <w:t xml:space="preserve">Why were there 3 fasting weight loss periods reported in Figure 3A? This was only done twice 12 weeks apart? </w:t>
      </w:r>
    </w:p>
    <w:p w14:paraId="4A5B7559" w14:textId="77777777" w:rsidR="00EF5C51" w:rsidRDefault="00EF5C51" w:rsidP="00EF5C51">
      <w:pPr>
        <w:pStyle w:val="ListParagraph"/>
        <w:ind w:left="360"/>
      </w:pPr>
    </w:p>
    <w:p w14:paraId="13DA14D6" w14:textId="6BB701CC" w:rsidR="001701BF" w:rsidRPr="00EF5C51" w:rsidRDefault="006F4BDF" w:rsidP="001701BF">
      <w:pPr>
        <w:rPr>
          <w:b/>
        </w:rPr>
      </w:pPr>
      <w:r>
        <w:rPr>
          <w:b/>
        </w:rPr>
        <w:t>In addition to the 10-week and 22-</w:t>
      </w:r>
      <w:r w:rsidR="007520EE">
        <w:rPr>
          <w:b/>
        </w:rPr>
        <w:t>week weights (which were part of the pre-diet and post-diet measurements), w</w:t>
      </w:r>
      <w:r w:rsidR="001701BF" w:rsidRPr="00EF5C51">
        <w:rPr>
          <w:b/>
        </w:rPr>
        <w:t xml:space="preserve">e also included an extra cohort, of only wild-type normal chow C57BL/6J that were untreated and left on a chow diet for an extended period of time.  These mice make up the </w:t>
      </w:r>
      <w:r w:rsidR="00EF5C51" w:rsidRPr="00EF5C51">
        <w:rPr>
          <w:b/>
        </w:rPr>
        <w:t xml:space="preserve">~215 </w:t>
      </w:r>
      <w:r w:rsidR="0090305D">
        <w:rPr>
          <w:b/>
        </w:rPr>
        <w:t>day old cohort shown in Figure 2</w:t>
      </w:r>
      <w:r w:rsidR="00EF5C51" w:rsidRPr="00EF5C51">
        <w:rPr>
          <w:b/>
        </w:rPr>
        <w:t>A</w:t>
      </w:r>
      <w:r w:rsidR="0090305D">
        <w:rPr>
          <w:b/>
        </w:rPr>
        <w:t xml:space="preserve"> (formerly 3A)</w:t>
      </w:r>
      <w:r w:rsidR="007520EE">
        <w:rPr>
          <w:b/>
        </w:rPr>
        <w:t xml:space="preserve">.  </w:t>
      </w:r>
      <w:r w:rsidR="00EF5C51" w:rsidRPr="00EF5C51">
        <w:rPr>
          <w:b/>
        </w:rPr>
        <w:t xml:space="preserve">No other studies were performed on this cohort, and they were not used in any other analyses since they had no age matched HFD/CD cohort.  </w:t>
      </w:r>
      <w:r w:rsidR="00EF5C51">
        <w:rPr>
          <w:b/>
        </w:rPr>
        <w:t xml:space="preserve">We include this to demonstrate over a longer range of ages that fasting responses are quite stable at a population level.  </w:t>
      </w:r>
      <w:r w:rsidR="00EF5C51" w:rsidRPr="00EF5C51">
        <w:rPr>
          <w:b/>
        </w:rPr>
        <w:t>We indicated this in the</w:t>
      </w:r>
      <w:r w:rsidR="00EF5C51">
        <w:rPr>
          <w:b/>
        </w:rPr>
        <w:t xml:space="preserve"> results section where we clarify that these are NCD fed mice and in the</w:t>
      </w:r>
      <w:r w:rsidR="00EF5C51" w:rsidRPr="00EF5C51">
        <w:rPr>
          <w:b/>
        </w:rPr>
        <w:t xml:space="preserve"> methods section:</w:t>
      </w:r>
    </w:p>
    <w:p w14:paraId="39080B93" w14:textId="77777777" w:rsidR="00EF5C51" w:rsidRDefault="00EF5C51" w:rsidP="001701BF"/>
    <w:p w14:paraId="73ED5F0A" w14:textId="39D2D9A5" w:rsidR="00EF5C51" w:rsidRDefault="00EF5C51" w:rsidP="00EF5C51">
      <w:pPr>
        <w:ind w:left="360"/>
        <w:rPr>
          <w:b/>
          <w:color w:val="FF0000"/>
        </w:rPr>
      </w:pPr>
      <w:r w:rsidRPr="00EF5C51">
        <w:rPr>
          <w:b/>
          <w:color w:val="FF0000"/>
        </w:rPr>
        <w:t>For the ~215 day old mouse cohort s</w:t>
      </w:r>
      <w:r w:rsidR="0090305D">
        <w:rPr>
          <w:b/>
          <w:color w:val="FF0000"/>
        </w:rPr>
        <w:t>hown in Figure 2</w:t>
      </w:r>
      <w:r w:rsidRPr="00EF5C51">
        <w:rPr>
          <w:b/>
          <w:color w:val="FF0000"/>
        </w:rPr>
        <w:t>A, these mice were maintained on NCD for a longer duration than other cohorts, before fasting responses were measured.</w:t>
      </w:r>
    </w:p>
    <w:p w14:paraId="31B1A6AF" w14:textId="664ED850" w:rsidR="00EF5C51" w:rsidRDefault="00EF5C51" w:rsidP="00EF5C51">
      <w:pPr>
        <w:ind w:left="360"/>
        <w:rPr>
          <w:b/>
          <w:color w:val="FF0000"/>
        </w:rPr>
      </w:pPr>
    </w:p>
    <w:p w14:paraId="47783BBA" w14:textId="7D47E570" w:rsidR="00EF5C51" w:rsidRDefault="00EF5C51" w:rsidP="00EF5C51">
      <w:pPr>
        <w:pStyle w:val="ListParagraph"/>
        <w:numPr>
          <w:ilvl w:val="0"/>
          <w:numId w:val="2"/>
        </w:numPr>
      </w:pPr>
      <w:proofErr w:type="gramStart"/>
      <w:r>
        <w:t>There were also 2 outliers</w:t>
      </w:r>
      <w:proofErr w:type="gramEnd"/>
      <w:r>
        <w:t xml:space="preserve">, </w:t>
      </w:r>
      <w:proofErr w:type="gramStart"/>
      <w:r>
        <w:t>did results include these individuals</w:t>
      </w:r>
      <w:proofErr w:type="gramEnd"/>
      <w:r>
        <w:t xml:space="preserve">? </w:t>
      </w:r>
    </w:p>
    <w:p w14:paraId="1253792F" w14:textId="40E234AC" w:rsidR="00EF5C51" w:rsidRDefault="00EF5C51" w:rsidP="00EF5C51">
      <w:pPr>
        <w:pStyle w:val="ListParagraph"/>
        <w:ind w:left="360"/>
      </w:pPr>
    </w:p>
    <w:p w14:paraId="66B75B49" w14:textId="08CED327" w:rsidR="00EF5C51" w:rsidRDefault="00EF5C51" w:rsidP="006A661A">
      <w:pPr>
        <w:pStyle w:val="ListParagraph"/>
        <w:ind w:left="0"/>
        <w:rPr>
          <w:b/>
        </w:rPr>
      </w:pPr>
      <w:r w:rsidRPr="007520EE">
        <w:rPr>
          <w:b/>
        </w:rPr>
        <w:t xml:space="preserve">Yes, throughout the study all outliers were included in the analysis.  As per this particular figure, there </w:t>
      </w:r>
      <w:r w:rsidR="006A661A">
        <w:rPr>
          <w:b/>
        </w:rPr>
        <w:t>were</w:t>
      </w:r>
      <w:r w:rsidRPr="007520EE">
        <w:rPr>
          <w:b/>
        </w:rPr>
        <w:t xml:space="preserve"> </w:t>
      </w:r>
      <w:r w:rsidR="009109D7">
        <w:rPr>
          <w:b/>
        </w:rPr>
        <w:t>several</w:t>
      </w:r>
      <w:r w:rsidR="006A661A">
        <w:rPr>
          <w:b/>
        </w:rPr>
        <w:t xml:space="preserve"> outliers.  </w:t>
      </w:r>
      <w:r w:rsidR="009109D7">
        <w:rPr>
          <w:b/>
        </w:rPr>
        <w:t xml:space="preserve">One of these was determined to be a data entry error, in one Control Diet animal’s pre-diet fasting response.  This was corrected in the revised analysis.  </w:t>
      </w:r>
      <w:r w:rsidR="007520EE" w:rsidRPr="007520EE">
        <w:rPr>
          <w:b/>
        </w:rPr>
        <w:t xml:space="preserve">Removing </w:t>
      </w:r>
      <w:r w:rsidR="009109D7">
        <w:rPr>
          <w:b/>
        </w:rPr>
        <w:t>the other actual outliers</w:t>
      </w:r>
      <w:r w:rsidR="007520EE" w:rsidRPr="007520EE">
        <w:rPr>
          <w:b/>
        </w:rPr>
        <w:t xml:space="preserve"> did not affect the results of this regression analysis</w:t>
      </w:r>
      <w:r w:rsidR="007520EE">
        <w:rPr>
          <w:b/>
        </w:rPr>
        <w:t>.</w:t>
      </w:r>
      <w:r w:rsidR="00CD680E">
        <w:rPr>
          <w:b/>
        </w:rPr>
        <w:t xml:space="preserve">  </w:t>
      </w:r>
      <w:r w:rsidR="006A661A" w:rsidRPr="006A661A">
        <w:rPr>
          <w:b/>
        </w:rPr>
        <w:t>For percent weight loss upon fasting the Spearman's rank ordered test showe</w:t>
      </w:r>
      <w:r w:rsidR="006A661A">
        <w:rPr>
          <w:b/>
        </w:rPr>
        <w:t>d no significant correlation. (Rho</w:t>
      </w:r>
      <w:r w:rsidR="006A661A" w:rsidRPr="006A661A">
        <w:rPr>
          <w:b/>
        </w:rPr>
        <w:t xml:space="preserve">=0.0427 </w:t>
      </w:r>
      <w:r w:rsidR="006A661A">
        <w:rPr>
          <w:b/>
        </w:rPr>
        <w:t>Rho</w:t>
      </w:r>
      <w:r w:rsidR="006A661A" w:rsidRPr="006A661A">
        <w:rPr>
          <w:b/>
          <w:vertAlign w:val="superscript"/>
        </w:rPr>
        <w:t>2</w:t>
      </w:r>
      <w:r w:rsidR="006A661A" w:rsidRPr="006A661A">
        <w:rPr>
          <w:b/>
        </w:rPr>
        <w:t>= 0.0177 and p=0.26</w:t>
      </w:r>
      <w:r w:rsidR="006A661A">
        <w:rPr>
          <w:b/>
        </w:rPr>
        <w:t>85) and with outliers removed (Rho</w:t>
      </w:r>
      <w:r w:rsidR="006A661A" w:rsidRPr="006A661A">
        <w:rPr>
          <w:b/>
        </w:rPr>
        <w:t xml:space="preserve">=0.1772 </w:t>
      </w:r>
      <w:r w:rsidR="006A661A">
        <w:rPr>
          <w:b/>
        </w:rPr>
        <w:t>Rho</w:t>
      </w:r>
      <w:r w:rsidR="006A661A" w:rsidRPr="006A661A">
        <w:rPr>
          <w:b/>
          <w:vertAlign w:val="superscript"/>
        </w:rPr>
        <w:t>2</w:t>
      </w:r>
      <w:r w:rsidR="006A661A" w:rsidRPr="006A661A">
        <w:rPr>
          <w:b/>
        </w:rPr>
        <w:t xml:space="preserve">= 0.0314 and p=0.1484). For </w:t>
      </w:r>
      <w:r w:rsidR="007923CE">
        <w:rPr>
          <w:b/>
        </w:rPr>
        <w:t>absolute</w:t>
      </w:r>
      <w:r w:rsidR="006A661A" w:rsidRPr="006A661A">
        <w:rPr>
          <w:b/>
        </w:rPr>
        <w:t xml:space="preserve"> weight loss </w:t>
      </w:r>
      <w:r w:rsidR="006A661A">
        <w:rPr>
          <w:b/>
        </w:rPr>
        <w:t>there was also no correlation (Rho</w:t>
      </w:r>
      <w:r w:rsidR="006A661A" w:rsidRPr="006A661A">
        <w:rPr>
          <w:b/>
        </w:rPr>
        <w:t xml:space="preserve">=-0.093 </w:t>
      </w:r>
      <w:r w:rsidR="006A661A">
        <w:rPr>
          <w:b/>
        </w:rPr>
        <w:t>Rho</w:t>
      </w:r>
      <w:r w:rsidR="006A661A" w:rsidRPr="006A661A">
        <w:rPr>
          <w:b/>
          <w:vertAlign w:val="superscript"/>
        </w:rPr>
        <w:t>2</w:t>
      </w:r>
      <w:r w:rsidR="006A661A" w:rsidRPr="006A661A">
        <w:rPr>
          <w:b/>
        </w:rPr>
        <w:t>= 0.0071 and p=0.48</w:t>
      </w:r>
      <w:r w:rsidR="006A661A">
        <w:rPr>
          <w:b/>
        </w:rPr>
        <w:t>34) and with outliers removed (Rho</w:t>
      </w:r>
      <w:r w:rsidR="006A661A" w:rsidRPr="006A661A">
        <w:rPr>
          <w:b/>
        </w:rPr>
        <w:t xml:space="preserve">=-0.0618 </w:t>
      </w:r>
      <w:r w:rsidR="006A661A">
        <w:rPr>
          <w:b/>
        </w:rPr>
        <w:t>Rho</w:t>
      </w:r>
      <w:r w:rsidR="006A661A" w:rsidRPr="006A661A">
        <w:rPr>
          <w:b/>
          <w:vertAlign w:val="superscript"/>
        </w:rPr>
        <w:t>2</w:t>
      </w:r>
      <w:r w:rsidR="006A661A" w:rsidRPr="006A661A">
        <w:rPr>
          <w:b/>
        </w:rPr>
        <w:t>= 0.0038 and p=0.6167).</w:t>
      </w:r>
      <w:r w:rsidR="009109D7">
        <w:rPr>
          <w:b/>
        </w:rPr>
        <w:t xml:space="preserve">  </w:t>
      </w:r>
    </w:p>
    <w:p w14:paraId="23E777E0" w14:textId="77777777" w:rsidR="006A661A" w:rsidRDefault="006A661A" w:rsidP="006A661A">
      <w:pPr>
        <w:pStyle w:val="ListParagraph"/>
        <w:ind w:left="0"/>
      </w:pPr>
    </w:p>
    <w:p w14:paraId="4A07B30A" w14:textId="473128C5" w:rsidR="00FC2429" w:rsidRDefault="00FC2429" w:rsidP="00FC2429">
      <w:pPr>
        <w:pStyle w:val="ListParagraph"/>
        <w:numPr>
          <w:ilvl w:val="0"/>
          <w:numId w:val="2"/>
        </w:numPr>
      </w:pPr>
      <w:r>
        <w:t>Figure 3B can be deleted.</w:t>
      </w:r>
    </w:p>
    <w:p w14:paraId="6D726A99" w14:textId="77777777" w:rsidR="003049AB" w:rsidRDefault="003049AB" w:rsidP="003049AB"/>
    <w:p w14:paraId="3D814611" w14:textId="3C63A1F5" w:rsidR="003049AB" w:rsidRDefault="003049AB" w:rsidP="003049AB">
      <w:pPr>
        <w:rPr>
          <w:b/>
        </w:rPr>
      </w:pPr>
      <w:r w:rsidRPr="003049AB">
        <w:rPr>
          <w:b/>
        </w:rPr>
        <w:t xml:space="preserve">We disagree, our findings show that fasting responses at ~10 weeks of age are </w:t>
      </w:r>
      <w:r w:rsidR="007923CE">
        <w:rPr>
          <w:b/>
        </w:rPr>
        <w:t>not strongly</w:t>
      </w:r>
      <w:r w:rsidRPr="003049AB">
        <w:rPr>
          <w:b/>
        </w:rPr>
        <w:t xml:space="preserve"> predictive of weight gain, but that the fasting response of a mouse is not</w:t>
      </w:r>
      <w:r w:rsidR="0090305D">
        <w:rPr>
          <w:b/>
        </w:rPr>
        <w:t xml:space="preserve"> stable over time.  This figure (now 2B, formerly 3B) </w:t>
      </w:r>
      <w:r w:rsidRPr="003049AB">
        <w:rPr>
          <w:b/>
        </w:rPr>
        <w:t>is essential to this point as noted in the discussion section:</w:t>
      </w:r>
    </w:p>
    <w:p w14:paraId="0DCA5023" w14:textId="77777777" w:rsidR="007E0977" w:rsidRDefault="007E0977" w:rsidP="003049AB">
      <w:pPr>
        <w:rPr>
          <w:b/>
        </w:rPr>
      </w:pPr>
    </w:p>
    <w:p w14:paraId="25710198" w14:textId="250B0B63" w:rsidR="007E0977" w:rsidRDefault="007E0977" w:rsidP="007E0977">
      <w:pPr>
        <w:ind w:left="360"/>
        <w:rPr>
          <w:b/>
          <w:color w:val="FF0000"/>
        </w:rPr>
      </w:pPr>
      <w:r w:rsidRPr="007E0977">
        <w:rPr>
          <w:b/>
          <w:color w:val="FF0000"/>
        </w:rPr>
        <w:t>Of note it is interesting that fasting responses themselves are not stable throughout life on</w:t>
      </w:r>
      <w:r w:rsidR="0090305D">
        <w:rPr>
          <w:b/>
          <w:color w:val="FF0000"/>
        </w:rPr>
        <w:t xml:space="preserve"> a per mouse basis (see Figure 2</w:t>
      </w:r>
      <w:r w:rsidRPr="007E0977">
        <w:rPr>
          <w:b/>
          <w:color w:val="FF0000"/>
        </w:rPr>
        <w:t xml:space="preserve">B).  This suggests that either the fasting response is not causative of weight gain directly, or is only </w:t>
      </w:r>
      <w:r w:rsidR="007923CE">
        <w:rPr>
          <w:b/>
          <w:color w:val="FF0000"/>
        </w:rPr>
        <w:t>correlates with predisposition to weight gain</w:t>
      </w:r>
      <w:r w:rsidRPr="007E0977">
        <w:rPr>
          <w:b/>
          <w:color w:val="FF0000"/>
        </w:rPr>
        <w:t xml:space="preserve"> during a younger age. These data are consistent with reports that among adult human populations, basal metabolic rate is not reduced in obese individuals </w:t>
      </w:r>
      <w:r w:rsidRPr="007E0977">
        <w:rPr>
          <w:b/>
          <w:color w:val="FF0000"/>
        </w:rPr>
        <w:fldChar w:fldCharType="begin" w:fldLock="1"/>
      </w:r>
      <w:r w:rsidR="00FF28F4">
        <w:rPr>
          <w:b/>
          <w:color w:val="FF0000"/>
        </w:rPr>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"[17, 18]" }, "properties" : { "noteIndex" : 0 }, "schema" : "https://github.com/citation-style-language/schema/raw/master/csl-citation.json" }</w:instrText>
      </w:r>
      <w:r w:rsidRPr="007E0977">
        <w:rPr>
          <w:b/>
          <w:color w:val="FF0000"/>
        </w:rPr>
        <w:fldChar w:fldCharType="separate"/>
      </w:r>
      <w:r w:rsidR="00FF28F4" w:rsidRPr="00FF28F4">
        <w:rPr>
          <w:noProof/>
          <w:color w:val="FF0000"/>
        </w:rPr>
        <w:t>[17, 18]</w:t>
      </w:r>
      <w:r w:rsidRPr="007E0977">
        <w:rPr>
          <w:b/>
          <w:color w:val="FF0000"/>
        </w:rPr>
        <w:fldChar w:fldCharType="end"/>
      </w:r>
      <w:r w:rsidR="00C414FC">
        <w:rPr>
          <w:b/>
          <w:color w:val="FF0000"/>
        </w:rPr>
        <w:t xml:space="preserve"> </w:t>
      </w:r>
      <w:r w:rsidR="007923CE">
        <w:rPr>
          <w:b/>
          <w:color w:val="FF0000"/>
        </w:rPr>
        <w:t>while</w:t>
      </w:r>
      <w:r w:rsidR="00C414FC">
        <w:rPr>
          <w:b/>
          <w:color w:val="FF0000"/>
        </w:rPr>
        <w:t xml:space="preserve"> reductions in metabolic rates in pediatric populations are predictive of obesity </w:t>
      </w:r>
      <w:r w:rsidR="00C414FC" w:rsidRPr="00C414FC">
        <w:rPr>
          <w:b/>
          <w:color w:val="FF0000"/>
        </w:rPr>
        <w:fldChar w:fldCharType="begin" w:fldLock="1"/>
      </w:r>
      <w:r w:rsidR="00FF28F4">
        <w:rPr>
          <w:b/>
          <w:color w:val="FF0000"/>
        </w:rPr>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"[19, 20]" }, "properties" : { "noteIndex" : 0 }, "schema" : "https://github.com/citation-style-language/schema/raw/master/csl-citation.json" }</w:instrText>
      </w:r>
      <w:r w:rsidR="00C414FC" w:rsidRPr="00C414FC">
        <w:rPr>
          <w:b/>
          <w:color w:val="FF0000"/>
        </w:rPr>
        <w:fldChar w:fldCharType="separate"/>
      </w:r>
      <w:r w:rsidR="00FF28F4" w:rsidRPr="00FF28F4">
        <w:rPr>
          <w:noProof/>
          <w:color w:val="FF0000"/>
        </w:rPr>
        <w:t>[19, 20]</w:t>
      </w:r>
      <w:r w:rsidR="00C414FC" w:rsidRPr="00C414FC">
        <w:rPr>
          <w:b/>
          <w:color w:val="FF0000"/>
        </w:rPr>
        <w:fldChar w:fldCharType="end"/>
      </w:r>
      <w:r w:rsidRPr="00C414FC">
        <w:rPr>
          <w:b/>
          <w:color w:val="FF0000"/>
        </w:rPr>
        <w:t>.</w:t>
      </w:r>
      <w:r w:rsidRPr="007E0977">
        <w:rPr>
          <w:b/>
          <w:color w:val="FF0000"/>
        </w:rPr>
        <w:t xml:space="preserve">  </w:t>
      </w:r>
    </w:p>
    <w:p w14:paraId="4F892338" w14:textId="2B6A9547" w:rsidR="007E0977" w:rsidRDefault="007E0977" w:rsidP="007E0977">
      <w:pPr>
        <w:ind w:left="360"/>
        <w:rPr>
          <w:b/>
          <w:color w:val="FF0000"/>
        </w:rPr>
      </w:pPr>
    </w:p>
    <w:p w14:paraId="5B190D02" w14:textId="32ED9A23" w:rsidR="007E0977" w:rsidRPr="007E0977" w:rsidRDefault="007923CE" w:rsidP="007E0977">
      <w:pPr>
        <w:rPr>
          <w:b/>
        </w:rPr>
      </w:pPr>
      <w:r>
        <w:rPr>
          <w:b/>
          <w:noProof/>
        </w:rPr>
        <mc:AlternateContent>
          <mc:Choice Requires="wps">
            <w:drawing>
              <wp:anchor distT="0" distB="0" distL="114300" distR="114300" simplePos="0" relativeHeight="251660288" behindDoc="0" locked="0" layoutInCell="1" allowOverlap="1" wp14:anchorId="1E149CD2" wp14:editId="40058617">
                <wp:simplePos x="0" y="0"/>
                <wp:positionH relativeFrom="column">
                  <wp:posOffset>228600</wp:posOffset>
                </wp:positionH>
                <wp:positionV relativeFrom="paragraph">
                  <wp:posOffset>84455</wp:posOffset>
                </wp:positionV>
                <wp:extent cx="2971800" cy="46863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971800" cy="4686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59F2FE" w14:textId="67C3BA8D" w:rsidR="008F5852" w:rsidRDefault="008F5852">
                            <w:pPr>
                              <w:rPr>
                                <w:b/>
                              </w:rPr>
                            </w:pPr>
                          </w:p>
                          <w:p w14:paraId="7416059F" w14:textId="07B6C203" w:rsidR="008F5852" w:rsidRDefault="008F5852">
                            <w:pPr>
                              <w:rPr>
                                <w:b/>
                              </w:rPr>
                            </w:pPr>
                            <w:r>
                              <w:rPr>
                                <w:b/>
                                <w:noProof/>
                              </w:rPr>
                              <w:drawing>
                                <wp:inline distT="0" distB="0" distL="0" distR="0" wp14:anchorId="093D9914" wp14:editId="0E27C650">
                                  <wp:extent cx="2769704" cy="2769704"/>
                                  <wp:effectExtent l="0" t="0" r="0" b="0"/>
                                  <wp:docPr id="4" name="Picture 4" descr="Macintosh HD:Users:davebridges:Documents:Source:PredictorsDietInducedObesity:scripts:figure:gain-plo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scripts:figure:gain-plot-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0246" cy="2770246"/>
                                          </a:xfrm>
                                          <a:prstGeom prst="rect">
                                            <a:avLst/>
                                          </a:prstGeom>
                                          <a:noFill/>
                                          <a:ln>
                                            <a:noFill/>
                                          </a:ln>
                                        </pic:spPr>
                                      </pic:pic>
                                    </a:graphicData>
                                  </a:graphic>
                                </wp:inline>
                              </w:drawing>
                            </w:r>
                          </w:p>
                          <w:p w14:paraId="7170F434" w14:textId="66CE2801" w:rsidR="008F5852" w:rsidRPr="00B50A5D" w:rsidRDefault="008F5852">
                            <w:pPr>
                              <w:rPr>
                                <w:b/>
                              </w:rPr>
                            </w:pPr>
                            <w:r>
                              <w:rPr>
                                <w:b/>
                              </w:rPr>
                              <w:t>Figure 4: Full set of comparisons between relative/absolute fasting response and relative/absolute weight gain.</w:t>
                            </w:r>
                            <w:r>
                              <w:t xml:space="preserve">  These data compare the correlation between the pre-diet fasting response and the eventual weight gain during the dietary treatment.  See Table 1 of t his response for correlation coefficients and p-values.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9" type="#_x0000_t202" style="position:absolute;margin-left:18pt;margin-top:6.65pt;width:234pt;height:3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" filled="f" stroked="f">
                <v:textbox>
                  <w:txbxContent>
                    <w:p w14:paraId="1359F2FE" w14:textId="67C3BA8D" w:rsidR="008F5852" w:rsidRDefault="008F5852">
                      <w:pPr>
                        <w:rPr>
                          <w:b/>
                        </w:rPr>
                      </w:pPr>
                    </w:p>
                    <w:p w14:paraId="7416059F" w14:textId="07B6C203" w:rsidR="008F5852" w:rsidRDefault="008F5852">
                      <w:pPr>
                        <w:rPr>
                          <w:b/>
                        </w:rPr>
                      </w:pPr>
                      <w:r>
                        <w:rPr>
                          <w:b/>
                          <w:noProof/>
                        </w:rPr>
                        <w:drawing>
                          <wp:inline distT="0" distB="0" distL="0" distR="0" wp14:anchorId="093D9914" wp14:editId="0E27C650">
                            <wp:extent cx="2769704" cy="2769704"/>
                            <wp:effectExtent l="0" t="0" r="0" b="0"/>
                            <wp:docPr id="4" name="Picture 4" descr="Macintosh HD:Users:davebridges:Documents:Source:PredictorsDietInducedObesity:scripts:figure:gain-plo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scripts:figure:gain-plot-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0246" cy="2770246"/>
                                    </a:xfrm>
                                    <a:prstGeom prst="rect">
                                      <a:avLst/>
                                    </a:prstGeom>
                                    <a:noFill/>
                                    <a:ln>
                                      <a:noFill/>
                                    </a:ln>
                                  </pic:spPr>
                                </pic:pic>
                              </a:graphicData>
                            </a:graphic>
                          </wp:inline>
                        </w:drawing>
                      </w:r>
                    </w:p>
                    <w:p w14:paraId="7170F434" w14:textId="66CE2801" w:rsidR="008F5852" w:rsidRPr="00B50A5D" w:rsidRDefault="008F5852">
                      <w:pPr>
                        <w:rPr>
                          <w:b/>
                        </w:rPr>
                      </w:pPr>
                      <w:r>
                        <w:rPr>
                          <w:b/>
                        </w:rPr>
                        <w:t>Figure 4: Full set of comparisons between relative/absolute fasting response and relative/absolute weight gain.</w:t>
                      </w:r>
                      <w:r>
                        <w:t xml:space="preserve">  These data compare the correlation between the pre-diet fasting response and the eventual weight gain during the dietary treatment.  See Table 1 of t his response for correlation coefficients and p-values. </w:t>
                      </w:r>
                    </w:p>
                  </w:txbxContent>
                </v:textbox>
                <w10:wrap type="square"/>
              </v:shape>
            </w:pict>
          </mc:Fallback>
        </mc:AlternateContent>
      </w:r>
      <w:r w:rsidR="007E0977" w:rsidRPr="007E0977">
        <w:rPr>
          <w:b/>
        </w:rPr>
        <w:t>We therefore feel that this figure is essential to the interpretation of how fasting responses are established and when they exert their effects.</w:t>
      </w:r>
    </w:p>
    <w:p w14:paraId="2369D9A3" w14:textId="77777777" w:rsidR="003049AB" w:rsidRDefault="003049AB" w:rsidP="003049AB"/>
    <w:p w14:paraId="246C717C" w14:textId="77777777" w:rsidR="00FC2429" w:rsidRDefault="00FC2429" w:rsidP="00FC2429">
      <w:pPr>
        <w:pStyle w:val="ListParagraph"/>
        <w:numPr>
          <w:ilvl w:val="0"/>
          <w:numId w:val="2"/>
        </w:numPr>
      </w:pPr>
      <w:r>
        <w:t xml:space="preserve">The last 3 paragraphs of the results section could be shortened to one. Please clarify the relative contribution of fasting response and diet to weight gain. </w:t>
      </w:r>
    </w:p>
    <w:p w14:paraId="669ABADC" w14:textId="15DA9565" w:rsidR="00B3527E" w:rsidRDefault="00B3527E" w:rsidP="00B3527E"/>
    <w:p w14:paraId="2F9A490A" w14:textId="04E18AA4" w:rsidR="00B3527E" w:rsidRDefault="00B3527E" w:rsidP="00B3527E">
      <w:pPr>
        <w:rPr>
          <w:b/>
        </w:rPr>
      </w:pPr>
      <w:r w:rsidRPr="00B3527E">
        <w:rPr>
          <w:b/>
        </w:rPr>
        <w:t>This paragraph was revised and shortened as suggested</w:t>
      </w:r>
      <w:r w:rsidR="00C5168C">
        <w:rPr>
          <w:b/>
        </w:rPr>
        <w:t>.  To clarify the effects of fasting response to weight gain, we only included the effect of relative weight loss to relative weight gain on the diet.  In our opinion this is the most direct answer to our question.  We have removed from the manuscript the other potentially distracting correlates.</w:t>
      </w:r>
      <w:r w:rsidR="006C56B0">
        <w:rPr>
          <w:b/>
        </w:rPr>
        <w:t xml:space="preserve">  The full set of potential </w:t>
      </w:r>
      <w:r w:rsidR="0074124A">
        <w:rPr>
          <w:b/>
        </w:rPr>
        <w:t>comparisons</w:t>
      </w:r>
      <w:r w:rsidR="006C56B0">
        <w:rPr>
          <w:b/>
        </w:rPr>
        <w:t xml:space="preserve"> between relative and absolute fasting responses and relative and absolute weight gain are presented here</w:t>
      </w:r>
      <w:r w:rsidR="0074124A">
        <w:rPr>
          <w:b/>
        </w:rPr>
        <w:t xml:space="preserve"> both in statistical </w:t>
      </w:r>
      <w:r w:rsidR="00023A25">
        <w:rPr>
          <w:b/>
        </w:rPr>
        <w:t xml:space="preserve">(Table 1 of this response) </w:t>
      </w:r>
      <w:r w:rsidR="0074124A">
        <w:rPr>
          <w:b/>
        </w:rPr>
        <w:t xml:space="preserve">and </w:t>
      </w:r>
      <w:r w:rsidR="007923CE">
        <w:rPr>
          <w:b/>
        </w:rPr>
        <w:t>graphical</w:t>
      </w:r>
      <w:r w:rsidR="0074124A">
        <w:rPr>
          <w:b/>
        </w:rPr>
        <w:t xml:space="preserve"> form</w:t>
      </w:r>
      <w:r w:rsidR="002E751F">
        <w:rPr>
          <w:b/>
        </w:rPr>
        <w:t xml:space="preserve"> (see Figure 4</w:t>
      </w:r>
      <w:r w:rsidR="00023A25">
        <w:rPr>
          <w:b/>
        </w:rPr>
        <w:t xml:space="preserve"> of this response)</w:t>
      </w:r>
      <w:r w:rsidR="006C56B0">
        <w:rPr>
          <w:b/>
        </w:rPr>
        <w:t>:</w:t>
      </w:r>
    </w:p>
    <w:p w14:paraId="701E5E7F" w14:textId="77777777" w:rsidR="00AA4F71" w:rsidRDefault="00AA4F71" w:rsidP="00B3527E">
      <w:pPr>
        <w:rPr>
          <w:b/>
        </w:rPr>
      </w:pPr>
    </w:p>
    <w:p w14:paraId="581C1A1B" w14:textId="48933D8A" w:rsidR="00AA4F71" w:rsidRPr="00023A25" w:rsidRDefault="00023A25" w:rsidP="00B3527E">
      <w:r>
        <w:rPr>
          <w:b/>
        </w:rPr>
        <w:lastRenderedPageBreak/>
        <w:t xml:space="preserve">Table 1: </w:t>
      </w:r>
      <w:r w:rsidR="00AA4F71">
        <w:rPr>
          <w:b/>
        </w:rPr>
        <w:t>Correlation Coefficients as calculated by Spearman’s Rho</w:t>
      </w:r>
      <w:r w:rsidR="00B50A5D">
        <w:rPr>
          <w:b/>
        </w:rPr>
        <w:t xml:space="preserve"> between weight gain during the diet and fasting response prior to the diet</w:t>
      </w:r>
      <w:r w:rsidR="00AA4F71" w:rsidRPr="00023A25">
        <w:t>.   Asterisk indicates p&lt;0.05</w:t>
      </w:r>
    </w:p>
    <w:p w14:paraId="6B51A221" w14:textId="77777777" w:rsidR="006C56B0" w:rsidRDefault="006C56B0" w:rsidP="00B3527E">
      <w:pPr>
        <w:rPr>
          <w:b/>
        </w:rPr>
      </w:pPr>
    </w:p>
    <w:tbl>
      <w:tblPr>
        <w:tblStyle w:val="TableGrid"/>
        <w:tblW w:w="8640" w:type="dxa"/>
        <w:tblLayout w:type="fixed"/>
        <w:tblLook w:val="0480" w:firstRow="0" w:lastRow="0" w:firstColumn="1" w:lastColumn="0" w:noHBand="0" w:noVBand="1"/>
      </w:tblPr>
      <w:tblGrid>
        <w:gridCol w:w="3240"/>
        <w:gridCol w:w="2520"/>
        <w:gridCol w:w="2880"/>
      </w:tblGrid>
      <w:tr w:rsidR="006C56B0" w14:paraId="7ACBE8EF" w14:textId="77777777" w:rsidTr="009E6DB7">
        <w:tc>
          <w:tcPr>
            <w:tcW w:w="3240" w:type="dxa"/>
          </w:tcPr>
          <w:p w14:paraId="5DCC76D5" w14:textId="77777777" w:rsidR="006C56B0" w:rsidRDefault="006C56B0" w:rsidP="00AA4F71">
            <w:pPr>
              <w:widowControl w:val="0"/>
              <w:autoSpaceDE w:val="0"/>
              <w:autoSpaceDN w:val="0"/>
              <w:adjustRightInd w:val="0"/>
              <w:rPr>
                <w:rFonts w:ascii="Helvetica" w:hAnsi="Helvetica" w:cs="Helvetica"/>
                <w:b/>
                <w:bCs/>
              </w:rPr>
            </w:pPr>
          </w:p>
        </w:tc>
        <w:tc>
          <w:tcPr>
            <w:tcW w:w="2520" w:type="dxa"/>
          </w:tcPr>
          <w:p w14:paraId="07F7A279" w14:textId="77777777" w:rsidR="006C56B0" w:rsidRDefault="006C56B0">
            <w:pPr>
              <w:widowControl w:val="0"/>
              <w:autoSpaceDE w:val="0"/>
              <w:autoSpaceDN w:val="0"/>
              <w:adjustRightInd w:val="0"/>
              <w:jc w:val="center"/>
              <w:rPr>
                <w:rFonts w:ascii="Helvetica" w:hAnsi="Helvetica" w:cs="Helvetica"/>
                <w:b/>
                <w:bCs/>
              </w:rPr>
            </w:pPr>
            <w:r>
              <w:rPr>
                <w:rFonts w:ascii="Helvetica" w:hAnsi="Helvetica" w:cs="Helvetica"/>
                <w:b/>
                <w:bCs/>
              </w:rPr>
              <w:t>Pre Diet Relative Fasting Response</w:t>
            </w:r>
          </w:p>
        </w:tc>
        <w:tc>
          <w:tcPr>
            <w:tcW w:w="2880" w:type="dxa"/>
          </w:tcPr>
          <w:p w14:paraId="4220AE4F" w14:textId="77777777" w:rsidR="006C56B0" w:rsidRDefault="006C56B0">
            <w:pPr>
              <w:widowControl w:val="0"/>
              <w:autoSpaceDE w:val="0"/>
              <w:autoSpaceDN w:val="0"/>
              <w:adjustRightInd w:val="0"/>
              <w:jc w:val="center"/>
              <w:rPr>
                <w:rFonts w:ascii="Helvetica" w:hAnsi="Helvetica" w:cs="Helvetica"/>
                <w:b/>
                <w:bCs/>
              </w:rPr>
            </w:pPr>
            <w:r>
              <w:rPr>
                <w:rFonts w:ascii="Helvetica" w:hAnsi="Helvetica" w:cs="Helvetica"/>
                <w:b/>
                <w:bCs/>
              </w:rPr>
              <w:t>Pre Diet Absolute Fasting Response</w:t>
            </w:r>
          </w:p>
        </w:tc>
      </w:tr>
      <w:tr w:rsidR="006C56B0" w14:paraId="2177AAD3" w14:textId="77777777" w:rsidTr="009E6DB7">
        <w:tc>
          <w:tcPr>
            <w:tcW w:w="3240" w:type="dxa"/>
          </w:tcPr>
          <w:p w14:paraId="7BB409AA" w14:textId="675C561E" w:rsidR="006C56B0" w:rsidRDefault="00AA4F71">
            <w:pPr>
              <w:widowControl w:val="0"/>
              <w:autoSpaceDE w:val="0"/>
              <w:autoSpaceDN w:val="0"/>
              <w:adjustRightInd w:val="0"/>
              <w:jc w:val="right"/>
              <w:rPr>
                <w:rFonts w:ascii="Helvetica" w:hAnsi="Helvetica" w:cs="Helvetica"/>
              </w:rPr>
            </w:pPr>
            <w:r>
              <w:rPr>
                <w:rFonts w:ascii="Helvetica" w:hAnsi="Helvetica" w:cs="Helvetica"/>
              </w:rPr>
              <w:t>HFD - Absolute Weight Gain</w:t>
            </w:r>
          </w:p>
        </w:tc>
        <w:tc>
          <w:tcPr>
            <w:tcW w:w="2520" w:type="dxa"/>
          </w:tcPr>
          <w:p w14:paraId="44E3ADE0" w14:textId="36B656AC"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-0.398*</w:t>
            </w:r>
          </w:p>
        </w:tc>
        <w:tc>
          <w:tcPr>
            <w:tcW w:w="2880" w:type="dxa"/>
          </w:tcPr>
          <w:p w14:paraId="6D925299" w14:textId="139EFDA5"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-0.332*</w:t>
            </w:r>
          </w:p>
        </w:tc>
      </w:tr>
      <w:tr w:rsidR="006C56B0" w14:paraId="58A000A8" w14:textId="77777777" w:rsidTr="009E6DB7">
        <w:tc>
          <w:tcPr>
            <w:tcW w:w="3240" w:type="dxa"/>
          </w:tcPr>
          <w:p w14:paraId="57ED2E02" w14:textId="02E7E6CA" w:rsidR="006C56B0" w:rsidRDefault="00AA4F71">
            <w:pPr>
              <w:widowControl w:val="0"/>
              <w:autoSpaceDE w:val="0"/>
              <w:autoSpaceDN w:val="0"/>
              <w:adjustRightInd w:val="0"/>
              <w:jc w:val="right"/>
              <w:rPr>
                <w:rFonts w:ascii="Helvetica" w:hAnsi="Helvetica" w:cs="Helvetica"/>
              </w:rPr>
            </w:pPr>
            <w:r>
              <w:rPr>
                <w:rFonts w:ascii="Helvetica" w:hAnsi="Helvetica" w:cs="Helvetica"/>
              </w:rPr>
              <w:t xml:space="preserve">HFD - Relative Weight Gain </w:t>
            </w:r>
          </w:p>
        </w:tc>
        <w:tc>
          <w:tcPr>
            <w:tcW w:w="2520" w:type="dxa"/>
          </w:tcPr>
          <w:p w14:paraId="410AF5F7" w14:textId="6ECB5BDE"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-0.610*</w:t>
            </w:r>
          </w:p>
        </w:tc>
        <w:tc>
          <w:tcPr>
            <w:tcW w:w="2880" w:type="dxa"/>
          </w:tcPr>
          <w:p w14:paraId="5C8AEC81" w14:textId="140B5190"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-0.618*</w:t>
            </w:r>
          </w:p>
        </w:tc>
      </w:tr>
      <w:tr w:rsidR="006C56B0" w14:paraId="4DD58C27" w14:textId="77777777" w:rsidTr="009E6DB7">
        <w:tc>
          <w:tcPr>
            <w:tcW w:w="3240" w:type="dxa"/>
          </w:tcPr>
          <w:p w14:paraId="7127013B" w14:textId="1824F2AB" w:rsidR="006C56B0" w:rsidRDefault="006C56B0">
            <w:pPr>
              <w:widowControl w:val="0"/>
              <w:autoSpaceDE w:val="0"/>
              <w:autoSpaceDN w:val="0"/>
              <w:adjustRightInd w:val="0"/>
              <w:jc w:val="right"/>
              <w:rPr>
                <w:rFonts w:ascii="Helvetica" w:hAnsi="Helvetica" w:cs="Helvetica"/>
              </w:rPr>
            </w:pPr>
            <w:r>
              <w:rPr>
                <w:rFonts w:ascii="Helvetica" w:hAnsi="Helvetica" w:cs="Helvetica"/>
              </w:rPr>
              <w:t>CD - Abso</w:t>
            </w:r>
            <w:r w:rsidR="00AA4F71">
              <w:rPr>
                <w:rFonts w:ascii="Helvetica" w:hAnsi="Helvetica" w:cs="Helvetica"/>
              </w:rPr>
              <w:t xml:space="preserve">lute Weight Gain </w:t>
            </w:r>
          </w:p>
        </w:tc>
        <w:tc>
          <w:tcPr>
            <w:tcW w:w="2520" w:type="dxa"/>
          </w:tcPr>
          <w:p w14:paraId="00672129" w14:textId="4FD78F02"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-0.324</w:t>
            </w:r>
          </w:p>
        </w:tc>
        <w:tc>
          <w:tcPr>
            <w:tcW w:w="2880" w:type="dxa"/>
          </w:tcPr>
          <w:p w14:paraId="0F6FC497" w14:textId="4479E411" w:rsidR="006C56B0" w:rsidRDefault="006C56B0" w:rsidP="00AA4F71">
            <w:pPr>
              <w:widowControl w:val="0"/>
              <w:autoSpaceDE w:val="0"/>
              <w:autoSpaceDN w:val="0"/>
              <w:adjustRightInd w:val="0"/>
              <w:jc w:val="center"/>
              <w:rPr>
                <w:rFonts w:ascii="Helvetica" w:hAnsi="Helvetica" w:cs="Helvetica"/>
              </w:rPr>
            </w:pPr>
            <w:r>
              <w:rPr>
                <w:rFonts w:ascii="Helvetica" w:hAnsi="Helvetica" w:cs="Helvetica"/>
              </w:rPr>
              <w:t>-0.31</w:t>
            </w:r>
            <w:r w:rsidR="00AA4F71">
              <w:rPr>
                <w:rFonts w:ascii="Helvetica" w:hAnsi="Helvetica" w:cs="Helvetica"/>
              </w:rPr>
              <w:t>9</w:t>
            </w:r>
          </w:p>
        </w:tc>
      </w:tr>
      <w:tr w:rsidR="006C56B0" w14:paraId="0F2EF79E" w14:textId="77777777" w:rsidTr="009E6DB7">
        <w:tc>
          <w:tcPr>
            <w:tcW w:w="3240" w:type="dxa"/>
          </w:tcPr>
          <w:p w14:paraId="3F1B50FB" w14:textId="0378716D" w:rsidR="006C56B0" w:rsidRDefault="00AA4F71">
            <w:pPr>
              <w:widowControl w:val="0"/>
              <w:autoSpaceDE w:val="0"/>
              <w:autoSpaceDN w:val="0"/>
              <w:adjustRightInd w:val="0"/>
              <w:jc w:val="right"/>
              <w:rPr>
                <w:rFonts w:ascii="Helvetica" w:hAnsi="Helvetica" w:cs="Helvetica"/>
              </w:rPr>
            </w:pPr>
            <w:r>
              <w:rPr>
                <w:rFonts w:ascii="Helvetica" w:hAnsi="Helvetica" w:cs="Helvetica"/>
              </w:rPr>
              <w:t xml:space="preserve">CD - Relative Weight Gain </w:t>
            </w:r>
          </w:p>
        </w:tc>
        <w:tc>
          <w:tcPr>
            <w:tcW w:w="2520" w:type="dxa"/>
          </w:tcPr>
          <w:p w14:paraId="15FE8394" w14:textId="361502DF" w:rsidR="006C56B0" w:rsidRDefault="006C56B0" w:rsidP="00AA4F71">
            <w:pPr>
              <w:widowControl w:val="0"/>
              <w:autoSpaceDE w:val="0"/>
              <w:autoSpaceDN w:val="0"/>
              <w:adjustRightInd w:val="0"/>
              <w:jc w:val="center"/>
              <w:rPr>
                <w:rFonts w:ascii="Helvetica" w:hAnsi="Helvetica" w:cs="Helvetica"/>
              </w:rPr>
            </w:pPr>
            <w:r>
              <w:rPr>
                <w:rFonts w:ascii="Helvetica" w:hAnsi="Helvetica" w:cs="Helvetica"/>
              </w:rPr>
              <w:t>-0.33</w:t>
            </w:r>
            <w:r w:rsidR="00AA4F71">
              <w:rPr>
                <w:rFonts w:ascii="Helvetica" w:hAnsi="Helvetica" w:cs="Helvetica"/>
              </w:rPr>
              <w:t>5</w:t>
            </w:r>
          </w:p>
        </w:tc>
        <w:tc>
          <w:tcPr>
            <w:tcW w:w="2880" w:type="dxa"/>
          </w:tcPr>
          <w:p w14:paraId="600A88CD" w14:textId="507CDDD3"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-0.418*</w:t>
            </w:r>
          </w:p>
        </w:tc>
      </w:tr>
    </w:tbl>
    <w:p w14:paraId="27E608F8" w14:textId="2EA0C6A7" w:rsidR="00B50A5D" w:rsidRDefault="00B50A5D" w:rsidP="00B3527E">
      <w:pPr>
        <w:rPr>
          <w:b/>
        </w:rPr>
      </w:pPr>
    </w:p>
    <w:p w14:paraId="2BC2F382" w14:textId="22AF91B7" w:rsidR="0074124A" w:rsidRDefault="0074124A" w:rsidP="00B3527E">
      <w:pPr>
        <w:rPr>
          <w:b/>
        </w:rPr>
      </w:pPr>
      <w:r>
        <w:rPr>
          <w:b/>
        </w:rPr>
        <w:t>As these data show, the trend is quite consistent</w:t>
      </w:r>
      <w:r w:rsidR="00B50A5D">
        <w:rPr>
          <w:b/>
        </w:rPr>
        <w:t xml:space="preserve"> n</w:t>
      </w:r>
      <w:r w:rsidR="00FD214A">
        <w:rPr>
          <w:b/>
        </w:rPr>
        <w:t>o matter how the data is analyze</w:t>
      </w:r>
      <w:r w:rsidR="00B50A5D">
        <w:rPr>
          <w:b/>
        </w:rPr>
        <w:t>d.</w:t>
      </w:r>
      <w:r w:rsidR="00023A25">
        <w:rPr>
          <w:b/>
        </w:rPr>
        <w:t xml:space="preserve">  The description in the results section has now been clarified to read:</w:t>
      </w:r>
    </w:p>
    <w:p w14:paraId="3FCF2306" w14:textId="77777777" w:rsidR="00023A25" w:rsidRDefault="00023A25" w:rsidP="00B3527E">
      <w:pPr>
        <w:rPr>
          <w:b/>
        </w:rPr>
      </w:pPr>
    </w:p>
    <w:p w14:paraId="6F3F8DF2" w14:textId="40F5CD4C" w:rsidR="00023A25" w:rsidRPr="00023A25" w:rsidRDefault="00023A25" w:rsidP="00023A25">
      <w:pPr>
        <w:ind w:left="360"/>
        <w:rPr>
          <w:b/>
          <w:color w:val="FF0000"/>
        </w:rPr>
      </w:pPr>
      <w:r w:rsidRPr="00023A25">
        <w:rPr>
          <w:b/>
          <w:color w:val="FF0000"/>
        </w:rPr>
        <w:t xml:space="preserve">Both HFD and CD fed mice </w:t>
      </w:r>
      <w:r w:rsidR="00687B7A">
        <w:rPr>
          <w:b/>
          <w:color w:val="FF0000"/>
        </w:rPr>
        <w:t>exhibited</w:t>
      </w:r>
      <w:r w:rsidRPr="00023A25">
        <w:rPr>
          <w:b/>
          <w:color w:val="FF0000"/>
        </w:rPr>
        <w:t xml:space="preserve"> </w:t>
      </w:r>
      <w:r w:rsidR="00687B7A">
        <w:rPr>
          <w:b/>
          <w:color w:val="FF0000"/>
        </w:rPr>
        <w:t>less weight gain when the</w:t>
      </w:r>
      <w:r w:rsidRPr="00023A25">
        <w:rPr>
          <w:b/>
          <w:color w:val="FF0000"/>
        </w:rPr>
        <w:t xml:space="preserve"> pre-diet fasting response </w:t>
      </w:r>
      <w:r w:rsidR="00687B7A">
        <w:rPr>
          <w:b/>
          <w:color w:val="FF0000"/>
        </w:rPr>
        <w:t xml:space="preserve">was elevated </w:t>
      </w:r>
      <w:r w:rsidR="0090305D">
        <w:rPr>
          <w:b/>
          <w:color w:val="FF0000"/>
        </w:rPr>
        <w:t>(Figure 3</w:t>
      </w:r>
      <w:r w:rsidRPr="00023A25">
        <w:rPr>
          <w:b/>
          <w:color w:val="FF0000"/>
        </w:rPr>
        <w:t>).  We found a strong negative correlation between percent weight gain and relative fasting response (Rho=-0.61, Rho</w:t>
      </w:r>
      <w:r w:rsidRPr="00023A25">
        <w:rPr>
          <w:b/>
          <w:color w:val="FF0000"/>
          <w:vertAlign w:val="superscript"/>
        </w:rPr>
        <w:t>2</w:t>
      </w:r>
      <w:r w:rsidR="009E6DB7">
        <w:rPr>
          <w:b/>
          <w:color w:val="FF0000"/>
        </w:rPr>
        <w:t xml:space="preserve"> =0.37</w:t>
      </w:r>
      <w:r w:rsidRPr="00023A25">
        <w:rPr>
          <w:b/>
          <w:color w:val="FF0000"/>
        </w:rPr>
        <w:t>, p=6.6 x 10</w:t>
      </w:r>
      <w:r w:rsidRPr="00023A25">
        <w:rPr>
          <w:b/>
          <w:color w:val="FF0000"/>
          <w:vertAlign w:val="superscript"/>
        </w:rPr>
        <w:t>-6</w:t>
      </w:r>
      <w:r w:rsidRPr="00023A25">
        <w:rPr>
          <w:b/>
          <w:color w:val="FF0000"/>
        </w:rPr>
        <w:t>). For CD fed mice the same pattern was present, though the correlation did not quite reach stat</w:t>
      </w:r>
      <w:r w:rsidR="009E6DB7">
        <w:rPr>
          <w:b/>
          <w:color w:val="FF0000"/>
        </w:rPr>
        <w:t>istical significance (Rho=-0.33</w:t>
      </w:r>
      <w:r w:rsidRPr="00023A25">
        <w:rPr>
          <w:b/>
          <w:color w:val="FF0000"/>
        </w:rPr>
        <w:t>, Rho</w:t>
      </w:r>
      <w:r w:rsidRPr="00023A25">
        <w:rPr>
          <w:b/>
          <w:color w:val="FF0000"/>
          <w:vertAlign w:val="superscript"/>
        </w:rPr>
        <w:t>2</w:t>
      </w:r>
      <w:r w:rsidR="009E6DB7">
        <w:rPr>
          <w:b/>
          <w:color w:val="FF0000"/>
        </w:rPr>
        <w:t xml:space="preserve"> =0.11, p=0.054</w:t>
      </w:r>
      <w:r w:rsidRPr="00023A25">
        <w:rPr>
          <w:b/>
          <w:color w:val="FF0000"/>
        </w:rPr>
        <w:t xml:space="preserve">).  These trends also reached statistical significance for </w:t>
      </w:r>
      <w:r w:rsidR="005741FE">
        <w:rPr>
          <w:b/>
          <w:color w:val="FF0000"/>
        </w:rPr>
        <w:t xml:space="preserve">all </w:t>
      </w:r>
      <w:r w:rsidRPr="00023A25">
        <w:rPr>
          <w:b/>
          <w:color w:val="FF0000"/>
        </w:rPr>
        <w:t xml:space="preserve">the </w:t>
      </w:r>
      <w:r w:rsidR="005741FE">
        <w:rPr>
          <w:b/>
          <w:color w:val="FF0000"/>
        </w:rPr>
        <w:t>combinations tested</w:t>
      </w:r>
      <w:r w:rsidRPr="00023A25">
        <w:rPr>
          <w:b/>
          <w:color w:val="FF0000"/>
        </w:rPr>
        <w:t xml:space="preserve"> between both relative and absolute fasting responses and relative and absolute weight gain during HFD (p&lt;0.03 and Rho &lt; -0.33 for all comparisons). These data show that mice which resisted weight loss during the pre-diet 16 hour fast were far more susceptible to weight gain while on the experimental diet, and that this factor predicted weight gain much more comprehensively than hormonal factors, or pre-d</w:t>
      </w:r>
      <w:r w:rsidR="0090305D">
        <w:rPr>
          <w:b/>
          <w:color w:val="FF0000"/>
        </w:rPr>
        <w:t>iet weight (Table 2 and Figure 3</w:t>
      </w:r>
      <w:r w:rsidRPr="00023A25">
        <w:rPr>
          <w:b/>
          <w:color w:val="FF0000"/>
        </w:rPr>
        <w:t>).</w:t>
      </w:r>
      <w:r w:rsidRPr="00023A25">
        <w:rPr>
          <w:b/>
          <w:color w:val="FF0000"/>
        </w:rPr>
        <w:tab/>
      </w:r>
    </w:p>
    <w:p w14:paraId="1A70AA3C" w14:textId="77777777" w:rsidR="00023A25" w:rsidRPr="00B3527E" w:rsidRDefault="00023A25" w:rsidP="00B3527E">
      <w:pPr>
        <w:rPr>
          <w:b/>
        </w:rPr>
      </w:pPr>
    </w:p>
    <w:p w14:paraId="4CF0C7B1" w14:textId="77777777" w:rsidR="00B3527E" w:rsidRDefault="00B3527E" w:rsidP="00B3527E"/>
    <w:p w14:paraId="6F4A5645" w14:textId="77777777" w:rsidR="00FC2429" w:rsidRDefault="00FC2429" w:rsidP="00FC2429">
      <w:pPr>
        <w:pStyle w:val="ListParagraph"/>
        <w:numPr>
          <w:ilvl w:val="0"/>
          <w:numId w:val="2"/>
        </w:numPr>
      </w:pPr>
      <w:r>
        <w:t xml:space="preserve">Please be consistent with terminology </w:t>
      </w:r>
      <w:proofErr w:type="spellStart"/>
      <w:r>
        <w:t>utilising</w:t>
      </w:r>
      <w:proofErr w:type="spellEnd"/>
      <w:r>
        <w:t xml:space="preserve"> NCD or “chow”</w:t>
      </w:r>
    </w:p>
    <w:p w14:paraId="11DC8610" w14:textId="77777777" w:rsidR="00224DF8" w:rsidRDefault="00224DF8" w:rsidP="00224DF8">
      <w:pPr>
        <w:rPr>
          <w:b/>
        </w:rPr>
      </w:pPr>
    </w:p>
    <w:p w14:paraId="540FC3FE" w14:textId="77777777" w:rsidR="00224DF8" w:rsidRDefault="00224DF8" w:rsidP="00224DF8">
      <w:pPr>
        <w:rPr>
          <w:b/>
        </w:rPr>
      </w:pPr>
      <w:r>
        <w:rPr>
          <w:b/>
        </w:rPr>
        <w:t>NCD is now used throughout the manuscript when referring to the normal chow diet rather than “chow”.</w:t>
      </w:r>
    </w:p>
    <w:p w14:paraId="7BDEB93E" w14:textId="77777777" w:rsidR="00224DF8" w:rsidRPr="00224DF8" w:rsidRDefault="00224DF8" w:rsidP="00224DF8">
      <w:pPr>
        <w:rPr>
          <w:b/>
        </w:rPr>
      </w:pPr>
    </w:p>
    <w:p w14:paraId="2A7574CA" w14:textId="77777777" w:rsidR="00FC2429" w:rsidRDefault="00FC2429" w:rsidP="00FC2429">
      <w:pPr>
        <w:pStyle w:val="ListParagraph"/>
        <w:numPr>
          <w:ilvl w:val="0"/>
          <w:numId w:val="2"/>
        </w:numPr>
      </w:pPr>
      <w:r>
        <w:t xml:space="preserve">Why use “trend” to described the reduction in food intake, this P was &lt;0.05? </w:t>
      </w:r>
    </w:p>
    <w:p w14:paraId="5F73712A" w14:textId="77777777" w:rsidR="00F75FBF" w:rsidRDefault="00F75FBF" w:rsidP="00F75FBF"/>
    <w:p w14:paraId="2E4DED04" w14:textId="22CB2C80" w:rsidR="00F75FBF" w:rsidRDefault="00F75FBF" w:rsidP="00F75FBF">
      <w:pPr>
        <w:rPr>
          <w:b/>
        </w:rPr>
      </w:pPr>
      <w:r>
        <w:rPr>
          <w:b/>
        </w:rPr>
        <w:t>The word trend was removed.  The sentence now reads:</w:t>
      </w:r>
    </w:p>
    <w:p w14:paraId="5B067BE0" w14:textId="77777777" w:rsidR="00F75FBF" w:rsidRDefault="00F75FBF" w:rsidP="00F75FBF">
      <w:pPr>
        <w:rPr>
          <w:b/>
        </w:rPr>
      </w:pPr>
    </w:p>
    <w:p w14:paraId="594F6D4E" w14:textId="6B87D048" w:rsidR="00F75FBF" w:rsidRPr="00F75FBF" w:rsidRDefault="00F75FBF" w:rsidP="00F75FBF">
      <w:pPr>
        <w:ind w:left="360"/>
        <w:rPr>
          <w:b/>
          <w:color w:val="FF0000"/>
        </w:rPr>
      </w:pPr>
      <w:r w:rsidRPr="00F75FBF">
        <w:rPr>
          <w:b/>
          <w:color w:val="FF0000"/>
        </w:rPr>
        <w:t xml:space="preserve">We found that food intake on both a per gram basis (Supplementary Figure 1D, p=0.0033) and a caloric basis (Supplementary Figure 1E, p=0.0038) decreased </w:t>
      </w:r>
      <w:r w:rsidR="009E6DB7">
        <w:rPr>
          <w:b/>
          <w:color w:val="FF0000"/>
        </w:rPr>
        <w:t xml:space="preserve">over time </w:t>
      </w:r>
      <w:r w:rsidRPr="00F75FBF">
        <w:rPr>
          <w:b/>
          <w:color w:val="FF0000"/>
        </w:rPr>
        <w:t xml:space="preserve">even as the mice gained weight.  </w:t>
      </w:r>
    </w:p>
    <w:p w14:paraId="6776E218" w14:textId="77777777" w:rsidR="00F75FBF" w:rsidRPr="00F75FBF" w:rsidRDefault="00F75FBF" w:rsidP="00F75FBF">
      <w:pPr>
        <w:rPr>
          <w:b/>
        </w:rPr>
      </w:pPr>
    </w:p>
    <w:p w14:paraId="75897DFE" w14:textId="77777777" w:rsidR="003A791C" w:rsidRDefault="00FC2429" w:rsidP="00FC2429">
      <w:pPr>
        <w:pStyle w:val="ListParagraph"/>
        <w:numPr>
          <w:ilvl w:val="0"/>
          <w:numId w:val="2"/>
        </w:numPr>
      </w:pPr>
      <w:r>
        <w:t xml:space="preserve">Figure 3B doesn’t match the listed figure should be 1C and 1D? </w:t>
      </w:r>
    </w:p>
    <w:p w14:paraId="1DE093BA" w14:textId="77777777" w:rsidR="003A791C" w:rsidRDefault="003A791C" w:rsidP="003A791C"/>
    <w:p w14:paraId="1118E03F" w14:textId="587850D7" w:rsidR="003A791C" w:rsidRDefault="003A791C" w:rsidP="003A791C">
      <w:pPr>
        <w:rPr>
          <w:b/>
        </w:rPr>
      </w:pPr>
      <w:r>
        <w:rPr>
          <w:b/>
        </w:rPr>
        <w:t xml:space="preserve">This has been </w:t>
      </w:r>
      <w:proofErr w:type="gramStart"/>
      <w:r>
        <w:rPr>
          <w:b/>
        </w:rPr>
        <w:t>fixed,</w:t>
      </w:r>
      <w:proofErr w:type="gramEnd"/>
      <w:r>
        <w:rPr>
          <w:b/>
        </w:rPr>
        <w:t xml:space="preserve"> we thank the reviewer for noticing this error</w:t>
      </w:r>
      <w:r w:rsidR="005A7923">
        <w:rPr>
          <w:b/>
        </w:rPr>
        <w:t>.</w:t>
      </w:r>
    </w:p>
    <w:p w14:paraId="7857254F" w14:textId="3845CF87" w:rsidR="005A7923" w:rsidRPr="003A791C" w:rsidRDefault="005A7923" w:rsidP="003A791C">
      <w:pPr>
        <w:rPr>
          <w:b/>
        </w:rPr>
      </w:pPr>
    </w:p>
    <w:p w14:paraId="0EC2112C" w14:textId="77777777" w:rsidR="005A7923" w:rsidRDefault="00FC2429" w:rsidP="00FC2429">
      <w:pPr>
        <w:pStyle w:val="ListParagraph"/>
        <w:numPr>
          <w:ilvl w:val="0"/>
          <w:numId w:val="2"/>
        </w:numPr>
      </w:pPr>
      <w:proofErr w:type="gramStart"/>
      <w:r>
        <w:t>Figures 2 is</w:t>
      </w:r>
      <w:proofErr w:type="gramEnd"/>
      <w:r>
        <w:t xml:space="preserve"> not significant and could be removed. </w:t>
      </w:r>
    </w:p>
    <w:p w14:paraId="59AE9BC3" w14:textId="77777777" w:rsidR="00ED7494" w:rsidRDefault="00ED7494" w:rsidP="00ED7494"/>
    <w:p w14:paraId="1A790CFB" w14:textId="44644ECC" w:rsidR="00ED7494" w:rsidRPr="00ED7494" w:rsidRDefault="00ED7494" w:rsidP="00ED7494">
      <w:pPr>
        <w:rPr>
          <w:b/>
        </w:rPr>
      </w:pPr>
      <w:r>
        <w:rPr>
          <w:b/>
        </w:rPr>
        <w:t xml:space="preserve">Figure 2 (now Figure 1) is important even though there were no significant differences detected.  Of course, the absence of proof is not proof of an absence, but these results, as well as those in Table 2 rule out some common possibilities of predictors of weight gain.  We feel it is </w:t>
      </w:r>
      <w:r w:rsidR="009E6DB7">
        <w:rPr>
          <w:b/>
        </w:rPr>
        <w:t>helpful</w:t>
      </w:r>
      <w:r>
        <w:rPr>
          <w:b/>
        </w:rPr>
        <w:t xml:space="preserve"> that these negative data are reported.</w:t>
      </w:r>
      <w:r w:rsidR="009E6DB7">
        <w:rPr>
          <w:b/>
        </w:rPr>
        <w:t xml:space="preserve">  </w:t>
      </w:r>
    </w:p>
    <w:p w14:paraId="596301B8" w14:textId="77777777" w:rsidR="005A7923" w:rsidRDefault="005A7923" w:rsidP="005A7923">
      <w:pPr>
        <w:pStyle w:val="ListParagraph"/>
        <w:ind w:left="360"/>
      </w:pPr>
    </w:p>
    <w:p w14:paraId="4645E149" w14:textId="77777777" w:rsidR="005A7923" w:rsidRDefault="00FC2429" w:rsidP="00FC2429">
      <w:pPr>
        <w:pStyle w:val="ListParagraph"/>
        <w:numPr>
          <w:ilvl w:val="0"/>
          <w:numId w:val="2"/>
        </w:numPr>
      </w:pPr>
      <w:r>
        <w:t xml:space="preserve">Why were NCD not included on Figure 4? </w:t>
      </w:r>
    </w:p>
    <w:p w14:paraId="5F8A528D" w14:textId="77777777" w:rsidR="007840C4" w:rsidRDefault="007840C4" w:rsidP="007840C4"/>
    <w:p w14:paraId="61D26570" w14:textId="0CE8A95F" w:rsidR="007840C4" w:rsidRDefault="007840C4" w:rsidP="007840C4">
      <w:pPr>
        <w:rPr>
          <w:b/>
        </w:rPr>
      </w:pPr>
      <w:r w:rsidRPr="00D538A4">
        <w:rPr>
          <w:b/>
        </w:rPr>
        <w:t>As noted in Suppl</w:t>
      </w:r>
      <w:r w:rsidR="00D538A4">
        <w:rPr>
          <w:b/>
        </w:rPr>
        <w:t>ementary Figure 1 and Figure 3</w:t>
      </w:r>
      <w:r w:rsidRPr="00D538A4">
        <w:rPr>
          <w:b/>
        </w:rPr>
        <w:t xml:space="preserve"> there are dramatic differences in the weight gain and feeding responses in NCD fed animals compared to CD fed animals.  This is likely due to the different nature of the ingredients (grain for chow, chemically defined ingredients for CD/HFD).  We therefore decided that it would be difficult to interpret fasting</w:t>
      </w:r>
      <w:r w:rsidR="00D538A4" w:rsidRPr="00D538A4">
        <w:rPr>
          <w:b/>
        </w:rPr>
        <w:t xml:space="preserve"> responses in this system, and that the appropriate control for HFD was the CD.</w:t>
      </w:r>
      <w:r w:rsidR="00D538A4">
        <w:rPr>
          <w:b/>
        </w:rPr>
        <w:t xml:space="preserve">  We therefore did not perform these studies using animals kept on chow throughout.  This is explicated in the results section as such:</w:t>
      </w:r>
    </w:p>
    <w:p w14:paraId="7A27878C" w14:textId="77777777" w:rsidR="00D538A4" w:rsidRDefault="00D538A4" w:rsidP="007840C4">
      <w:pPr>
        <w:rPr>
          <w:b/>
        </w:rPr>
      </w:pPr>
    </w:p>
    <w:p w14:paraId="51E1CB0B" w14:textId="139FD76D" w:rsidR="00D538A4" w:rsidRPr="00D538A4" w:rsidRDefault="00D538A4" w:rsidP="00D538A4">
      <w:pPr>
        <w:ind w:left="360"/>
        <w:rPr>
          <w:b/>
        </w:rPr>
      </w:pPr>
      <w:r w:rsidRPr="00D538A4">
        <w:rPr>
          <w:b/>
          <w:color w:val="FF0000"/>
        </w:rPr>
        <w:t>Due to the dramatically different fasting responses observed in NCD mice com</w:t>
      </w:r>
      <w:r w:rsidR="0090305D">
        <w:rPr>
          <w:b/>
          <w:color w:val="FF0000"/>
        </w:rPr>
        <w:t>pared with CD mice (See Figure 2</w:t>
      </w:r>
      <w:r w:rsidRPr="00D538A4">
        <w:rPr>
          <w:b/>
          <w:color w:val="FF0000"/>
        </w:rPr>
        <w:t xml:space="preserve">C and E) we only </w:t>
      </w:r>
      <w:r>
        <w:rPr>
          <w:b/>
          <w:color w:val="FF0000"/>
        </w:rPr>
        <w:t>performed</w:t>
      </w:r>
      <w:r w:rsidRPr="00D538A4">
        <w:rPr>
          <w:b/>
          <w:color w:val="FF0000"/>
        </w:rPr>
        <w:t xml:space="preserve"> these studies comparing the more chemically comparable CD and HFD diets</w:t>
      </w:r>
      <w:r>
        <w:t>.</w:t>
      </w:r>
    </w:p>
    <w:p w14:paraId="3E224C15" w14:textId="77777777" w:rsidR="005A7923" w:rsidRDefault="005A7923" w:rsidP="005A7923"/>
    <w:p w14:paraId="44CD8D28" w14:textId="77777777" w:rsidR="005A7923" w:rsidRDefault="005A7923" w:rsidP="005A7923"/>
    <w:p w14:paraId="770E2732" w14:textId="01E08783" w:rsidR="00FC2429" w:rsidRDefault="00FC2429" w:rsidP="00FC2429">
      <w:pPr>
        <w:pStyle w:val="ListParagraph"/>
        <w:numPr>
          <w:ilvl w:val="0"/>
          <w:numId w:val="2"/>
        </w:numPr>
      </w:pPr>
      <w:r>
        <w:t>Data is not split in SFig2 for hormone/diet differences but is stated in the results section. Please include or remove entirely.</w:t>
      </w:r>
    </w:p>
    <w:p w14:paraId="6BE0730F" w14:textId="77777777" w:rsidR="00B775C2" w:rsidRDefault="00B775C2" w:rsidP="00B775C2"/>
    <w:p w14:paraId="27ECAB78" w14:textId="4E81745F" w:rsidR="00B775C2" w:rsidRDefault="00B775C2" w:rsidP="00B775C2">
      <w:pPr>
        <w:rPr>
          <w:b/>
        </w:rPr>
      </w:pPr>
      <w:r>
        <w:rPr>
          <w:b/>
        </w:rPr>
        <w:t xml:space="preserve">Supplementary figure 2 now clearly indicates which diet/feeding status changes were statistically significant.  We have clarified the meaning of the asterisks in the </w:t>
      </w:r>
      <w:r w:rsidR="00B879CE">
        <w:rPr>
          <w:b/>
        </w:rPr>
        <w:t>figure legend.</w:t>
      </w:r>
      <w:r w:rsidR="00EB52D2">
        <w:rPr>
          <w:b/>
        </w:rPr>
        <w:t xml:space="preserve">  We have also added more details regarding</w:t>
      </w:r>
      <w:r w:rsidR="00695369">
        <w:rPr>
          <w:b/>
        </w:rPr>
        <w:t xml:space="preserve"> these hormonal changes being c</w:t>
      </w:r>
      <w:r w:rsidR="0065339D">
        <w:rPr>
          <w:b/>
        </w:rPr>
        <w:t>onsistent with previous reports, and for which changes we observed statistically significant differences:</w:t>
      </w:r>
    </w:p>
    <w:p w14:paraId="575A31CF" w14:textId="77777777" w:rsidR="0065339D" w:rsidRDefault="0065339D" w:rsidP="00B775C2">
      <w:pPr>
        <w:rPr>
          <w:b/>
        </w:rPr>
      </w:pPr>
    </w:p>
    <w:p w14:paraId="3A35AF1C" w14:textId="12DEB295" w:rsidR="0065339D" w:rsidRPr="0065339D" w:rsidRDefault="0065339D" w:rsidP="00774DDD">
      <w:pPr>
        <w:ind w:left="360"/>
        <w:rPr>
          <w:b/>
          <w:color w:val="FF0000"/>
        </w:rPr>
      </w:pPr>
      <w:r w:rsidRPr="0065339D">
        <w:rPr>
          <w:b/>
          <w:color w:val="FF0000"/>
        </w:rPr>
        <w:t>Significant differences of were detected between several hormones (</w:t>
      </w:r>
      <w:proofErr w:type="spellStart"/>
      <w:r w:rsidRPr="0065339D">
        <w:rPr>
          <w:b/>
          <w:color w:val="FF0000"/>
        </w:rPr>
        <w:t>resistin</w:t>
      </w:r>
      <w:proofErr w:type="spellEnd"/>
      <w:r w:rsidRPr="0065339D">
        <w:rPr>
          <w:b/>
          <w:color w:val="FF0000"/>
        </w:rPr>
        <w:t xml:space="preserve">, total ghrelin, GLP-1 and </w:t>
      </w:r>
      <w:proofErr w:type="spellStart"/>
      <w:r w:rsidRPr="0065339D">
        <w:rPr>
          <w:b/>
          <w:color w:val="FF0000"/>
        </w:rPr>
        <w:t>leptin</w:t>
      </w:r>
      <w:proofErr w:type="spellEnd"/>
      <w:r w:rsidRPr="0065339D">
        <w:rPr>
          <w:b/>
          <w:color w:val="FF0000"/>
        </w:rPr>
        <w:t xml:space="preserve">) as well as fasting glucose levels between these diets.  These are consistent with previous reports of HFD induced changes relative to NCD diets for </w:t>
      </w:r>
      <w:proofErr w:type="spellStart"/>
      <w:r w:rsidRPr="0065339D">
        <w:rPr>
          <w:b/>
          <w:color w:val="FF0000"/>
        </w:rPr>
        <w:t>resistin</w:t>
      </w:r>
      <w:proofErr w:type="spellEnd"/>
      <w:r w:rsidRPr="0065339D">
        <w:rPr>
          <w:b/>
          <w:color w:val="FF0000"/>
        </w:rPr>
        <w:t xml:space="preserve"> and </w:t>
      </w:r>
      <w:proofErr w:type="spellStart"/>
      <w:r w:rsidRPr="0065339D">
        <w:rPr>
          <w:b/>
          <w:color w:val="FF0000"/>
        </w:rPr>
        <w:t>leptin</w:t>
      </w:r>
      <w:proofErr w:type="spellEnd"/>
      <w:r w:rsidRPr="0065339D">
        <w:rPr>
          <w:b/>
          <w:color w:val="FF0000"/>
        </w:rPr>
        <w:t xml:space="preserve"> </w:t>
      </w:r>
      <w:r w:rsidRPr="0065339D">
        <w:rPr>
          <w:b/>
          <w:color w:val="FF0000"/>
        </w:rPr>
        <w:fldChar w:fldCharType="begin" w:fldLock="1"/>
      </w:r>
      <w:r w:rsidR="00FF28F4">
        <w:rPr>
          <w:b/>
          <w:color w:val="FF0000"/>
        </w:rPr>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"[21, 22]" }, "properties" : { "noteIndex" : 0 }, "schema" : "https://github.com/citation-style-language/schema/raw/master/csl-citation.json" }</w:instrText>
      </w:r>
      <w:r w:rsidRPr="0065339D">
        <w:rPr>
          <w:b/>
          <w:color w:val="FF0000"/>
        </w:rPr>
        <w:fldChar w:fldCharType="separate"/>
      </w:r>
      <w:r w:rsidR="00FF28F4" w:rsidRPr="00FF28F4">
        <w:rPr>
          <w:noProof/>
          <w:color w:val="FF0000"/>
        </w:rPr>
        <w:t>[21, 22]</w:t>
      </w:r>
      <w:r w:rsidRPr="0065339D">
        <w:rPr>
          <w:b/>
          <w:color w:val="FF0000"/>
        </w:rPr>
        <w:fldChar w:fldCharType="end"/>
      </w:r>
      <w:r w:rsidRPr="0065339D">
        <w:rPr>
          <w:b/>
          <w:color w:val="FF0000"/>
        </w:rPr>
        <w:t>.</w:t>
      </w:r>
    </w:p>
    <w:p w14:paraId="7502A3BE" w14:textId="77777777" w:rsidR="00FC2429" w:rsidRDefault="00FC2429" w:rsidP="00FC2429"/>
    <w:p w14:paraId="0150B686" w14:textId="77777777" w:rsidR="00FC2429" w:rsidRDefault="00FC2429" w:rsidP="00FC2429"/>
    <w:p w14:paraId="450E6BFC" w14:textId="77777777" w:rsidR="00AB000C" w:rsidRDefault="00AB000C" w:rsidP="0065339D">
      <w:pPr>
        <w:pStyle w:val="Heading2"/>
      </w:pPr>
    </w:p>
    <w:p w14:paraId="1076E7F5" w14:textId="77777777" w:rsidR="00FC2429" w:rsidRDefault="00FC2429" w:rsidP="0065339D">
      <w:pPr>
        <w:pStyle w:val="Heading2"/>
      </w:pPr>
      <w:r w:rsidRPr="0065339D">
        <w:t>Reviewer 2</w:t>
      </w:r>
    </w:p>
    <w:p w14:paraId="3CAD5B1A" w14:textId="77777777" w:rsidR="00FC2429" w:rsidRDefault="00FC2429" w:rsidP="00FC2429"/>
    <w:p w14:paraId="618CC328" w14:textId="77777777" w:rsidR="00FC2429" w:rsidRDefault="00FC2429" w:rsidP="00FC2429">
      <w:r>
        <w:t>In this manuscript the authors have described the physiological effects of dietary manipulation in a common inbred strain of laboratory mice. The aim of this study was to control the genetic background, environment and diet of these laboratory animals as closely as possible in order to assess the amount of variability that is not due to genetic differences. Although this work is compare different genetic mouse, the data presented are not novel and some results are not consistent with the conclusive statements of the Authors.</w:t>
      </w:r>
    </w:p>
    <w:p w14:paraId="13CFCBC3" w14:textId="77777777" w:rsidR="00F2593F" w:rsidRDefault="00F2593F" w:rsidP="00FC2429"/>
    <w:p w14:paraId="25C8BA27" w14:textId="5BCFCEE8" w:rsidR="00F2593F" w:rsidRPr="00F2593F" w:rsidRDefault="00F2593F" w:rsidP="00FC2429">
      <w:pPr>
        <w:rPr>
          <w:b/>
        </w:rPr>
      </w:pPr>
      <w:r>
        <w:rPr>
          <w:b/>
        </w:rPr>
        <w:t xml:space="preserve">Although, it was not specified which </w:t>
      </w:r>
      <w:r w:rsidR="00C0523D">
        <w:rPr>
          <w:b/>
        </w:rPr>
        <w:t>data</w:t>
      </w:r>
      <w:r>
        <w:rPr>
          <w:b/>
        </w:rPr>
        <w:t xml:space="preserve"> are </w:t>
      </w:r>
      <w:r w:rsidR="00C0523D">
        <w:rPr>
          <w:b/>
        </w:rPr>
        <w:t>problematic</w:t>
      </w:r>
      <w:r>
        <w:rPr>
          <w:b/>
        </w:rPr>
        <w:t xml:space="preserve">, we believe that these very likely overlap with some of the comments and clarifications suggested by reviewer #1.  This is especially true for reviewer 1’s comments 1, </w:t>
      </w:r>
      <w:r w:rsidR="009E6DB7">
        <w:rPr>
          <w:b/>
        </w:rPr>
        <w:t>7, 8 and 12</w:t>
      </w:r>
      <w:r w:rsidR="006F4BDF">
        <w:rPr>
          <w:b/>
        </w:rPr>
        <w:t>,</w:t>
      </w:r>
      <w:r>
        <w:rPr>
          <w:b/>
        </w:rPr>
        <w:t xml:space="preserve"> which we </w:t>
      </w:r>
      <w:r w:rsidR="00EA33F9">
        <w:rPr>
          <w:b/>
        </w:rPr>
        <w:t>have discussed in detail above.</w:t>
      </w:r>
    </w:p>
    <w:p w14:paraId="7027BB6E" w14:textId="77777777" w:rsidR="00FC2429" w:rsidRDefault="00FC2429" w:rsidP="00FC2429"/>
    <w:p w14:paraId="3F4E6C5D" w14:textId="19CD93A7" w:rsidR="004B4ED6" w:rsidRDefault="00FC2429" w:rsidP="00FC2429">
      <w:pPr>
        <w:rPr>
          <w:rStyle w:val="Hyperlink"/>
        </w:rPr>
      </w:pPr>
      <w:r>
        <w:t xml:space="preserve">I saw this paper published on </w:t>
      </w:r>
      <w:proofErr w:type="spellStart"/>
      <w:r>
        <w:t>biorxiv</w:t>
      </w:r>
      <w:proofErr w:type="spellEnd"/>
      <w:r>
        <w:t xml:space="preserve"> already. </w:t>
      </w:r>
      <w:hyperlink r:id="rId10" w:history="1">
        <w:r w:rsidR="00617CC1" w:rsidRPr="0028275F">
          <w:rPr>
            <w:rStyle w:val="Hyperlink"/>
          </w:rPr>
          <w:t>http://biorxiv.org/content/early/2014/04/23/004283</w:t>
        </w:r>
      </w:hyperlink>
    </w:p>
    <w:p w14:paraId="7FF078D6" w14:textId="77777777" w:rsidR="00EA33F9" w:rsidRDefault="00EA33F9" w:rsidP="00FC2429"/>
    <w:p w14:paraId="72955D4B" w14:textId="77777777" w:rsidR="00617CC1" w:rsidRDefault="00617CC1" w:rsidP="00FC2429"/>
    <w:p w14:paraId="6B048214" w14:textId="6A1C63CC" w:rsidR="0045263D" w:rsidRPr="0082040F" w:rsidRDefault="00EA33F9" w:rsidP="00FC2429">
      <w:pPr>
        <w:rPr>
          <w:b/>
        </w:rPr>
      </w:pPr>
      <w:r w:rsidRPr="0082040F">
        <w:rPr>
          <w:b/>
        </w:rPr>
        <w:t>With respect to the previous publication issue</w:t>
      </w:r>
      <w:r w:rsidR="0045263D" w:rsidRPr="0082040F">
        <w:rPr>
          <w:b/>
        </w:rPr>
        <w:t xml:space="preserve">, there is a quite simple explanation.  </w:t>
      </w:r>
      <w:proofErr w:type="spellStart"/>
      <w:r w:rsidR="0045263D" w:rsidRPr="0082040F">
        <w:rPr>
          <w:b/>
        </w:rPr>
        <w:t>Biorxiv</w:t>
      </w:r>
      <w:proofErr w:type="spellEnd"/>
      <w:r w:rsidR="0045263D" w:rsidRPr="0082040F">
        <w:rPr>
          <w:b/>
        </w:rPr>
        <w:t xml:space="preserve"> is a pre-print server where publications under </w:t>
      </w:r>
      <w:r w:rsidR="0082040F">
        <w:rPr>
          <w:b/>
        </w:rPr>
        <w:t xml:space="preserve">peer </w:t>
      </w:r>
      <w:r w:rsidR="0045263D" w:rsidRPr="0082040F">
        <w:rPr>
          <w:b/>
        </w:rPr>
        <w:t xml:space="preserve">review can be placed to get more broad feedback from the scientific community.  For example the comments listed in other changes were due to feedback on this public preprint.  This is an emerging publishing theme in biological sciences, but is quite common in mathematics and physics </w:t>
      </w:r>
      <w:r w:rsidR="0045263D" w:rsidRPr="0082040F">
        <w:rPr>
          <w:b/>
        </w:rPr>
        <w:fldChar w:fldCharType="begin" w:fldLock="1"/>
      </w:r>
      <w:r w:rsidR="00FF28F4">
        <w:rPr>
          <w:b/>
        </w:rPr>
        <w:instrText>ADDIN CSL_CITATION { "citationItems" : [ { "id" : "ITEM-1", "itemData" : { "DOI" : "10.1371/journal.pbio.1001563", "ISSN" : "1545-7885", "PMID" : "23690752", "author" : [ { "dropping-particle" : "", "family" : "Desjardins-Proulx", "given" : "Philippe", "non-dropping-particle" : "", "parse-names" : false, "suffix" : "" }, { "dropping-particle" : "", "family" : "White", "given" : "Ethan P", "non-dropping-particle" : "", "parse-names" : false, "suffix" : "" }, { "dropping-particle" : "", "family" : "Adamson", "given" : "Joel J", "non-dropping-particle" : "", "parse-names" : false, "suffix" : "" }, { "dropping-particle" : "", "family" : "Ram", "given" : "Karthik", "non-dropping-particle" : "", "parse-names" : false, "suffix" : "" }, { "dropping-particle" : "", "family" : "Poisot", "given" : "Timoth\u00e9e", "non-dropping-particle" : "", "parse-names" : false, "suffix" : "" }, { "dropping-particle" : "", "family" : "Gravel", "given" : "Dominique", "non-dropping-particle" : "", "parse-names" : false, "suffix" : "" } ], "container-title" : "PLoS biology", "id" : "ITEM-1", "issue" : "5", "issued" : { "date-parts" : [ [ "2013", "1" ] ] }, "page" : "e1001563", "title" : "The case for open preprints in biology.", "type" : "article-journal", "volume" : "11" }, "uris" : [ "http://www.mendeley.com/documents/?uuid=6c18a075-d43f-478b-a9a6-df11009692fd" ] } ], "mendeley" : { "previouslyFormattedCitation" : "[23]" }, "properties" : { "noteIndex" : 0 }, "schema" : "https://github.com/citation-style-language/schema/raw/master/csl-citation.json" }</w:instrText>
      </w:r>
      <w:r w:rsidR="0045263D" w:rsidRPr="0082040F">
        <w:rPr>
          <w:b/>
        </w:rPr>
        <w:fldChar w:fldCharType="separate"/>
      </w:r>
      <w:r w:rsidR="00FF28F4" w:rsidRPr="00FF28F4">
        <w:rPr>
          <w:noProof/>
        </w:rPr>
        <w:t>[23]</w:t>
      </w:r>
      <w:r w:rsidR="0045263D" w:rsidRPr="0082040F">
        <w:rPr>
          <w:b/>
        </w:rPr>
        <w:fldChar w:fldCharType="end"/>
      </w:r>
      <w:r w:rsidR="0045263D" w:rsidRPr="0082040F">
        <w:rPr>
          <w:b/>
        </w:rPr>
        <w:t xml:space="preserve">.  </w:t>
      </w:r>
      <w:r w:rsidR="000973AD">
        <w:rPr>
          <w:b/>
        </w:rPr>
        <w:t xml:space="preserve">Some </w:t>
      </w:r>
      <w:r w:rsidR="00E1186E">
        <w:rPr>
          <w:b/>
        </w:rPr>
        <w:t xml:space="preserve">recent </w:t>
      </w:r>
      <w:r w:rsidR="000973AD">
        <w:rPr>
          <w:b/>
        </w:rPr>
        <w:t xml:space="preserve">examples of articles which started as preprints and then were subsequently accepted for publication </w:t>
      </w:r>
      <w:r w:rsidR="00197D79">
        <w:rPr>
          <w:b/>
        </w:rPr>
        <w:t xml:space="preserve">in high impact journals </w:t>
      </w:r>
      <w:r w:rsidR="000973AD" w:rsidRPr="00197D79">
        <w:rPr>
          <w:b/>
        </w:rPr>
        <w:t>include</w:t>
      </w:r>
      <w:r w:rsidR="00197D79" w:rsidRPr="00197D79">
        <w:rPr>
          <w:b/>
        </w:rPr>
        <w:t xml:space="preserve"> </w:t>
      </w:r>
      <w:r w:rsidR="00197D79" w:rsidRPr="00197D79">
        <w:rPr>
          <w:b/>
        </w:rPr>
        <w:fldChar w:fldCharType="begin" w:fldLock="1"/>
      </w:r>
      <w:r w:rsidR="00FF28F4">
        <w:rPr>
          <w:b/>
        </w:rPr>
        <w:instrText>ADDIN CSL_CITATION { "citationItems" : [ { "id" : "ITEM-1", "itemData" : { "DOI" : "10.1371/journal.pgen.1004293", "ISSN" : "1553-7404", "PMID" : "24762628", "abstract" : "Temperature affects both the timing and outcome of animal development, but the detailed effects of temperature on the progress of early development have been poorly characterized. To determine the impact of temperature on the order and timing of events during Drosophila melanogaster embryogenesis, we used time-lapse imaging to track the progress of embryos from shortly after egg laying through hatching at seven precisely maintained temperatures between 17.5 \u00b0C and 32.5 \u00b0C. We employed a combination of automated and manual annotation to determine when 36 milestones occurred in each embryo. D. melanogaster embryogenesis takes [Formula: see text]33 hours at 17.5 \u00b0C, and accelerates with increasing temperature to a low of 16 hours at 27.5 \u00b0C, above which embryogenesis slows slightly. Remarkably, while the total time of embryogenesis varies over two fold, the relative timing of events from cellularization through hatching is constant across temperatures. To further explore the relationship between temperature and embryogenesis, we expanded our analysis to cover ten additional Drosophila species of varying climatic origins. Six of these species, like D. melanogaster, are of tropical origin, and embryogenesis time at different temperatures was similar for them all. D. mojavensis, a sub-tropical fly, develops slower than the tropical species at lower temperatures, while D. virilis, a temperate fly, exhibits slower development at all temperatures. The alpine sister species D. persimilis and D. pseudoobscura develop as rapidly as tropical flies at cooler temperatures, but exhibit diminished acceleration above 22.5 \u00b0C and have drastically slowed development by 30 \u00b0C. Despite ranging from 13 hours for D. erecta at 30 \u00b0C to 46 hours for D. virilis at 17.5 \u00b0C, the relative timing of events from cellularization through hatching is constant across all species and temperatures examined here, suggesting the existence of a previously unrecognized timer controlling the progress of embryogenesis that has been tuned by natural selection as each species diverges.", "author" : [ { "dropping-particle" : "", "family" : "Kuntz", "given" : "Steven G", "non-dropping-particle" : "", "parse-names" : false, "suffix" : "" }, { "dropping-particle" : "", "family" : "Eisen", "given" : "Michael B", "non-dropping-particle" : "", "parse-names" : false, "suffix" : "" } ], "container-title" : "PLoS genetics", "id" : "ITEM-1", "issue" : "4", "issued" : { "date-parts" : [ [ "2014", "4" ] ] }, "page" : "e1004293", "title" : "Drosophila embryogenesis scales uniformly across temperature in developmentally diverse species.", "type" : "article-journal", "volume" : "10" }, "uris" : [ "http://www.mendeley.com/documents/?uuid=2fcf0b64-6455-48d7-8f75-106badacaeb8" ] }, { "id" : "ITEM-2",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"ITEM-2", "issue" : "7436", "issued" : { "date-parts" : [ [ "2013", "2", "14" ] ] }, "page" : "234-7", "title" : "Finding the sources of missing heritability in a yeast cross.", "type" : "article-journal", "volume" : "494" }, "uris" : [ "http://www.mendeley.com/documents/?uuid=3086d26c-045d-47fd-8f4d-96a2f41a1b62" ] } ], "mendeley" : { "previouslyFormattedCitation" : "[24, 25]" }, "properties" : { "noteIndex" : 0 }, "schema" : "https://github.com/citation-style-language/schema/raw/master/csl-citation.json" }</w:instrText>
      </w:r>
      <w:r w:rsidR="00197D79" w:rsidRPr="00197D79">
        <w:rPr>
          <w:b/>
        </w:rPr>
        <w:fldChar w:fldCharType="separate"/>
      </w:r>
      <w:r w:rsidR="00FF28F4" w:rsidRPr="00FF28F4">
        <w:rPr>
          <w:noProof/>
        </w:rPr>
        <w:t>[24, 25]</w:t>
      </w:r>
      <w:r w:rsidR="00197D79" w:rsidRPr="00197D79">
        <w:rPr>
          <w:b/>
        </w:rPr>
        <w:fldChar w:fldCharType="end"/>
      </w:r>
      <w:r w:rsidR="00E1186E">
        <w:rPr>
          <w:b/>
        </w:rPr>
        <w:t>.</w:t>
      </w:r>
    </w:p>
    <w:p w14:paraId="23645AEF" w14:textId="77777777" w:rsidR="0045263D" w:rsidRPr="0082040F" w:rsidRDefault="0045263D" w:rsidP="00FC2429">
      <w:pPr>
        <w:rPr>
          <w:b/>
        </w:rPr>
      </w:pPr>
    </w:p>
    <w:p w14:paraId="7EA63BAA" w14:textId="080D830C" w:rsidR="00617CC1" w:rsidRPr="0082040F" w:rsidRDefault="0045263D" w:rsidP="00FC2429">
      <w:pPr>
        <w:rPr>
          <w:b/>
        </w:rPr>
      </w:pPr>
      <w:r w:rsidRPr="0082040F">
        <w:rPr>
          <w:b/>
        </w:rPr>
        <w:t>Based on data obtained from the SHERPA/</w:t>
      </w:r>
      <w:proofErr w:type="spellStart"/>
      <w:r w:rsidRPr="0082040F">
        <w:rPr>
          <w:b/>
        </w:rPr>
        <w:t>RoMEO</w:t>
      </w:r>
      <w:proofErr w:type="spellEnd"/>
      <w:r w:rsidRPr="0082040F">
        <w:rPr>
          <w:b/>
        </w:rPr>
        <w:t xml:space="preserve"> database (</w:t>
      </w:r>
      <w:hyperlink r:id="rId11" w:history="1">
        <w:r w:rsidRPr="0082040F">
          <w:rPr>
            <w:rStyle w:val="Hyperlink"/>
            <w:b/>
          </w:rPr>
          <w:t>http://www.sherpa.ac.uk/romeo/issn/2090-0708/</w:t>
        </w:r>
      </w:hyperlink>
      <w:r w:rsidRPr="0082040F">
        <w:rPr>
          <w:b/>
        </w:rPr>
        <w:t>) the Journal of Obesity allows posting of pre-prints.   This pre</w:t>
      </w:r>
      <w:r w:rsidR="00D851E3">
        <w:rPr>
          <w:b/>
        </w:rPr>
        <w:t>-</w:t>
      </w:r>
      <w:r w:rsidRPr="0082040F">
        <w:rPr>
          <w:b/>
        </w:rPr>
        <w:t>print is identical to the submitted version, and will be updated with this revised version</w:t>
      </w:r>
      <w:r w:rsidR="00D851E3">
        <w:rPr>
          <w:b/>
        </w:rPr>
        <w:t>(s)</w:t>
      </w:r>
      <w:r w:rsidRPr="0082040F">
        <w:rPr>
          <w:b/>
        </w:rPr>
        <w:t>.  Upon acceptance of this manuscript, there will be a link to the official JOBE article indicating that the finished version of the manuscript is present there.  This is not therefore a duplicate publication, but rather an attempt to engage</w:t>
      </w:r>
      <w:r w:rsidR="0082040F" w:rsidRPr="0082040F">
        <w:rPr>
          <w:b/>
        </w:rPr>
        <w:t xml:space="preserve"> in a less canonical model of publication and review.</w:t>
      </w:r>
    </w:p>
    <w:p w14:paraId="4A4BEC55" w14:textId="5DB65138" w:rsidR="00617CC1" w:rsidRDefault="00617CC1" w:rsidP="0065339D">
      <w:pPr>
        <w:pStyle w:val="Heading2"/>
      </w:pPr>
      <w:r>
        <w:t>Other Changes</w:t>
      </w:r>
    </w:p>
    <w:p w14:paraId="3656B11A" w14:textId="06DA048F" w:rsidR="00617CC1" w:rsidRPr="00D966C7" w:rsidRDefault="00617CC1" w:rsidP="00617CC1">
      <w:pPr>
        <w:pStyle w:val="ListParagraph"/>
        <w:numPr>
          <w:ilvl w:val="0"/>
          <w:numId w:val="3"/>
        </w:numPr>
        <w:rPr>
          <w:b/>
        </w:rPr>
      </w:pPr>
      <w:r w:rsidRPr="00D966C7">
        <w:rPr>
          <w:b/>
        </w:rPr>
        <w:t xml:space="preserve">Based on a suggestion of someone who read the article on </w:t>
      </w:r>
      <w:proofErr w:type="spellStart"/>
      <w:r w:rsidRPr="00D966C7">
        <w:rPr>
          <w:b/>
        </w:rPr>
        <w:t>biorxiv</w:t>
      </w:r>
      <w:proofErr w:type="spellEnd"/>
      <w:r w:rsidRPr="00D966C7">
        <w:rPr>
          <w:b/>
        </w:rPr>
        <w:t xml:space="preserve">, we tested the assumption that the pre-diet hormones and </w:t>
      </w:r>
      <w:r w:rsidR="0012536A" w:rsidRPr="00D966C7">
        <w:rPr>
          <w:b/>
        </w:rPr>
        <w:t>body weight gain (both absolute and percent) fit a normal distribution.  We did this via a Shapiro-</w:t>
      </w:r>
      <w:proofErr w:type="spellStart"/>
      <w:r w:rsidR="0012536A" w:rsidRPr="00D966C7">
        <w:rPr>
          <w:b/>
        </w:rPr>
        <w:t>Wilk</w:t>
      </w:r>
      <w:proofErr w:type="spellEnd"/>
      <w:r w:rsidR="0012536A" w:rsidRPr="00D966C7">
        <w:rPr>
          <w:b/>
        </w:rPr>
        <w:t xml:space="preserve"> test, and determined that the data were not normally distributed.  Therefore rather than use Pearson’s R to calculate correlations we used Spearman’s Rank Order test, which does not </w:t>
      </w:r>
      <w:r w:rsidR="0012536A" w:rsidRPr="00D966C7">
        <w:rPr>
          <w:b/>
        </w:rPr>
        <w:lastRenderedPageBreak/>
        <w:t xml:space="preserve">presume normality between covariates.  This </w:t>
      </w:r>
      <w:r w:rsidR="00D51751" w:rsidRPr="00D966C7">
        <w:rPr>
          <w:b/>
        </w:rPr>
        <w:t>alters</w:t>
      </w:r>
      <w:r w:rsidR="0012536A" w:rsidRPr="00D966C7">
        <w:rPr>
          <w:b/>
        </w:rPr>
        <w:t xml:space="preserve"> the values in Table 2, </w:t>
      </w:r>
      <w:r w:rsidR="00D966C7">
        <w:rPr>
          <w:b/>
        </w:rPr>
        <w:t>and in the descriptions of Figure</w:t>
      </w:r>
      <w:r w:rsidR="00C3790F">
        <w:rPr>
          <w:b/>
        </w:rPr>
        <w:t>s</w:t>
      </w:r>
      <w:r w:rsidR="0090305D">
        <w:rPr>
          <w:b/>
        </w:rPr>
        <w:t xml:space="preserve"> </w:t>
      </w:r>
      <w:r w:rsidR="00942102">
        <w:rPr>
          <w:b/>
        </w:rPr>
        <w:t xml:space="preserve">1, </w:t>
      </w:r>
      <w:r w:rsidR="0090305D">
        <w:rPr>
          <w:b/>
        </w:rPr>
        <w:t xml:space="preserve">2 and 3 (formerly </w:t>
      </w:r>
      <w:r w:rsidR="00942102">
        <w:rPr>
          <w:b/>
        </w:rPr>
        <w:t xml:space="preserve">2, </w:t>
      </w:r>
      <w:r w:rsidR="0090305D">
        <w:rPr>
          <w:b/>
        </w:rPr>
        <w:t>3 and 4)</w:t>
      </w:r>
      <w:r w:rsidR="00C3790F">
        <w:rPr>
          <w:b/>
        </w:rPr>
        <w:t xml:space="preserve">.  These changes are described </w:t>
      </w:r>
      <w:r w:rsidR="0012536A" w:rsidRPr="00D966C7">
        <w:rPr>
          <w:b/>
        </w:rPr>
        <w:t>in the methods section:</w:t>
      </w:r>
    </w:p>
    <w:p w14:paraId="36A7DC2D" w14:textId="77777777" w:rsidR="0012536A" w:rsidRDefault="0012536A" w:rsidP="0012536A">
      <w:pPr>
        <w:pStyle w:val="ListParagraph"/>
      </w:pPr>
    </w:p>
    <w:p w14:paraId="332DB4CD" w14:textId="411ECEC7" w:rsidR="00594BC2" w:rsidRDefault="004810A3" w:rsidP="00594BC2">
      <w:pPr>
        <w:rPr>
          <w:b/>
          <w:color w:val="FF0000"/>
        </w:rPr>
      </w:pPr>
      <w:r w:rsidRPr="004810A3">
        <w:rPr>
          <w:b/>
          <w:color w:val="FF0000"/>
        </w:rPr>
        <w:t>Correlations we</w:t>
      </w:r>
      <w:r w:rsidR="009E6DB7">
        <w:rPr>
          <w:b/>
          <w:color w:val="FF0000"/>
        </w:rPr>
        <w:t>re determined using Spearman’s R</w:t>
      </w:r>
      <w:r w:rsidRPr="004810A3">
        <w:rPr>
          <w:b/>
          <w:color w:val="FF0000"/>
        </w:rPr>
        <w:t>ho after testing whether the covariates were normally distributed (Shapiro-</w:t>
      </w:r>
      <w:proofErr w:type="spellStart"/>
      <w:r w:rsidRPr="004810A3">
        <w:rPr>
          <w:b/>
          <w:color w:val="FF0000"/>
        </w:rPr>
        <w:t>Wilk</w:t>
      </w:r>
      <w:proofErr w:type="spellEnd"/>
      <w:r w:rsidRPr="004810A3">
        <w:rPr>
          <w:b/>
          <w:color w:val="FF0000"/>
        </w:rPr>
        <w:t xml:space="preserve"> test p&lt;0.05).  </w:t>
      </w:r>
    </w:p>
    <w:p w14:paraId="49990D25" w14:textId="77777777" w:rsidR="00AA62A6" w:rsidRDefault="00AA62A6" w:rsidP="00594BC2">
      <w:pPr>
        <w:rPr>
          <w:b/>
          <w:color w:val="FF0000"/>
        </w:rPr>
      </w:pPr>
    </w:p>
    <w:p w14:paraId="0F9A1D3C" w14:textId="390E1951" w:rsidR="00AA62A6" w:rsidRPr="00AA62A6" w:rsidRDefault="00AA62A6" w:rsidP="00AA62A6">
      <w:pPr>
        <w:pStyle w:val="ListParagraph"/>
        <w:numPr>
          <w:ilvl w:val="0"/>
          <w:numId w:val="3"/>
        </w:numPr>
        <w:rPr>
          <w:b/>
        </w:rPr>
      </w:pPr>
      <w:r w:rsidRPr="00AA62A6">
        <w:rPr>
          <w:b/>
        </w:rPr>
        <w:t>Another colleague pointed out that we observe the negative correlation between fasting responses and weight gain for both diets, indicating that this is potentially an epiphenomena rather than a diet-specific effect.  We brought up this point in the discussion:</w:t>
      </w:r>
    </w:p>
    <w:p w14:paraId="5B893048" w14:textId="77777777" w:rsidR="00AA62A6" w:rsidRDefault="00AA62A6" w:rsidP="00AA62A6"/>
    <w:p w14:paraId="468D745F" w14:textId="17B6723B" w:rsidR="00AA62A6" w:rsidRDefault="00AA62A6" w:rsidP="00AA62A6">
      <w:pPr>
        <w:rPr>
          <w:b/>
          <w:color w:val="FF0000"/>
        </w:rPr>
      </w:pPr>
      <w:r w:rsidRPr="00AA62A6">
        <w:rPr>
          <w:b/>
          <w:color w:val="FF0000"/>
        </w:rPr>
        <w:t xml:space="preserve">Furthermore, we noted that the negative relationship between fasting responses and weight gain is present for both CD and HFD fed animals.  This suggests that the fasting response may be part of a general body weight defense mechanism, rather than </w:t>
      </w:r>
      <w:proofErr w:type="gramStart"/>
      <w:r w:rsidRPr="00AA62A6">
        <w:rPr>
          <w:b/>
          <w:color w:val="FF0000"/>
        </w:rPr>
        <w:t>a phenomena</w:t>
      </w:r>
      <w:proofErr w:type="gramEnd"/>
      <w:r w:rsidRPr="00AA62A6">
        <w:rPr>
          <w:b/>
          <w:color w:val="FF0000"/>
        </w:rPr>
        <w:t xml:space="preserve"> specific to diet-induced obesity, </w:t>
      </w:r>
      <w:r w:rsidR="009E6DB7">
        <w:rPr>
          <w:b/>
          <w:color w:val="FF0000"/>
        </w:rPr>
        <w:t>and</w:t>
      </w:r>
      <w:r w:rsidRPr="00AA62A6">
        <w:rPr>
          <w:b/>
          <w:color w:val="FF0000"/>
        </w:rPr>
        <w:t xml:space="preserve"> that this effect may be exacerbated by HFD.</w:t>
      </w:r>
    </w:p>
    <w:p w14:paraId="735A786F" w14:textId="77777777" w:rsidR="009E6DB7" w:rsidRDefault="009E6DB7" w:rsidP="00AA62A6">
      <w:pPr>
        <w:rPr>
          <w:b/>
          <w:color w:val="FF0000"/>
        </w:rPr>
      </w:pPr>
    </w:p>
    <w:p w14:paraId="6C20EF69" w14:textId="3CA43EC9" w:rsidR="00AA62A6" w:rsidRPr="00E84CD6" w:rsidRDefault="00E84CD6" w:rsidP="00AA62A6">
      <w:pPr>
        <w:pStyle w:val="ListParagraph"/>
        <w:numPr>
          <w:ilvl w:val="0"/>
          <w:numId w:val="3"/>
        </w:numPr>
        <w:rPr>
          <w:b/>
        </w:rPr>
      </w:pPr>
      <w:r w:rsidRPr="00E84CD6">
        <w:rPr>
          <w:b/>
        </w:rPr>
        <w:t xml:space="preserve">Another comment was that there was </w:t>
      </w:r>
      <w:r w:rsidR="00F048AE">
        <w:rPr>
          <w:b/>
        </w:rPr>
        <w:t>two</w:t>
      </w:r>
      <w:r w:rsidRPr="00E84CD6">
        <w:rPr>
          <w:b/>
        </w:rPr>
        <w:t xml:space="preserve"> recent paper</w:t>
      </w:r>
      <w:r w:rsidR="00F048AE">
        <w:rPr>
          <w:b/>
        </w:rPr>
        <w:t>s</w:t>
      </w:r>
      <w:r w:rsidRPr="00E84CD6">
        <w:rPr>
          <w:b/>
        </w:rPr>
        <w:t xml:space="preserve"> discussed the influence of pre-diet fat mass on weight gain in mice </w:t>
      </w:r>
      <w:r w:rsidRPr="00E84CD6">
        <w:rPr>
          <w:b/>
        </w:rPr>
        <w:fldChar w:fldCharType="begin" w:fldLock="1"/>
      </w:r>
      <w:r w:rsidR="00FF28F4">
        <w:rPr>
          <w:b/>
        </w:rPr>
        <w:instrText>ADDIN CSL_CITATION { "citationItems" : [ { "id" : "ITEM-1", "itemData" : { "DOI" : "10.1038/oby.2011.151", "ISSN" : "1930-739X", "PMID" : "21720432", "abstract" : "Inbred C57BL/6J mice displayed large individual variations in weight gain when fed a high-fat diet (HFD). The objective of this study was to examine whether this predominantly nongenetic variability could be predicted by relevant baseline features and to explore whether variations in these significant features were influenced during pregnancy and/or lactation. Fat mass (FM), fat-free mass (FFM), food intake (FI), resting metabolic rate (RMR), physical activity (PA), and body temperature (T(b)) were all evaluated at baseline in 60 mice (aged 10-12 weeks) before HFD feeding. Regression analyses showed that baseline FM was a strong positive predictor of weight gain between 4 and 16 weeks of HFD. Baseline PA was negatively associated with weight gain at week 8, 12, and 16, and baseline FFM had a positive effect at week 12 and 16. In a second experiment, 40 female mice were mated and litter sizes (LS) were manipulated on day 3 of lactation. Weaning weight and postweaning growth rate (GR) had positive impacts on FM and FFM at age 9 weeks (FM, P = 0.001; FFM, P &lt; 0.001: n = 97). Lactation LS had a negative effect on weaning weight and a positive effect on postweaning GR. In conclusion, our results show that obesity induced by HFD was associated with a higher baseline FM, a higher baseline FFM and a lower baseline PA level before the exposure of HFD. Two of these traits (FM and FFM) were influenced by lactation LS via weaning weight and postweaning GR.", "author" : [ { "dropping-particle" : "", "family" : "Zhang", "given" : "Li-Na", "non-dropping-particle" : "", "parse-names" : false, "suffix" : "" }, { "dropping-particle" : "", "family" : "Morgan", "given" : "David G", "non-dropping-particle" : "", "parse-names" : false, "suffix" : "" }, { "dropping-particle" : "", "family" : "Clapham", "given" : "John C", "non-dropping-particle" : "", "parse-names" : false, "suffix" : "" }, { "dropping-particle" : "", "family" : "Speakman", "given" : "John R", "non-dropping-particle" : "", "parse-names" : false, "suffix" : "" } ], "container-title" : "Obesity (Silver Spring, Md.)", "id" : "ITEM-1", "issue" : "6", "issued" : { "date-parts" : [ [ "2012", "6" ] ] }, "page" : "1179-88", "publisher" : "Nature Publishing Group", "title" : "Factors predicting nongenetic variability in body weight gain induced by a high-fat diet in inbred C57BL/6J mice.", "type" : "article-journal", "volume" : "20" }, "uris" : [ "http://www.mendeley.com/documents/?uuid=5ccdad82-82c9-482b-aa12-b8df2f141140" ] }, { "id" : "ITEM-2", "itemData" : { "DOI" : "10.1002/oby.20811", "ISSN" : "1930-739X", "PMID" : "24942674", "abstract" : "OBJECTIVE: To investigate the variations in body weight, food intake, and body composition of both male and female C57BL/6J mice during a diet-induced obesity model with high-fat diet (HFD) feeding.\n\nMETHODS: Mice were individually housed and fed ad libitum either a low-fat diet (LFD, 10% calories from fat; n\u2009=\u200915 male, n\u2009=\u200915 female) or HFD (45% calories from fat; n\u2009=\u2009277 male, n\u2009=\u2009278 female) from 8 to 43 weeks of age. Body weight, food intake, and body composition were routinely measured.\n\nRESULTS: Body weight was significantly increased with HFD (vs. LFD) in males from week 14 (P\u2009=\u20090.0221) and in females from week 27 (P\u2009=\u20090.0076). Fat mass and fat-free mass of all groups were significantly increased over time (all P\u2009&lt;\u20090.0001), with a large variation observed in fat mass. Baseline fat mass, fat-free mass, and daily energy intake were significant predictors of future body weight for both sexes (P\u2009&lt;\u20090.0001). Baseline fat mass was a significant predictor of future body fat (P\u2009&lt;\u20090.0001).\n\nCONCLUSIONS: Both males and females have large variations in fat mass, and this variability increases over time, while that of fat-free mass remains relatively stable. Sex differences exist in HFD responses and multivariate predicting models of body weight.", "author" : [ { "dropping-particle" : "", "family" : "Yang", "given" : "Yongbin", "non-dropping-particle" : "", "parse-names" : false, "suffix" : "" }, { "dropping-particle" : "", "family" : "Smith", "given" : "Daniel L", "non-dropping-particle" : "", "parse-names" : false, "suffix" : "" }, { "dropping-particle" : "", "family" : "Keating", "given" : "Karen D", "non-dropping-particle" : "", "parse-names" : false, "suffix" : "" }, { "dropping-particle" : "", "family" : "Allison", "given" : "David B", "non-dropping-particle" : "", "parse-names" : false, "suffix" : "" }, { "dropping-particle" : "", "family" : "Nagy", "given" : "Tim R", "non-dropping-particle" : "", "parse-names" : false, "suffix" : "" } ], "container-title" : "Obesity (Silver Spring, Md.)", "id" : "ITEM-2", "issue" : "00", "issued" : { "date-parts" : [ [ "2014", "6", "19" ] ] }, "page" : "1-9", "title" : "Variations in body weight, food intake, and body composition after long-term high-fat diet feeding in C57BL/6J mice.", "type" : "article-journal", "volume" : "00" }, "uris" : [ "http://www.mendeley.com/documents/?uuid=b83dd074-cb41-4889-98a1-3a4ba62494f5" ] } ], "mendeley" : { "previouslyFormattedCitation" : "[26, 27]" }, "properties" : { "noteIndex" : 0 }, "schema" : "https://github.com/citation-style-language/schema/raw/master/csl-citation.json" }</w:instrText>
      </w:r>
      <w:r w:rsidRPr="00E84CD6">
        <w:rPr>
          <w:b/>
        </w:rPr>
        <w:fldChar w:fldCharType="separate"/>
      </w:r>
      <w:r w:rsidR="00FF28F4" w:rsidRPr="00FF28F4">
        <w:rPr>
          <w:noProof/>
        </w:rPr>
        <w:t>[26, 27]</w:t>
      </w:r>
      <w:r w:rsidRPr="00E84CD6">
        <w:rPr>
          <w:b/>
        </w:rPr>
        <w:fldChar w:fldCharType="end"/>
      </w:r>
      <w:r w:rsidRPr="00E84CD6">
        <w:rPr>
          <w:b/>
        </w:rPr>
        <w:t>.  We had overlooked this study previously and have included its findings in our discussion section:</w:t>
      </w:r>
    </w:p>
    <w:p w14:paraId="1176C9E8" w14:textId="77777777" w:rsidR="00E84CD6" w:rsidRPr="00E84CD6" w:rsidRDefault="00E84CD6" w:rsidP="00E84CD6">
      <w:pPr>
        <w:pStyle w:val="ListParagraph"/>
        <w:rPr>
          <w:b/>
        </w:rPr>
      </w:pPr>
    </w:p>
    <w:p w14:paraId="1D264F1C" w14:textId="7C9F5061" w:rsidR="00E84CD6" w:rsidRPr="00E84CD6" w:rsidRDefault="00E84CD6" w:rsidP="00E84CD6">
      <w:pPr>
        <w:rPr>
          <w:b/>
          <w:color w:val="FF0000"/>
        </w:rPr>
      </w:pPr>
      <w:r w:rsidRPr="00E84CD6">
        <w:rPr>
          <w:b/>
          <w:color w:val="FF0000"/>
        </w:rPr>
        <w:t xml:space="preserve">The negative relationship between fasting responses and weight gain is similar in magnitude to the positive relationship between absolute fat mass on HFD-induced weight gain in mice </w:t>
      </w:r>
      <w:r w:rsidRPr="00E84CD6">
        <w:rPr>
          <w:b/>
          <w:color w:val="FF0000"/>
        </w:rPr>
        <w:fldChar w:fldCharType="begin" w:fldLock="1"/>
      </w:r>
      <w:r w:rsidR="00FF28F4">
        <w:rPr>
          <w:b/>
          <w:color w:val="FF0000"/>
        </w:rPr>
        <w:instrText>ADDIN CSL_CITATION { "citationItems" : [ { "id" : "ITEM-1", "itemData" : { "DOI" : "10.1038/oby.2011.151", "ISSN" : "1930-739X", "PMID" : "21720432", "abstract" : "Inbred C57BL/6J mice displayed large individual variations in weight gain when fed a high-fat diet (HFD). The objective of this study was to examine whether this predominantly nongenetic variability could be predicted by relevant baseline features and to explore whether variations in these significant features were influenced during pregnancy and/or lactation. Fat mass (FM), fat-free mass (FFM), food intake (FI), resting metabolic rate (RMR), physical activity (PA), and body temperature (T(b)) were all evaluated at baseline in 60 mice (aged 10-12 weeks) before HFD feeding. Regression analyses showed that baseline FM was a strong positive predictor of weight gain between 4 and 16 weeks of HFD. Baseline PA was negatively associated with weight gain at week 8, 12, and 16, and baseline FFM had a positive effect at week 12 and 16. In a second experiment, 40 female mice were mated and litter sizes (LS) were manipulated on day 3 of lactation. Weaning weight and postweaning growth rate (GR) had positive impacts on FM and FFM at age 9 weeks (FM, P = 0.001; FFM, P &lt; 0.001: n = 97). Lactation LS had a negative effect on weaning weight and a positive effect on postweaning GR. In conclusion, our results show that obesity induced by HFD was associated with a higher baseline FM, a higher baseline FFM and a lower baseline PA level before the exposure of HFD. Two of these traits (FM and FFM) were influenced by lactation LS via weaning weight and postweaning GR.", "author" : [ { "dropping-particle" : "", "family" : "Zhang", "given" : "Li-Na", "non-dropping-particle" : "", "parse-names" : false, "suffix" : "" }, { "dropping-particle" : "", "family" : "Morgan", "given" : "David G", "non-dropping-particle" : "", "parse-names" : false, "suffix" : "" }, { "dropping-particle" : "", "family" : "Clapham", "given" : "John C", "non-dropping-particle" : "", "parse-names" : false, "suffix" : "" }, { "dropping-particle" : "", "family" : "Speakman", "given" : "John R", "non-dropping-particle" : "", "parse-names" : false, "suffix" : "" } ], "container-title" : "Obesity (Silver Spring, Md.)", "id" : "ITEM-1", "issue" : "6", "issued" : { "date-parts" : [ [ "2012", "6" ] ] }, "page" : "1179-88", "publisher" : "Nature Publishing Group", "title" : "Factors predicting nongenetic variability in body weight gain induced by a high-fat diet in inbred C57BL/6J mice.", "type" : "article-journal", "volume" : "20" }, "uris" : [ "http://www.mendeley.com/documents/?uuid=5ccdad82-82c9-482b-aa12-b8df2f141140" ] }, { "id" : "ITEM-2", "itemData" : { "DOI" : "10.1002/oby.20811", "ISSN" : "1930-739X", "PMID" : "24942674", "abstract" : "OBJECTIVE: To investigate the variations in body weight, food intake, and body composition of both male and female C57BL/6J mice during a diet-induced obesity model with high-fat diet (HFD) feeding.\n\nMETHODS: Mice were individually housed and fed ad libitum either a low-fat diet (LFD, 10% calories from fat; n\u2009=\u200915 male, n\u2009=\u200915 female) or HFD (45% calories from fat; n\u2009=\u2009277 male, n\u2009=\u2009278 female) from 8 to 43 weeks of age. Body weight, food intake, and body composition were routinely measured.\n\nRESULTS: Body weight was significantly increased with HFD (vs. LFD) in males from week 14 (P\u2009=\u20090.0221) and in females from week 27 (P\u2009=\u20090.0076). Fat mass and fat-free mass of all groups were significantly increased over time (all P\u2009&lt;\u20090.0001), with a large variation observed in fat mass. Baseline fat mass, fat-free mass, and daily energy intake were significant predictors of future body weight for both sexes (P\u2009&lt;\u20090.0001). Baseline fat mass was a significant predictor of future body fat (P\u2009&lt;\u20090.0001).\n\nCONCLUSIONS: Both males and females have large variations in fat mass, and this variability increases over time, while that of fat-free mass remains relatively stable. Sex differences exist in HFD responses and multivariate predicting models of body weight.", "author" : [ { "dropping-particle" : "", "family" : "Yang", "given" : "Yongbin", "non-dropping-particle" : "", "parse-names" : false, "suffix" : "" }, { "dropping-particle" : "", "family" : "Smith", "given" : "Daniel L", "non-dropping-particle" : "", "parse-names" : false, "suffix" : "" }, { "dropping-particle" : "", "family" : "Keating", "given" : "Karen D", "non-dropping-particle" : "", "parse-names" : false, "suffix" : "" }, { "dropping-particle" : "", "family" : "Allison", "given" : "David B", "non-dropping-particle" : "", "parse-names" : false, "suffix" : "" }, { "dropping-particle" : "", "family" : "Nagy", "given" : "Tim R", "non-dropping-particle" : "", "parse-names" : false, "suffix" : "" } ], "container-title" : "Obesity (Silver Spring, Md.)", "id" : "ITEM-2", "issue" : "00", "issued" : { "date-parts" : [ [ "2014", "6", "19" ] ] }, "page" : "1-9", "title" : "Variations in body weight, food intake, and body composition after long-term high-fat diet feeding in C57BL/6J mice.", "type" : "article-journal", "volume" : "00" }, "uris" : [ "http://www.mendeley.com/documents/?uuid=b83dd074-cb41-4889-98a1-3a4ba62494f5" ] } ], "mendeley" : { "previouslyFormattedCitation" : "[26, 27]" }, "properties" : { "noteIndex" : 0 }, "schema" : "https://github.com/citation-style-language/schema/raw/master/csl-citation.json" }</w:instrText>
      </w:r>
      <w:r w:rsidRPr="00E84CD6">
        <w:rPr>
          <w:b/>
          <w:color w:val="FF0000"/>
        </w:rPr>
        <w:fldChar w:fldCharType="separate"/>
      </w:r>
      <w:r w:rsidR="00FF28F4" w:rsidRPr="00FF28F4">
        <w:rPr>
          <w:noProof/>
          <w:color w:val="FF0000"/>
        </w:rPr>
        <w:t>[26, 27]</w:t>
      </w:r>
      <w:r w:rsidRPr="00E84CD6">
        <w:rPr>
          <w:b/>
          <w:color w:val="FF0000"/>
        </w:rPr>
        <w:fldChar w:fldCharType="end"/>
      </w:r>
      <w:r w:rsidRPr="00E84CD6">
        <w:rPr>
          <w:b/>
          <w:color w:val="FF0000"/>
        </w:rPr>
        <w:t>. It is possible that young mice that have larger fat stores are able to lose more weight in response to fasting than lean mice and that fasting responses and fat mass levels are related</w:t>
      </w:r>
      <w:r w:rsidR="008F5852">
        <w:rPr>
          <w:b/>
          <w:color w:val="FF0000"/>
        </w:rPr>
        <w:t xml:space="preserve">.  </w:t>
      </w:r>
      <w:bookmarkStart w:id="0" w:name="_GoBack"/>
      <w:r w:rsidR="008F5852">
        <w:rPr>
          <w:b/>
          <w:color w:val="FF0000"/>
        </w:rPr>
        <w:t xml:space="preserve">Understanding the relationship between fat </w:t>
      </w:r>
      <w:proofErr w:type="gramStart"/>
      <w:r w:rsidR="008F5852">
        <w:rPr>
          <w:b/>
          <w:color w:val="FF0000"/>
        </w:rPr>
        <w:t>mass</w:t>
      </w:r>
      <w:proofErr w:type="gramEnd"/>
      <w:r w:rsidR="008F5852">
        <w:rPr>
          <w:b/>
          <w:color w:val="FF0000"/>
        </w:rPr>
        <w:t>, fasting responses and predisposition to weight gain will be the focus of future studies.</w:t>
      </w:r>
    </w:p>
    <w:bookmarkEnd w:id="0"/>
    <w:p w14:paraId="46865EC6" w14:textId="77777777" w:rsidR="00E84CD6" w:rsidRDefault="00E84CD6" w:rsidP="00E84CD6"/>
    <w:p w14:paraId="7CA4823B" w14:textId="4E25081F" w:rsidR="00594BC2" w:rsidRDefault="00594BC2" w:rsidP="0065339D">
      <w:pPr>
        <w:pStyle w:val="Heading2"/>
      </w:pPr>
      <w:r>
        <w:t>References</w:t>
      </w:r>
    </w:p>
    <w:p w14:paraId="72838ECA" w14:textId="07108AF7" w:rsidR="00FF28F4" w:rsidRPr="00FF28F4" w:rsidRDefault="00594BC2">
      <w:pPr>
        <w:pStyle w:val="NormalWeb"/>
        <w:ind w:left="640" w:hanging="640"/>
        <w:divId w:val="77989807"/>
        <w:rPr>
          <w:rFonts w:ascii="Cambria" w:hAnsi="Cambria"/>
          <w:noProof/>
          <w:sz w:val="24"/>
        </w:rPr>
      </w:pPr>
      <w:r>
        <w:fldChar w:fldCharType="begin" w:fldLock="1"/>
      </w:r>
      <w:r>
        <w:instrText xml:space="preserve">ADDIN Mendeley Bibliography CSL_BIBLIOGRAPHY </w:instrText>
      </w:r>
      <w:r>
        <w:fldChar w:fldCharType="separate"/>
      </w:r>
      <w:r w:rsidR="00FF28F4" w:rsidRPr="00FF28F4">
        <w:rPr>
          <w:rFonts w:ascii="Cambria" w:hAnsi="Cambria"/>
          <w:noProof/>
          <w:sz w:val="24"/>
        </w:rPr>
        <w:t>1.</w:t>
      </w:r>
      <w:r w:rsidR="00FF28F4" w:rsidRPr="00FF28F4">
        <w:rPr>
          <w:rFonts w:ascii="Cambria" w:hAnsi="Cambria"/>
          <w:noProof/>
          <w:sz w:val="24"/>
        </w:rPr>
        <w:tab/>
        <w:t xml:space="preserve">Levin, B. E., and Keesey, R. E. (1998). Defense of differing body weight set points in diet-induced obese and resistant rats. Am. J. Physiol. </w:t>
      </w:r>
      <w:r w:rsidR="00FF28F4" w:rsidRPr="00FF28F4">
        <w:rPr>
          <w:rFonts w:ascii="Cambria" w:hAnsi="Cambria"/>
          <w:i/>
          <w:iCs/>
          <w:noProof/>
          <w:sz w:val="24"/>
        </w:rPr>
        <w:t>274</w:t>
      </w:r>
      <w:r w:rsidR="00FF28F4" w:rsidRPr="00FF28F4">
        <w:rPr>
          <w:rFonts w:ascii="Cambria" w:hAnsi="Cambria"/>
          <w:noProof/>
          <w:sz w:val="24"/>
        </w:rPr>
        <w:t>, R412–9.</w:t>
      </w:r>
    </w:p>
    <w:p w14:paraId="3C09BEF7"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2.</w:t>
      </w:r>
      <w:r w:rsidRPr="00FF28F4">
        <w:rPr>
          <w:rFonts w:ascii="Cambria" w:hAnsi="Cambria"/>
          <w:noProof/>
          <w:sz w:val="24"/>
        </w:rPr>
        <w:tab/>
        <w:t xml:space="preserve">Levin, B. E., and Dunn-Meynell, a a (2000). Defense of body weight against chronic caloric restriction in obesity-prone and -resistant rats. Am. J. Physiol. Regul. Integr. Comp. Physiol. </w:t>
      </w:r>
      <w:r w:rsidRPr="00FF28F4">
        <w:rPr>
          <w:rFonts w:ascii="Cambria" w:hAnsi="Cambria"/>
          <w:i/>
          <w:iCs/>
          <w:noProof/>
          <w:sz w:val="24"/>
        </w:rPr>
        <w:t>278</w:t>
      </w:r>
      <w:r w:rsidRPr="00FF28F4">
        <w:rPr>
          <w:rFonts w:ascii="Cambria" w:hAnsi="Cambria"/>
          <w:noProof/>
          <w:sz w:val="24"/>
        </w:rPr>
        <w:t>, R231–7.</w:t>
      </w:r>
    </w:p>
    <w:p w14:paraId="5CEFCCA4"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3.</w:t>
      </w:r>
      <w:r w:rsidRPr="00FF28F4">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Pr="00FF28F4">
        <w:rPr>
          <w:rFonts w:ascii="Cambria" w:hAnsi="Cambria"/>
          <w:i/>
          <w:iCs/>
          <w:noProof/>
          <w:sz w:val="24"/>
        </w:rPr>
        <w:t>81</w:t>
      </w:r>
      <w:r w:rsidRPr="00FF28F4">
        <w:rPr>
          <w:rFonts w:ascii="Cambria" w:hAnsi="Cambria"/>
          <w:noProof/>
          <w:sz w:val="24"/>
        </w:rPr>
        <w:t>, 968–975.</w:t>
      </w:r>
    </w:p>
    <w:p w14:paraId="768A9148"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lastRenderedPageBreak/>
        <w:t>4.</w:t>
      </w:r>
      <w:r w:rsidRPr="00FF28F4">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FF28F4">
        <w:rPr>
          <w:rFonts w:ascii="Cambria" w:hAnsi="Cambria"/>
          <w:i/>
          <w:iCs/>
          <w:noProof/>
          <w:sz w:val="24"/>
        </w:rPr>
        <w:t>148</w:t>
      </w:r>
      <w:r w:rsidRPr="00FF28F4">
        <w:rPr>
          <w:rFonts w:ascii="Cambria" w:hAnsi="Cambria"/>
          <w:noProof/>
          <w:sz w:val="24"/>
        </w:rPr>
        <w:t>, 300–9.</w:t>
      </w:r>
    </w:p>
    <w:p w14:paraId="3CF471F7"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5.</w:t>
      </w:r>
      <w:r w:rsidRPr="00FF28F4">
        <w:rPr>
          <w:rFonts w:ascii="Cambria" w:hAnsi="Cambria"/>
          <w:noProof/>
          <w:sz w:val="24"/>
        </w:rPr>
        <w:tab/>
        <w:t>Lu, B., Bridges, D., Yang, Y., Fisher, K., Cheng, A., Chang, L., Meng, Z., Lin, J., Downes, M., Yu, R. T., et al. (2014). Metabolic Crosstalk: molecular links between glycogen and lipid metabolism in obesity. Diabetes, 1–49.</w:t>
      </w:r>
    </w:p>
    <w:p w14:paraId="08C4DF7C"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6.</w:t>
      </w:r>
      <w:r w:rsidRPr="00FF28F4">
        <w:rPr>
          <w:rFonts w:ascii="Cambria" w:hAnsi="Cambria"/>
          <w:noProof/>
          <w:sz w:val="24"/>
        </w:rPr>
        <w:tab/>
        <w:t xml:space="preserve">Hajri, T., Han, X. X., Bonen, A., and Abumrad, N. A. (2002). Defective fatty acid uptake modulates insulin responsiveness and metabolic responses to diet in CD36-null mice. </w:t>
      </w:r>
      <w:r w:rsidRPr="00FF28F4">
        <w:rPr>
          <w:rFonts w:ascii="Cambria" w:hAnsi="Cambria"/>
          <w:i/>
          <w:iCs/>
          <w:noProof/>
          <w:sz w:val="24"/>
        </w:rPr>
        <w:t>109</w:t>
      </w:r>
      <w:r w:rsidRPr="00FF28F4">
        <w:rPr>
          <w:rFonts w:ascii="Cambria" w:hAnsi="Cambria"/>
          <w:noProof/>
          <w:sz w:val="24"/>
        </w:rPr>
        <w:t>.</w:t>
      </w:r>
    </w:p>
    <w:p w14:paraId="03BE47DB"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7.</w:t>
      </w:r>
      <w:r w:rsidRPr="00FF28F4">
        <w:rPr>
          <w:rFonts w:ascii="Cambria" w:hAnsi="Cambria"/>
          <w:noProof/>
          <w:sz w:val="24"/>
        </w:rPr>
        <w:tab/>
        <w:t>Lamming, D. W., Ye, L., Astle, C. M., Baur, J. A., Sabatini, D. M., and Harrison, D. E. (2013). Young and old genetically heterogeneous HET3 mice on a rapamycin diet are glucose intolerant but insulin sensitive. Aging Cell.</w:t>
      </w:r>
    </w:p>
    <w:p w14:paraId="35D74BB0"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8.</w:t>
      </w:r>
      <w:r w:rsidRPr="00FF28F4">
        <w:rPr>
          <w:rFonts w:ascii="Cambria" w:hAnsi="Cambria"/>
          <w:noProof/>
          <w:sz w:val="24"/>
        </w:rPr>
        <w:tab/>
        <w:t xml:space="preserve">Neff, F., Flores-Dominguez, D., Ryan, D. P., Horsch, M., Schröder, S., Adler, T., Afonso, L. C., Aguilar-Pimentel, J. A., Becker, L., Garrett, L., et al. (2013). Rapamycin extends murine lifespan but has limited effects on aging. J. Clin. Invest. </w:t>
      </w:r>
      <w:r w:rsidRPr="00FF28F4">
        <w:rPr>
          <w:rFonts w:ascii="Cambria" w:hAnsi="Cambria"/>
          <w:i/>
          <w:iCs/>
          <w:noProof/>
          <w:sz w:val="24"/>
        </w:rPr>
        <w:t>123</w:t>
      </w:r>
      <w:r w:rsidRPr="00FF28F4">
        <w:rPr>
          <w:rFonts w:ascii="Cambria" w:hAnsi="Cambria"/>
          <w:noProof/>
          <w:sz w:val="24"/>
        </w:rPr>
        <w:t>, 3272–91.</w:t>
      </w:r>
    </w:p>
    <w:p w14:paraId="1F7F8272"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9.</w:t>
      </w:r>
      <w:r w:rsidRPr="00FF28F4">
        <w:rPr>
          <w:rFonts w:ascii="Cambria" w:hAnsi="Cambria"/>
          <w:noProof/>
          <w:sz w:val="24"/>
        </w:rPr>
        <w:tab/>
        <w:t xml:space="preserve">Harno, E., Cottrell, E. C., Keevil, B. G., DeSchoolmeester, J., Bohlooly-Y, M., Andersén, H., Turnbull, A. V, Leighton, B., and White, A. (2013). 11-Dehydrocorticosterone causes metabolic syndrome, which is prevented when 11β-HSD1 is knocked out in livers of male mice. Endocrinology </w:t>
      </w:r>
      <w:r w:rsidRPr="00FF28F4">
        <w:rPr>
          <w:rFonts w:ascii="Cambria" w:hAnsi="Cambria"/>
          <w:i/>
          <w:iCs/>
          <w:noProof/>
          <w:sz w:val="24"/>
        </w:rPr>
        <w:t>154</w:t>
      </w:r>
      <w:r w:rsidRPr="00FF28F4">
        <w:rPr>
          <w:rFonts w:ascii="Cambria" w:hAnsi="Cambria"/>
          <w:noProof/>
          <w:sz w:val="24"/>
        </w:rPr>
        <w:t>, 3599–609.</w:t>
      </w:r>
    </w:p>
    <w:p w14:paraId="79BC0B47"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10.</w:t>
      </w:r>
      <w:r w:rsidRPr="00FF28F4">
        <w:rPr>
          <w:rFonts w:ascii="Cambria" w:hAnsi="Cambria"/>
          <w:noProof/>
          <w:sz w:val="24"/>
        </w:rPr>
        <w:tab/>
        <w:t xml:space="preserve">Lumeng, C. N., Bodzin, J. L., and Saltiel, A. R. (2007). Obesity induces a phenotypic switch in adipose tissue macrophage polarization. J. Clin. Invest. </w:t>
      </w:r>
      <w:r w:rsidRPr="00FF28F4">
        <w:rPr>
          <w:rFonts w:ascii="Cambria" w:hAnsi="Cambria"/>
          <w:i/>
          <w:iCs/>
          <w:noProof/>
          <w:sz w:val="24"/>
        </w:rPr>
        <w:t>117</w:t>
      </w:r>
      <w:r w:rsidRPr="00FF28F4">
        <w:rPr>
          <w:rFonts w:ascii="Cambria" w:hAnsi="Cambria"/>
          <w:noProof/>
          <w:sz w:val="24"/>
        </w:rPr>
        <w:t>, 175–84.</w:t>
      </w:r>
    </w:p>
    <w:p w14:paraId="3E09A804"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11.</w:t>
      </w:r>
      <w:r w:rsidRPr="00FF28F4">
        <w:rPr>
          <w:rFonts w:ascii="Cambria" w:hAnsi="Cambria"/>
          <w:noProof/>
          <w:sz w:val="24"/>
        </w:rPr>
        <w:tab/>
        <w:t xml:space="preserve">Chen, M., Gavrilova, O., Zhao, W., Nguyen, A., Lorenzo, J., Shen, L., Nackers, L., Pack, S., Jou, W., and Weinstein, L. S. (2005). Increased glucose tolerance and reduced adiposity in the absence of fasting hypoglycemia in mice with liver-specific Gs alpha deficiency. J. Clin. Invest. </w:t>
      </w:r>
      <w:r w:rsidRPr="00FF28F4">
        <w:rPr>
          <w:rFonts w:ascii="Cambria" w:hAnsi="Cambria"/>
          <w:i/>
          <w:iCs/>
          <w:noProof/>
          <w:sz w:val="24"/>
        </w:rPr>
        <w:t>115</w:t>
      </w:r>
      <w:r w:rsidRPr="00FF28F4">
        <w:rPr>
          <w:rFonts w:ascii="Cambria" w:hAnsi="Cambria"/>
          <w:noProof/>
          <w:sz w:val="24"/>
        </w:rPr>
        <w:t>, 3217–27.</w:t>
      </w:r>
    </w:p>
    <w:p w14:paraId="137F79CC"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12.</w:t>
      </w:r>
      <w:r w:rsidRPr="00FF28F4">
        <w:rPr>
          <w:rFonts w:ascii="Cambria" w:hAnsi="Cambria"/>
          <w:noProof/>
          <w:sz w:val="24"/>
        </w:rPr>
        <w:tab/>
        <w:t xml:space="preserve">Hancock, A. S., Du, A., Liu, J., Miller, M., and May, C. L. (2010). Glucagon deficiency reduces hepatic glucose production and improves glucose tolerance in adult mice. Mol. Endocrinol. </w:t>
      </w:r>
      <w:r w:rsidRPr="00FF28F4">
        <w:rPr>
          <w:rFonts w:ascii="Cambria" w:hAnsi="Cambria"/>
          <w:i/>
          <w:iCs/>
          <w:noProof/>
          <w:sz w:val="24"/>
        </w:rPr>
        <w:t>24</w:t>
      </w:r>
      <w:r w:rsidRPr="00FF28F4">
        <w:rPr>
          <w:rFonts w:ascii="Cambria" w:hAnsi="Cambria"/>
          <w:noProof/>
          <w:sz w:val="24"/>
        </w:rPr>
        <w:t>, 1605–14.</w:t>
      </w:r>
    </w:p>
    <w:p w14:paraId="1C704082"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13.</w:t>
      </w:r>
      <w:r w:rsidRPr="00FF28F4">
        <w:rPr>
          <w:rFonts w:ascii="Cambria" w:hAnsi="Cambria"/>
          <w:noProof/>
          <w:sz w:val="24"/>
        </w:rPr>
        <w:tab/>
        <w:t xml:space="preserve">Holst, J. J., Orskov, C., Nielsen, O. V, and Schwartz, T. W. (1987). Truncated glucagon-like peptide I, an insulin-releasing hormone from the distal gut. FEBS Lett. </w:t>
      </w:r>
      <w:r w:rsidRPr="00FF28F4">
        <w:rPr>
          <w:rFonts w:ascii="Cambria" w:hAnsi="Cambria"/>
          <w:i/>
          <w:iCs/>
          <w:noProof/>
          <w:sz w:val="24"/>
        </w:rPr>
        <w:t>211</w:t>
      </w:r>
      <w:r w:rsidRPr="00FF28F4">
        <w:rPr>
          <w:rFonts w:ascii="Cambria" w:hAnsi="Cambria"/>
          <w:noProof/>
          <w:sz w:val="24"/>
        </w:rPr>
        <w:t>, 169–74.</w:t>
      </w:r>
    </w:p>
    <w:p w14:paraId="196773F3"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lastRenderedPageBreak/>
        <w:t>14.</w:t>
      </w:r>
      <w:r w:rsidRPr="00FF28F4">
        <w:rPr>
          <w:rFonts w:ascii="Cambria" w:hAnsi="Cambria"/>
          <w:noProof/>
          <w:sz w:val="24"/>
        </w:rPr>
        <w:tab/>
        <w:t xml:space="preserve">Kreymann, B., Ghatei, M. A., Williams, G., and Bloom, S. R. (1987). Glucagon-Like Peptide-1 7-36: A Physiological Incretin in Man. Lancet </w:t>
      </w:r>
      <w:r w:rsidRPr="00FF28F4">
        <w:rPr>
          <w:rFonts w:ascii="Cambria" w:hAnsi="Cambria"/>
          <w:i/>
          <w:iCs/>
          <w:noProof/>
          <w:sz w:val="24"/>
        </w:rPr>
        <w:t>330</w:t>
      </w:r>
      <w:r w:rsidRPr="00FF28F4">
        <w:rPr>
          <w:rFonts w:ascii="Cambria" w:hAnsi="Cambria"/>
          <w:noProof/>
          <w:sz w:val="24"/>
        </w:rPr>
        <w:t>, 1300–1304.</w:t>
      </w:r>
    </w:p>
    <w:p w14:paraId="30D7F803"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15.</w:t>
      </w:r>
      <w:r w:rsidRPr="00FF28F4">
        <w:rPr>
          <w:rFonts w:ascii="Cambria" w:hAnsi="Cambria"/>
          <w:noProof/>
          <w:sz w:val="24"/>
        </w:rPr>
        <w:tab/>
        <w:t xml:space="preserve">Tschöp, M., Weyer, C., Tataranni, P. a, Devanarayan, V., Ravussin, E., and Heiman, M. L. (2001). Circulating ghrelin levels are decreased in human obesity. Diabetes </w:t>
      </w:r>
      <w:r w:rsidRPr="00FF28F4">
        <w:rPr>
          <w:rFonts w:ascii="Cambria" w:hAnsi="Cambria"/>
          <w:i/>
          <w:iCs/>
          <w:noProof/>
          <w:sz w:val="24"/>
        </w:rPr>
        <w:t>50</w:t>
      </w:r>
      <w:r w:rsidRPr="00FF28F4">
        <w:rPr>
          <w:rFonts w:ascii="Cambria" w:hAnsi="Cambria"/>
          <w:noProof/>
          <w:sz w:val="24"/>
        </w:rPr>
        <w:t>, 707–9.</w:t>
      </w:r>
    </w:p>
    <w:p w14:paraId="6852508C"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16.</w:t>
      </w:r>
      <w:r w:rsidRPr="00FF28F4">
        <w:rPr>
          <w:rFonts w:ascii="Cambria" w:hAnsi="Cambria"/>
          <w:noProof/>
          <w:sz w:val="24"/>
        </w:rPr>
        <w:tab/>
        <w:t xml:space="preserve">Tschöp, M., Smiley, D. L., and Heiman, M. L. (2000). Ghrelin induces adiposity in rodents. Nature </w:t>
      </w:r>
      <w:r w:rsidRPr="00FF28F4">
        <w:rPr>
          <w:rFonts w:ascii="Cambria" w:hAnsi="Cambria"/>
          <w:i/>
          <w:iCs/>
          <w:noProof/>
          <w:sz w:val="24"/>
        </w:rPr>
        <w:t>407</w:t>
      </w:r>
      <w:r w:rsidRPr="00FF28F4">
        <w:rPr>
          <w:rFonts w:ascii="Cambria" w:hAnsi="Cambria"/>
          <w:noProof/>
          <w:sz w:val="24"/>
        </w:rPr>
        <w:t>, 908–13.</w:t>
      </w:r>
    </w:p>
    <w:p w14:paraId="38E8F34F"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17.</w:t>
      </w:r>
      <w:r w:rsidRPr="00FF28F4">
        <w:rPr>
          <w:rFonts w:ascii="Cambria" w:hAnsi="Cambria"/>
          <w:noProof/>
          <w:sz w:val="24"/>
        </w:rPr>
        <w:tab/>
        <w:t xml:space="preserve">Leibel, R. L., Rosenbaum, M., and Hirsch, J. (1995). Changes in energy expenditure resulting from altered body weight. N. Engl. J. Med. </w:t>
      </w:r>
      <w:r w:rsidRPr="00FF28F4">
        <w:rPr>
          <w:rFonts w:ascii="Cambria" w:hAnsi="Cambria"/>
          <w:i/>
          <w:iCs/>
          <w:noProof/>
          <w:sz w:val="24"/>
        </w:rPr>
        <w:t>332</w:t>
      </w:r>
      <w:r w:rsidRPr="00FF28F4">
        <w:rPr>
          <w:rFonts w:ascii="Cambria" w:hAnsi="Cambria"/>
          <w:noProof/>
          <w:sz w:val="24"/>
        </w:rPr>
        <w:t>, 621–8.</w:t>
      </w:r>
    </w:p>
    <w:p w14:paraId="5BCAFF7B"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18.</w:t>
      </w:r>
      <w:r w:rsidRPr="00FF28F4">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FF28F4">
        <w:rPr>
          <w:rFonts w:ascii="Cambria" w:hAnsi="Cambria"/>
          <w:i/>
          <w:iCs/>
          <w:noProof/>
          <w:sz w:val="24"/>
        </w:rPr>
        <w:t>78</w:t>
      </w:r>
      <w:r w:rsidRPr="00FF28F4">
        <w:rPr>
          <w:rFonts w:ascii="Cambria" w:hAnsi="Cambria"/>
          <w:noProof/>
          <w:sz w:val="24"/>
        </w:rPr>
        <w:t>, 1568–78.</w:t>
      </w:r>
    </w:p>
    <w:p w14:paraId="15B7ED19"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19.</w:t>
      </w:r>
      <w:r w:rsidRPr="00FF28F4">
        <w:rPr>
          <w:rFonts w:ascii="Cambria" w:hAnsi="Cambria"/>
          <w:noProof/>
          <w:sz w:val="24"/>
        </w:rPr>
        <w:tab/>
        <w:t xml:space="preserve">Griffiths, M., Payne, P. ., Rivers, J. P. ., Cox, M., and Stunkard, A. . (1990). Metabolic rate and physical development in children at risk of obesity. Lancet </w:t>
      </w:r>
      <w:r w:rsidRPr="00FF28F4">
        <w:rPr>
          <w:rFonts w:ascii="Cambria" w:hAnsi="Cambria"/>
          <w:i/>
          <w:iCs/>
          <w:noProof/>
          <w:sz w:val="24"/>
        </w:rPr>
        <w:t>336</w:t>
      </w:r>
      <w:r w:rsidRPr="00FF28F4">
        <w:rPr>
          <w:rFonts w:ascii="Cambria" w:hAnsi="Cambria"/>
          <w:noProof/>
          <w:sz w:val="24"/>
        </w:rPr>
        <w:t>, 76–78.</w:t>
      </w:r>
    </w:p>
    <w:p w14:paraId="4C0FA2A3"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20.</w:t>
      </w:r>
      <w:r w:rsidRPr="00FF28F4">
        <w:rPr>
          <w:rFonts w:ascii="Cambria" w:hAnsi="Cambria"/>
          <w:noProof/>
          <w:sz w:val="24"/>
        </w:rPr>
        <w:tab/>
        <w:t xml:space="preserve">Roberts, S. B., Savage, J., Coward, W. A., Chew, B., and Lucas, A. (1988). Energy expenditure and intake in infants born to lean and overweight mothers. N. Engl. J. Med. </w:t>
      </w:r>
      <w:r w:rsidRPr="00FF28F4">
        <w:rPr>
          <w:rFonts w:ascii="Cambria" w:hAnsi="Cambria"/>
          <w:i/>
          <w:iCs/>
          <w:noProof/>
          <w:sz w:val="24"/>
        </w:rPr>
        <w:t>318</w:t>
      </w:r>
      <w:r w:rsidRPr="00FF28F4">
        <w:rPr>
          <w:rFonts w:ascii="Cambria" w:hAnsi="Cambria"/>
          <w:noProof/>
          <w:sz w:val="24"/>
        </w:rPr>
        <w:t>, 461–6.</w:t>
      </w:r>
    </w:p>
    <w:p w14:paraId="0EDF16CB"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21.</w:t>
      </w:r>
      <w:r w:rsidRPr="00FF28F4">
        <w:rPr>
          <w:rFonts w:ascii="Cambria" w:hAnsi="Cambria"/>
          <w:noProof/>
          <w:sz w:val="24"/>
        </w:rPr>
        <w:tab/>
        <w:t xml:space="preserve">Steppan, C. M., Bailey, S. T., Bhat, S., Brown, E. J., Banerjee, R. R., Wright, C. M., Patel, H. R., Ahima, R. S., and Lazar, M. a (2001). The hormone resistin links obesity to diabetes. Nature </w:t>
      </w:r>
      <w:r w:rsidRPr="00FF28F4">
        <w:rPr>
          <w:rFonts w:ascii="Cambria" w:hAnsi="Cambria"/>
          <w:i/>
          <w:iCs/>
          <w:noProof/>
          <w:sz w:val="24"/>
        </w:rPr>
        <w:t>409</w:t>
      </w:r>
      <w:r w:rsidRPr="00FF28F4">
        <w:rPr>
          <w:rFonts w:ascii="Cambria" w:hAnsi="Cambria"/>
          <w:noProof/>
          <w:sz w:val="24"/>
        </w:rPr>
        <w:t>, 307–12.</w:t>
      </w:r>
    </w:p>
    <w:p w14:paraId="1F7A197A"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22.</w:t>
      </w:r>
      <w:r w:rsidRPr="00FF28F4">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FF28F4">
        <w:rPr>
          <w:rFonts w:ascii="Cambria" w:hAnsi="Cambria"/>
          <w:i/>
          <w:iCs/>
          <w:noProof/>
          <w:sz w:val="24"/>
        </w:rPr>
        <w:t>1</w:t>
      </w:r>
      <w:r w:rsidRPr="00FF28F4">
        <w:rPr>
          <w:rFonts w:ascii="Cambria" w:hAnsi="Cambria"/>
          <w:noProof/>
          <w:sz w:val="24"/>
        </w:rPr>
        <w:t>, 1311–4.</w:t>
      </w:r>
    </w:p>
    <w:p w14:paraId="2A302BD9"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23.</w:t>
      </w:r>
      <w:r w:rsidRPr="00FF28F4">
        <w:rPr>
          <w:rFonts w:ascii="Cambria" w:hAnsi="Cambria"/>
          <w:noProof/>
          <w:sz w:val="24"/>
        </w:rPr>
        <w:tab/>
        <w:t xml:space="preserve">Desjardins-Proulx, P., White, E. P., Adamson, J. J., Ram, K., Poisot, T., and Gravel, D. (2013). The case for open preprints in biology. PLoS Biol. </w:t>
      </w:r>
      <w:r w:rsidRPr="00FF28F4">
        <w:rPr>
          <w:rFonts w:ascii="Cambria" w:hAnsi="Cambria"/>
          <w:i/>
          <w:iCs/>
          <w:noProof/>
          <w:sz w:val="24"/>
        </w:rPr>
        <w:t>11</w:t>
      </w:r>
      <w:r w:rsidRPr="00FF28F4">
        <w:rPr>
          <w:rFonts w:ascii="Cambria" w:hAnsi="Cambria"/>
          <w:noProof/>
          <w:sz w:val="24"/>
        </w:rPr>
        <w:t>, e1001563.</w:t>
      </w:r>
    </w:p>
    <w:p w14:paraId="150EE519"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24.</w:t>
      </w:r>
      <w:r w:rsidRPr="00FF28F4">
        <w:rPr>
          <w:rFonts w:ascii="Cambria" w:hAnsi="Cambria"/>
          <w:noProof/>
          <w:sz w:val="24"/>
        </w:rPr>
        <w:tab/>
        <w:t xml:space="preserve">Kuntz, S. G., and Eisen, M. B. (2014). Drosophila embryogenesis scales uniformly across temperature in developmentally diverse species. PLoS Genet. </w:t>
      </w:r>
      <w:r w:rsidRPr="00FF28F4">
        <w:rPr>
          <w:rFonts w:ascii="Cambria" w:hAnsi="Cambria"/>
          <w:i/>
          <w:iCs/>
          <w:noProof/>
          <w:sz w:val="24"/>
        </w:rPr>
        <w:t>10</w:t>
      </w:r>
      <w:r w:rsidRPr="00FF28F4">
        <w:rPr>
          <w:rFonts w:ascii="Cambria" w:hAnsi="Cambria"/>
          <w:noProof/>
          <w:sz w:val="24"/>
        </w:rPr>
        <w:t>, e1004293.</w:t>
      </w:r>
    </w:p>
    <w:p w14:paraId="7777AB92"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25.</w:t>
      </w:r>
      <w:r w:rsidRPr="00FF28F4">
        <w:rPr>
          <w:rFonts w:ascii="Cambria" w:hAnsi="Cambria"/>
          <w:noProof/>
          <w:sz w:val="24"/>
        </w:rPr>
        <w:tab/>
        <w:t xml:space="preserve">Bloom, J. S., Ehrenreich, I. M., Loo, W. T., Lite, T.-L. V., and Kruglyak, L. (2013). Finding the sources of missing heritability in a yeast cross. Nature </w:t>
      </w:r>
      <w:r w:rsidRPr="00FF28F4">
        <w:rPr>
          <w:rFonts w:ascii="Cambria" w:hAnsi="Cambria"/>
          <w:i/>
          <w:iCs/>
          <w:noProof/>
          <w:sz w:val="24"/>
        </w:rPr>
        <w:t>494</w:t>
      </w:r>
      <w:r w:rsidRPr="00FF28F4">
        <w:rPr>
          <w:rFonts w:ascii="Cambria" w:hAnsi="Cambria"/>
          <w:noProof/>
          <w:sz w:val="24"/>
        </w:rPr>
        <w:t>, 234–7.</w:t>
      </w:r>
    </w:p>
    <w:p w14:paraId="44FE08C9"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lastRenderedPageBreak/>
        <w:t>26.</w:t>
      </w:r>
      <w:r w:rsidRPr="00FF28F4">
        <w:rPr>
          <w:rFonts w:ascii="Cambria" w:hAnsi="Cambria"/>
          <w:noProof/>
          <w:sz w:val="24"/>
        </w:rPr>
        <w:tab/>
        <w:t xml:space="preserve">Zhang, L.-N., Morgan, D. G., Clapham, J. C., and Speakman, J. R. (2012). Factors predicting nongenetic variability in body weight gain induced by a high-fat diet in inbred C57BL/6J mice. Obesity (Silver Spring). </w:t>
      </w:r>
      <w:r w:rsidRPr="00FF28F4">
        <w:rPr>
          <w:rFonts w:ascii="Cambria" w:hAnsi="Cambria"/>
          <w:i/>
          <w:iCs/>
          <w:noProof/>
          <w:sz w:val="24"/>
        </w:rPr>
        <w:t>20</w:t>
      </w:r>
      <w:r w:rsidRPr="00FF28F4">
        <w:rPr>
          <w:rFonts w:ascii="Cambria" w:hAnsi="Cambria"/>
          <w:noProof/>
          <w:sz w:val="24"/>
        </w:rPr>
        <w:t>, 1179–88.</w:t>
      </w:r>
    </w:p>
    <w:p w14:paraId="60A3CD86" w14:textId="77777777" w:rsidR="00FF28F4" w:rsidRPr="00FF28F4" w:rsidRDefault="00FF28F4">
      <w:pPr>
        <w:pStyle w:val="NormalWeb"/>
        <w:ind w:left="640" w:hanging="640"/>
        <w:divId w:val="77989807"/>
        <w:rPr>
          <w:rFonts w:ascii="Cambria" w:hAnsi="Cambria"/>
          <w:noProof/>
          <w:sz w:val="24"/>
        </w:rPr>
      </w:pPr>
      <w:r w:rsidRPr="00FF28F4">
        <w:rPr>
          <w:rFonts w:ascii="Cambria" w:hAnsi="Cambria"/>
          <w:noProof/>
          <w:sz w:val="24"/>
        </w:rPr>
        <w:t>27.</w:t>
      </w:r>
      <w:r w:rsidRPr="00FF28F4">
        <w:rPr>
          <w:rFonts w:ascii="Cambria" w:hAnsi="Cambria"/>
          <w:noProof/>
          <w:sz w:val="24"/>
        </w:rPr>
        <w:tab/>
        <w:t xml:space="preserve">Yang, Y., Smith, D. L., Keating, K. D., Allison, D. B., and Nagy, T. R. (2014). Variations in body weight, food intake, and body composition after long-term high-fat diet feeding in C57BL/6J mice. Obesity (Silver Spring). </w:t>
      </w:r>
      <w:r w:rsidRPr="00FF28F4">
        <w:rPr>
          <w:rFonts w:ascii="Cambria" w:hAnsi="Cambria"/>
          <w:i/>
          <w:iCs/>
          <w:noProof/>
          <w:sz w:val="24"/>
        </w:rPr>
        <w:t>00</w:t>
      </w:r>
      <w:r w:rsidRPr="00FF28F4">
        <w:rPr>
          <w:rFonts w:ascii="Cambria" w:hAnsi="Cambria"/>
          <w:noProof/>
          <w:sz w:val="24"/>
        </w:rPr>
        <w:t xml:space="preserve">, 1–9. </w:t>
      </w:r>
    </w:p>
    <w:p w14:paraId="725C333A" w14:textId="501D6FD8" w:rsidR="00594BC2" w:rsidRPr="007B01D8" w:rsidRDefault="00594BC2" w:rsidP="00FF28F4">
      <w:pPr>
        <w:pStyle w:val="NormalWeb"/>
        <w:ind w:left="640" w:hanging="640"/>
        <w:divId w:val="1677801120"/>
      </w:pPr>
      <w:r>
        <w:fldChar w:fldCharType="end"/>
      </w:r>
    </w:p>
    <w:sectPr w:rsidR="00594BC2" w:rsidRPr="007B01D8"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27A55"/>
    <w:multiLevelType w:val="hybridMultilevel"/>
    <w:tmpl w:val="B182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4270E"/>
    <w:multiLevelType w:val="hybridMultilevel"/>
    <w:tmpl w:val="984E5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2F59F9"/>
    <w:multiLevelType w:val="hybridMultilevel"/>
    <w:tmpl w:val="5FFA8EF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29"/>
    <w:rsid w:val="00023A25"/>
    <w:rsid w:val="00074264"/>
    <w:rsid w:val="000867BA"/>
    <w:rsid w:val="000973AD"/>
    <w:rsid w:val="000C4AA9"/>
    <w:rsid w:val="0012536A"/>
    <w:rsid w:val="001502D6"/>
    <w:rsid w:val="00165DF7"/>
    <w:rsid w:val="001701BF"/>
    <w:rsid w:val="00197D79"/>
    <w:rsid w:val="002149EC"/>
    <w:rsid w:val="00224DF8"/>
    <w:rsid w:val="00257D04"/>
    <w:rsid w:val="002E751F"/>
    <w:rsid w:val="003049AB"/>
    <w:rsid w:val="00346627"/>
    <w:rsid w:val="00380CA4"/>
    <w:rsid w:val="003A5DDA"/>
    <w:rsid w:val="003A791C"/>
    <w:rsid w:val="0045263D"/>
    <w:rsid w:val="00480F77"/>
    <w:rsid w:val="004810A3"/>
    <w:rsid w:val="004B4ED6"/>
    <w:rsid w:val="004C309B"/>
    <w:rsid w:val="004C4E28"/>
    <w:rsid w:val="004D2EC5"/>
    <w:rsid w:val="004E2286"/>
    <w:rsid w:val="00501B5F"/>
    <w:rsid w:val="00552AC8"/>
    <w:rsid w:val="005741FE"/>
    <w:rsid w:val="00594BC2"/>
    <w:rsid w:val="005A7923"/>
    <w:rsid w:val="00617CC1"/>
    <w:rsid w:val="00617FF3"/>
    <w:rsid w:val="00631F96"/>
    <w:rsid w:val="0065339D"/>
    <w:rsid w:val="00686E64"/>
    <w:rsid w:val="00687B7A"/>
    <w:rsid w:val="00695369"/>
    <w:rsid w:val="006A270D"/>
    <w:rsid w:val="006A661A"/>
    <w:rsid w:val="006C56B0"/>
    <w:rsid w:val="006E3DD3"/>
    <w:rsid w:val="006F4BDF"/>
    <w:rsid w:val="00701DE8"/>
    <w:rsid w:val="00734333"/>
    <w:rsid w:val="0074124A"/>
    <w:rsid w:val="007520EE"/>
    <w:rsid w:val="00774DDD"/>
    <w:rsid w:val="007840C4"/>
    <w:rsid w:val="007923CE"/>
    <w:rsid w:val="007B01D8"/>
    <w:rsid w:val="007E0977"/>
    <w:rsid w:val="007E171E"/>
    <w:rsid w:val="007E2A90"/>
    <w:rsid w:val="00807942"/>
    <w:rsid w:val="0082040F"/>
    <w:rsid w:val="008F5852"/>
    <w:rsid w:val="0090305D"/>
    <w:rsid w:val="00903F28"/>
    <w:rsid w:val="009109D7"/>
    <w:rsid w:val="00942102"/>
    <w:rsid w:val="00983FBA"/>
    <w:rsid w:val="009E609F"/>
    <w:rsid w:val="009E6DB7"/>
    <w:rsid w:val="00A01EEE"/>
    <w:rsid w:val="00A34EF3"/>
    <w:rsid w:val="00A86DD4"/>
    <w:rsid w:val="00A91CAE"/>
    <w:rsid w:val="00A94DF2"/>
    <w:rsid w:val="00AA4F71"/>
    <w:rsid w:val="00AA5EFD"/>
    <w:rsid w:val="00AA62A6"/>
    <w:rsid w:val="00AB000C"/>
    <w:rsid w:val="00AB1AFF"/>
    <w:rsid w:val="00AD279E"/>
    <w:rsid w:val="00AE1279"/>
    <w:rsid w:val="00AF4DB9"/>
    <w:rsid w:val="00B3527E"/>
    <w:rsid w:val="00B50A5D"/>
    <w:rsid w:val="00B775C2"/>
    <w:rsid w:val="00B843A9"/>
    <w:rsid w:val="00B879CE"/>
    <w:rsid w:val="00B910B2"/>
    <w:rsid w:val="00BB531D"/>
    <w:rsid w:val="00BD4565"/>
    <w:rsid w:val="00BD67C8"/>
    <w:rsid w:val="00C04A86"/>
    <w:rsid w:val="00C0523D"/>
    <w:rsid w:val="00C3790F"/>
    <w:rsid w:val="00C414FC"/>
    <w:rsid w:val="00C452F0"/>
    <w:rsid w:val="00C5168C"/>
    <w:rsid w:val="00C73CB5"/>
    <w:rsid w:val="00C821B5"/>
    <w:rsid w:val="00C8232A"/>
    <w:rsid w:val="00CB7625"/>
    <w:rsid w:val="00CD680E"/>
    <w:rsid w:val="00D034C3"/>
    <w:rsid w:val="00D26FE4"/>
    <w:rsid w:val="00D51751"/>
    <w:rsid w:val="00D538A4"/>
    <w:rsid w:val="00D60D3E"/>
    <w:rsid w:val="00D851E3"/>
    <w:rsid w:val="00D966C7"/>
    <w:rsid w:val="00DC038A"/>
    <w:rsid w:val="00DF19F5"/>
    <w:rsid w:val="00E10E45"/>
    <w:rsid w:val="00E1186E"/>
    <w:rsid w:val="00E270C1"/>
    <w:rsid w:val="00E31140"/>
    <w:rsid w:val="00E429CB"/>
    <w:rsid w:val="00E84CD6"/>
    <w:rsid w:val="00EA33F9"/>
    <w:rsid w:val="00EB52D2"/>
    <w:rsid w:val="00EC716A"/>
    <w:rsid w:val="00ED0EED"/>
    <w:rsid w:val="00ED7494"/>
    <w:rsid w:val="00EF5C51"/>
    <w:rsid w:val="00F048AE"/>
    <w:rsid w:val="00F17272"/>
    <w:rsid w:val="00F2593F"/>
    <w:rsid w:val="00F75FBF"/>
    <w:rsid w:val="00F87980"/>
    <w:rsid w:val="00F93C51"/>
    <w:rsid w:val="00FC2429"/>
    <w:rsid w:val="00FD214A"/>
    <w:rsid w:val="00FF28F4"/>
    <w:rsid w:val="00FF77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4430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D851E3"/>
    <w:rPr>
      <w:sz w:val="18"/>
      <w:szCs w:val="18"/>
    </w:rPr>
  </w:style>
  <w:style w:type="paragraph" w:styleId="CommentText">
    <w:name w:val="annotation text"/>
    <w:basedOn w:val="Normal"/>
    <w:link w:val="CommentTextChar"/>
    <w:uiPriority w:val="99"/>
    <w:semiHidden/>
    <w:unhideWhenUsed/>
    <w:rsid w:val="00D851E3"/>
  </w:style>
  <w:style w:type="character" w:customStyle="1" w:styleId="CommentTextChar">
    <w:name w:val="Comment Text Char"/>
    <w:basedOn w:val="DefaultParagraphFont"/>
    <w:link w:val="CommentText"/>
    <w:uiPriority w:val="99"/>
    <w:semiHidden/>
    <w:rsid w:val="00D851E3"/>
  </w:style>
  <w:style w:type="paragraph" w:styleId="CommentSubject">
    <w:name w:val="annotation subject"/>
    <w:basedOn w:val="CommentText"/>
    <w:next w:val="CommentText"/>
    <w:link w:val="CommentSubjectChar"/>
    <w:uiPriority w:val="99"/>
    <w:semiHidden/>
    <w:unhideWhenUsed/>
    <w:rsid w:val="00D851E3"/>
    <w:rPr>
      <w:b/>
      <w:bCs/>
      <w:sz w:val="20"/>
      <w:szCs w:val="20"/>
    </w:rPr>
  </w:style>
  <w:style w:type="character" w:customStyle="1" w:styleId="CommentSubjectChar">
    <w:name w:val="Comment Subject Char"/>
    <w:basedOn w:val="CommentTextChar"/>
    <w:link w:val="CommentSubject"/>
    <w:uiPriority w:val="99"/>
    <w:semiHidden/>
    <w:rsid w:val="00D851E3"/>
    <w:rPr>
      <w:b/>
      <w:bCs/>
      <w:sz w:val="20"/>
      <w:szCs w:val="20"/>
    </w:rPr>
  </w:style>
  <w:style w:type="table" w:styleId="TableGrid">
    <w:name w:val="Table Grid"/>
    <w:basedOn w:val="TableNormal"/>
    <w:uiPriority w:val="59"/>
    <w:rsid w:val="009E6D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D851E3"/>
    <w:rPr>
      <w:sz w:val="18"/>
      <w:szCs w:val="18"/>
    </w:rPr>
  </w:style>
  <w:style w:type="paragraph" w:styleId="CommentText">
    <w:name w:val="annotation text"/>
    <w:basedOn w:val="Normal"/>
    <w:link w:val="CommentTextChar"/>
    <w:uiPriority w:val="99"/>
    <w:semiHidden/>
    <w:unhideWhenUsed/>
    <w:rsid w:val="00D851E3"/>
  </w:style>
  <w:style w:type="character" w:customStyle="1" w:styleId="CommentTextChar">
    <w:name w:val="Comment Text Char"/>
    <w:basedOn w:val="DefaultParagraphFont"/>
    <w:link w:val="CommentText"/>
    <w:uiPriority w:val="99"/>
    <w:semiHidden/>
    <w:rsid w:val="00D851E3"/>
  </w:style>
  <w:style w:type="paragraph" w:styleId="CommentSubject">
    <w:name w:val="annotation subject"/>
    <w:basedOn w:val="CommentText"/>
    <w:next w:val="CommentText"/>
    <w:link w:val="CommentSubjectChar"/>
    <w:uiPriority w:val="99"/>
    <w:semiHidden/>
    <w:unhideWhenUsed/>
    <w:rsid w:val="00D851E3"/>
    <w:rPr>
      <w:b/>
      <w:bCs/>
      <w:sz w:val="20"/>
      <w:szCs w:val="20"/>
    </w:rPr>
  </w:style>
  <w:style w:type="character" w:customStyle="1" w:styleId="CommentSubjectChar">
    <w:name w:val="Comment Subject Char"/>
    <w:basedOn w:val="CommentTextChar"/>
    <w:link w:val="CommentSubject"/>
    <w:uiPriority w:val="99"/>
    <w:semiHidden/>
    <w:rsid w:val="00D851E3"/>
    <w:rPr>
      <w:b/>
      <w:bCs/>
      <w:sz w:val="20"/>
      <w:szCs w:val="20"/>
    </w:rPr>
  </w:style>
  <w:style w:type="table" w:styleId="TableGrid">
    <w:name w:val="Table Grid"/>
    <w:basedOn w:val="TableNormal"/>
    <w:uiPriority w:val="59"/>
    <w:rsid w:val="009E6D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490987">
      <w:bodyDiv w:val="1"/>
      <w:marLeft w:val="0"/>
      <w:marRight w:val="0"/>
      <w:marTop w:val="0"/>
      <w:marBottom w:val="0"/>
      <w:divBdr>
        <w:top w:val="none" w:sz="0" w:space="0" w:color="auto"/>
        <w:left w:val="none" w:sz="0" w:space="0" w:color="auto"/>
        <w:bottom w:val="none" w:sz="0" w:space="0" w:color="auto"/>
        <w:right w:val="none" w:sz="0" w:space="0" w:color="auto"/>
      </w:divBdr>
      <w:divsChild>
        <w:div w:id="1293638582">
          <w:marLeft w:val="0"/>
          <w:marRight w:val="0"/>
          <w:marTop w:val="0"/>
          <w:marBottom w:val="0"/>
          <w:divBdr>
            <w:top w:val="none" w:sz="0" w:space="0" w:color="auto"/>
            <w:left w:val="none" w:sz="0" w:space="0" w:color="auto"/>
            <w:bottom w:val="none" w:sz="0" w:space="0" w:color="auto"/>
            <w:right w:val="none" w:sz="0" w:space="0" w:color="auto"/>
          </w:divBdr>
          <w:divsChild>
            <w:div w:id="1356544666">
              <w:marLeft w:val="0"/>
              <w:marRight w:val="0"/>
              <w:marTop w:val="0"/>
              <w:marBottom w:val="0"/>
              <w:divBdr>
                <w:top w:val="none" w:sz="0" w:space="0" w:color="auto"/>
                <w:left w:val="none" w:sz="0" w:space="0" w:color="auto"/>
                <w:bottom w:val="none" w:sz="0" w:space="0" w:color="auto"/>
                <w:right w:val="none" w:sz="0" w:space="0" w:color="auto"/>
              </w:divBdr>
              <w:divsChild>
                <w:div w:id="701831657">
                  <w:marLeft w:val="0"/>
                  <w:marRight w:val="0"/>
                  <w:marTop w:val="0"/>
                  <w:marBottom w:val="0"/>
                  <w:divBdr>
                    <w:top w:val="none" w:sz="0" w:space="0" w:color="auto"/>
                    <w:left w:val="none" w:sz="0" w:space="0" w:color="auto"/>
                    <w:bottom w:val="none" w:sz="0" w:space="0" w:color="auto"/>
                    <w:right w:val="none" w:sz="0" w:space="0" w:color="auto"/>
                  </w:divBdr>
                  <w:divsChild>
                    <w:div w:id="1652756464">
                      <w:marLeft w:val="0"/>
                      <w:marRight w:val="0"/>
                      <w:marTop w:val="0"/>
                      <w:marBottom w:val="0"/>
                      <w:divBdr>
                        <w:top w:val="none" w:sz="0" w:space="0" w:color="auto"/>
                        <w:left w:val="none" w:sz="0" w:space="0" w:color="auto"/>
                        <w:bottom w:val="none" w:sz="0" w:space="0" w:color="auto"/>
                        <w:right w:val="none" w:sz="0" w:space="0" w:color="auto"/>
                      </w:divBdr>
                      <w:divsChild>
                        <w:div w:id="962272852">
                          <w:marLeft w:val="0"/>
                          <w:marRight w:val="0"/>
                          <w:marTop w:val="0"/>
                          <w:marBottom w:val="0"/>
                          <w:divBdr>
                            <w:top w:val="none" w:sz="0" w:space="0" w:color="auto"/>
                            <w:left w:val="none" w:sz="0" w:space="0" w:color="auto"/>
                            <w:bottom w:val="none" w:sz="0" w:space="0" w:color="auto"/>
                            <w:right w:val="none" w:sz="0" w:space="0" w:color="auto"/>
                          </w:divBdr>
                          <w:divsChild>
                            <w:div w:id="1001733676">
                              <w:marLeft w:val="0"/>
                              <w:marRight w:val="0"/>
                              <w:marTop w:val="0"/>
                              <w:marBottom w:val="0"/>
                              <w:divBdr>
                                <w:top w:val="none" w:sz="0" w:space="0" w:color="auto"/>
                                <w:left w:val="none" w:sz="0" w:space="0" w:color="auto"/>
                                <w:bottom w:val="none" w:sz="0" w:space="0" w:color="auto"/>
                                <w:right w:val="none" w:sz="0" w:space="0" w:color="auto"/>
                              </w:divBdr>
                              <w:divsChild>
                                <w:div w:id="946230987">
                                  <w:marLeft w:val="0"/>
                                  <w:marRight w:val="0"/>
                                  <w:marTop w:val="0"/>
                                  <w:marBottom w:val="0"/>
                                  <w:divBdr>
                                    <w:top w:val="none" w:sz="0" w:space="0" w:color="auto"/>
                                    <w:left w:val="none" w:sz="0" w:space="0" w:color="auto"/>
                                    <w:bottom w:val="none" w:sz="0" w:space="0" w:color="auto"/>
                                    <w:right w:val="none" w:sz="0" w:space="0" w:color="auto"/>
                                  </w:divBdr>
                                  <w:divsChild>
                                    <w:div w:id="1840458645">
                                      <w:marLeft w:val="0"/>
                                      <w:marRight w:val="0"/>
                                      <w:marTop w:val="0"/>
                                      <w:marBottom w:val="0"/>
                                      <w:divBdr>
                                        <w:top w:val="none" w:sz="0" w:space="0" w:color="auto"/>
                                        <w:left w:val="none" w:sz="0" w:space="0" w:color="auto"/>
                                        <w:bottom w:val="none" w:sz="0" w:space="0" w:color="auto"/>
                                        <w:right w:val="none" w:sz="0" w:space="0" w:color="auto"/>
                                      </w:divBdr>
                                      <w:divsChild>
                                        <w:div w:id="2051146680">
                                          <w:marLeft w:val="0"/>
                                          <w:marRight w:val="0"/>
                                          <w:marTop w:val="0"/>
                                          <w:marBottom w:val="0"/>
                                          <w:divBdr>
                                            <w:top w:val="none" w:sz="0" w:space="0" w:color="auto"/>
                                            <w:left w:val="none" w:sz="0" w:space="0" w:color="auto"/>
                                            <w:bottom w:val="none" w:sz="0" w:space="0" w:color="auto"/>
                                            <w:right w:val="none" w:sz="0" w:space="0" w:color="auto"/>
                                          </w:divBdr>
                                          <w:divsChild>
                                            <w:div w:id="194269268">
                                              <w:marLeft w:val="0"/>
                                              <w:marRight w:val="0"/>
                                              <w:marTop w:val="0"/>
                                              <w:marBottom w:val="0"/>
                                              <w:divBdr>
                                                <w:top w:val="none" w:sz="0" w:space="0" w:color="auto"/>
                                                <w:left w:val="none" w:sz="0" w:space="0" w:color="auto"/>
                                                <w:bottom w:val="none" w:sz="0" w:space="0" w:color="auto"/>
                                                <w:right w:val="none" w:sz="0" w:space="0" w:color="auto"/>
                                              </w:divBdr>
                                              <w:divsChild>
                                                <w:div w:id="924918365">
                                                  <w:marLeft w:val="0"/>
                                                  <w:marRight w:val="0"/>
                                                  <w:marTop w:val="0"/>
                                                  <w:marBottom w:val="0"/>
                                                  <w:divBdr>
                                                    <w:top w:val="none" w:sz="0" w:space="0" w:color="auto"/>
                                                    <w:left w:val="none" w:sz="0" w:space="0" w:color="auto"/>
                                                    <w:bottom w:val="none" w:sz="0" w:space="0" w:color="auto"/>
                                                    <w:right w:val="none" w:sz="0" w:space="0" w:color="auto"/>
                                                  </w:divBdr>
                                                  <w:divsChild>
                                                    <w:div w:id="115871734">
                                                      <w:marLeft w:val="0"/>
                                                      <w:marRight w:val="0"/>
                                                      <w:marTop w:val="0"/>
                                                      <w:marBottom w:val="0"/>
                                                      <w:divBdr>
                                                        <w:top w:val="none" w:sz="0" w:space="0" w:color="auto"/>
                                                        <w:left w:val="none" w:sz="0" w:space="0" w:color="auto"/>
                                                        <w:bottom w:val="none" w:sz="0" w:space="0" w:color="auto"/>
                                                        <w:right w:val="none" w:sz="0" w:space="0" w:color="auto"/>
                                                      </w:divBdr>
                                                      <w:divsChild>
                                                        <w:div w:id="1102459453">
                                                          <w:marLeft w:val="0"/>
                                                          <w:marRight w:val="0"/>
                                                          <w:marTop w:val="0"/>
                                                          <w:marBottom w:val="0"/>
                                                          <w:divBdr>
                                                            <w:top w:val="none" w:sz="0" w:space="0" w:color="auto"/>
                                                            <w:left w:val="none" w:sz="0" w:space="0" w:color="auto"/>
                                                            <w:bottom w:val="none" w:sz="0" w:space="0" w:color="auto"/>
                                                            <w:right w:val="none" w:sz="0" w:space="0" w:color="auto"/>
                                                          </w:divBdr>
                                                          <w:divsChild>
                                                            <w:div w:id="1677801120">
                                                              <w:marLeft w:val="0"/>
                                                              <w:marRight w:val="0"/>
                                                              <w:marTop w:val="0"/>
                                                              <w:marBottom w:val="0"/>
                                                              <w:divBdr>
                                                                <w:top w:val="none" w:sz="0" w:space="0" w:color="auto"/>
                                                                <w:left w:val="none" w:sz="0" w:space="0" w:color="auto"/>
                                                                <w:bottom w:val="none" w:sz="0" w:space="0" w:color="auto"/>
                                                                <w:right w:val="none" w:sz="0" w:space="0" w:color="auto"/>
                                                              </w:divBdr>
                                                              <w:divsChild>
                                                                <w:div w:id="7798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herpa.ac.uk/romeo/issn/2090-0708/"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biorxiv.org/content/early/2014/04/23/0042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14</Pages>
  <Words>17134</Words>
  <Characters>97665</Characters>
  <Application>Microsoft Macintosh Word</Application>
  <DocSecurity>0</DocSecurity>
  <Lines>813</Lines>
  <Paragraphs>229</Paragraphs>
  <ScaleCrop>false</ScaleCrop>
  <Company>UT-HSC</Company>
  <LinksUpToDate>false</LinksUpToDate>
  <CharactersWithSpaces>114570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71</cp:revision>
  <dcterms:created xsi:type="dcterms:W3CDTF">2014-05-23T11:57:00Z</dcterms:created>
  <dcterms:modified xsi:type="dcterms:W3CDTF">2014-06-30T15:06:00Z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http://www.zotero.org/styles/journal-of-endocrinology</vt:lpwstr>
  </property>
  <property fmtid="{D5CDD505-2E9C-101B-9397-08002B2CF9AE}" pid="20" name="Mendeley Recent Style Name 7_1">
    <vt:lpwstr>Journal of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