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1F6516BF" w14:textId="77777777" w:rsidR="009C0806" w:rsidRPr="009C0806" w:rsidRDefault="009C0806" w:rsidP="009C0806">
      <w:pPr>
        <w:rPr>
          <w:rFonts w:ascii="Times New Roman" w:eastAsia="Times New Roman" w:hAnsi="Times New Roman" w:cs="Times New Roman"/>
        </w:rPr>
      </w:pPr>
      <w:r w:rsidRPr="009C0806">
        <w:rPr>
          <w:rFonts w:ascii="Times New Roman" w:eastAsia="Times New Roman" w:hAnsi="Times New Roman" w:cs="Times New Roman"/>
          <w:color w:val="000000"/>
        </w:rPr>
        <w:t xml:space="preserve">The ketogenic diet (KD), consisting of very-low-carbohydrate and high-fat content, is an emerging and effective method for weight loss and glucose control. In a previous study, mice were placed on a KD or matched controls (CD) for four weeks. Mice on a KD gained less fat mass and lean mass compared to those on CD despite consuming more calories. The satiety hormone, GDF15, was increased by the KD in both liver mRNA and blood. To further investigate the effects of GDF15 on appetite in relation to a KD, we used a GDF15-knockout model where mice do not have the ability to produce GDF15. We hypothesize that the GDF15-KO mice will consume more calories on a KD compared to their wildtype (WT) counterparts and gain more body mass on the CD. Another aspect of carbohydrate restriction is the activation of the hypothalamic-pituitary-adrenal (HPA) axis, resulting in glucocorticoid elevation. We compared cortisol levels and GDF15 levels in human patients and found that these were tightly correlated. To understand the relationship between the HPA axis and GDF15 we investigated serum and liver mRNA expression from mice treated with the synthetic glucocorticoid dexamethasone and found elevations in GDF15. To look at this response </w:t>
      </w:r>
      <w:r w:rsidRPr="009C0806">
        <w:rPr>
          <w:rFonts w:ascii="Times New Roman" w:eastAsia="Times New Roman" w:hAnsi="Times New Roman" w:cs="Times New Roman"/>
          <w:i/>
          <w:iCs/>
          <w:color w:val="000000"/>
        </w:rPr>
        <w:t xml:space="preserve">in vitro </w:t>
      </w:r>
      <w:r w:rsidRPr="009C0806">
        <w:rPr>
          <w:rFonts w:ascii="Times New Roman" w:eastAsia="Times New Roman" w:hAnsi="Times New Roman" w:cs="Times New Roman"/>
          <w:color w:val="000000"/>
        </w:rPr>
        <w:t xml:space="preserve">we exposed liver hepatoma cells, either AML12 or Hepa1c, to the glucocorticoid dexamethasone and found downregulation of GDF15 indicating that the </w:t>
      </w:r>
      <w:r w:rsidRPr="009C0806">
        <w:rPr>
          <w:rFonts w:ascii="Times New Roman" w:eastAsia="Times New Roman" w:hAnsi="Times New Roman" w:cs="Times New Roman"/>
          <w:i/>
          <w:iCs/>
          <w:color w:val="000000"/>
        </w:rPr>
        <w:t>in vivo</w:t>
      </w:r>
      <w:r w:rsidRPr="009C0806">
        <w:rPr>
          <w:rFonts w:ascii="Times New Roman" w:eastAsia="Times New Roman" w:hAnsi="Times New Roman" w:cs="Times New Roman"/>
          <w:color w:val="000000"/>
        </w:rPr>
        <w:t xml:space="preserve"> activation may not be cell autonomous. Our study aims to elucidate some of the mechanisms by which GDF15 affects appetite and metabolic regulation of weight loss.</w:t>
      </w:r>
    </w:p>
    <w:p w14:paraId="04265896" w14:textId="77777777" w:rsidR="009C0806" w:rsidRPr="009C0806" w:rsidRDefault="009C0806" w:rsidP="009C0806">
      <w:pPr>
        <w:rPr>
          <w:rFonts w:ascii="Times New Roman" w:eastAsia="Times New Roman" w:hAnsi="Times New Roman" w:cs="Times New Roman"/>
        </w:rPr>
      </w:pP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92C5581"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r w:rsidR="00D17276">
        <w:t>All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t>Mouse Weight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M WY-14643 to activate PPAR</w:t>
      </w:r>
      <w:r w:rsidR="00CF2D6D" w:rsidRPr="007F1182">
        <w:rPr>
          <w:rFonts w:ascii="Symbol" w:hAnsi="Symbol"/>
        </w:rPr>
        <w:t></w:t>
      </w:r>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CF2D6D">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4E5FEB2" w:rsidR="003E4C58"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 relative to control diets (p&lt;0.001, Figure 1F).  </w:t>
      </w:r>
    </w:p>
    <w:p w14:paraId="0668AF49" w14:textId="77777777" w:rsidR="00A72A84" w:rsidRPr="007C37D9" w:rsidRDefault="00A72A84" w:rsidP="003E4C58"/>
    <w:p w14:paraId="532211B9" w14:textId="331DE6D3" w:rsidR="007C37D9" w:rsidRPr="007C37D9" w:rsidRDefault="00A72A84" w:rsidP="003E4C58">
      <w:r>
        <w:t>We found an induction of GDF15</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1B3176A5" w:rsidR="00D60CFE" w:rsidRPr="007C37D9" w:rsidRDefault="00D60CFE" w:rsidP="00D60CFE">
      <w:r>
        <w:t xml:space="preserve">While GDF15 is likely made in many tissues, due to the key role of the liver in responses to ketogenic diets, we examined liver mRNA expression and found a similar XXX in both male and female mice.  </w:t>
      </w:r>
      <w:bookmarkStart w:id="0" w:name="_GoBack"/>
      <w:bookmarkEnd w:id="0"/>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 xml:space="preserve">As such, it is plausible that GDF15 is only physiologically </w:t>
      </w:r>
      <w:r w:rsidRPr="0098529C">
        <w:rPr>
          <w:shd w:val="clear" w:color="auto" w:fill="FFFFFF"/>
        </w:rPr>
        <w:lastRenderedPageBreak/>
        <w:t>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lastRenderedPageBreak/>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w:t>
      </w:r>
      <w:r w:rsidRPr="007F1182">
        <w:rPr>
          <w:rFonts w:ascii="Century Schoolbook" w:hAnsi="Century Schoolbook" w:cs="Times New Roman"/>
          <w:noProof/>
        </w:rPr>
        <w:lastRenderedPageBreak/>
        <w:t xml:space="preserve">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lastRenderedPageBreak/>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E755B"/>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B767F"/>
    <w:rsid w:val="009C0806"/>
    <w:rsid w:val="009E3923"/>
    <w:rsid w:val="009F57B1"/>
    <w:rsid w:val="00A008C7"/>
    <w:rsid w:val="00A2647E"/>
    <w:rsid w:val="00A31956"/>
    <w:rsid w:val="00A72A84"/>
    <w:rsid w:val="00A857D5"/>
    <w:rsid w:val="00AD2F62"/>
    <w:rsid w:val="00AF42BC"/>
    <w:rsid w:val="00AF6D0B"/>
    <w:rsid w:val="00B55A26"/>
    <w:rsid w:val="00BD701D"/>
    <w:rsid w:val="00C57D5F"/>
    <w:rsid w:val="00C70284"/>
    <w:rsid w:val="00CA1206"/>
    <w:rsid w:val="00CF2D6D"/>
    <w:rsid w:val="00D17276"/>
    <w:rsid w:val="00D60CFE"/>
    <w:rsid w:val="00D957CE"/>
    <w:rsid w:val="00DA6600"/>
    <w:rsid w:val="00DF33AC"/>
    <w:rsid w:val="00E32D7B"/>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 w:type="paragraph" w:styleId="NormalWeb">
    <w:name w:val="Normal (Web)"/>
    <w:basedOn w:val="Normal"/>
    <w:uiPriority w:val="99"/>
    <w:semiHidden/>
    <w:unhideWhenUsed/>
    <w:rsid w:val="009C08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06730987">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0DE1-3836-8146-A73F-6BA6F957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19804</Words>
  <Characters>112889</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43</cp:revision>
  <dcterms:created xsi:type="dcterms:W3CDTF">2020-02-05T19:13:00Z</dcterms:created>
  <dcterms:modified xsi:type="dcterms:W3CDTF">2020-02-27T18:35:00Z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