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0B8C003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r w:rsidR="001C4F59">
        <w:rPr>
          <w:rFonts w:ascii="Arial" w:eastAsia="Times New Roman" w:hAnsi="Arial" w:cs="Arial"/>
          <w:color w:val="252525"/>
          <w:sz w:val="21"/>
          <w:szCs w:val="21"/>
          <w:shd w:val="clear" w:color="auto" w:fill="FFFFFF"/>
        </w:rPr>
        <w:t xml:space="preserve">Detrick S. Snyder, </w:t>
      </w:r>
      <w:r w:rsidR="00B514CE">
        <w:rPr>
          <w:rFonts w:ascii="Arial" w:eastAsia="Times New Roman" w:hAnsi="Arial" w:cs="Arial"/>
          <w:color w:val="252525"/>
          <w:sz w:val="21"/>
          <w:szCs w:val="21"/>
          <w:shd w:val="clear" w:color="auto" w:fill="FFFFFF"/>
        </w:rPr>
        <w:t xml:space="preserve">Molly C. </w:t>
      </w:r>
      <w:proofErr w:type="spellStart"/>
      <w:r w:rsidR="00B514CE">
        <w:rPr>
          <w:rFonts w:ascii="Arial" w:eastAsia="Times New Roman" w:hAnsi="Arial" w:cs="Arial"/>
          <w:color w:val="252525"/>
          <w:sz w:val="21"/>
          <w:szCs w:val="21"/>
          <w:shd w:val="clear" w:color="auto" w:fill="FFFFFF"/>
        </w:rPr>
        <w:t>Mulcahy</w:t>
      </w:r>
      <w:proofErr w:type="spellEnd"/>
      <w:r w:rsidR="00B514CE">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2D6A731"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B04431">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B04431">
        <w:rPr>
          <w:rFonts w:ascii="Times New Roman" w:hAnsi="Times New Roman" w:cs="Times New Roman"/>
          <w:shd w:val="clear" w:color="auto" w:fill="FFFFFF"/>
        </w:rPr>
        <w:instrText>ʼ</w:instrText>
      </w:r>
      <w:r w:rsidR="00B04431">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001C4F59">
        <w:rPr>
          <w:shd w:val="clear" w:color="auto" w:fill="FFFFFF"/>
        </w:rPr>
        <w:t xml:space="preserve">when </w:t>
      </w:r>
      <w:r w:rsidRPr="00663579">
        <w:rPr>
          <w:shd w:val="clear" w:color="auto" w:fill="FFFFFF"/>
        </w:rPr>
        <w:t xml:space="preserve">GDF15 causes a </w:t>
      </w:r>
      <w:r w:rsidR="001C4F59">
        <w:rPr>
          <w:shd w:val="clear" w:color="auto" w:fill="FFFFFF"/>
        </w:rPr>
        <w:t xml:space="preserve">specific </w:t>
      </w:r>
      <w:r w:rsidRPr="00663579">
        <w:rPr>
          <w:shd w:val="clear" w:color="auto" w:fill="FFFFFF"/>
        </w:rPr>
        <w:t xml:space="preserve">reduction in lipid consumption, not other macronutrients </w:t>
      </w:r>
      <w:r>
        <w:rPr>
          <w:shd w:val="clear" w:color="auto" w:fill="FFFFFF"/>
        </w:rPr>
        <w:fldChar w:fldCharType="begin" w:fldLock="1"/>
      </w:r>
      <w:r w:rsidR="00B04431">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500E181D" w:rsidR="00A857D5" w:rsidRDefault="007C37D9" w:rsidP="007C37D9">
      <w:pPr>
        <w:pStyle w:val="Heading2"/>
        <w:rPr>
          <w:rFonts w:eastAsia="Times New Roman"/>
          <w:shd w:val="clear" w:color="auto" w:fill="FFFFFF"/>
        </w:rPr>
      </w:pPr>
      <w:r>
        <w:rPr>
          <w:rFonts w:eastAsia="Times New Roman"/>
          <w:shd w:val="clear" w:color="auto" w:fill="FFFFFF"/>
        </w:rPr>
        <w:t xml:space="preserve">Animal </w:t>
      </w:r>
      <w:r w:rsidR="00B3215F">
        <w:rPr>
          <w:rFonts w:eastAsia="Times New Roman"/>
          <w:shd w:val="clear" w:color="auto" w:fill="FFFFFF"/>
        </w:rPr>
        <w:t>Husbandry</w:t>
      </w:r>
      <w:bookmarkStart w:id="0" w:name="_GoBack"/>
      <w:bookmarkEnd w:id="0"/>
      <w:r>
        <w:rPr>
          <w:rFonts w:eastAsia="Times New Roman"/>
          <w:shd w:val="clear" w:color="auto" w:fill="FFFFFF"/>
        </w:rPr>
        <w:t xml:space="preserve"> and Diets</w:t>
      </w:r>
    </w:p>
    <w:p w14:paraId="379C2929" w14:textId="77777777" w:rsidR="00D17276" w:rsidRPr="00D17276" w:rsidRDefault="00D17276" w:rsidP="00D17276"/>
    <w:p w14:paraId="57EF9CE2" w14:textId="4CE5D049" w:rsidR="0002220D" w:rsidRDefault="0002220D" w:rsidP="0002220D">
      <w:r>
        <w:t>Animals were either purchased from the Jackson Laboratory (A/J mice</w:t>
      </w:r>
      <w:r w:rsidR="00D17276">
        <w:t xml:space="preserve">; </w:t>
      </w:r>
      <w:r w:rsidR="006822DD">
        <w:t xml:space="preserve">stock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B04431">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t>
      </w:r>
      <w:r w:rsidR="006822DD">
        <w:t>fed</w:t>
      </w:r>
      <w:r w:rsidR="00D17276">
        <w:t xml:space="preserve"> NCD until ten weeks of age and then transferred to CD or KD as described.  </w:t>
      </w:r>
      <w:r w:rsidR="006822DD">
        <w:t xml:space="preserve">Muscle </w:t>
      </w:r>
      <w:r w:rsidR="006822DD" w:rsidRPr="006822DD">
        <w:rPr>
          <w:i/>
        </w:rPr>
        <w:t>Tsc1</w:t>
      </w:r>
      <w:r w:rsidR="006822DD">
        <w:t xml:space="preserve"> knockout mice were generated </w:t>
      </w:r>
      <w:r w:rsidR="006822DD" w:rsidRPr="006822DD">
        <w:t>by crossing FVB-</w:t>
      </w:r>
      <w:proofErr w:type="spellStart"/>
      <w:proofErr w:type="gramStart"/>
      <w:r w:rsidR="006822DD" w:rsidRPr="006822DD">
        <w:t>Tg</w:t>
      </w:r>
      <w:proofErr w:type="spellEnd"/>
      <w:r w:rsidR="006822DD" w:rsidRPr="006822DD">
        <w:t>(</w:t>
      </w:r>
      <w:proofErr w:type="spellStart"/>
      <w:proofErr w:type="gramEnd"/>
      <w:r w:rsidR="006822DD" w:rsidRPr="00BF4C02">
        <w:rPr>
          <w:i/>
        </w:rPr>
        <w:t>Ckmm-Cre</w:t>
      </w:r>
      <w:proofErr w:type="spellEnd"/>
      <w:r w:rsidR="006822DD" w:rsidRPr="006822DD">
        <w:t>)5Khn/J transgenic mice (</w:t>
      </w:r>
      <w:r w:rsidR="006822DD">
        <w:t xml:space="preserve">Jackson Laboratory </w:t>
      </w:r>
      <w:r w:rsidR="006822DD" w:rsidRPr="006822DD">
        <w:t xml:space="preserve">stock 006405) with </w:t>
      </w:r>
      <w:proofErr w:type="spellStart"/>
      <w:r w:rsidR="006822DD" w:rsidRPr="006822DD">
        <w:t>floxed</w:t>
      </w:r>
      <w:proofErr w:type="spellEnd"/>
      <w:r w:rsidR="006822DD" w:rsidRPr="006822DD">
        <w:t xml:space="preserve"> </w:t>
      </w:r>
      <w:r w:rsidR="006822DD" w:rsidRPr="006822DD">
        <w:rPr>
          <w:i/>
        </w:rPr>
        <w:t>Tsc1</w:t>
      </w:r>
      <w:r w:rsidR="006822DD" w:rsidRPr="006822DD">
        <w:rPr>
          <w:vertAlign w:val="superscript"/>
        </w:rPr>
        <w:t xml:space="preserve">tm1Djk/J </w:t>
      </w:r>
      <w:r w:rsidR="006822DD" w:rsidRPr="006822DD">
        <w:t>mice (stock 005680)</w:t>
      </w:r>
      <w:r w:rsidR="006822DD">
        <w:t xml:space="preserve">.  Wild-type mice are defined as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proofErr w:type="spellEnd"/>
      <w:r w:rsidR="006822DD" w:rsidRPr="006822DD">
        <w:rPr>
          <w:vertAlign w:val="superscript"/>
        </w:rPr>
        <w:t>+/+</w:t>
      </w:r>
      <w:r w:rsidR="006822DD">
        <w:t xml:space="preserve"> while knockout mice were </w:t>
      </w:r>
      <w:r w:rsidR="006822DD" w:rsidRPr="006822DD">
        <w:rPr>
          <w:i/>
        </w:rPr>
        <w:t>Tsc1</w:t>
      </w:r>
      <w:r w:rsidR="006822DD" w:rsidRPr="006822DD">
        <w:rPr>
          <w:vertAlign w:val="superscript"/>
        </w:rPr>
        <w:t>fl/</w:t>
      </w:r>
      <w:proofErr w:type="spellStart"/>
      <w:r w:rsidR="006822DD" w:rsidRPr="006822DD">
        <w:rPr>
          <w:vertAlign w:val="superscript"/>
        </w:rPr>
        <w:t>fl</w:t>
      </w:r>
      <w:proofErr w:type="spellEnd"/>
      <w:r w:rsidR="006822DD">
        <w:t xml:space="preserve">, </w:t>
      </w:r>
      <w:proofErr w:type="spellStart"/>
      <w:r w:rsidR="006822DD" w:rsidRPr="006822DD">
        <w:rPr>
          <w:i/>
        </w:rPr>
        <w:t>Ckmm-Cre</w:t>
      </w:r>
      <w:r w:rsidR="006822DD" w:rsidRPr="006822DD">
        <w:rPr>
          <w:vertAlign w:val="superscript"/>
        </w:rPr>
        <w:t>T</w:t>
      </w:r>
      <w:r w:rsidR="006822DD" w:rsidRPr="006822DD">
        <w:rPr>
          <w:vertAlign w:val="superscript"/>
        </w:rPr>
        <w:t>g</w:t>
      </w:r>
      <w:proofErr w:type="spellEnd"/>
      <w:r w:rsidR="006822DD" w:rsidRPr="006822DD">
        <w:rPr>
          <w:vertAlign w:val="superscript"/>
        </w:rPr>
        <w:t>/+</w:t>
      </w:r>
      <w:r w:rsidR="006822DD">
        <w:t xml:space="preserve">.  More details about these mice can be found in </w:t>
      </w:r>
      <w:r w:rsidR="006822DD">
        <w:fldChar w:fldCharType="begin" w:fldLock="1"/>
      </w:r>
      <w:r w:rsidR="006822DD">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operties":{"noteIndex":0},"schema":"https://github.com/citation-style-language/schema/raw/master/csl-citation.json"}</w:instrText>
      </w:r>
      <w:r w:rsidR="006822DD">
        <w:fldChar w:fldCharType="separate"/>
      </w:r>
      <w:r w:rsidR="006822DD" w:rsidRPr="006822DD">
        <w:rPr>
          <w:noProof/>
        </w:rPr>
        <w:t>(17)</w:t>
      </w:r>
      <w:r w:rsidR="006822DD">
        <w:fldChar w:fldCharType="end"/>
      </w:r>
      <w:r w:rsidR="006822DD">
        <w:t xml:space="preserve">.  </w:t>
      </w:r>
      <w:r w:rsidR="001E755B" w:rsidRPr="006822DD">
        <w:t>Animals</w:t>
      </w:r>
      <w:r w:rsidR="001E755B">
        <w:t xml:space="preserve"> were euthanized via cervical dislocation under isoflurane anesthesia.  </w:t>
      </w:r>
      <w:r w:rsidR="00D17276">
        <w:t>All procedures were approved by the University of Michigan Institutional Animal Care and Use Committee.</w:t>
      </w:r>
    </w:p>
    <w:p w14:paraId="4E6ACC0B" w14:textId="750A4358" w:rsidR="00D17276" w:rsidRDefault="00D17276" w:rsidP="0002220D"/>
    <w:p w14:paraId="4914B925" w14:textId="76799E80" w:rsidR="00BF1CFD" w:rsidRDefault="00BF1CFD" w:rsidP="00BF1CFD">
      <w:pPr>
        <w:pStyle w:val="Heading2"/>
      </w:pPr>
      <w:commentRangeStart w:id="1"/>
      <w:r>
        <w:lastRenderedPageBreak/>
        <w:t>Food Preference Test</w:t>
      </w:r>
    </w:p>
    <w:p w14:paraId="25C6721E" w14:textId="2939F7B5" w:rsidR="00BF1CFD" w:rsidRDefault="00BF1CFD" w:rsidP="0002220D">
      <w:r>
        <w:t>Food preference was measured by</w:t>
      </w:r>
      <w:commentRangeEnd w:id="1"/>
      <w:r w:rsidR="00E51DC8">
        <w:rPr>
          <w:rStyle w:val="CommentReference"/>
        </w:rPr>
        <w:commentReference w:id="1"/>
      </w:r>
    </w:p>
    <w:p w14:paraId="63B50A43" w14:textId="77777777" w:rsidR="00BF1CFD" w:rsidRDefault="00BF1CFD" w:rsidP="0002220D"/>
    <w:p w14:paraId="38140C22" w14:textId="0DB500A6" w:rsidR="00D17276" w:rsidRDefault="00D17276" w:rsidP="00D17276">
      <w:pPr>
        <w:pStyle w:val="Heading2"/>
      </w:pPr>
      <w:r>
        <w:t xml:space="preserve">Ketone Body </w:t>
      </w:r>
      <w:r w:rsidR="002E312A">
        <w:t xml:space="preserve">and GDF15 </w:t>
      </w:r>
      <w:r>
        <w:t>Determination</w:t>
      </w:r>
    </w:p>
    <w:p w14:paraId="397D751D" w14:textId="330064A3" w:rsidR="00425D66" w:rsidRDefault="00425D66" w:rsidP="00425D66"/>
    <w:p w14:paraId="1260AF25" w14:textId="3F158DB7" w:rsidR="00FE24FF" w:rsidRPr="00FE24FF" w:rsidRDefault="00425D66" w:rsidP="00FE24FF">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r w:rsidR="002E312A">
        <w:t xml:space="preserve">  GDF15 levels were determined using a </w:t>
      </w:r>
      <w:proofErr w:type="spellStart"/>
      <w:r w:rsidR="00FE24FF" w:rsidRPr="00FE24FF">
        <w:t>Quantikine</w:t>
      </w:r>
      <w:proofErr w:type="spellEnd"/>
      <w:r w:rsidR="00FE24FF" w:rsidRPr="00FE24FF">
        <w:t xml:space="preserve"> ELISA Assay (</w:t>
      </w:r>
      <w:r w:rsidR="00FE24FF">
        <w:t xml:space="preserve">Cat# </w:t>
      </w:r>
      <w:r w:rsidR="00FE24FF" w:rsidRPr="00FE24FF">
        <w:t>MGD150)</w:t>
      </w:r>
      <w:r w:rsidR="00D36726">
        <w:t xml:space="preserve"> following the manufacturer’s instructions</w:t>
      </w:r>
      <w:r w:rsidR="00FE24FF">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39D35EAA"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6822DD">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(17)"},"properties":{"noteIndex":0},"schema":"https://github.com/citation-style-language/schema/raw/master/csl-citation.json"}</w:instrText>
      </w:r>
      <w:r>
        <w:rPr>
          <w:bCs/>
        </w:rPr>
        <w:fldChar w:fldCharType="separate"/>
      </w:r>
      <w:r w:rsidR="006822DD" w:rsidRPr="006822DD">
        <w:rPr>
          <w:bCs/>
          <w:noProof/>
        </w:rPr>
        <w:t>(18)</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B04431">
      <w:pPr>
        <w:pStyle w:val="Heading2"/>
      </w:pPr>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002EA125" w14:textId="4CEA7DB3" w:rsidR="00B04431" w:rsidRDefault="00B04431" w:rsidP="00B04431">
      <w:pPr>
        <w:pStyle w:val="Heading2"/>
      </w:pPr>
      <w:r>
        <w:t>Identification of Potentially Secreted Proteins</w:t>
      </w:r>
    </w:p>
    <w:p w14:paraId="5AE52AFF" w14:textId="77777777" w:rsidR="00BF1CFD" w:rsidRPr="00BF1CFD" w:rsidRDefault="00BF1CFD" w:rsidP="00BF1CFD"/>
    <w:p w14:paraId="72C75D05" w14:textId="50BABA39" w:rsidR="00B04431" w:rsidRDefault="00B04431" w:rsidP="00496561">
      <w:r>
        <w:t xml:space="preserve">Sequences annotated as having a signal peptide via </w:t>
      </w:r>
      <w:proofErr w:type="spellStart"/>
      <w:r>
        <w:t>SignalP</w:t>
      </w:r>
      <w:proofErr w:type="spellEnd"/>
      <w:r>
        <w:t xml:space="preserve"> </w:t>
      </w:r>
      <w:r>
        <w:fldChar w:fldCharType="begin" w:fldLock="1"/>
      </w:r>
      <w:r w:rsidR="006822DD">
        <w:instrText>ADDIN CSL_CITATION {"citationItems":[{"id":"ITEM-1","itemData":{"DOI":"10.1038/s41587-019-0036-z","ISSN":"15461696","abstract":"Signal peptides (SPs) are short amino acid sequences in the amino terminus of many newly synthesized proteins that target proteins into, or across, membranes. Bioinformatic tools can predict SPs from amino acid sequences, but most cannot distinguish between various types of signal peptides. We present a deep neural network-based approach that improves SP prediction across all domains of life and distinguishes between three types of prokaryotic SPs.","author":[{"dropping-particle":"","family":"Almagro Armenteros","given":"José Juan","non-dropping-particle":"","parse-names":false,"suffix":""},{"dropping-particle":"","family":"Tsirigos","given":"Konstantinos D.","non-dropping-particle":"","parse-names":false,"suffix":""},{"dropping-particle":"","family":"Sønderby","given":"Casper Kaae","non-dropping-particle":"","parse-names":false,"suffix":""},{"dropping-particle":"","family":"Petersen","given":"Thomas Nordahl","non-dropping-particle":"","parse-names":false,"suffix":""},{"dropping-particle":"","family":"Winther","given":"Ole","non-dropping-particle":"","parse-names":false,"suffix":""},{"dropping-particle":"","family":"Brunak","given":"Søren","non-dropping-particle":"","parse-names":false,"suffix":""},{"dropping-particle":"","family":"Heijne","given":"Gunnar","non-dropping-particle":"von","parse-names":false,"suffix":""},{"dropping-particle":"","family":"Nielsen","given":"Henrik","non-dropping-particle":"","parse-names":false,"suffix":""}],"container-title":"Nature Biotechnology","id":"ITEM-1","issue":"4","issued":{"date-parts":[["2019"]]},"page":"420-423","publisher":"Springer US","title":"SignalP 5.0 improves signal peptide predictions using deep neural networks","type":"article-journal","volume":"37"},"uris":["http://www.mendeley.com/documents/?uuid=dd7b9d5e-e5e0-4a9f-beec-f4e961b87bfc"]}],"mendeley":{"formattedCitation":"(19)","plainTextFormattedCitation":"(19)","previouslyFormattedCitation":"(18)"},"properties":{"noteIndex":0},"schema":"https://github.com/citation-style-language/schema/raw/master/csl-citation.json"}</w:instrText>
      </w:r>
      <w:r>
        <w:fldChar w:fldCharType="separate"/>
      </w:r>
      <w:r w:rsidR="006822DD" w:rsidRPr="006822DD">
        <w:rPr>
          <w:noProof/>
        </w:rPr>
        <w:t>(19)</w:t>
      </w:r>
      <w:r>
        <w:fldChar w:fldCharType="end"/>
      </w:r>
      <w:r>
        <w:t xml:space="preserve"> were downloaded from </w:t>
      </w:r>
      <w:proofErr w:type="spellStart"/>
      <w:r>
        <w:t>Ensembl</w:t>
      </w:r>
      <w:proofErr w:type="spellEnd"/>
      <w:r>
        <w:t xml:space="preserve"> via the </w:t>
      </w:r>
      <w:proofErr w:type="spellStart"/>
      <w:r>
        <w:t>biomart</w:t>
      </w:r>
      <w:proofErr w:type="spellEnd"/>
      <w:r>
        <w:t xml:space="preserve"> tool </w:t>
      </w:r>
      <w:r>
        <w:fldChar w:fldCharType="begin" w:fldLock="1"/>
      </w:r>
      <w:r w:rsidR="006822DD">
        <w:instrText>ADDIN CSL_CITATION {"citationItems":[{"id":"ITEM-1","itemData":{"DOI":"10.1038/nprot.2009.97","ISSN":"17542189","abstract":"Genomic experiments produce multiple views of biological systems, among them are DNA sequence and copy number variation, and mRNA and protein abundance. Understanding these systems needs integrated bioinformatic analysis. Public databases such as Ensembl provide relationships and mappings between the relevant sets of probe and target molecules. However, the relationships can be biologically complex and the content of the databases is dynamic. We demonstrate how to use the computational environment R to integrate and jointly analyze experimental datasets, employing BioMart web services to provide the molecule mappings. We also discuss typical problems that are encountered in making gene-to-transcript-to-protein mappings. The approach provides a flexible, programmable and reproducible basis for state-of-the-art bioinformatic data integration.","author":[{"dropping-particle":"","family":"Durinck","given":"Steffen","non-dropping-particle":"","parse-names":false,"suffix":""},{"dropping-particle":"","family":"Spellman","given":"Paul T.","non-dropping-particle":"","parse-names":false,"suffix":""},{"dropping-particle":"","family":"Birney","given":"Ewan","non-dropping-particle":"","parse-names":false,"suffix":""},{"dropping-particle":"","family":"Huber","given":"Wolfgang","non-dropping-particle":"","parse-names":false,"suffix":""}],"container-title":"Nature Protocols","id":"ITEM-1","issue":"8","issued":{"date-parts":[["2009"]]},"page":"1184-1191","title":"Mapping identifiers for the integration of genomic datasets with the R/ Bioconductor package biomaRt","type":"article-journal","volume":"4"},"uris":["http://www.mendeley.com/documents/?uuid=df1a1b39-37cb-4e6a-aeee-93780c71c4b8"]}],"mendeley":{"formattedCitation":"(20)","plainTextFormattedCitation":"(20)","previouslyFormattedCitation":"(19)"},"properties":{"noteIndex":0},"schema":"https://github.com/citation-style-language/schema/raw/master/csl-citation.json"}</w:instrText>
      </w:r>
      <w:r>
        <w:fldChar w:fldCharType="separate"/>
      </w:r>
      <w:r w:rsidR="006822DD" w:rsidRPr="006822DD">
        <w:rPr>
          <w:noProof/>
        </w:rPr>
        <w:t>(20)</w:t>
      </w:r>
      <w:r>
        <w:fldChar w:fldCharType="end"/>
      </w:r>
      <w:r>
        <w:t>.  These were further filtered removing genes annotated with the gene ontology term for cellular compartment – membrane (GO:</w:t>
      </w:r>
      <w:r w:rsidRPr="00B04431">
        <w:t xml:space="preserve"> 0016020</w:t>
      </w:r>
      <w:r>
        <w:t xml:space="preserve">).  </w:t>
      </w:r>
      <w:r w:rsidR="002142C7">
        <w:t xml:space="preserve">The transcriptomic dataset is published as </w:t>
      </w:r>
      <w:r w:rsidR="005862D5" w:rsidRPr="005862D5">
        <w:t>GSE84312</w:t>
      </w:r>
      <w:r w:rsidR="005862D5">
        <w:t xml:space="preserve"> and described in </w:t>
      </w:r>
      <w:r w:rsidR="00520A7E">
        <w:fldChar w:fldCharType="begin" w:fldLock="1"/>
      </w:r>
      <w:r w:rsidR="006822DD">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mendeley":{"formattedCitation":"(17)","plainTextFormattedCitation":"(17)","previouslyFormattedCitation":"(20)"},"properties":{"noteIndex":0},"schema":"https://github.com/citation-style-language/schema/raw/master/csl-citation.json"}</w:instrText>
      </w:r>
      <w:r w:rsidR="00520A7E">
        <w:fldChar w:fldCharType="separate"/>
      </w:r>
      <w:r w:rsidR="006822DD" w:rsidRPr="006822DD">
        <w:rPr>
          <w:noProof/>
        </w:rPr>
        <w:t>(17)</w:t>
      </w:r>
      <w:r w:rsidR="00520A7E">
        <w:fldChar w:fldCharType="end"/>
      </w:r>
      <w:r w:rsidR="00520A7E">
        <w:t>.</w:t>
      </w:r>
    </w:p>
    <w:p w14:paraId="28227492" w14:textId="77777777" w:rsidR="00B04431" w:rsidRDefault="00B04431" w:rsidP="00496561"/>
    <w:p w14:paraId="5FEC1C4F" w14:textId="73E05520" w:rsidR="007F1182" w:rsidRDefault="007F1182" w:rsidP="00B04431">
      <w:pPr>
        <w:pStyle w:val="Heading2"/>
      </w:pPr>
      <w:r>
        <w:t>Statistics</w:t>
      </w:r>
    </w:p>
    <w:p w14:paraId="5C691D93" w14:textId="47A084EA" w:rsidR="007F1182" w:rsidRDefault="007F1182" w:rsidP="00496561"/>
    <w:p w14:paraId="59027451" w14:textId="2FEE0B15"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rsidR="006822DD">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(21)","plainTextFormattedCitation":"(21)","previouslyFormattedCitation":"(21)"},"properties":{"noteIndex":0},"schema":"https://github.com/citation-style-language/schema/raw/master/csl-citation.json"}</w:instrText>
      </w:r>
      <w:r>
        <w:fldChar w:fldCharType="separate"/>
      </w:r>
      <w:r w:rsidR="00520A7E" w:rsidRPr="00520A7E">
        <w:rPr>
          <w:noProof/>
        </w:rPr>
        <w:t>(21)</w:t>
      </w:r>
      <w:r>
        <w:fldChar w:fldCharType="end"/>
      </w:r>
      <w:r>
        <w:t xml:space="preserve">.  For experiments using both sexes, a modifying effect of sex was tested for all outcomes and reported where significant </w:t>
      </w:r>
      <w:r>
        <w:lastRenderedPageBreak/>
        <w:t xml:space="preserve">based on the interaction from a 2x2 ANOVA.  All raw data and analysis scripts can be found at </w:t>
      </w:r>
      <w:hyperlink r:id="rId8"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1CF3B925" w14:textId="3FA22AE8" w:rsidR="00B04431" w:rsidRDefault="00B04431" w:rsidP="004E070D">
      <w:pPr>
        <w:pStyle w:val="Heading2"/>
      </w:pPr>
      <w:r>
        <w:t xml:space="preserve">GDF15 Produced in Muscle Alters Preference </w:t>
      </w:r>
      <w:r w:rsidR="009C4AB5">
        <w:t>T</w:t>
      </w:r>
      <w:r>
        <w:t>o</w:t>
      </w:r>
      <w:r w:rsidR="009C4AB5">
        <w:t>wards</w:t>
      </w:r>
      <w:r>
        <w:t xml:space="preserve"> Fatty Foods</w:t>
      </w:r>
    </w:p>
    <w:p w14:paraId="4CD20E4E" w14:textId="77777777" w:rsidR="009A702B" w:rsidRDefault="009A702B" w:rsidP="009A702B"/>
    <w:p w14:paraId="2773A1AC" w14:textId="78554F63" w:rsidR="001A281A" w:rsidRDefault="00B04431" w:rsidP="009A702B">
      <w:pPr>
        <w:rPr>
          <w:rFonts w:ascii="Helvetica Neue" w:eastAsia="Times New Roman" w:hAnsi="Helvetica Neue" w:cs="Times New Roman"/>
          <w:color w:val="333333"/>
          <w:sz w:val="21"/>
          <w:szCs w:val="21"/>
          <w:shd w:val="clear" w:color="auto" w:fill="FFFFFF"/>
        </w:rPr>
      </w:pPr>
      <w:r>
        <w:t xml:space="preserve">Our previous work, consistent with the work of others noted that activation of mTORC1 via tissue-specific </w:t>
      </w:r>
      <w:r>
        <w:rPr>
          <w:i/>
        </w:rPr>
        <w:t>Tsc1</w:t>
      </w:r>
      <w:r>
        <w:t xml:space="preserve"> ablation results in lean mice that are resistant to diet-induced obesity </w:t>
      </w:r>
      <w:r>
        <w:fldChar w:fldCharType="begin" w:fldLock="1"/>
      </w:r>
      <w:r w:rsidR="006822DD">
        <w:instrText>ADDIN CSL_CITATION {"citationItems":[{"id":"ITEM-1","itemData":{"DOI":"10.1101/720540","author":[{"dropping-particle":"","family":"Stephenson","given":"Erin J.","non-dropping-particle":"","parse-names":false,"suffix":""},{"dropping-particle":"","family":"Redd","given":"JeAnna R.","non-dropping-particle":"","parse-names":false,"suffix":""},{"dropping-particle":"","family":"Snyder","given":"Detrick S.","non-dropping-particle":"","parse-names":false,"suffix":""},{"dropping-particle":"","family":"Tran","given":"Quynh T.","non-dropping-particle":"","parse-names":false,"suffix":""},{"dropping-particle":"","family":"Lu","given":"Binbin","non-dropping-particle":"","parse-names":false,"suffix":""},{"dropping-particle":"","family":"Peloquin","given":"Matthew J.","non-dropping-particle":"","parse-names":false,"suffix":""},{"dropping-particle":"","family":"Mulcahy","given":"Molly C.","non-dropping-particle":"","parse-names":false,"suffix":""},{"dropping-particle":"","family":"Harvey","given":"Innocence","non-dropping-particle":"","parse-names":false,"suffix":""},{"dropping-particle":"","family":"Fisher","given":"Kaleigh","non-dropping-particle":"","parse-names":false,"suffix":""},{"dropping-particle":"","family":"Han","given":"Joan C.","non-dropping-particle":"","parse-names":false,"suffix":""},{"dropping-particle":"","family":"Qi","given":"Nathan","non-dropping-particle":"","parse-names":false,"suffix":""},{"dropping-particle":"","family":"Saltiel","given":"Alan R.","non-dropping-particle":"","parse-names":false,"suffix":""},{"dropping-particle":"","family":"Bridges","given":"Dave","non-dropping-particle":"","parse-names":false,"suffix":""}],"container-title":"bioRxiv","id":"ITEM-1","issued":{"date-parts":[["2019"]]},"title":"Skeletal Muscle mTORC1 Activation Increases Energy Expenditure and Reduces Longevity in Mice","type":"article-journal"},"uris":["http://www.mendeley.com/documents/?uuid=41bc00a6-1066-47fb-a124-1a1e1a1f4d79"]},{"id":"ITEM-2","itemData":{"DOI":"10.1126/scisignal.aab3715","ISBN":"1937-9145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mendeley":{"formattedCitation":"(17,22,23)","plainTextFormattedCitation":"(17,22,23)","previouslyFormattedCitation":"(20,22,23)"},"properties":{"noteIndex":0},"schema":"https://github.com/citation-style-language/schema/raw/master/csl-citation.json"}</w:instrText>
      </w:r>
      <w:r>
        <w:fldChar w:fldCharType="separate"/>
      </w:r>
      <w:r w:rsidR="006822DD" w:rsidRPr="006822DD">
        <w:rPr>
          <w:noProof/>
        </w:rPr>
        <w:t>(17,22,23)</w:t>
      </w:r>
      <w:r>
        <w:fldChar w:fldCharType="end"/>
      </w:r>
      <w:r>
        <w:t xml:space="preserve">.  To identify potential factors secreted from muscle that may drive changes in systemic physiology we used transcriptomic data filtered to identify </w:t>
      </w:r>
      <w:r w:rsidR="00215F72">
        <w:t xml:space="preserve">putatively secreted proteins.  This identified 1817 potentially secreted gene products, of which 253 were significantly differentially expressed in </w:t>
      </w:r>
      <w:r w:rsidR="00215F72">
        <w:rPr>
          <w:i/>
        </w:rPr>
        <w:t>Tsc1</w:t>
      </w:r>
      <w:r w:rsidR="00215F72">
        <w:t xml:space="preserve"> knockout muscles (</w:t>
      </w:r>
      <w:r w:rsidR="00352A61">
        <w:t>Figure 1A, see</w:t>
      </w:r>
      <w:r w:rsidR="00215F72">
        <w:t xml:space="preserve"> Supplementary Table 1 for complete list).</w:t>
      </w:r>
      <w:r w:rsidR="00352A61">
        <w:t xml:space="preserve">  Among the most significantly altered genes was GDF15, which was </w:t>
      </w:r>
      <w:r w:rsidR="009A702B">
        <w:t xml:space="preserve">upregulated </w:t>
      </w:r>
      <w:proofErr w:type="gramStart"/>
      <w:r w:rsidR="009A702B">
        <w:t>46 fold</w:t>
      </w:r>
      <w:proofErr w:type="gramEnd"/>
      <w:r w:rsidR="00A465AF">
        <w:t xml:space="preserve"> at the mRNA level</w:t>
      </w:r>
      <w:r w:rsidR="009A702B">
        <w:t xml:space="preserve"> (adjusted p-</w:t>
      </w:r>
      <w:r w:rsidR="009A702B" w:rsidRPr="00AA75A4">
        <w:t xml:space="preserve">value </w:t>
      </w:r>
      <w:r w:rsidR="009A702B" w:rsidRPr="00AA75A4">
        <w:rPr>
          <w:rFonts w:eastAsia="Times New Roman" w:cs="Times New Roman"/>
          <w:color w:val="333333"/>
          <w:shd w:val="clear" w:color="auto" w:fill="FFFFFF"/>
        </w:rPr>
        <w:t>8.2</w:t>
      </w:r>
      <w:r w:rsidR="00903DAE">
        <w:rPr>
          <w:rFonts w:eastAsia="Times New Roman" w:cs="Times New Roman"/>
          <w:color w:val="333333"/>
          <w:shd w:val="clear" w:color="auto" w:fill="FFFFFF"/>
        </w:rPr>
        <w:t xml:space="preserve"> x</w:t>
      </w:r>
      <w:r w:rsidR="009A702B" w:rsidRPr="00AA75A4">
        <w:rPr>
          <w:rFonts w:eastAsia="Times New Roman" w:cs="Times New Roman"/>
          <w:color w:val="333333"/>
          <w:shd w:val="clear" w:color="auto" w:fill="FFFFFF"/>
        </w:rPr>
        <w:t xml:space="preserve"> 10</w:t>
      </w:r>
      <w:r w:rsidR="009A702B" w:rsidRPr="00AA75A4">
        <w:rPr>
          <w:rFonts w:eastAsia="Times New Roman" w:cs="Times New Roman"/>
          <w:color w:val="333333"/>
          <w:shd w:val="clear" w:color="auto" w:fill="FFFFFF"/>
          <w:vertAlign w:val="superscript"/>
        </w:rPr>
        <w:t>-12</w:t>
      </w:r>
      <w:r w:rsidR="009A702B" w:rsidRPr="00AA75A4">
        <w:rPr>
          <w:rFonts w:eastAsia="Times New Roman" w:cs="Times New Roman"/>
          <w:color w:val="333333"/>
          <w:shd w:val="clear" w:color="auto" w:fill="FFFFFF"/>
        </w:rPr>
        <w:t xml:space="preserve">).  </w:t>
      </w:r>
      <w:r w:rsidR="00AA75A4" w:rsidRPr="00AA75A4">
        <w:rPr>
          <w:rFonts w:eastAsia="Times New Roman" w:cs="Times New Roman"/>
          <w:color w:val="333333"/>
          <w:shd w:val="clear" w:color="auto" w:fill="FFFFFF"/>
        </w:rPr>
        <w:t>To te</w:t>
      </w:r>
      <w:r w:rsidR="00AA75A4">
        <w:rPr>
          <w:rFonts w:eastAsia="Times New Roman" w:cs="Times New Roman"/>
          <w:color w:val="333333"/>
          <w:shd w:val="clear" w:color="auto" w:fill="FFFFFF"/>
        </w:rPr>
        <w:t xml:space="preserve">st if this had an impact on circulating levels we performed ELISA assays on the blood from muscle </w:t>
      </w:r>
      <w:r w:rsidR="00AA75A4">
        <w:rPr>
          <w:rFonts w:eastAsia="Times New Roman" w:cs="Times New Roman"/>
          <w:i/>
          <w:color w:val="333333"/>
          <w:shd w:val="clear" w:color="auto" w:fill="FFFFFF"/>
        </w:rPr>
        <w:t>Tsc1</w:t>
      </w:r>
      <w:r w:rsidR="00AA75A4">
        <w:rPr>
          <w:rFonts w:eastAsia="Times New Roman" w:cs="Times New Roman"/>
          <w:color w:val="333333"/>
          <w:shd w:val="clear" w:color="auto" w:fill="FFFFFF"/>
        </w:rPr>
        <w:t xml:space="preserve"> knockout animals and found </w:t>
      </w:r>
      <w:proofErr w:type="gramStart"/>
      <w:r w:rsidR="00AA75A4">
        <w:rPr>
          <w:rFonts w:eastAsia="Times New Roman" w:cs="Times New Roman"/>
          <w:color w:val="333333"/>
          <w:shd w:val="clear" w:color="auto" w:fill="FFFFFF"/>
        </w:rPr>
        <w:t>a</w:t>
      </w:r>
      <w:proofErr w:type="gramEnd"/>
      <w:r w:rsidR="00AA75A4">
        <w:rPr>
          <w:rFonts w:eastAsia="Times New Roman" w:cs="Times New Roman"/>
          <w:color w:val="333333"/>
          <w:shd w:val="clear" w:color="auto" w:fill="FFFFFF"/>
        </w:rPr>
        <w:t xml:space="preserve"> 8.7 fold increase in serum GDF15 (Figure 1B, p=4.7 x 10</w:t>
      </w:r>
      <w:r w:rsidR="00AA75A4" w:rsidRPr="00AA75A4">
        <w:rPr>
          <w:rFonts w:eastAsia="Times New Roman" w:cs="Times New Roman"/>
          <w:color w:val="333333"/>
          <w:shd w:val="clear" w:color="auto" w:fill="FFFFFF"/>
          <w:vertAlign w:val="superscript"/>
        </w:rPr>
        <w:t>-5</w:t>
      </w:r>
      <w:r w:rsidR="00AA75A4">
        <w:rPr>
          <w:rFonts w:eastAsia="Times New Roman" w:cs="Times New Roman"/>
          <w:color w:val="333333"/>
          <w:shd w:val="clear" w:color="auto" w:fill="FFFFFF"/>
        </w:rPr>
        <w:t>).</w:t>
      </w:r>
    </w:p>
    <w:p w14:paraId="329B583C" w14:textId="0C94C872" w:rsidR="00E410CE" w:rsidRDefault="00E410CE" w:rsidP="009A702B">
      <w:pPr>
        <w:rPr>
          <w:rFonts w:ascii="Times New Roman" w:eastAsia="Times New Roman" w:hAnsi="Times New Roman" w:cs="Times New Roman"/>
        </w:rPr>
      </w:pPr>
    </w:p>
    <w:p w14:paraId="42DA7E4D" w14:textId="34ED4562" w:rsidR="00E410CE" w:rsidRPr="00FC680E" w:rsidRDefault="00E410CE" w:rsidP="00E410CE">
      <w:pPr>
        <w:rPr>
          <w:rFonts w:ascii="Times New Roman" w:eastAsia="Times New Roman" w:hAnsi="Times New Roman" w:cs="Times New Roman"/>
        </w:rPr>
      </w:pPr>
      <w:r>
        <w:t xml:space="preserve">Based on our recent work, injection of GDF15 reduced the preference of mice to fat, but had little impact on protein or carbohydrate intake </w:t>
      </w:r>
      <w:r>
        <w:fldChar w:fldCharType="begin" w:fldLock="1"/>
      </w:r>
      <w:r w:rsidR="00520A7E">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Metabolism","id":"ITEM-1","issue":"xxxx","issued":{"date-parts":[["2019","3"]]},"page":"13-21","publisher":"Elsevier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plainTextFormattedCitation":"(12)","previouslyFormattedCitation":"(12)"},"properties":{"noteIndex":0},"schema":"https://github.com/citation-style-language/schema/raw/master/csl-citation.json"}</w:instrText>
      </w:r>
      <w:r>
        <w:fldChar w:fldCharType="separate"/>
      </w:r>
      <w:r w:rsidRPr="00E410CE">
        <w:rPr>
          <w:noProof/>
        </w:rPr>
        <w:t>(12)</w:t>
      </w:r>
      <w:r>
        <w:fldChar w:fldCharType="end"/>
      </w:r>
      <w:r>
        <w:t xml:space="preserve">.  We </w:t>
      </w:r>
      <w:r w:rsidR="00903DAE">
        <w:t xml:space="preserve">therefore </w:t>
      </w:r>
      <w:r>
        <w:t xml:space="preserve">reasoned that GDF15 inductions in muscle </w:t>
      </w:r>
      <w:r w:rsidRPr="00E410CE">
        <w:rPr>
          <w:i/>
        </w:rPr>
        <w:t>Tsc1</w:t>
      </w:r>
      <w:r>
        <w:t xml:space="preserve"> knockout mice </w:t>
      </w:r>
      <w:r w:rsidRPr="00E410CE">
        <w:t>may</w:t>
      </w:r>
      <w:r>
        <w:t xml:space="preserve"> result in an aversion to high fat, low carbohydrate diets relative to low fat high carbohydrate diets.  We developed a custom pair of control </w:t>
      </w:r>
      <w:r w:rsidR="00903DAE">
        <w:t xml:space="preserve">and </w:t>
      </w:r>
      <w:r>
        <w:t xml:space="preserve">ketogenic diets, which were matched for fiber, protein and choline levels (see Table 2).  We tested whether muscle </w:t>
      </w:r>
      <w:r>
        <w:rPr>
          <w:i/>
        </w:rPr>
        <w:t>Tsc1</w:t>
      </w:r>
      <w:r>
        <w:t xml:space="preserve"> knockout mice preferred the high carbohydrate to the high fat diet</w:t>
      </w:r>
      <w:r w:rsidR="00903DAE">
        <w:t xml:space="preserve"> when given the choice of both diets</w:t>
      </w:r>
      <w:r>
        <w:t>.</w:t>
      </w:r>
      <w:r w:rsidR="00903DAE">
        <w:t xml:space="preserve">  </w:t>
      </w:r>
      <w:r w:rsidR="00103452">
        <w:t xml:space="preserve">Wild-type mice preferred the fat rich food </w:t>
      </w:r>
      <w:r w:rsidR="00CC4A50">
        <w:t xml:space="preserve">by </w:t>
      </w:r>
      <w:proofErr w:type="gramStart"/>
      <w:r w:rsidR="00CC4A50">
        <w:t>11.</w:t>
      </w:r>
      <w:r w:rsidR="00FC680E">
        <w:t>7 fold</w:t>
      </w:r>
      <w:proofErr w:type="gramEnd"/>
      <w:r w:rsidR="00FC680E">
        <w:t xml:space="preserve"> after adjusting for differing caloric content.  Muscle </w:t>
      </w:r>
      <w:r w:rsidR="00FC680E">
        <w:rPr>
          <w:i/>
        </w:rPr>
        <w:t>Tsc1</w:t>
      </w:r>
      <w:r w:rsidR="00FC680E">
        <w:t xml:space="preserve"> knockout mice had a much lower preference, only consuming </w:t>
      </w:r>
      <w:proofErr w:type="gramStart"/>
      <w:r w:rsidR="00FC680E">
        <w:t>2.6 fold</w:t>
      </w:r>
      <w:proofErr w:type="gramEnd"/>
      <w:r w:rsidR="00FC680E">
        <w:t xml:space="preserve"> more of the fat rich than the carbohydrate rich food.  Together these data show that there is a functionally significant elevation of GDF15 in muscle </w:t>
      </w:r>
      <w:r w:rsidR="00FC680E">
        <w:rPr>
          <w:i/>
        </w:rPr>
        <w:t xml:space="preserve">Tsc1 </w:t>
      </w:r>
      <w:r w:rsidR="00FC680E">
        <w:t>knockout mice that results in a reduced preference to</w:t>
      </w:r>
      <w:r w:rsidR="009C4AB5">
        <w:t>wards</w:t>
      </w:r>
      <w:r w:rsidR="00FC680E">
        <w:t xml:space="preserve"> fat rich diets.</w:t>
      </w:r>
    </w:p>
    <w:p w14:paraId="58EE70A9" w14:textId="52447685" w:rsidR="00B04431" w:rsidRPr="00215F72" w:rsidRDefault="00B04431" w:rsidP="00B04431"/>
    <w:p w14:paraId="11B2B401" w14:textId="77777777" w:rsidR="00B04431" w:rsidRPr="00B04431" w:rsidRDefault="00B04431" w:rsidP="00B04431"/>
    <w:p w14:paraId="7A94C57D" w14:textId="5B4C660C" w:rsidR="00A2647E" w:rsidRDefault="00A2647E" w:rsidP="004E070D">
      <w:pPr>
        <w:pStyle w:val="Heading2"/>
      </w:pPr>
      <w:r>
        <w:t>GDF15 Is Induced on Mice Fed a Ketogenic Diet</w:t>
      </w:r>
    </w:p>
    <w:p w14:paraId="75CEAF92" w14:textId="179891E7" w:rsidR="007C37D9" w:rsidRDefault="007C37D9" w:rsidP="007C37D9"/>
    <w:p w14:paraId="1C8AE2AB" w14:textId="1F00797E" w:rsidR="003E4C58" w:rsidRDefault="00D23940" w:rsidP="003E4C58">
      <w:r>
        <w:t xml:space="preserve">Based on the inductions of GDF15 and how that caused reduced preference towards diets high in fat, we </w:t>
      </w:r>
      <w:r w:rsidR="00980612">
        <w:t xml:space="preserve">next tested whether GDF15 was affected when mice were placed on control or ketogenic diets.  We randomized cages of mice starting at 10 weeks of age on to one or other of these diets and measured their body composition for four weeks. </w:t>
      </w:r>
      <w:r w:rsidR="006A59A5">
        <w:t xml:space="preserve">These mice had XXX changes in fat mass and YYY changes in lean </w:t>
      </w:r>
      <w:r w:rsidR="006A59A5">
        <w:lastRenderedPageBreak/>
        <w:t>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p>
    <w:p w14:paraId="529FBEB4" w14:textId="77777777" w:rsidR="00D60CFE" w:rsidRPr="00D60CFE" w:rsidRDefault="00D60CFE" w:rsidP="00D60CFE"/>
    <w:p w14:paraId="50EF9AFE" w14:textId="5000CD0B" w:rsidR="00741B02" w:rsidRDefault="00741B02" w:rsidP="00741B02"/>
    <w:p w14:paraId="49C7081F" w14:textId="2EDBE0DD"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6822DD">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(18)","plainTextFormattedCitation":"(18)","previouslyFormattedCitation":"(17)"},"properties":{"noteIndex":0},"schema":"https://github.com/citation-style-language/schema/raw/master/csl-citation.json"}</w:instrText>
      </w:r>
      <w:r>
        <w:fldChar w:fldCharType="separate"/>
      </w:r>
      <w:r w:rsidR="006822DD" w:rsidRPr="006822DD">
        <w:rPr>
          <w:noProof/>
        </w:rPr>
        <w:t>(18)</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53C73150" w:rsidR="00C70284" w:rsidRPr="005C1BF6" w:rsidRDefault="00C70284" w:rsidP="005C1BF6">
      <w:r>
        <w:t xml:space="preserve">To determine if there was any impact on insulin sensitivity in </w:t>
      </w:r>
      <w:r w:rsidR="009A2992">
        <w:t xml:space="preserve">wild-type and </w:t>
      </w:r>
      <w:r w:rsidR="00E43D02" w:rsidRPr="00E43D02">
        <w:rPr>
          <w:i/>
        </w:rPr>
        <w:t>Gdf15</w:t>
      </w:r>
      <w:r w:rsidR="009A2992">
        <w:t xml:space="preserve"> knockout</w:t>
      </w:r>
      <w:r>
        <w:t xml:space="preserve"> mice </w:t>
      </w:r>
      <w:r w:rsidR="009A2992">
        <w:t xml:space="preserve">on a ketogenic diet </w:t>
      </w:r>
      <w:r>
        <w:t xml:space="preserve">we performed insulin tolerance tests </w:t>
      </w:r>
      <w:r w:rsidR="009A2992">
        <w:t xml:space="preserve">after two weeks of diet </w:t>
      </w:r>
      <w:r>
        <w:t xml:space="preserve">and monitored changes in blood glucose.  After a 6h fast we noted </w:t>
      </w:r>
      <w:r w:rsidR="00B55A26">
        <w:t xml:space="preserve">a sex-dependent effect on fasting glucose in </w:t>
      </w:r>
      <w:r w:rsidR="00B55A26" w:rsidRPr="00E43D02">
        <w:rPr>
          <w:i/>
        </w:rPr>
        <w:t>Gdf15</w:t>
      </w:r>
      <w:r w:rsidR="00B55A26">
        <w:t xml:space="preserve">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400F7DE4"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w:t>
      </w:r>
      <w:r w:rsidRPr="0098529C">
        <w:rPr>
          <w:shd w:val="clear" w:color="auto" w:fill="FFFFFF"/>
        </w:rPr>
        <w:lastRenderedPageBreak/>
        <w:t xml:space="preserve">such as pre-eclampsia, nausea, gestational diabetes and miscarriage </w:t>
      </w:r>
      <w:r>
        <w:rPr>
          <w:shd w:val="clear" w:color="auto" w:fill="FFFFFF"/>
        </w:rPr>
        <w:fldChar w:fldCharType="begin" w:fldLock="1"/>
      </w:r>
      <w:r w:rsidR="00E410CE">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(8,24–26)","plainTextFormattedCitation":"(8,24–26)","previouslyFormattedCitation":"(8,24–26)"},"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(8,24–26)</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E410CE">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(27–31)","plainTextFormattedCitation":"(27–31)","previouslyFormattedCitation":"(27–31)"},"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(27–31)</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0790A9BA"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E410CE">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(32–35)","plainTextFormattedCitation":"(32–35)","previouslyFormattedCitation":"(32–35)"},"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(32–35)</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E410CE">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Beck","non-dropping-particle":"","parse-names":false,"suffix":""},{"dropping-particle":"","family":"Myers","given":"Martin G.","non-dropping-particle":"","parse-names":false,"suffix":""},{"dropping-particle":"","family":"Seeley","given":"Randy J.","non-dropping-particle":"","parse-names":false,"suffix":""}],"container-title":"Molecular Metabolism","id":"ITEM-3","issue":"xxxx","issued":{"date-parts":[["2019","3"]]},"page":"13-21","publisher":"Elsevier GmbH","title":"GDF15 acts synergistically with liraglutide but is not necessary for the weight loss induced by bariatric surgery in mice","type":"article-journal","volume":"21"},"uris":["http://www.mendeley.com/documents/?uuid=67c85029-9067-4e0e-afde-11b03b9bf2c3"]}],"mendeley":{"formattedCitation":"(12,36,37)","plainTextFormattedCitation":"(12,36,37)","previouslyFormattedCitation":"(12,36,37)"},"properties":{"noteIndex":0},"schema":"https://github.com/citation-style-language/schema/raw/master/csl-citation.json"}</w:instrText>
      </w:r>
      <w:r>
        <w:rPr>
          <w:shd w:val="clear" w:color="auto" w:fill="FFFFFF"/>
        </w:rPr>
        <w:fldChar w:fldCharType="separate"/>
      </w:r>
      <w:r w:rsidR="00B04431" w:rsidRPr="00B04431">
        <w:rPr>
          <w:noProof/>
          <w:shd w:val="clear" w:color="auto" w:fill="FFFFFF"/>
        </w:rPr>
        <w:t>(12,36,37)</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32540613" w:rsidR="0002220D" w:rsidRDefault="0002220D" w:rsidP="0002220D">
      <w:pPr>
        <w:rPr>
          <w:rFonts w:eastAsia="Times New Roman"/>
          <w:shd w:val="clear" w:color="auto" w:fill="FFFFFF"/>
        </w:rPr>
      </w:pPr>
      <w:r>
        <w:rPr>
          <w:rFonts w:eastAsia="Times New Roman"/>
          <w:shd w:val="clear" w:color="auto" w:fill="FFFFFF"/>
        </w:rPr>
        <w:t>We would like to thank the members of the Bridges</w:t>
      </w:r>
      <w:r w:rsidR="00602C70">
        <w:rPr>
          <w:rFonts w:eastAsia="Times New Roman"/>
          <w:shd w:val="clear" w:color="auto" w:fill="FFFFFF"/>
        </w:rPr>
        <w:t>, Horowitz</w:t>
      </w:r>
      <w:r>
        <w:rPr>
          <w:rFonts w:eastAsia="Times New Roman"/>
          <w:shd w:val="clear" w:color="auto" w:fill="FFFFFF"/>
        </w:rPr>
        <w:t xml:space="preserve">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2"/>
      <w:r>
        <w:rPr>
          <w:rFonts w:eastAsia="Times New Roman"/>
          <w:shd w:val="clear" w:color="auto" w:fill="FFFFFF"/>
        </w:rPr>
        <w:t xml:space="preserve">XXX </w:t>
      </w:r>
      <w:commentRangeEnd w:id="2"/>
      <w:r>
        <w:rPr>
          <w:rStyle w:val="CommentReference"/>
        </w:rPr>
        <w:commentReference w:id="2"/>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5EDE5DC"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w:t>
      </w:r>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2641CED3" w14:textId="7F6E0198" w:rsidR="006822DD" w:rsidRPr="006822DD" w:rsidRDefault="0098529C" w:rsidP="006822DD">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6822DD" w:rsidRPr="006822DD">
        <w:rPr>
          <w:rFonts w:ascii="Century Schoolbook" w:hAnsi="Century Schoolbook" w:cs="Times New Roman"/>
          <w:noProof/>
        </w:rPr>
        <w:t xml:space="preserve">1. </w:t>
      </w:r>
      <w:r w:rsidR="006822DD" w:rsidRPr="006822DD">
        <w:rPr>
          <w:rFonts w:ascii="Century Schoolbook" w:hAnsi="Century Schoolbook" w:cs="Times New Roman"/>
          <w:noProof/>
        </w:rPr>
        <w:tab/>
      </w:r>
      <w:r w:rsidR="006822DD" w:rsidRPr="006822DD">
        <w:rPr>
          <w:rFonts w:ascii="Century Schoolbook" w:hAnsi="Century Schoolbook" w:cs="Times New Roman"/>
          <w:b/>
          <w:bCs/>
          <w:noProof/>
        </w:rPr>
        <w:t>International Food Information Council Foundation.</w:t>
      </w:r>
      <w:r w:rsidR="006822DD" w:rsidRPr="006822DD">
        <w:rPr>
          <w:rFonts w:ascii="Century Schoolbook" w:hAnsi="Century Schoolbook" w:cs="Times New Roman"/>
          <w:noProof/>
        </w:rPr>
        <w:t xml:space="preserve"> </w:t>
      </w:r>
      <w:r w:rsidR="006822DD" w:rsidRPr="006822DD">
        <w:rPr>
          <w:rFonts w:ascii="Century Schoolbook" w:hAnsi="Century Schoolbook" w:cs="Times New Roman"/>
          <w:i/>
          <w:iCs/>
          <w:noProof/>
        </w:rPr>
        <w:t>2018 Food and Health Survey</w:t>
      </w:r>
      <w:r w:rsidR="006822DD" w:rsidRPr="006822DD">
        <w:rPr>
          <w:rFonts w:ascii="Century Schoolbook" w:hAnsi="Century Schoolbook" w:cs="Times New Roman"/>
          <w:noProof/>
        </w:rPr>
        <w:t>.; 2018. doi:10.1002/ejoc.201200111.</w:t>
      </w:r>
    </w:p>
    <w:p w14:paraId="45A82B20"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 </w:t>
      </w:r>
      <w:r w:rsidRPr="006822DD">
        <w:rPr>
          <w:rFonts w:ascii="Century Schoolbook" w:hAnsi="Century Schoolbook" w:cs="Times New Roman"/>
          <w:noProof/>
        </w:rPr>
        <w:tab/>
      </w:r>
      <w:r w:rsidRPr="006822DD">
        <w:rPr>
          <w:rFonts w:ascii="Century Schoolbook" w:hAnsi="Century Schoolbook" w:cs="Times New Roman"/>
          <w:b/>
          <w:bCs/>
          <w:noProof/>
        </w:rPr>
        <w:t>Meng Y, Bai H, Wang S, Li Z, Wang Q, Chen L.</w:t>
      </w:r>
      <w:r w:rsidRPr="006822DD">
        <w:rPr>
          <w:rFonts w:ascii="Century Schoolbook" w:hAnsi="Century Schoolbook" w:cs="Times New Roman"/>
          <w:noProof/>
        </w:rPr>
        <w:t xml:space="preserve"> Efficacy of low carbohydrate diet for type 2 diabetes mellitus management: A systematic review and meta-analysis of randomized controlled trials. </w:t>
      </w:r>
      <w:r w:rsidRPr="006822DD">
        <w:rPr>
          <w:rFonts w:ascii="Century Schoolbook" w:hAnsi="Century Schoolbook" w:cs="Times New Roman"/>
          <w:i/>
          <w:iCs/>
          <w:noProof/>
        </w:rPr>
        <w:t>Diabetes Res. Clin. Pract.</w:t>
      </w:r>
      <w:r w:rsidRPr="006822DD">
        <w:rPr>
          <w:rFonts w:ascii="Century Schoolbook" w:hAnsi="Century Schoolbook" w:cs="Times New Roman"/>
          <w:noProof/>
        </w:rPr>
        <w:t xml:space="preserve"> 2017;131:124–131.</w:t>
      </w:r>
    </w:p>
    <w:p w14:paraId="5F8B467C"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 </w:t>
      </w:r>
      <w:r w:rsidRPr="006822DD">
        <w:rPr>
          <w:rFonts w:ascii="Century Schoolbook" w:hAnsi="Century Schoolbook" w:cs="Times New Roman"/>
          <w:noProof/>
        </w:rPr>
        <w:tab/>
      </w:r>
      <w:r w:rsidRPr="006822DD">
        <w:rPr>
          <w:rFonts w:ascii="Century Schoolbook" w:hAnsi="Century Schoolbook" w:cs="Times New Roman"/>
          <w:b/>
          <w:bCs/>
          <w:noProof/>
        </w:rPr>
        <w:t>Huntriss R, Campbell M, Bedwell C.</w:t>
      </w:r>
      <w:r w:rsidRPr="006822DD">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6822DD">
        <w:rPr>
          <w:rFonts w:ascii="Century Schoolbook" w:hAnsi="Century Schoolbook" w:cs="Times New Roman"/>
          <w:i/>
          <w:iCs/>
          <w:noProof/>
        </w:rPr>
        <w:t>Eur. J. Clin. Nutr.</w:t>
      </w:r>
      <w:r w:rsidRPr="006822DD">
        <w:rPr>
          <w:rFonts w:ascii="Century Schoolbook" w:hAnsi="Century Schoolbook" w:cs="Times New Roman"/>
          <w:noProof/>
        </w:rPr>
        <w:t xml:space="preserve"> 2018;72(3):311–325.</w:t>
      </w:r>
    </w:p>
    <w:p w14:paraId="7D1BF768"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4. </w:t>
      </w:r>
      <w:r w:rsidRPr="006822DD">
        <w:rPr>
          <w:rFonts w:ascii="Century Schoolbook" w:hAnsi="Century Schoolbook" w:cs="Times New Roman"/>
          <w:noProof/>
        </w:rPr>
        <w:tab/>
      </w:r>
      <w:r w:rsidRPr="006822DD">
        <w:rPr>
          <w:rFonts w:ascii="Century Schoolbook" w:hAnsi="Century Schoolbook" w:cs="Times New Roman"/>
          <w:b/>
          <w:bCs/>
          <w:noProof/>
        </w:rPr>
        <w:t>Hall KD, Chung ST.</w:t>
      </w:r>
      <w:r w:rsidRPr="006822DD">
        <w:rPr>
          <w:rFonts w:ascii="Century Schoolbook" w:hAnsi="Century Schoolbook" w:cs="Times New Roman"/>
          <w:noProof/>
        </w:rPr>
        <w:t xml:space="preserve"> Low-carbohydrate diets for the treatment of obesity and type 2 diabetes. </w:t>
      </w:r>
      <w:r w:rsidRPr="006822DD">
        <w:rPr>
          <w:rFonts w:ascii="Century Schoolbook" w:hAnsi="Century Schoolbook" w:cs="Times New Roman"/>
          <w:i/>
          <w:iCs/>
          <w:noProof/>
        </w:rPr>
        <w:t>Curr. Opin. Clin. Nutr. Metab. Care</w:t>
      </w:r>
      <w:r w:rsidRPr="006822DD">
        <w:rPr>
          <w:rFonts w:ascii="Century Schoolbook" w:hAnsi="Century Schoolbook" w:cs="Times New Roman"/>
          <w:noProof/>
        </w:rPr>
        <w:t xml:space="preserve"> 2018;21(4):308–312.</w:t>
      </w:r>
    </w:p>
    <w:p w14:paraId="34EF545B"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5. </w:t>
      </w:r>
      <w:r w:rsidRPr="006822DD">
        <w:rPr>
          <w:rFonts w:ascii="Century Schoolbook" w:hAnsi="Century Schoolbook" w:cs="Times New Roman"/>
          <w:noProof/>
        </w:rPr>
        <w:tab/>
      </w:r>
      <w:r w:rsidRPr="006822DD">
        <w:rPr>
          <w:rFonts w:ascii="Century Schoolbook" w:hAnsi="Century Schoolbook" w:cs="Times New Roman"/>
          <w:b/>
          <w:bCs/>
          <w:noProof/>
        </w:rPr>
        <w:t>Moberg M, Apró W, Ekblom B, van Hall G, Holmberg H-C, Blomstrand E.</w:t>
      </w:r>
      <w:r w:rsidRPr="006822DD">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6822DD">
        <w:rPr>
          <w:rFonts w:ascii="Century Schoolbook" w:hAnsi="Century Schoolbook" w:cs="Times New Roman"/>
          <w:i/>
          <w:iCs/>
          <w:noProof/>
        </w:rPr>
        <w:t>Am. J. Physiol. Cell Physiol.</w:t>
      </w:r>
      <w:r w:rsidRPr="006822DD">
        <w:rPr>
          <w:rFonts w:ascii="Century Schoolbook" w:hAnsi="Century Schoolbook" w:cs="Times New Roman"/>
          <w:noProof/>
        </w:rPr>
        <w:t xml:space="preserve"> 2016:ajpcell.00374.2015.</w:t>
      </w:r>
    </w:p>
    <w:p w14:paraId="5C83FF66"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6. </w:t>
      </w:r>
      <w:r w:rsidRPr="006822DD">
        <w:rPr>
          <w:rFonts w:ascii="Century Schoolbook" w:hAnsi="Century Schoolbook" w:cs="Times New Roman"/>
          <w:noProof/>
        </w:rPr>
        <w:tab/>
      </w:r>
      <w:r w:rsidRPr="006822DD">
        <w:rPr>
          <w:rFonts w:ascii="Century Schoolbook" w:hAnsi="Century Schoolbook" w:cs="Times New Roman"/>
          <w:b/>
          <w:bCs/>
          <w:noProof/>
        </w:rPr>
        <w:t>Ebbeling CB, Feldman HA, Klein GL, Wong JMW, Bielak L, Steltz SK, Luoto PK, Wolfe RR, Wong WW, Ludwig DS.</w:t>
      </w:r>
      <w:r w:rsidRPr="006822DD">
        <w:rPr>
          <w:rFonts w:ascii="Century Schoolbook" w:hAnsi="Century Schoolbook" w:cs="Times New Roman"/>
          <w:noProof/>
        </w:rPr>
        <w:t xml:space="preserve"> Effects of a low carbohydrate diet on energy expenditure during weight loss maintenance: randomized trial. </w:t>
      </w:r>
      <w:r w:rsidRPr="006822DD">
        <w:rPr>
          <w:rFonts w:ascii="Century Schoolbook" w:hAnsi="Century Schoolbook" w:cs="Times New Roman"/>
          <w:i/>
          <w:iCs/>
          <w:noProof/>
        </w:rPr>
        <w:t>Bmj</w:t>
      </w:r>
      <w:r w:rsidRPr="006822DD">
        <w:rPr>
          <w:rFonts w:ascii="Century Schoolbook" w:hAnsi="Century Schoolbook" w:cs="Times New Roman"/>
          <w:noProof/>
        </w:rPr>
        <w:t xml:space="preserve"> 2018;363:k4583.</w:t>
      </w:r>
    </w:p>
    <w:p w14:paraId="4EE9CBD0"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7. </w:t>
      </w:r>
      <w:r w:rsidRPr="006822DD">
        <w:rPr>
          <w:rFonts w:ascii="Century Schoolbook" w:hAnsi="Century Schoolbook" w:cs="Times New Roman"/>
          <w:noProof/>
        </w:rPr>
        <w:tab/>
      </w:r>
      <w:r w:rsidRPr="006822DD">
        <w:rPr>
          <w:rFonts w:ascii="Century Schoolbook" w:hAnsi="Century Schoolbook" w:cs="Times New Roman"/>
          <w:b/>
          <w:bCs/>
          <w:noProof/>
        </w:rPr>
        <w:t>Gibson AA, Seimon R V., Lee CMY, Ayre J, Franklin J, Markovic TP, Caterson ID, Sainsbury A.</w:t>
      </w:r>
      <w:r w:rsidRPr="006822DD">
        <w:rPr>
          <w:rFonts w:ascii="Century Schoolbook" w:hAnsi="Century Schoolbook" w:cs="Times New Roman"/>
          <w:noProof/>
        </w:rPr>
        <w:t xml:space="preserve"> Do ketogenic diets really suppress appetite? A systematic review and meta-analysis. </w:t>
      </w:r>
      <w:r w:rsidRPr="006822DD">
        <w:rPr>
          <w:rFonts w:ascii="Century Schoolbook" w:hAnsi="Century Schoolbook" w:cs="Times New Roman"/>
          <w:i/>
          <w:iCs/>
          <w:noProof/>
        </w:rPr>
        <w:t>Obes. Rev.</w:t>
      </w:r>
      <w:r w:rsidRPr="006822DD">
        <w:rPr>
          <w:rFonts w:ascii="Century Schoolbook" w:hAnsi="Century Schoolbook" w:cs="Times New Roman"/>
          <w:noProof/>
        </w:rPr>
        <w:t xml:space="preserve"> 2015;16(1):64–76.</w:t>
      </w:r>
    </w:p>
    <w:p w14:paraId="7A3CC9A5"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8. </w:t>
      </w:r>
      <w:r w:rsidRPr="006822DD">
        <w:rPr>
          <w:rFonts w:ascii="Century Schoolbook" w:hAnsi="Century Schoolbook" w:cs="Times New Roman"/>
          <w:noProof/>
        </w:rPr>
        <w:tab/>
      </w:r>
      <w:r w:rsidRPr="006822DD">
        <w:rPr>
          <w:rFonts w:ascii="Century Schoolbook" w:hAnsi="Century Schoolbook" w:cs="Times New Roman"/>
          <w:b/>
          <w:bCs/>
          <w:noProof/>
        </w:rPr>
        <w:t>Petry CJ, Ong KK, Burling KA, Barker P, Goodburn SF, Perry JRB, Acerini CL, Hughes IA, Painter RC, Afink GB, Dunger DB, O’Rahilly SP.</w:t>
      </w:r>
      <w:r w:rsidRPr="006822DD">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6822DD">
        <w:rPr>
          <w:rFonts w:ascii="Century Schoolbook" w:hAnsi="Century Schoolbook" w:cs="Times New Roman"/>
          <w:i/>
          <w:iCs/>
          <w:noProof/>
        </w:rPr>
        <w:t>Wellcome Open Res.</w:t>
      </w:r>
      <w:r w:rsidRPr="006822DD">
        <w:rPr>
          <w:rFonts w:ascii="Century Schoolbook" w:hAnsi="Century Schoolbook" w:cs="Times New Roman"/>
          <w:noProof/>
        </w:rPr>
        <w:t xml:space="preserve"> 2018;3(0):123.</w:t>
      </w:r>
    </w:p>
    <w:p w14:paraId="0910AC0A"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9. </w:t>
      </w:r>
      <w:r w:rsidRPr="006822DD">
        <w:rPr>
          <w:rFonts w:ascii="Century Schoolbook" w:hAnsi="Century Schoolbook" w:cs="Times New Roman"/>
          <w:noProof/>
        </w:rPr>
        <w:tab/>
      </w:r>
      <w:r w:rsidRPr="006822DD">
        <w:rPr>
          <w:rFonts w:ascii="Century Schoolbook" w:hAnsi="Century Schoolbook" w:cs="Times New Roman"/>
          <w:b/>
          <w:bCs/>
          <w:noProof/>
        </w:rPr>
        <w:t>Fejzo MS, Fasching P, Schneider M, Schwitulla J, Beckmann M, Schwenke E, MacGibbon K, Mullin P.</w:t>
      </w:r>
      <w:r w:rsidRPr="006822DD">
        <w:rPr>
          <w:rFonts w:ascii="Century Schoolbook" w:hAnsi="Century Schoolbook" w:cs="Times New Roman"/>
          <w:noProof/>
        </w:rPr>
        <w:t xml:space="preserve"> Analysis of GDF15 and IGFBP7 in Hyperemesis Gravidarum Support Causality. </w:t>
      </w:r>
      <w:r w:rsidRPr="006822DD">
        <w:rPr>
          <w:rFonts w:ascii="Century Schoolbook" w:hAnsi="Century Schoolbook" w:cs="Times New Roman"/>
          <w:i/>
          <w:iCs/>
          <w:noProof/>
        </w:rPr>
        <w:t>Geburtshilfe Frauenheilkd.</w:t>
      </w:r>
      <w:r w:rsidRPr="006822DD">
        <w:rPr>
          <w:rFonts w:ascii="Century Schoolbook" w:hAnsi="Century Schoolbook" w:cs="Times New Roman"/>
          <w:noProof/>
        </w:rPr>
        <w:t xml:space="preserve"> 2019:382–388.</w:t>
      </w:r>
    </w:p>
    <w:p w14:paraId="5FA4C117"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10. </w:t>
      </w:r>
      <w:r w:rsidRPr="006822DD">
        <w:rPr>
          <w:rFonts w:ascii="Century Schoolbook" w:hAnsi="Century Schoolbook" w:cs="Times New Roman"/>
          <w:noProof/>
        </w:rPr>
        <w:tab/>
      </w:r>
      <w:r w:rsidRPr="006822DD">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6822DD">
        <w:rPr>
          <w:rFonts w:ascii="Century Schoolbook" w:hAnsi="Century Schoolbook" w:cs="Times New Roman"/>
          <w:noProof/>
        </w:rPr>
        <w:t xml:space="preserve"> Tumor-induced anorexia and weight loss are mediated by the TGF-β superfamily cytokine MIC-1. </w:t>
      </w:r>
      <w:r w:rsidRPr="006822DD">
        <w:rPr>
          <w:rFonts w:ascii="Century Schoolbook" w:hAnsi="Century Schoolbook" w:cs="Times New Roman"/>
          <w:i/>
          <w:iCs/>
          <w:noProof/>
        </w:rPr>
        <w:t>Nat. Med.</w:t>
      </w:r>
      <w:r w:rsidRPr="006822DD">
        <w:rPr>
          <w:rFonts w:ascii="Century Schoolbook" w:hAnsi="Century Schoolbook" w:cs="Times New Roman"/>
          <w:noProof/>
        </w:rPr>
        <w:t xml:space="preserve"> 2007;13(11):1333–1340.</w:t>
      </w:r>
    </w:p>
    <w:p w14:paraId="4E9077CE"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11. </w:t>
      </w:r>
      <w:r w:rsidRPr="006822DD">
        <w:rPr>
          <w:rFonts w:ascii="Century Schoolbook" w:hAnsi="Century Schoolbook" w:cs="Times New Roman"/>
          <w:noProof/>
        </w:rPr>
        <w:tab/>
      </w:r>
      <w:r w:rsidRPr="006822DD">
        <w:rPr>
          <w:rFonts w:ascii="Century Schoolbook" w:hAnsi="Century Schoolbook" w:cs="Times New Roman"/>
          <w:b/>
          <w:bCs/>
          <w:noProof/>
        </w:rPr>
        <w:t>Welsh JB, Sapinoso LM, Kern SG, Brown DA, Liu T, Bauskin AR, Ward RL, Hawkins NJ, Quinn DI, Russell PJ, Sutherland RL, Breit SN, Moskaluk CA, Frierson HF, Hampton GM.</w:t>
      </w:r>
      <w:r w:rsidRPr="006822DD">
        <w:rPr>
          <w:rFonts w:ascii="Century Schoolbook" w:hAnsi="Century Schoolbook" w:cs="Times New Roman"/>
          <w:noProof/>
        </w:rPr>
        <w:t xml:space="preserve"> Large-scale delineation of secreted protein biomarkers overexpressed in cancer tissue and serum. </w:t>
      </w:r>
      <w:r w:rsidRPr="006822DD">
        <w:rPr>
          <w:rFonts w:ascii="Century Schoolbook" w:hAnsi="Century Schoolbook" w:cs="Times New Roman"/>
          <w:i/>
          <w:iCs/>
          <w:noProof/>
        </w:rPr>
        <w:t>Proc. Natl. Acad. Sci.</w:t>
      </w:r>
      <w:r w:rsidRPr="006822DD">
        <w:rPr>
          <w:rFonts w:ascii="Century Schoolbook" w:hAnsi="Century Schoolbook" w:cs="Times New Roman"/>
          <w:noProof/>
        </w:rPr>
        <w:t xml:space="preserve"> 2003;100(6):3410–3415.</w:t>
      </w:r>
    </w:p>
    <w:p w14:paraId="1750FB9F"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lastRenderedPageBreak/>
        <w:t xml:space="preserve">12. </w:t>
      </w:r>
      <w:r w:rsidRPr="006822DD">
        <w:rPr>
          <w:rFonts w:ascii="Century Schoolbook" w:hAnsi="Century Schoolbook" w:cs="Times New Roman"/>
          <w:noProof/>
        </w:rPr>
        <w:tab/>
      </w:r>
      <w:r w:rsidRPr="006822DD">
        <w:rPr>
          <w:rFonts w:ascii="Century Schoolbook" w:hAnsi="Century Schoolbook" w:cs="Times New Roman"/>
          <w:b/>
          <w:bCs/>
          <w:noProof/>
        </w:rPr>
        <w:t>Frikke-Schmidt H, Hultman K, Galaske JW, Jørgensen SB, Myers MG, Seeley RJ.</w:t>
      </w:r>
      <w:r w:rsidRPr="006822DD">
        <w:rPr>
          <w:rFonts w:ascii="Century Schoolbook" w:hAnsi="Century Schoolbook" w:cs="Times New Roman"/>
          <w:noProof/>
        </w:rPr>
        <w:t xml:space="preserve"> GDF15 acts synergistically with liraglutide but is not necessary for the weight loss induced by bariatric surgery in mice. </w:t>
      </w:r>
      <w:r w:rsidRPr="006822DD">
        <w:rPr>
          <w:rFonts w:ascii="Century Schoolbook" w:hAnsi="Century Schoolbook" w:cs="Times New Roman"/>
          <w:i/>
          <w:iCs/>
          <w:noProof/>
        </w:rPr>
        <w:t>Mol. Metab.</w:t>
      </w:r>
      <w:r w:rsidRPr="006822DD">
        <w:rPr>
          <w:rFonts w:ascii="Century Schoolbook" w:hAnsi="Century Schoolbook" w:cs="Times New Roman"/>
          <w:noProof/>
        </w:rPr>
        <w:t xml:space="preserve"> 2019;21(xxxx):13–21.</w:t>
      </w:r>
    </w:p>
    <w:p w14:paraId="18D1B7D0"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13. </w:t>
      </w:r>
      <w:r w:rsidRPr="006822DD">
        <w:rPr>
          <w:rFonts w:ascii="Century Schoolbook" w:hAnsi="Century Schoolbook" w:cs="Times New Roman"/>
          <w:noProof/>
        </w:rPr>
        <w:tab/>
      </w:r>
      <w:r w:rsidRPr="006822DD">
        <w:rPr>
          <w:rFonts w:ascii="Century Schoolbook" w:hAnsi="Century Schoolbook" w:cs="Times New Roman"/>
          <w:b/>
          <w:bCs/>
          <w:noProof/>
        </w:rPr>
        <w:t>Zhang M, Sun W, Qian J, Tang Y.</w:t>
      </w:r>
      <w:r w:rsidRPr="006822DD">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6822DD">
        <w:rPr>
          <w:rFonts w:ascii="Century Schoolbook" w:hAnsi="Century Schoolbook" w:cs="Times New Roman"/>
          <w:i/>
          <w:iCs/>
          <w:noProof/>
        </w:rPr>
        <w:t>Redox Biol.</w:t>
      </w:r>
      <w:r w:rsidRPr="006822DD">
        <w:rPr>
          <w:rFonts w:ascii="Century Schoolbook" w:hAnsi="Century Schoolbook" w:cs="Times New Roman"/>
          <w:noProof/>
        </w:rPr>
        <w:t xml:space="preserve"> 2018;16(February):87–96.</w:t>
      </w:r>
    </w:p>
    <w:p w14:paraId="4085711E"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14. </w:t>
      </w:r>
      <w:r w:rsidRPr="006822DD">
        <w:rPr>
          <w:rFonts w:ascii="Century Schoolbook" w:hAnsi="Century Schoolbook" w:cs="Times New Roman"/>
          <w:noProof/>
        </w:rPr>
        <w:tab/>
      </w:r>
      <w:r w:rsidRPr="006822DD">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6822DD">
        <w:rPr>
          <w:rFonts w:ascii="Century Schoolbook" w:hAnsi="Century Schoolbook" w:cs="Times New Roman"/>
          <w:noProof/>
        </w:rPr>
        <w:t xml:space="preserve"> GDF15 Provides an Endocrine Signal of Nutritional Stress in Mice and Humans. </w:t>
      </w:r>
      <w:r w:rsidRPr="006822DD">
        <w:rPr>
          <w:rFonts w:ascii="Century Schoolbook" w:hAnsi="Century Schoolbook" w:cs="Times New Roman"/>
          <w:i/>
          <w:iCs/>
          <w:noProof/>
        </w:rPr>
        <w:t>Cell Metab.</w:t>
      </w:r>
      <w:r w:rsidRPr="006822DD">
        <w:rPr>
          <w:rFonts w:ascii="Century Schoolbook" w:hAnsi="Century Schoolbook" w:cs="Times New Roman"/>
          <w:noProof/>
        </w:rPr>
        <w:t xml:space="preserve"> 2019;29(3):707-718.e8.</w:t>
      </w:r>
    </w:p>
    <w:p w14:paraId="5A515B79"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15. </w:t>
      </w:r>
      <w:r w:rsidRPr="006822DD">
        <w:rPr>
          <w:rFonts w:ascii="Century Schoolbook" w:hAnsi="Century Schoolbook" w:cs="Times New Roman"/>
          <w:noProof/>
        </w:rPr>
        <w:tab/>
      </w:r>
      <w:r w:rsidRPr="006822DD">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6822DD">
        <w:rPr>
          <w:rFonts w:ascii="Century Schoolbook" w:hAnsi="Century Schoolbook" w:cs="Times New Roman"/>
          <w:noProof/>
        </w:rPr>
        <w:t xml:space="preserve"> Hepatic steatosis, inflammation, and ER stress in mice maintained long term on a very low-carbohydrate ketogenic diet. </w:t>
      </w:r>
      <w:r w:rsidRPr="006822DD">
        <w:rPr>
          <w:rFonts w:ascii="Century Schoolbook" w:hAnsi="Century Schoolbook" w:cs="Times New Roman"/>
          <w:i/>
          <w:iCs/>
          <w:noProof/>
        </w:rPr>
        <w:t>Am. J. Physiol. Liver Physiol.</w:t>
      </w:r>
      <w:r w:rsidRPr="006822DD">
        <w:rPr>
          <w:rFonts w:ascii="Century Schoolbook" w:hAnsi="Century Schoolbook" w:cs="Times New Roman"/>
          <w:noProof/>
        </w:rPr>
        <w:t xml:space="preserve"> 2011;300(6):G956–G967.</w:t>
      </w:r>
    </w:p>
    <w:p w14:paraId="7E2F070C"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16. </w:t>
      </w:r>
      <w:r w:rsidRPr="006822DD">
        <w:rPr>
          <w:rFonts w:ascii="Century Schoolbook" w:hAnsi="Century Schoolbook" w:cs="Times New Roman"/>
          <w:noProof/>
        </w:rPr>
        <w:tab/>
      </w:r>
      <w:r w:rsidRPr="006822DD">
        <w:rPr>
          <w:rFonts w:ascii="Century Schoolbook" w:hAnsi="Century Schoolbook" w:cs="Times New Roman"/>
          <w:b/>
          <w:bCs/>
          <w:noProof/>
        </w:rPr>
        <w:t>Douris N, Melman T, Pecherer JM, Pissios P, Flier JS, Cantley LC, Locasale JW, Maratos-Flier E.</w:t>
      </w:r>
      <w:r w:rsidRPr="006822DD">
        <w:rPr>
          <w:rFonts w:ascii="Century Schoolbook" w:hAnsi="Century Schoolbook" w:cs="Times New Roman"/>
          <w:noProof/>
        </w:rPr>
        <w:t xml:space="preserve"> Adaptive changes in amino acid metabolism permit normal longevity in mice consuming a low-carbohydrate ketogenic diet. </w:t>
      </w:r>
      <w:r w:rsidRPr="006822DD">
        <w:rPr>
          <w:rFonts w:ascii="Century Schoolbook" w:hAnsi="Century Schoolbook" w:cs="Times New Roman"/>
          <w:i/>
          <w:iCs/>
          <w:noProof/>
        </w:rPr>
        <w:t>Biochim. Biophys. Acta - Mol. Basis Dis.</w:t>
      </w:r>
      <w:r w:rsidRPr="006822DD">
        <w:rPr>
          <w:rFonts w:ascii="Century Schoolbook" w:hAnsi="Century Schoolbook" w:cs="Times New Roman"/>
          <w:noProof/>
        </w:rPr>
        <w:t xml:space="preserve"> 2015;1852(10):2056–2065.</w:t>
      </w:r>
    </w:p>
    <w:p w14:paraId="6D2E4C3F"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17. </w:t>
      </w:r>
      <w:r w:rsidRPr="006822DD">
        <w:rPr>
          <w:rFonts w:ascii="Century Schoolbook" w:hAnsi="Century Schoolbook" w:cs="Times New Roman"/>
          <w:noProof/>
        </w:rPr>
        <w:tab/>
      </w:r>
      <w:r w:rsidRPr="006822DD">
        <w:rPr>
          <w:rFonts w:ascii="Century Schoolbook" w:hAnsi="Century Schoolbook" w:cs="Times New Roman"/>
          <w:b/>
          <w:bCs/>
          <w:noProof/>
        </w:rPr>
        <w:t>Stephenson EJ, Redd JR, Snyder DS, Tran QT, Lu B, Peloquin MJ, Mulcahy MC, Harvey I, Fisher K, Han JC, Qi N, Saltiel AR, Bridges D.</w:t>
      </w:r>
      <w:r w:rsidRPr="006822DD">
        <w:rPr>
          <w:rFonts w:ascii="Century Schoolbook" w:hAnsi="Century Schoolbook" w:cs="Times New Roman"/>
          <w:noProof/>
        </w:rPr>
        <w:t xml:space="preserve"> Skeletal Muscle mTORC1 Activation Increases Energy Expenditure and Reduces Longevity in Mice. </w:t>
      </w:r>
      <w:r w:rsidRPr="006822DD">
        <w:rPr>
          <w:rFonts w:ascii="Century Schoolbook" w:hAnsi="Century Schoolbook" w:cs="Times New Roman"/>
          <w:i/>
          <w:iCs/>
          <w:noProof/>
        </w:rPr>
        <w:t>bioRxiv</w:t>
      </w:r>
      <w:r w:rsidRPr="006822DD">
        <w:rPr>
          <w:rFonts w:ascii="Century Schoolbook" w:hAnsi="Century Schoolbook" w:cs="Times New Roman"/>
          <w:noProof/>
        </w:rPr>
        <w:t xml:space="preserve"> 2019. doi:10.1101/720540.</w:t>
      </w:r>
    </w:p>
    <w:p w14:paraId="242FF484"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18. </w:t>
      </w:r>
      <w:r w:rsidRPr="006822DD">
        <w:rPr>
          <w:rFonts w:ascii="Century Schoolbook" w:hAnsi="Century Schoolbook" w:cs="Times New Roman"/>
          <w:noProof/>
        </w:rPr>
        <w:tab/>
      </w:r>
      <w:r w:rsidRPr="006822DD">
        <w:rPr>
          <w:rFonts w:ascii="Century Schoolbook" w:hAnsi="Century Schoolbook" w:cs="Times New Roman"/>
          <w:b/>
          <w:bCs/>
          <w:noProof/>
        </w:rPr>
        <w:t>Sengupta S, Peterson TR, Laplante M, Oh S, Sabatini DM.</w:t>
      </w:r>
      <w:r w:rsidRPr="006822DD">
        <w:rPr>
          <w:rFonts w:ascii="Century Schoolbook" w:hAnsi="Century Schoolbook" w:cs="Times New Roman"/>
          <w:noProof/>
        </w:rPr>
        <w:t xml:space="preserve"> MTORC1 controls fasting-induced ketogenesis and its modulation by ageing. </w:t>
      </w:r>
      <w:r w:rsidRPr="006822DD">
        <w:rPr>
          <w:rFonts w:ascii="Century Schoolbook" w:hAnsi="Century Schoolbook" w:cs="Times New Roman"/>
          <w:i/>
          <w:iCs/>
          <w:noProof/>
        </w:rPr>
        <w:t>Nature</w:t>
      </w:r>
      <w:r w:rsidRPr="006822DD">
        <w:rPr>
          <w:rFonts w:ascii="Century Schoolbook" w:hAnsi="Century Schoolbook" w:cs="Times New Roman"/>
          <w:noProof/>
        </w:rPr>
        <w:t xml:space="preserve"> 2010;468(7327):1100–1106.</w:t>
      </w:r>
    </w:p>
    <w:p w14:paraId="5EC42785"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19. </w:t>
      </w:r>
      <w:r w:rsidRPr="006822DD">
        <w:rPr>
          <w:rFonts w:ascii="Century Schoolbook" w:hAnsi="Century Schoolbook" w:cs="Times New Roman"/>
          <w:noProof/>
        </w:rPr>
        <w:tab/>
      </w:r>
      <w:r w:rsidRPr="006822DD">
        <w:rPr>
          <w:rFonts w:ascii="Century Schoolbook" w:hAnsi="Century Schoolbook" w:cs="Times New Roman"/>
          <w:b/>
          <w:bCs/>
          <w:noProof/>
        </w:rPr>
        <w:t>Almagro Armenteros JJ, Tsirigos KD, Sønderby CK, Petersen TN, Winther O, Brunak S, von Heijne G, Nielsen H.</w:t>
      </w:r>
      <w:r w:rsidRPr="006822DD">
        <w:rPr>
          <w:rFonts w:ascii="Century Schoolbook" w:hAnsi="Century Schoolbook" w:cs="Times New Roman"/>
          <w:noProof/>
        </w:rPr>
        <w:t xml:space="preserve"> SignalP 5.0 improves signal peptide predictions using deep neural networks. </w:t>
      </w:r>
      <w:r w:rsidRPr="006822DD">
        <w:rPr>
          <w:rFonts w:ascii="Century Schoolbook" w:hAnsi="Century Schoolbook" w:cs="Times New Roman"/>
          <w:i/>
          <w:iCs/>
          <w:noProof/>
        </w:rPr>
        <w:t>Nat. Biotechnol.</w:t>
      </w:r>
      <w:r w:rsidRPr="006822DD">
        <w:rPr>
          <w:rFonts w:ascii="Century Schoolbook" w:hAnsi="Century Schoolbook" w:cs="Times New Roman"/>
          <w:noProof/>
        </w:rPr>
        <w:t xml:space="preserve"> 2019;37(4):420–423.</w:t>
      </w:r>
    </w:p>
    <w:p w14:paraId="262D02AB"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20. </w:t>
      </w:r>
      <w:r w:rsidRPr="006822DD">
        <w:rPr>
          <w:rFonts w:ascii="Century Schoolbook" w:hAnsi="Century Schoolbook" w:cs="Times New Roman"/>
          <w:noProof/>
        </w:rPr>
        <w:tab/>
      </w:r>
      <w:r w:rsidRPr="006822DD">
        <w:rPr>
          <w:rFonts w:ascii="Century Schoolbook" w:hAnsi="Century Schoolbook" w:cs="Times New Roman"/>
          <w:b/>
          <w:bCs/>
          <w:noProof/>
        </w:rPr>
        <w:t>Durinck S, Spellman PT, Birney E, Huber W.</w:t>
      </w:r>
      <w:r w:rsidRPr="006822DD">
        <w:rPr>
          <w:rFonts w:ascii="Century Schoolbook" w:hAnsi="Century Schoolbook" w:cs="Times New Roman"/>
          <w:noProof/>
        </w:rPr>
        <w:t xml:space="preserve"> Mapping identifiers for the integration of genomic datasets with the R/ Bioconductor package biomaRt. </w:t>
      </w:r>
      <w:r w:rsidRPr="006822DD">
        <w:rPr>
          <w:rFonts w:ascii="Century Schoolbook" w:hAnsi="Century Schoolbook" w:cs="Times New Roman"/>
          <w:i/>
          <w:iCs/>
          <w:noProof/>
        </w:rPr>
        <w:t>Nat. Protoc.</w:t>
      </w:r>
      <w:r w:rsidRPr="006822DD">
        <w:rPr>
          <w:rFonts w:ascii="Century Schoolbook" w:hAnsi="Century Schoolbook" w:cs="Times New Roman"/>
          <w:noProof/>
        </w:rPr>
        <w:t xml:space="preserve"> 2009;4(8):1184–1191.</w:t>
      </w:r>
    </w:p>
    <w:p w14:paraId="27CC1C6F"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21. </w:t>
      </w:r>
      <w:r w:rsidRPr="006822DD">
        <w:rPr>
          <w:rFonts w:ascii="Century Schoolbook" w:hAnsi="Century Schoolbook" w:cs="Times New Roman"/>
          <w:noProof/>
        </w:rPr>
        <w:tab/>
      </w:r>
      <w:r w:rsidRPr="006822DD">
        <w:rPr>
          <w:rFonts w:ascii="Century Schoolbook" w:hAnsi="Century Schoolbook" w:cs="Times New Roman"/>
          <w:b/>
          <w:bCs/>
          <w:noProof/>
        </w:rPr>
        <w:t>R Core Team.</w:t>
      </w:r>
      <w:r w:rsidRPr="006822DD">
        <w:rPr>
          <w:rFonts w:ascii="Century Schoolbook" w:hAnsi="Century Schoolbook" w:cs="Times New Roman"/>
          <w:noProof/>
        </w:rPr>
        <w:t xml:space="preserve"> R: A Language and Environment for Statistical Computing. 2019.</w:t>
      </w:r>
    </w:p>
    <w:p w14:paraId="5C6B9EA5"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22. </w:t>
      </w:r>
      <w:r w:rsidRPr="006822DD">
        <w:rPr>
          <w:rFonts w:ascii="Century Schoolbook" w:hAnsi="Century Schoolbook" w:cs="Times New Roman"/>
          <w:noProof/>
        </w:rPr>
        <w:tab/>
      </w:r>
      <w:r w:rsidRPr="006822DD">
        <w:rPr>
          <w:rFonts w:ascii="Century Schoolbook" w:hAnsi="Century Schoolbook" w:cs="Times New Roman"/>
          <w:b/>
          <w:bCs/>
          <w:noProof/>
        </w:rPr>
        <w:t>Guridi M, Tintignac LA, Lin S, Kupr B, Castets P, Rüegg MA.</w:t>
      </w:r>
      <w:r w:rsidRPr="006822DD">
        <w:rPr>
          <w:rFonts w:ascii="Century Schoolbook" w:hAnsi="Century Schoolbook" w:cs="Times New Roman"/>
          <w:noProof/>
        </w:rPr>
        <w:t xml:space="preserve"> Activation of mTORC1 in skeletal muscle regulates whole-body metabolism through FGF21. </w:t>
      </w:r>
      <w:r w:rsidRPr="006822DD">
        <w:rPr>
          <w:rFonts w:ascii="Century Schoolbook" w:hAnsi="Century Schoolbook" w:cs="Times New Roman"/>
          <w:i/>
          <w:iCs/>
          <w:noProof/>
        </w:rPr>
        <w:t>Sci. Signal.</w:t>
      </w:r>
      <w:r w:rsidRPr="006822DD">
        <w:rPr>
          <w:rFonts w:ascii="Century Schoolbook" w:hAnsi="Century Schoolbook" w:cs="Times New Roman"/>
          <w:noProof/>
        </w:rPr>
        <w:t xml:space="preserve"> 2015;8(402):ra113–ra113.</w:t>
      </w:r>
    </w:p>
    <w:p w14:paraId="27B2155B"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lastRenderedPageBreak/>
        <w:t xml:space="preserve">23. </w:t>
      </w:r>
      <w:r w:rsidRPr="006822DD">
        <w:rPr>
          <w:rFonts w:ascii="Century Schoolbook" w:hAnsi="Century Schoolbook" w:cs="Times New Roman"/>
          <w:noProof/>
        </w:rPr>
        <w:tab/>
      </w:r>
      <w:r w:rsidRPr="006822DD">
        <w:rPr>
          <w:rFonts w:ascii="Century Schoolbook" w:hAnsi="Century Schoolbook" w:cs="Times New Roman"/>
          <w:b/>
          <w:bCs/>
          <w:noProof/>
        </w:rPr>
        <w:t>Guridi M, Kupr B, Romanino K, Lin S, Falcetta D, Tintignac L, Rüegg MA.</w:t>
      </w:r>
      <w:r w:rsidRPr="006822DD">
        <w:rPr>
          <w:rFonts w:ascii="Century Schoolbook" w:hAnsi="Century Schoolbook" w:cs="Times New Roman"/>
          <w:noProof/>
        </w:rPr>
        <w:t xml:space="preserve"> Alterations to mTORC1 signaling in the skeletal muscle differentially affect whole-body metabolism. </w:t>
      </w:r>
      <w:r w:rsidRPr="006822DD">
        <w:rPr>
          <w:rFonts w:ascii="Century Schoolbook" w:hAnsi="Century Schoolbook" w:cs="Times New Roman"/>
          <w:i/>
          <w:iCs/>
          <w:noProof/>
        </w:rPr>
        <w:t>Skelet. Muscle</w:t>
      </w:r>
      <w:r w:rsidRPr="006822DD">
        <w:rPr>
          <w:rFonts w:ascii="Century Schoolbook" w:hAnsi="Century Schoolbook" w:cs="Times New Roman"/>
          <w:noProof/>
        </w:rPr>
        <w:t xml:space="preserve"> 2016;6(1):13.</w:t>
      </w:r>
    </w:p>
    <w:p w14:paraId="75EA0FBC"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24. </w:t>
      </w:r>
      <w:r w:rsidRPr="006822DD">
        <w:rPr>
          <w:rFonts w:ascii="Century Schoolbook" w:hAnsi="Century Schoolbook" w:cs="Times New Roman"/>
          <w:noProof/>
        </w:rPr>
        <w:tab/>
      </w:r>
      <w:r w:rsidRPr="006822DD">
        <w:rPr>
          <w:rFonts w:ascii="Century Schoolbook" w:hAnsi="Century Schoolbook" w:cs="Times New Roman"/>
          <w:b/>
          <w:bCs/>
          <w:noProof/>
        </w:rPr>
        <w:t>Sugulle M, Dechend R, Herse F, Weedon-Fekjaer MS, Johnsen GM, Brosnihan KB, Anton L, Luft FC, Wollert KC, Kempf T, Staff AC.</w:t>
      </w:r>
      <w:r w:rsidRPr="006822DD">
        <w:rPr>
          <w:rFonts w:ascii="Century Schoolbook" w:hAnsi="Century Schoolbook" w:cs="Times New Roman"/>
          <w:noProof/>
        </w:rPr>
        <w:t xml:space="preserve"> Circulating and placental growth-differentiation factor 15 in preeclampsia and in pregnancy complicated by diabetes mellitus. </w:t>
      </w:r>
      <w:r w:rsidRPr="006822DD">
        <w:rPr>
          <w:rFonts w:ascii="Century Schoolbook" w:hAnsi="Century Schoolbook" w:cs="Times New Roman"/>
          <w:i/>
          <w:iCs/>
          <w:noProof/>
        </w:rPr>
        <w:t>Hypertension</w:t>
      </w:r>
      <w:r w:rsidRPr="006822DD">
        <w:rPr>
          <w:rFonts w:ascii="Century Schoolbook" w:hAnsi="Century Schoolbook" w:cs="Times New Roman"/>
          <w:noProof/>
        </w:rPr>
        <w:t xml:space="preserve"> 2009;54(1):106–112.</w:t>
      </w:r>
    </w:p>
    <w:p w14:paraId="2F6A8AAC"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25. </w:t>
      </w:r>
      <w:r w:rsidRPr="006822DD">
        <w:rPr>
          <w:rFonts w:ascii="Century Schoolbook" w:hAnsi="Century Schoolbook" w:cs="Times New Roman"/>
          <w:noProof/>
        </w:rPr>
        <w:tab/>
      </w:r>
      <w:r w:rsidRPr="006822DD">
        <w:rPr>
          <w:rFonts w:ascii="Century Schoolbook" w:hAnsi="Century Schoolbook" w:cs="Times New Roman"/>
          <w:b/>
          <w:bCs/>
          <w:noProof/>
        </w:rPr>
        <w:t>Tang M, Luo M, Lu W, Wang S, Zhang R, Liang W, Gu J, Yu X, Zhang X, Hu C.</w:t>
      </w:r>
      <w:r w:rsidRPr="006822DD">
        <w:rPr>
          <w:rFonts w:ascii="Century Schoolbook" w:hAnsi="Century Schoolbook" w:cs="Times New Roman"/>
          <w:noProof/>
        </w:rPr>
        <w:t xml:space="preserve"> Serum growth differentiation factor 15 is associated with glucose metabolism in the third trimester in Chinese pregnant women. </w:t>
      </w:r>
      <w:r w:rsidRPr="006822DD">
        <w:rPr>
          <w:rFonts w:ascii="Century Schoolbook" w:hAnsi="Century Schoolbook" w:cs="Times New Roman"/>
          <w:i/>
          <w:iCs/>
          <w:noProof/>
        </w:rPr>
        <w:t>Diabetes Res. Clin. Pract.</w:t>
      </w:r>
      <w:r w:rsidRPr="006822DD">
        <w:rPr>
          <w:rFonts w:ascii="Century Schoolbook" w:hAnsi="Century Schoolbook" w:cs="Times New Roman"/>
          <w:noProof/>
        </w:rPr>
        <w:t xml:space="preserve"> 2019:107823.</w:t>
      </w:r>
    </w:p>
    <w:p w14:paraId="2556A734"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26. </w:t>
      </w:r>
      <w:r w:rsidRPr="006822DD">
        <w:rPr>
          <w:rFonts w:ascii="Century Schoolbook" w:hAnsi="Century Schoolbook" w:cs="Times New Roman"/>
          <w:noProof/>
        </w:rPr>
        <w:tab/>
      </w:r>
      <w:r w:rsidRPr="006822DD">
        <w:rPr>
          <w:rFonts w:ascii="Century Schoolbook" w:hAnsi="Century Schoolbook" w:cs="Times New Roman"/>
          <w:b/>
          <w:bCs/>
          <w:noProof/>
        </w:rPr>
        <w:t>Tong S, Marjono B, Brown DA, Mulvey S, Breit SN, Manuelpillai U, Wallace EM.</w:t>
      </w:r>
      <w:r w:rsidRPr="006822DD">
        <w:rPr>
          <w:rFonts w:ascii="Century Schoolbook" w:hAnsi="Century Schoolbook" w:cs="Times New Roman"/>
          <w:noProof/>
        </w:rPr>
        <w:t xml:space="preserve"> Serum concentrations of macrophage inhibitory cytokine 1 (MIC 1) as a predictor of miscarriage. </w:t>
      </w:r>
      <w:r w:rsidRPr="006822DD">
        <w:rPr>
          <w:rFonts w:ascii="Century Schoolbook" w:hAnsi="Century Schoolbook" w:cs="Times New Roman"/>
          <w:i/>
          <w:iCs/>
          <w:noProof/>
        </w:rPr>
        <w:t>Lancet</w:t>
      </w:r>
      <w:r w:rsidRPr="006822DD">
        <w:rPr>
          <w:rFonts w:ascii="Century Schoolbook" w:hAnsi="Century Schoolbook" w:cs="Times New Roman"/>
          <w:noProof/>
        </w:rPr>
        <w:t xml:space="preserve"> 2004;363(9403):129–130.</w:t>
      </w:r>
    </w:p>
    <w:p w14:paraId="08592AA5"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27. </w:t>
      </w:r>
      <w:r w:rsidRPr="006822DD">
        <w:rPr>
          <w:rFonts w:ascii="Century Schoolbook" w:hAnsi="Century Schoolbook" w:cs="Times New Roman"/>
          <w:noProof/>
        </w:rPr>
        <w:tab/>
      </w:r>
      <w:r w:rsidRPr="006822DD">
        <w:rPr>
          <w:rFonts w:ascii="Century Schoolbook" w:hAnsi="Century Schoolbook" w:cs="Times New Roman"/>
          <w:b/>
          <w:bCs/>
          <w:noProof/>
        </w:rPr>
        <w:t>Munk PS, Valborgland T, Butt N, Larsen AI.</w:t>
      </w:r>
      <w:r w:rsidRPr="006822DD">
        <w:rPr>
          <w:rFonts w:ascii="Century Schoolbook" w:hAnsi="Century Schoolbook" w:cs="Times New Roman"/>
          <w:noProof/>
        </w:rPr>
        <w:t xml:space="preserve"> Response of growth differentiation factor-15 to percutaneous coronary intervention and regular exercise training. </w:t>
      </w:r>
      <w:r w:rsidRPr="006822DD">
        <w:rPr>
          <w:rFonts w:ascii="Century Schoolbook" w:hAnsi="Century Schoolbook" w:cs="Times New Roman"/>
          <w:i/>
          <w:iCs/>
          <w:noProof/>
        </w:rPr>
        <w:t>Scand. Cardiovasc. J.</w:t>
      </w:r>
      <w:r w:rsidRPr="006822DD">
        <w:rPr>
          <w:rFonts w:ascii="Century Schoolbook" w:hAnsi="Century Schoolbook" w:cs="Times New Roman"/>
          <w:noProof/>
        </w:rPr>
        <w:t xml:space="preserve"> 2011;45(1):27–32.</w:t>
      </w:r>
    </w:p>
    <w:p w14:paraId="5FC5AA9F"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28. </w:t>
      </w:r>
      <w:r w:rsidRPr="006822DD">
        <w:rPr>
          <w:rFonts w:ascii="Century Schoolbook" w:hAnsi="Century Schoolbook" w:cs="Times New Roman"/>
          <w:noProof/>
        </w:rPr>
        <w:tab/>
      </w:r>
      <w:r w:rsidRPr="006822DD">
        <w:rPr>
          <w:rFonts w:ascii="Century Schoolbook" w:hAnsi="Century Schoolbook" w:cs="Times New Roman"/>
          <w:b/>
          <w:bCs/>
          <w:noProof/>
        </w:rPr>
        <w:t>Galliera E, Lombardi G, Marazzi MG, Grasso D, Vianello E, Pozzoni R, Banfi G, Corsi Romanelli MM.</w:t>
      </w:r>
      <w:r w:rsidRPr="006822DD">
        <w:rPr>
          <w:rFonts w:ascii="Century Schoolbook" w:hAnsi="Century Schoolbook" w:cs="Times New Roman"/>
          <w:noProof/>
        </w:rPr>
        <w:t xml:space="preserve"> Acute exercise in elite rugby players increases the circulating level of the cardiovascular biomarker GDF-15. </w:t>
      </w:r>
      <w:r w:rsidRPr="006822DD">
        <w:rPr>
          <w:rFonts w:ascii="Century Schoolbook" w:hAnsi="Century Schoolbook" w:cs="Times New Roman"/>
          <w:i/>
          <w:iCs/>
          <w:noProof/>
        </w:rPr>
        <w:t>Scand. J. Clin. Lab. Invest.</w:t>
      </w:r>
      <w:r w:rsidRPr="006822DD">
        <w:rPr>
          <w:rFonts w:ascii="Century Schoolbook" w:hAnsi="Century Schoolbook" w:cs="Times New Roman"/>
          <w:noProof/>
        </w:rPr>
        <w:t xml:space="preserve"> 2014;74(6):492–499.</w:t>
      </w:r>
    </w:p>
    <w:p w14:paraId="3D2F75D2"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29. </w:t>
      </w:r>
      <w:r w:rsidRPr="006822DD">
        <w:rPr>
          <w:rFonts w:ascii="Century Schoolbook" w:hAnsi="Century Schoolbook" w:cs="Times New Roman"/>
          <w:noProof/>
        </w:rPr>
        <w:tab/>
      </w:r>
      <w:r w:rsidRPr="006822DD">
        <w:rPr>
          <w:rFonts w:ascii="Century Schoolbook" w:hAnsi="Century Schoolbook" w:cs="Times New Roman"/>
          <w:b/>
          <w:bCs/>
          <w:noProof/>
        </w:rPr>
        <w:t>Joung KH, Kim JM, Yi H-S, Lee JH, Kim KS, Kim HJ, Shong M, Ku BJ.</w:t>
      </w:r>
      <w:r w:rsidRPr="006822DD">
        <w:rPr>
          <w:rFonts w:ascii="Century Schoolbook" w:hAnsi="Century Schoolbook" w:cs="Times New Roman"/>
          <w:noProof/>
        </w:rPr>
        <w:t xml:space="preserve"> Effects of exercise program on normal responsiveness of serum GDF15 in middle-aged women. </w:t>
      </w:r>
      <w:r w:rsidRPr="006822DD">
        <w:rPr>
          <w:rFonts w:ascii="Century Schoolbook" w:hAnsi="Century Schoolbook" w:cs="Times New Roman"/>
          <w:i/>
          <w:iCs/>
          <w:noProof/>
        </w:rPr>
        <w:t>Diabetes Res. Clin. Pract.</w:t>
      </w:r>
      <w:r w:rsidRPr="006822DD">
        <w:rPr>
          <w:rFonts w:ascii="Century Schoolbook" w:hAnsi="Century Schoolbook" w:cs="Times New Roman"/>
          <w:noProof/>
        </w:rPr>
        <w:t xml:space="preserve"> 2016;120:S65–S66.</w:t>
      </w:r>
    </w:p>
    <w:p w14:paraId="60C7CDE2"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30. </w:t>
      </w:r>
      <w:r w:rsidRPr="006822DD">
        <w:rPr>
          <w:rFonts w:ascii="Century Schoolbook" w:hAnsi="Century Schoolbook" w:cs="Times New Roman"/>
          <w:noProof/>
        </w:rPr>
        <w:tab/>
      </w:r>
      <w:r w:rsidRPr="006822DD">
        <w:rPr>
          <w:rFonts w:ascii="Century Schoolbook" w:hAnsi="Century Schoolbook" w:cs="Times New Roman"/>
          <w:b/>
          <w:bCs/>
          <w:noProof/>
        </w:rPr>
        <w:t>Kleinert M, Clemmensen C, Sjøberg KA, Carl CS, Jeppesen JF, Wojtaszewski JFP, Kiens B, Richter EA.</w:t>
      </w:r>
      <w:r w:rsidRPr="006822DD">
        <w:rPr>
          <w:rFonts w:ascii="Century Schoolbook" w:hAnsi="Century Schoolbook" w:cs="Times New Roman"/>
          <w:noProof/>
        </w:rPr>
        <w:t xml:space="preserve"> Exercise increases circulating GDF15 in humans. </w:t>
      </w:r>
      <w:r w:rsidRPr="006822DD">
        <w:rPr>
          <w:rFonts w:ascii="Century Schoolbook" w:hAnsi="Century Schoolbook" w:cs="Times New Roman"/>
          <w:i/>
          <w:iCs/>
          <w:noProof/>
        </w:rPr>
        <w:t>Mol. Metab.</w:t>
      </w:r>
      <w:r w:rsidRPr="006822DD">
        <w:rPr>
          <w:rFonts w:ascii="Century Schoolbook" w:hAnsi="Century Schoolbook" w:cs="Times New Roman"/>
          <w:noProof/>
        </w:rPr>
        <w:t xml:space="preserve"> 2018;9(January):187–191.</w:t>
      </w:r>
    </w:p>
    <w:p w14:paraId="6C3233B6"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31. </w:t>
      </w:r>
      <w:r w:rsidRPr="006822DD">
        <w:rPr>
          <w:rFonts w:ascii="Century Schoolbook" w:hAnsi="Century Schoolbook" w:cs="Times New Roman"/>
          <w:noProof/>
        </w:rPr>
        <w:tab/>
      </w:r>
      <w:r w:rsidRPr="006822DD">
        <w:rPr>
          <w:rFonts w:ascii="Century Schoolbook" w:hAnsi="Century Schoolbook" w:cs="Times New Roman"/>
          <w:b/>
          <w:bCs/>
          <w:noProof/>
        </w:rPr>
        <w:t>Zhang H, Fealy CE, Kirwan JP.</w:t>
      </w:r>
      <w:r w:rsidRPr="006822DD">
        <w:rPr>
          <w:rFonts w:ascii="Century Schoolbook" w:hAnsi="Century Schoolbook" w:cs="Times New Roman"/>
          <w:noProof/>
        </w:rPr>
        <w:t xml:space="preserve"> Exercise Training Promotes a GDF15 Associated Reduction in Fat Mass in Older Adults with Obesity. </w:t>
      </w:r>
      <w:r w:rsidRPr="006822DD">
        <w:rPr>
          <w:rFonts w:ascii="Century Schoolbook" w:hAnsi="Century Schoolbook" w:cs="Times New Roman"/>
          <w:i/>
          <w:iCs/>
          <w:noProof/>
        </w:rPr>
        <w:t>Am. J. Physiol. Metab.</w:t>
      </w:r>
      <w:r w:rsidRPr="006822DD">
        <w:rPr>
          <w:rFonts w:ascii="Century Schoolbook" w:hAnsi="Century Schoolbook" w:cs="Times New Roman"/>
          <w:noProof/>
        </w:rPr>
        <w:t xml:space="preserve"> 2019:ajpendo.00439.2018.</w:t>
      </w:r>
    </w:p>
    <w:p w14:paraId="5CF6BA70"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32. </w:t>
      </w:r>
      <w:r w:rsidRPr="006822DD">
        <w:rPr>
          <w:rFonts w:ascii="Century Schoolbook" w:hAnsi="Century Schoolbook" w:cs="Times New Roman"/>
          <w:noProof/>
        </w:rPr>
        <w:tab/>
      </w:r>
      <w:r w:rsidRPr="006822DD">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6822DD">
        <w:rPr>
          <w:rFonts w:ascii="Century Schoolbook" w:hAnsi="Century Schoolbook" w:cs="Times New Roman"/>
          <w:noProof/>
        </w:rPr>
        <w:t xml:space="preserve"> GFRAL is the receptor for GDF15 and the ligand promotes weight loss in mice and nonhuman primates. </w:t>
      </w:r>
      <w:r w:rsidRPr="006822DD">
        <w:rPr>
          <w:rFonts w:ascii="Century Schoolbook" w:hAnsi="Century Schoolbook" w:cs="Times New Roman"/>
          <w:i/>
          <w:iCs/>
          <w:noProof/>
        </w:rPr>
        <w:t>Nat. Med.</w:t>
      </w:r>
      <w:r w:rsidRPr="006822DD">
        <w:rPr>
          <w:rFonts w:ascii="Century Schoolbook" w:hAnsi="Century Schoolbook" w:cs="Times New Roman"/>
          <w:noProof/>
        </w:rPr>
        <w:t xml:space="preserve"> 2017;23(10):1150–1157.</w:t>
      </w:r>
    </w:p>
    <w:p w14:paraId="005B3521"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33. </w:t>
      </w:r>
      <w:r w:rsidRPr="006822DD">
        <w:rPr>
          <w:rFonts w:ascii="Century Schoolbook" w:hAnsi="Century Schoolbook" w:cs="Times New Roman"/>
          <w:noProof/>
        </w:rPr>
        <w:tab/>
      </w:r>
      <w:r w:rsidRPr="006822DD">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6822DD">
        <w:rPr>
          <w:rFonts w:ascii="Century Schoolbook" w:hAnsi="Century Schoolbook" w:cs="Times New Roman"/>
          <w:noProof/>
        </w:rPr>
        <w:t xml:space="preserve"> Non-homeostatic body weight regulation through a brainstem-restricted receptor for GDF15. </w:t>
      </w:r>
      <w:r w:rsidRPr="006822DD">
        <w:rPr>
          <w:rFonts w:ascii="Century Schoolbook" w:hAnsi="Century Schoolbook" w:cs="Times New Roman"/>
          <w:i/>
          <w:iCs/>
          <w:noProof/>
        </w:rPr>
        <w:t>Nature</w:t>
      </w:r>
      <w:r w:rsidRPr="006822DD">
        <w:rPr>
          <w:rFonts w:ascii="Century Schoolbook" w:hAnsi="Century Schoolbook" w:cs="Times New Roman"/>
          <w:noProof/>
        </w:rPr>
        <w:t xml:space="preserve"> 2017;550(7675):255–259.</w:t>
      </w:r>
    </w:p>
    <w:p w14:paraId="4611EFAE"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34. </w:t>
      </w:r>
      <w:r w:rsidRPr="006822DD">
        <w:rPr>
          <w:rFonts w:ascii="Century Schoolbook" w:hAnsi="Century Schoolbook" w:cs="Times New Roman"/>
          <w:noProof/>
        </w:rPr>
        <w:tab/>
      </w:r>
      <w:r w:rsidRPr="006822DD">
        <w:rPr>
          <w:rFonts w:ascii="Century Schoolbook" w:hAnsi="Century Schoolbook" w:cs="Times New Roman"/>
          <w:b/>
          <w:bCs/>
          <w:noProof/>
        </w:rPr>
        <w:t>Tran T, Yang J, Gardner J, Xiong Y.</w:t>
      </w:r>
      <w:r w:rsidRPr="006822DD">
        <w:rPr>
          <w:rFonts w:ascii="Century Schoolbook" w:hAnsi="Century Schoolbook" w:cs="Times New Roman"/>
          <w:noProof/>
        </w:rPr>
        <w:t xml:space="preserve"> GDF15 deficiency promotes high fat </w:t>
      </w:r>
      <w:r w:rsidRPr="006822DD">
        <w:rPr>
          <w:rFonts w:ascii="Century Schoolbook" w:hAnsi="Century Schoolbook" w:cs="Times New Roman"/>
          <w:noProof/>
        </w:rPr>
        <w:lastRenderedPageBreak/>
        <w:t xml:space="preserve">diet-induced obesity in mice. Peterson JM, ed. </w:t>
      </w:r>
      <w:r w:rsidRPr="006822DD">
        <w:rPr>
          <w:rFonts w:ascii="Century Schoolbook" w:hAnsi="Century Schoolbook" w:cs="Times New Roman"/>
          <w:i/>
          <w:iCs/>
          <w:noProof/>
        </w:rPr>
        <w:t>PLoS One</w:t>
      </w:r>
      <w:r w:rsidRPr="006822DD">
        <w:rPr>
          <w:rFonts w:ascii="Century Schoolbook" w:hAnsi="Century Schoolbook" w:cs="Times New Roman"/>
          <w:noProof/>
        </w:rPr>
        <w:t xml:space="preserve"> 2018;13(8):e0201584.</w:t>
      </w:r>
    </w:p>
    <w:p w14:paraId="3924C4FF"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35. </w:t>
      </w:r>
      <w:r w:rsidRPr="006822DD">
        <w:rPr>
          <w:rFonts w:ascii="Century Schoolbook" w:hAnsi="Century Schoolbook" w:cs="Times New Roman"/>
          <w:noProof/>
        </w:rPr>
        <w:tab/>
      </w:r>
      <w:r w:rsidRPr="006822DD">
        <w:rPr>
          <w:rFonts w:ascii="Century Schoolbook" w:hAnsi="Century Schoolbook" w:cs="Times New Roman"/>
          <w:b/>
          <w:bCs/>
          <w:noProof/>
        </w:rPr>
        <w:t>Tsai VW-W, Zhang HP, Manandhar R, Schofield P, Christ D, Lee-Ng KKM, Lebhar H, Marquis CP, Husaini Y, Brown DA, Breit SN.</w:t>
      </w:r>
      <w:r w:rsidRPr="006822DD">
        <w:rPr>
          <w:rFonts w:ascii="Century Schoolbook" w:hAnsi="Century Schoolbook" w:cs="Times New Roman"/>
          <w:noProof/>
        </w:rPr>
        <w:t xml:space="preserve"> GDF15 mediates adiposity resistance through actions on GFRAL neurons in the hindbrain AP/NTS. </w:t>
      </w:r>
      <w:r w:rsidRPr="006822DD">
        <w:rPr>
          <w:rFonts w:ascii="Century Schoolbook" w:hAnsi="Century Schoolbook" w:cs="Times New Roman"/>
          <w:i/>
          <w:iCs/>
          <w:noProof/>
        </w:rPr>
        <w:t>Int. J. Obes.</w:t>
      </w:r>
      <w:r w:rsidRPr="006822DD">
        <w:rPr>
          <w:rFonts w:ascii="Century Schoolbook" w:hAnsi="Century Schoolbook" w:cs="Times New Roman"/>
          <w:noProof/>
        </w:rPr>
        <w:t xml:space="preserve"> 2019. doi:10.1038/s41366-019-0365-5.</w:t>
      </w:r>
    </w:p>
    <w:p w14:paraId="52A64A3F" w14:textId="77777777" w:rsidR="006822DD" w:rsidRPr="006822DD" w:rsidRDefault="006822DD" w:rsidP="006822DD">
      <w:pPr>
        <w:widowControl w:val="0"/>
        <w:autoSpaceDE w:val="0"/>
        <w:autoSpaceDN w:val="0"/>
        <w:adjustRightInd w:val="0"/>
        <w:ind w:left="640" w:hanging="640"/>
        <w:rPr>
          <w:rFonts w:ascii="Century Schoolbook" w:hAnsi="Century Schoolbook" w:cs="Times New Roman"/>
          <w:noProof/>
        </w:rPr>
      </w:pPr>
      <w:r w:rsidRPr="006822DD">
        <w:rPr>
          <w:rFonts w:ascii="Century Schoolbook" w:hAnsi="Century Schoolbook" w:cs="Times New Roman"/>
          <w:noProof/>
        </w:rPr>
        <w:t xml:space="preserve">36. </w:t>
      </w:r>
      <w:r w:rsidRPr="006822DD">
        <w:rPr>
          <w:rFonts w:ascii="Century Schoolbook" w:hAnsi="Century Schoolbook" w:cs="Times New Roman"/>
          <w:noProof/>
        </w:rPr>
        <w:tab/>
      </w:r>
      <w:r w:rsidRPr="006822DD">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6822DD">
        <w:rPr>
          <w:rFonts w:ascii="Century Schoolbook" w:hAnsi="Century Schoolbook" w:cs="Times New Roman"/>
          <w:noProof/>
        </w:rPr>
        <w:t xml:space="preserve"> The metabolic effects of GDF15 are mediated by the orphan receptor GFRAL. </w:t>
      </w:r>
      <w:r w:rsidRPr="006822DD">
        <w:rPr>
          <w:rFonts w:ascii="Century Schoolbook" w:hAnsi="Century Schoolbook" w:cs="Times New Roman"/>
          <w:i/>
          <w:iCs/>
          <w:noProof/>
        </w:rPr>
        <w:t>Nat. Med.</w:t>
      </w:r>
      <w:r w:rsidRPr="006822DD">
        <w:rPr>
          <w:rFonts w:ascii="Century Schoolbook" w:hAnsi="Century Schoolbook" w:cs="Times New Roman"/>
          <w:noProof/>
        </w:rPr>
        <w:t xml:space="preserve"> 2017;23(10):1215–1219.</w:t>
      </w:r>
    </w:p>
    <w:p w14:paraId="507B2409" w14:textId="77777777" w:rsidR="006822DD" w:rsidRPr="006822DD" w:rsidRDefault="006822DD" w:rsidP="006822DD">
      <w:pPr>
        <w:widowControl w:val="0"/>
        <w:autoSpaceDE w:val="0"/>
        <w:autoSpaceDN w:val="0"/>
        <w:adjustRightInd w:val="0"/>
        <w:ind w:left="640" w:hanging="640"/>
        <w:rPr>
          <w:rFonts w:ascii="Century Schoolbook" w:hAnsi="Century Schoolbook"/>
          <w:noProof/>
        </w:rPr>
      </w:pPr>
      <w:r w:rsidRPr="006822DD">
        <w:rPr>
          <w:rFonts w:ascii="Century Schoolbook" w:hAnsi="Century Schoolbook" w:cs="Times New Roman"/>
          <w:noProof/>
        </w:rPr>
        <w:t xml:space="preserve">37. </w:t>
      </w:r>
      <w:r w:rsidRPr="006822DD">
        <w:rPr>
          <w:rFonts w:ascii="Century Schoolbook" w:hAnsi="Century Schoolbook" w:cs="Times New Roman"/>
          <w:noProof/>
        </w:rPr>
        <w:tab/>
      </w:r>
      <w:r w:rsidRPr="006822DD">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6822DD">
        <w:rPr>
          <w:rFonts w:ascii="Century Schoolbook" w:hAnsi="Century Schoolbook" w:cs="Times New Roman"/>
          <w:noProof/>
        </w:rPr>
        <w:t xml:space="preserve"> GFRAL is the receptor for GDF15 and is required for the anti-obesity effects of the ligand. </w:t>
      </w:r>
      <w:r w:rsidRPr="006822DD">
        <w:rPr>
          <w:rFonts w:ascii="Century Schoolbook" w:hAnsi="Century Schoolbook" w:cs="Times New Roman"/>
          <w:i/>
          <w:iCs/>
          <w:noProof/>
        </w:rPr>
        <w:t>Nat. Med.</w:t>
      </w:r>
      <w:r w:rsidRPr="006822DD">
        <w:rPr>
          <w:rFonts w:ascii="Century Schoolbook" w:hAnsi="Century Schoolbook" w:cs="Times New Roman"/>
          <w:noProof/>
        </w:rPr>
        <w:t xml:space="preserve"> 2017;23(10):1158–1166.</w:t>
      </w:r>
    </w:p>
    <w:p w14:paraId="4FD305D7" w14:textId="444E4A1D" w:rsidR="00A857D5" w:rsidRDefault="0098529C" w:rsidP="006822DD">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Pr="004F0A9F" w:rsidRDefault="00706736" w:rsidP="00706736">
            <w:pPr>
              <w:rPr>
                <w:b/>
              </w:rPr>
            </w:pPr>
            <w:r w:rsidRPr="004F0A9F">
              <w:rPr>
                <w:b/>
              </w:rPr>
              <w:t xml:space="preserve">Control Diet </w:t>
            </w:r>
          </w:p>
        </w:tc>
        <w:tc>
          <w:tcPr>
            <w:tcW w:w="2069" w:type="dxa"/>
          </w:tcPr>
          <w:p w14:paraId="3165FE42" w14:textId="7732A380" w:rsidR="00706736" w:rsidRPr="004F0A9F" w:rsidRDefault="00706736" w:rsidP="00706736">
            <w:pPr>
              <w:rPr>
                <w:b/>
              </w:rPr>
            </w:pPr>
            <w:r w:rsidRPr="004F0A9F">
              <w:rPr>
                <w:b/>
              </w:rPr>
              <w:t xml:space="preserve">Ketogenic Diet </w:t>
            </w:r>
          </w:p>
        </w:tc>
        <w:tc>
          <w:tcPr>
            <w:tcW w:w="2575" w:type="dxa"/>
          </w:tcPr>
          <w:p w14:paraId="08D81FAD" w14:textId="0D33D098" w:rsidR="00706736" w:rsidRPr="004F0A9F" w:rsidRDefault="00706736" w:rsidP="00706736">
            <w:pPr>
              <w:rPr>
                <w:b/>
              </w:rPr>
            </w:pPr>
            <w:r w:rsidRPr="004F0A9F">
              <w:rPr>
                <w:b/>
              </w:rP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D5BC654" w:rsidR="00D17276" w:rsidRDefault="00D17276">
      <w:r>
        <w:t xml:space="preserve">Table 2: </w:t>
      </w:r>
      <w:r w:rsidR="004F0A9F">
        <w:t>R</w:t>
      </w:r>
      <w:r>
        <w:t>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1655"/>
        <w:gridCol w:w="3380"/>
        <w:gridCol w:w="3026"/>
      </w:tblGrid>
      <w:tr w:rsidR="00D17276" w14:paraId="2BE836A3" w14:textId="77777777" w:rsidTr="001C3EEE">
        <w:tc>
          <w:tcPr>
            <w:tcW w:w="1655" w:type="dxa"/>
          </w:tcPr>
          <w:p w14:paraId="00F894A8" w14:textId="22AB93D3" w:rsidR="00D17276" w:rsidRPr="004F0A9F" w:rsidRDefault="00D17276">
            <w:pPr>
              <w:rPr>
                <w:b/>
              </w:rPr>
            </w:pPr>
            <w:r w:rsidRPr="004F0A9F">
              <w:rPr>
                <w:b/>
              </w:rPr>
              <w:t>Type</w:t>
            </w:r>
          </w:p>
        </w:tc>
        <w:tc>
          <w:tcPr>
            <w:tcW w:w="3380" w:type="dxa"/>
          </w:tcPr>
          <w:p w14:paraId="5B6B96A5" w14:textId="360A7188" w:rsidR="00D17276" w:rsidRPr="004F0A9F" w:rsidRDefault="00D17276">
            <w:pPr>
              <w:rPr>
                <w:b/>
              </w:rPr>
            </w:pPr>
            <w:r w:rsidRPr="004F0A9F">
              <w:rPr>
                <w:b/>
              </w:rPr>
              <w:t>Resource</w:t>
            </w:r>
          </w:p>
        </w:tc>
        <w:tc>
          <w:tcPr>
            <w:tcW w:w="2854" w:type="dxa"/>
          </w:tcPr>
          <w:p w14:paraId="497F18D3" w14:textId="22A71A16" w:rsidR="00D17276" w:rsidRPr="004F0A9F" w:rsidRDefault="00D17276">
            <w:pPr>
              <w:rPr>
                <w:b/>
              </w:rPr>
            </w:pPr>
            <w:r w:rsidRPr="004F0A9F">
              <w:rPr>
                <w:b/>
              </w:rPr>
              <w:t>Identifier</w:t>
            </w:r>
          </w:p>
        </w:tc>
      </w:tr>
      <w:tr w:rsidR="006822DD" w14:paraId="4615D866" w14:textId="77777777" w:rsidTr="001C3EEE">
        <w:tc>
          <w:tcPr>
            <w:tcW w:w="1655" w:type="dxa"/>
          </w:tcPr>
          <w:p w14:paraId="32AFA8D6" w14:textId="1A041C70" w:rsidR="006822DD" w:rsidRDefault="006822DD">
            <w:r>
              <w:t>Mouse Line</w:t>
            </w:r>
          </w:p>
        </w:tc>
        <w:tc>
          <w:tcPr>
            <w:tcW w:w="3380" w:type="dxa"/>
          </w:tcPr>
          <w:p w14:paraId="17ECE007" w14:textId="6DD78C63" w:rsidR="006822DD" w:rsidRPr="006822DD" w:rsidRDefault="006822DD">
            <w:pPr>
              <w:rPr>
                <w:i/>
              </w:rPr>
            </w:pPr>
            <w:proofErr w:type="spellStart"/>
            <w:r w:rsidRPr="006822DD">
              <w:rPr>
                <w:i/>
              </w:rPr>
              <w:t>Ckmm-Cre</w:t>
            </w:r>
            <w:proofErr w:type="spellEnd"/>
          </w:p>
        </w:tc>
        <w:tc>
          <w:tcPr>
            <w:tcW w:w="2854" w:type="dxa"/>
          </w:tcPr>
          <w:p w14:paraId="755B2E8D" w14:textId="3CC831A9" w:rsidR="006822DD" w:rsidRPr="00D17276" w:rsidRDefault="006822DD">
            <w:proofErr w:type="gramStart"/>
            <w:r>
              <w:t>RRID:IMSR</w:t>
            </w:r>
            <w:proofErr w:type="gramEnd"/>
            <w:r>
              <w:t>_JAX:</w:t>
            </w:r>
            <w:r w:rsidRPr="006822DD">
              <w:t>006405</w:t>
            </w:r>
          </w:p>
        </w:tc>
      </w:tr>
      <w:tr w:rsidR="006822DD" w14:paraId="6643D5A5" w14:textId="77777777" w:rsidTr="001C3EEE">
        <w:tc>
          <w:tcPr>
            <w:tcW w:w="1655" w:type="dxa"/>
          </w:tcPr>
          <w:p w14:paraId="6A919ABC" w14:textId="6B6D6DB1" w:rsidR="006822DD" w:rsidRDefault="006822DD">
            <w:r>
              <w:t>Mouse Line</w:t>
            </w:r>
          </w:p>
        </w:tc>
        <w:tc>
          <w:tcPr>
            <w:tcW w:w="3380" w:type="dxa"/>
          </w:tcPr>
          <w:p w14:paraId="6EEA1A4D" w14:textId="5FE2478D" w:rsidR="006822DD" w:rsidRDefault="006822DD">
            <w:r w:rsidRPr="006822DD">
              <w:rPr>
                <w:i/>
              </w:rPr>
              <w:t>Tsc1</w:t>
            </w:r>
            <w:r>
              <w:t xml:space="preserve"> </w:t>
            </w:r>
            <w:proofErr w:type="spellStart"/>
            <w:r>
              <w:t>Floxed</w:t>
            </w:r>
            <w:proofErr w:type="spellEnd"/>
          </w:p>
        </w:tc>
        <w:tc>
          <w:tcPr>
            <w:tcW w:w="2854" w:type="dxa"/>
          </w:tcPr>
          <w:p w14:paraId="25FFED6B" w14:textId="36249AC5" w:rsidR="006822DD" w:rsidRPr="00D17276" w:rsidRDefault="006822DD">
            <w:proofErr w:type="gramStart"/>
            <w:r>
              <w:t>RRID:IMSR</w:t>
            </w:r>
            <w:proofErr w:type="gramEnd"/>
            <w:r>
              <w:t>_JAX:</w:t>
            </w:r>
            <w:r w:rsidRPr="006822DD">
              <w:t>005680</w:t>
            </w:r>
          </w:p>
        </w:tc>
      </w:tr>
      <w:tr w:rsidR="00D17276" w14:paraId="04ACAFF9" w14:textId="77777777" w:rsidTr="001C3EEE">
        <w:tc>
          <w:tcPr>
            <w:tcW w:w="1655" w:type="dxa"/>
          </w:tcPr>
          <w:p w14:paraId="0A55F07E" w14:textId="495A7291" w:rsidR="00D17276" w:rsidRDefault="00D17276">
            <w:r>
              <w:t>Mouse Line</w:t>
            </w:r>
          </w:p>
        </w:tc>
        <w:tc>
          <w:tcPr>
            <w:tcW w:w="3380" w:type="dxa"/>
          </w:tcPr>
          <w:p w14:paraId="1DF7D1EB" w14:textId="775CC99B" w:rsidR="00D17276" w:rsidRDefault="00D17276">
            <w:r>
              <w:t>A/J</w:t>
            </w:r>
          </w:p>
        </w:tc>
        <w:tc>
          <w:tcPr>
            <w:tcW w:w="2854"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1C3EEE">
        <w:tc>
          <w:tcPr>
            <w:tcW w:w="1655" w:type="dxa"/>
          </w:tcPr>
          <w:p w14:paraId="6FE79342" w14:textId="3290218C" w:rsidR="00D17276" w:rsidRDefault="00D17276">
            <w:r>
              <w:t>Mouse Line</w:t>
            </w:r>
          </w:p>
        </w:tc>
        <w:tc>
          <w:tcPr>
            <w:tcW w:w="3380" w:type="dxa"/>
          </w:tcPr>
          <w:p w14:paraId="220946D6" w14:textId="3F6F97B4" w:rsidR="00D17276" w:rsidRDefault="00D17276">
            <w:r w:rsidRPr="006822DD">
              <w:rPr>
                <w:i/>
              </w:rPr>
              <w:t>Gdf15</w:t>
            </w:r>
            <w:r>
              <w:t xml:space="preserve"> null</w:t>
            </w:r>
          </w:p>
        </w:tc>
        <w:tc>
          <w:tcPr>
            <w:tcW w:w="2854" w:type="dxa"/>
          </w:tcPr>
          <w:p w14:paraId="58EF3CF5" w14:textId="77777777" w:rsidR="00D17276" w:rsidRDefault="00D17276"/>
        </w:tc>
      </w:tr>
      <w:tr w:rsidR="00D17276" w14:paraId="16AFE3BB" w14:textId="77777777" w:rsidTr="001C3EEE">
        <w:tc>
          <w:tcPr>
            <w:tcW w:w="1655" w:type="dxa"/>
          </w:tcPr>
          <w:p w14:paraId="10FDE1A2" w14:textId="66D88EF5" w:rsidR="00D17276" w:rsidRDefault="00D17276">
            <w:r>
              <w:t>Diet</w:t>
            </w:r>
          </w:p>
        </w:tc>
        <w:tc>
          <w:tcPr>
            <w:tcW w:w="3380" w:type="dxa"/>
          </w:tcPr>
          <w:p w14:paraId="76C5B620" w14:textId="1A06F8BC" w:rsidR="00D17276" w:rsidRDefault="00D17276">
            <w:r>
              <w:t>NCD</w:t>
            </w:r>
          </w:p>
        </w:tc>
        <w:tc>
          <w:tcPr>
            <w:tcW w:w="2854" w:type="dxa"/>
          </w:tcPr>
          <w:p w14:paraId="19E8E542" w14:textId="77777777" w:rsidR="00D17276" w:rsidRDefault="00D17276"/>
        </w:tc>
      </w:tr>
      <w:tr w:rsidR="00D17276" w14:paraId="66BACA76" w14:textId="77777777" w:rsidTr="001C3EEE">
        <w:tc>
          <w:tcPr>
            <w:tcW w:w="1655" w:type="dxa"/>
          </w:tcPr>
          <w:p w14:paraId="10DFE154" w14:textId="7477A4F3" w:rsidR="00D17276" w:rsidRDefault="00D17276">
            <w:r>
              <w:t>Diet</w:t>
            </w:r>
          </w:p>
        </w:tc>
        <w:tc>
          <w:tcPr>
            <w:tcW w:w="3380" w:type="dxa"/>
          </w:tcPr>
          <w:p w14:paraId="77D40DBB" w14:textId="7140441E" w:rsidR="00D17276" w:rsidRDefault="00D17276">
            <w:r>
              <w:t>CD</w:t>
            </w:r>
          </w:p>
        </w:tc>
        <w:tc>
          <w:tcPr>
            <w:tcW w:w="2854" w:type="dxa"/>
          </w:tcPr>
          <w:p w14:paraId="1D1FC44F" w14:textId="77777777" w:rsidR="00D17276" w:rsidRDefault="00D17276"/>
        </w:tc>
      </w:tr>
      <w:tr w:rsidR="00D17276" w14:paraId="7356E7BC" w14:textId="77777777" w:rsidTr="001C3EEE">
        <w:tc>
          <w:tcPr>
            <w:tcW w:w="1655" w:type="dxa"/>
          </w:tcPr>
          <w:p w14:paraId="5E2B89D2" w14:textId="68F64030" w:rsidR="00D17276" w:rsidRDefault="00D17276">
            <w:r>
              <w:t>Diet</w:t>
            </w:r>
          </w:p>
        </w:tc>
        <w:tc>
          <w:tcPr>
            <w:tcW w:w="3380" w:type="dxa"/>
          </w:tcPr>
          <w:p w14:paraId="4753151B" w14:textId="631DC301" w:rsidR="00D17276" w:rsidRDefault="00D17276">
            <w:r>
              <w:t>KD</w:t>
            </w:r>
          </w:p>
        </w:tc>
        <w:tc>
          <w:tcPr>
            <w:tcW w:w="2854" w:type="dxa"/>
          </w:tcPr>
          <w:p w14:paraId="595D8227" w14:textId="77777777" w:rsidR="00D17276" w:rsidRDefault="00D17276"/>
        </w:tc>
      </w:tr>
      <w:tr w:rsidR="00D17276" w14:paraId="7685AB14" w14:textId="77777777" w:rsidTr="001C3EEE">
        <w:tc>
          <w:tcPr>
            <w:tcW w:w="1655" w:type="dxa"/>
          </w:tcPr>
          <w:p w14:paraId="1A6E121B" w14:textId="4F1D8E36" w:rsidR="00D17276" w:rsidRDefault="00496561">
            <w:r>
              <w:t>Cell Line</w:t>
            </w:r>
          </w:p>
        </w:tc>
        <w:tc>
          <w:tcPr>
            <w:tcW w:w="3380" w:type="dxa"/>
          </w:tcPr>
          <w:p w14:paraId="0BB96709" w14:textId="3E51ECD2" w:rsidR="00D17276" w:rsidRDefault="00496561">
            <w:r>
              <w:t>AML12</w:t>
            </w:r>
          </w:p>
        </w:tc>
        <w:tc>
          <w:tcPr>
            <w:tcW w:w="2854"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r w:rsidR="004F0A9F" w14:paraId="5498FF6B" w14:textId="77777777" w:rsidTr="001C3EEE">
        <w:tc>
          <w:tcPr>
            <w:tcW w:w="1655" w:type="dxa"/>
          </w:tcPr>
          <w:p w14:paraId="079B6D9F" w14:textId="414C4090" w:rsidR="004F0A9F" w:rsidRDefault="004F0A9F">
            <w:r>
              <w:t>Resource</w:t>
            </w:r>
          </w:p>
        </w:tc>
        <w:tc>
          <w:tcPr>
            <w:tcW w:w="3380" w:type="dxa"/>
          </w:tcPr>
          <w:p w14:paraId="70C91166" w14:textId="736FC668" w:rsidR="004F0A9F" w:rsidRDefault="004F0A9F">
            <w:proofErr w:type="spellStart"/>
            <w:r>
              <w:t>SignalP</w:t>
            </w:r>
            <w:proofErr w:type="spellEnd"/>
          </w:p>
        </w:tc>
        <w:tc>
          <w:tcPr>
            <w:tcW w:w="2854" w:type="dxa"/>
          </w:tcPr>
          <w:p w14:paraId="6CAD6F70" w14:textId="44719174" w:rsidR="004F0A9F" w:rsidRPr="00496561" w:rsidRDefault="004F0A9F" w:rsidP="00F359A5">
            <w:pPr>
              <w:rPr>
                <w:bCs/>
              </w:rPr>
            </w:pPr>
            <w:r w:rsidRPr="004F0A9F">
              <w:rPr>
                <w:bCs/>
              </w:rPr>
              <w:t>RRID:SCR_015644</w:t>
            </w:r>
          </w:p>
        </w:tc>
      </w:tr>
      <w:tr w:rsidR="004F0A9F" w14:paraId="3DE4F89A" w14:textId="77777777" w:rsidTr="001C3EEE">
        <w:tc>
          <w:tcPr>
            <w:tcW w:w="1655" w:type="dxa"/>
          </w:tcPr>
          <w:p w14:paraId="5F43904C" w14:textId="32B22C86" w:rsidR="004F0A9F" w:rsidRDefault="004F0A9F">
            <w:r>
              <w:t>Resource</w:t>
            </w:r>
          </w:p>
        </w:tc>
        <w:tc>
          <w:tcPr>
            <w:tcW w:w="3380" w:type="dxa"/>
          </w:tcPr>
          <w:p w14:paraId="3E03A93F" w14:textId="4A0F447F" w:rsidR="004F0A9F" w:rsidRDefault="004F0A9F">
            <w:proofErr w:type="spellStart"/>
            <w:r>
              <w:t>Biomart</w:t>
            </w:r>
            <w:proofErr w:type="spellEnd"/>
          </w:p>
        </w:tc>
        <w:tc>
          <w:tcPr>
            <w:tcW w:w="2854" w:type="dxa"/>
          </w:tcPr>
          <w:p w14:paraId="2D80B679" w14:textId="7389BAD7" w:rsidR="004F0A9F" w:rsidRPr="004F0A9F" w:rsidRDefault="004F0A9F" w:rsidP="00F359A5">
            <w:pPr>
              <w:rPr>
                <w:bCs/>
              </w:rPr>
            </w:pPr>
            <w:r w:rsidRPr="004F0A9F">
              <w:rPr>
                <w:bCs/>
              </w:rPr>
              <w:t>RRID:SCR_010714</w:t>
            </w:r>
          </w:p>
        </w:tc>
      </w:tr>
      <w:tr w:rsidR="001C3EEE" w14:paraId="339FB823" w14:textId="77777777" w:rsidTr="001C3EEE">
        <w:tc>
          <w:tcPr>
            <w:tcW w:w="1655" w:type="dxa"/>
          </w:tcPr>
          <w:p w14:paraId="33CB2B95" w14:textId="13F109D2" w:rsidR="001C3EEE" w:rsidRDefault="001C3EEE">
            <w:r>
              <w:t>Resource</w:t>
            </w:r>
          </w:p>
        </w:tc>
        <w:tc>
          <w:tcPr>
            <w:tcW w:w="3380" w:type="dxa"/>
          </w:tcPr>
          <w:p w14:paraId="1453C495" w14:textId="72845854" w:rsidR="001C3EEE" w:rsidRDefault="001C3EEE">
            <w:r>
              <w:t>Gene Expression Omnibus</w:t>
            </w:r>
          </w:p>
        </w:tc>
        <w:tc>
          <w:tcPr>
            <w:tcW w:w="2854" w:type="dxa"/>
          </w:tcPr>
          <w:p w14:paraId="6CA93D40" w14:textId="6BD6DB9B" w:rsidR="001C3EEE" w:rsidRPr="004F0A9F" w:rsidRDefault="001C3EEE" w:rsidP="00F359A5">
            <w:pPr>
              <w:rPr>
                <w:bCs/>
              </w:rPr>
            </w:pPr>
            <w:r w:rsidRPr="001C3EEE">
              <w:rPr>
                <w:bCs/>
              </w:rPr>
              <w:t>RRID:SCR_005012</w:t>
            </w:r>
          </w:p>
        </w:tc>
      </w:tr>
    </w:tbl>
    <w:p w14:paraId="07922CCE" w14:textId="109A7633" w:rsidR="00D17276" w:rsidRPr="00671789" w:rsidRDefault="00D17276">
      <w:pPr>
        <w:rPr>
          <w:b/>
        </w:rPr>
      </w:pPr>
    </w:p>
    <w:p w14:paraId="45A70276" w14:textId="7AA41CAB" w:rsidR="003676ED" w:rsidRPr="008A0E61" w:rsidRDefault="003676ED">
      <w:r>
        <w:rPr>
          <w:b/>
        </w:rPr>
        <w:t xml:space="preserve">Figure 1: Muscle </w:t>
      </w:r>
      <w:r>
        <w:rPr>
          <w:b/>
          <w:i/>
        </w:rPr>
        <w:t>Tsc1</w:t>
      </w:r>
      <w:r>
        <w:rPr>
          <w:b/>
        </w:rPr>
        <w:t xml:space="preserve"> knockout mice have elevated GDF15 and a</w:t>
      </w:r>
      <w:r w:rsidR="009C4AB5">
        <w:rPr>
          <w:b/>
        </w:rPr>
        <w:t xml:space="preserve"> lowered preference </w:t>
      </w:r>
      <w:r>
        <w:rPr>
          <w:b/>
        </w:rPr>
        <w:t>to</w:t>
      </w:r>
      <w:r w:rsidR="00CF6625">
        <w:rPr>
          <w:b/>
        </w:rPr>
        <w:t>wards</w:t>
      </w:r>
      <w:r>
        <w:rPr>
          <w:b/>
        </w:rPr>
        <w:t xml:space="preserve"> high fat foods. </w:t>
      </w:r>
      <w:r>
        <w:t>A) Volcano plot of predicted secreted proteins, dark shading indicates statistical significance.</w:t>
      </w:r>
      <w:r w:rsidR="008A0E61">
        <w:t xml:space="preserve"> B) GDF15 levels in male muscle </w:t>
      </w:r>
      <w:r w:rsidR="008A0E61">
        <w:rPr>
          <w:i/>
        </w:rPr>
        <w:t>Tsc1</w:t>
      </w:r>
      <w:r w:rsidR="008A0E61">
        <w:t xml:space="preserve"> knockout mice.</w:t>
      </w:r>
      <w:r w:rsidR="00103452">
        <w:t xml:space="preserve"> C) Preference of fat rich ketogenic diet relative to control diet in male muscle </w:t>
      </w:r>
      <w:r w:rsidR="00103452">
        <w:rPr>
          <w:i/>
        </w:rPr>
        <w:t>Tsc1</w:t>
      </w:r>
      <w:r w:rsidR="00103452">
        <w:t xml:space="preserve"> knockout mice.  Dashed line indicates equal caloric intake from both diets (n=6,9).</w:t>
      </w:r>
      <w:r w:rsidR="002C7002">
        <w:t xml:space="preserve">  Asterisks indicate p&lt;0.05</w:t>
      </w:r>
    </w:p>
    <w:p w14:paraId="5907CDB5" w14:textId="1B6B9151" w:rsidR="003676ED" w:rsidRDefault="003676ED">
      <w:pPr>
        <w:rPr>
          <w:b/>
        </w:rPr>
      </w:pPr>
    </w:p>
    <w:p w14:paraId="08B28DDF" w14:textId="77777777" w:rsidR="003676ED" w:rsidRPr="003676ED" w:rsidRDefault="003676ED">
      <w:pPr>
        <w:rPr>
          <w:b/>
        </w:rPr>
      </w:pPr>
    </w:p>
    <w:p w14:paraId="10B54537" w14:textId="0BFB6038" w:rsidR="009E3923" w:rsidRDefault="009E3923">
      <w:r w:rsidRPr="00671789">
        <w:rPr>
          <w:b/>
        </w:rPr>
        <w:t xml:space="preserve">Figure </w:t>
      </w:r>
      <w:r w:rsidR="003676ED">
        <w:rPr>
          <w:b/>
        </w:rPr>
        <w:t>2</w:t>
      </w:r>
      <w:r w:rsidRPr="00671789">
        <w:rPr>
          <w:b/>
        </w:rPr>
        <w:t>: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3-27T10:06:00Z" w:initials="DB">
    <w:p w14:paraId="471D26C3" w14:textId="3CF4FA38" w:rsidR="00E51DC8" w:rsidRDefault="00E51DC8">
      <w:pPr>
        <w:pStyle w:val="CommentText"/>
      </w:pPr>
      <w:r>
        <w:rPr>
          <w:rStyle w:val="CommentReference"/>
        </w:rPr>
        <w:annotationRef/>
      </w:r>
      <w:r>
        <w:t>Waiting for DS</w:t>
      </w:r>
    </w:p>
  </w:comment>
  <w:comment w:id="2"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1D26C3" w15:done="0"/>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1D26C3" w16cid:durableId="22284EAC"/>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33E7C"/>
    <w:rsid w:val="000C06E4"/>
    <w:rsid w:val="00103452"/>
    <w:rsid w:val="00143D60"/>
    <w:rsid w:val="001A281A"/>
    <w:rsid w:val="001C3EEE"/>
    <w:rsid w:val="001C4F59"/>
    <w:rsid w:val="001E755B"/>
    <w:rsid w:val="002142C7"/>
    <w:rsid w:val="00215F72"/>
    <w:rsid w:val="002C7002"/>
    <w:rsid w:val="002E312A"/>
    <w:rsid w:val="00346166"/>
    <w:rsid w:val="00352A61"/>
    <w:rsid w:val="003676ED"/>
    <w:rsid w:val="003B560C"/>
    <w:rsid w:val="003C3D65"/>
    <w:rsid w:val="003E4C58"/>
    <w:rsid w:val="00425D66"/>
    <w:rsid w:val="00496561"/>
    <w:rsid w:val="004B06E2"/>
    <w:rsid w:val="004E070D"/>
    <w:rsid w:val="004F0A9F"/>
    <w:rsid w:val="00520A7E"/>
    <w:rsid w:val="005862D5"/>
    <w:rsid w:val="005C1BF6"/>
    <w:rsid w:val="00602C70"/>
    <w:rsid w:val="00651EAB"/>
    <w:rsid w:val="00663579"/>
    <w:rsid w:val="0066357F"/>
    <w:rsid w:val="00671789"/>
    <w:rsid w:val="006822DD"/>
    <w:rsid w:val="006A59A5"/>
    <w:rsid w:val="006B0D21"/>
    <w:rsid w:val="006B12FE"/>
    <w:rsid w:val="006B6E98"/>
    <w:rsid w:val="00706736"/>
    <w:rsid w:val="00741B02"/>
    <w:rsid w:val="00772316"/>
    <w:rsid w:val="0079134A"/>
    <w:rsid w:val="007C37D9"/>
    <w:rsid w:val="007F1182"/>
    <w:rsid w:val="008A0E61"/>
    <w:rsid w:val="00903DAE"/>
    <w:rsid w:val="00980612"/>
    <w:rsid w:val="0098529C"/>
    <w:rsid w:val="009A006A"/>
    <w:rsid w:val="009A2992"/>
    <w:rsid w:val="009A702B"/>
    <w:rsid w:val="009B767F"/>
    <w:rsid w:val="009C0806"/>
    <w:rsid w:val="009C4AB5"/>
    <w:rsid w:val="009E3923"/>
    <w:rsid w:val="009F57B1"/>
    <w:rsid w:val="00A008C7"/>
    <w:rsid w:val="00A2647E"/>
    <w:rsid w:val="00A31956"/>
    <w:rsid w:val="00A465AF"/>
    <w:rsid w:val="00A72A84"/>
    <w:rsid w:val="00A857D5"/>
    <w:rsid w:val="00AA75A4"/>
    <w:rsid w:val="00AD2F62"/>
    <w:rsid w:val="00AF42BC"/>
    <w:rsid w:val="00AF6D0B"/>
    <w:rsid w:val="00B04431"/>
    <w:rsid w:val="00B3215F"/>
    <w:rsid w:val="00B514CE"/>
    <w:rsid w:val="00B55A26"/>
    <w:rsid w:val="00BD701D"/>
    <w:rsid w:val="00BF1CFD"/>
    <w:rsid w:val="00BF4C02"/>
    <w:rsid w:val="00C57D5F"/>
    <w:rsid w:val="00C70284"/>
    <w:rsid w:val="00CA1206"/>
    <w:rsid w:val="00CC4A50"/>
    <w:rsid w:val="00CF2D6D"/>
    <w:rsid w:val="00CF6625"/>
    <w:rsid w:val="00D17276"/>
    <w:rsid w:val="00D23940"/>
    <w:rsid w:val="00D36726"/>
    <w:rsid w:val="00D60CFE"/>
    <w:rsid w:val="00D957CE"/>
    <w:rsid w:val="00DA6600"/>
    <w:rsid w:val="00DF33AC"/>
    <w:rsid w:val="00E32D7B"/>
    <w:rsid w:val="00E410CE"/>
    <w:rsid w:val="00E43D02"/>
    <w:rsid w:val="00E51DC8"/>
    <w:rsid w:val="00EC6185"/>
    <w:rsid w:val="00EE38E8"/>
    <w:rsid w:val="00F359A5"/>
    <w:rsid w:val="00FC680E"/>
    <w:rsid w:val="00FD57D6"/>
    <w:rsid w:val="00FE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50">
      <w:bodyDiv w:val="1"/>
      <w:marLeft w:val="0"/>
      <w:marRight w:val="0"/>
      <w:marTop w:val="0"/>
      <w:marBottom w:val="0"/>
      <w:divBdr>
        <w:top w:val="none" w:sz="0" w:space="0" w:color="auto"/>
        <w:left w:val="none" w:sz="0" w:space="0" w:color="auto"/>
        <w:bottom w:val="none" w:sz="0" w:space="0" w:color="auto"/>
        <w:right w:val="none" w:sz="0" w:space="0" w:color="auto"/>
      </w:divBdr>
    </w:div>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496725261">
      <w:bodyDiv w:val="1"/>
      <w:marLeft w:val="0"/>
      <w:marRight w:val="0"/>
      <w:marTop w:val="0"/>
      <w:marBottom w:val="0"/>
      <w:divBdr>
        <w:top w:val="none" w:sz="0" w:space="0" w:color="auto"/>
        <w:left w:val="none" w:sz="0" w:space="0" w:color="auto"/>
        <w:bottom w:val="none" w:sz="0" w:space="0" w:color="auto"/>
        <w:right w:val="none" w:sz="0" w:space="0" w:color="auto"/>
      </w:divBdr>
    </w:div>
    <w:div w:id="508177039">
      <w:bodyDiv w:val="1"/>
      <w:marLeft w:val="0"/>
      <w:marRight w:val="0"/>
      <w:marTop w:val="0"/>
      <w:marBottom w:val="0"/>
      <w:divBdr>
        <w:top w:val="none" w:sz="0" w:space="0" w:color="auto"/>
        <w:left w:val="none" w:sz="0" w:space="0" w:color="auto"/>
        <w:bottom w:val="none" w:sz="0" w:space="0" w:color="auto"/>
        <w:right w:val="none" w:sz="0" w:space="0" w:color="auto"/>
      </w:divBdr>
    </w:div>
    <w:div w:id="620115063">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741803289">
      <w:bodyDiv w:val="1"/>
      <w:marLeft w:val="0"/>
      <w:marRight w:val="0"/>
      <w:marTop w:val="0"/>
      <w:marBottom w:val="0"/>
      <w:divBdr>
        <w:top w:val="none" w:sz="0" w:space="0" w:color="auto"/>
        <w:left w:val="none" w:sz="0" w:space="0" w:color="auto"/>
        <w:bottom w:val="none" w:sz="0" w:space="0" w:color="auto"/>
        <w:right w:val="none" w:sz="0" w:space="0" w:color="auto"/>
      </w:divBdr>
    </w:div>
    <w:div w:id="749497316">
      <w:bodyDiv w:val="1"/>
      <w:marLeft w:val="0"/>
      <w:marRight w:val="0"/>
      <w:marTop w:val="0"/>
      <w:marBottom w:val="0"/>
      <w:divBdr>
        <w:top w:val="none" w:sz="0" w:space="0" w:color="auto"/>
        <w:left w:val="none" w:sz="0" w:space="0" w:color="auto"/>
        <w:bottom w:val="none" w:sz="0" w:space="0" w:color="auto"/>
        <w:right w:val="none" w:sz="0" w:space="0" w:color="auto"/>
      </w:divBdr>
    </w:div>
    <w:div w:id="849490365">
      <w:bodyDiv w:val="1"/>
      <w:marLeft w:val="0"/>
      <w:marRight w:val="0"/>
      <w:marTop w:val="0"/>
      <w:marBottom w:val="0"/>
      <w:divBdr>
        <w:top w:val="none" w:sz="0" w:space="0" w:color="auto"/>
        <w:left w:val="none" w:sz="0" w:space="0" w:color="auto"/>
        <w:bottom w:val="none" w:sz="0" w:space="0" w:color="auto"/>
        <w:right w:val="none" w:sz="0" w:space="0" w:color="auto"/>
      </w:divBdr>
    </w:div>
    <w:div w:id="896353348">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57040459">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 w:id="21085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dgeslab.github.io/TissueSpecificTscKnockout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24295-1FD3-514D-86EE-09842A1F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23412</Words>
  <Characters>133453</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77</cp:revision>
  <dcterms:created xsi:type="dcterms:W3CDTF">2020-02-05T19:13:00Z</dcterms:created>
  <dcterms:modified xsi:type="dcterms:W3CDTF">2020-03-27T14:22:00Z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