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7EA0E99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xml:space="preserve">, </w:t>
      </w:r>
      <w:r w:rsidR="00D15A12">
        <w:t xml:space="preserve">or C57BL/6J stock 000664; </w:t>
      </w:r>
      <w:r w:rsidR="00D17276">
        <w:t>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31218879" w14:textId="08DC5A99"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67A77CCD" w14:textId="1F6BB132" w:rsidR="00D17276" w:rsidRDefault="00D17276" w:rsidP="00D17276"/>
    <w:p w14:paraId="01799426" w14:textId="088C65A5" w:rsidR="00D17276" w:rsidRDefault="00D17276" w:rsidP="00741B02">
      <w:pPr>
        <w:pStyle w:val="Heading2"/>
      </w:pPr>
      <w:r>
        <w:t>Mouse Weight and Body Composition</w:t>
      </w:r>
    </w:p>
    <w:p w14:paraId="0D24180D" w14:textId="27372758" w:rsidR="00BD7FD9" w:rsidRPr="00BD7FD9" w:rsidRDefault="00BD7FD9" w:rsidP="00BD7FD9">
      <w:r>
        <w:t xml:space="preserve">Mice were weighed weekly on a digital scale.  Body composition was determined using an </w:t>
      </w:r>
      <w:proofErr w:type="spellStart"/>
      <w:r>
        <w:t>echoMRI</w:t>
      </w:r>
      <w:proofErr w:type="spellEnd"/>
      <w:r>
        <w:t xml:space="preserve"> 2100 (</w:t>
      </w:r>
      <w:proofErr w:type="spellStart"/>
      <w:r>
        <w:t>echoMRI</w:t>
      </w:r>
      <w:proofErr w:type="spellEnd"/>
      <w:r>
        <w:t>) using standard settings.</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42796E4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w:t>
      </w:r>
      <w:r w:rsidR="00B13BA1">
        <w:t>For longitudinal measurements</w:t>
      </w:r>
      <w:r w:rsidR="0069797E">
        <w:t xml:space="preserve">, </w:t>
      </w:r>
      <w:r w:rsidR="00B13BA1">
        <w:t xml:space="preserve"> mixed linear models were constructed</w:t>
      </w:r>
      <w:r w:rsidR="00F83986">
        <w:t xml:space="preserve"> with random intercepts</w:t>
      </w:r>
      <w:r w:rsidR="0069797E">
        <w:t xml:space="preserve"> starting at the diet change.</w:t>
      </w:r>
      <w:r w:rsidR="00B13BA1">
        <w:t xml:space="preserve">, </w:t>
      </w:r>
      <w:r w:rsidR="0069797E">
        <w:t>Significance was determined</w:t>
      </w:r>
      <w:r w:rsidR="00B13BA1">
        <w:t xml:space="preserve"> via Chi-squared tests</w:t>
      </w:r>
      <w:r w:rsidR="008231F1">
        <w:t xml:space="preserve"> between models with or without </w:t>
      </w:r>
      <w:r w:rsidR="008231F1">
        <w:lastRenderedPageBreak/>
        <w:t>the genotype or diet terms</w:t>
      </w:r>
      <w:r w:rsidR="002307F9">
        <w:t xml:space="preserve"> using the lme4 package version 1.1-21 </w:t>
      </w:r>
      <w:r w:rsidR="002307F9">
        <w:fldChar w:fldCharType="begin" w:fldLock="1"/>
      </w:r>
      <w:r w:rsidR="002307F9">
        <w:instrText>ADDIN CSL_CITATION {"citationItems":[{"id":"ITEM-1","itemData":{"DOI":"10.1177/009286150103500418","ISBN":"3900051070","ISSN":"0092-8615","abstract":"lme4: Mixed-e</w:instrText>
      </w:r>
      <w:r w:rsidR="002307F9">
        <w:rPr>
          <w:rFonts w:ascii="Cambria Math" w:hAnsi="Cambria Math" w:cs="Cambria Math"/>
        </w:rPr>
        <w:instrText>ﬀ</w:instrText>
      </w:r>
      <w:r w:rsidR="002307F9">
        <w:instrText>ects modeling with R","author":[{"dropping-particle":"","family":"Bates","given":"Douglas M","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Software","id":"ITEM-1","issued":{"date-parts":[["2015"]]},"page":"1-48","title":"Fitting linear mixed-effects models using lme4","type":"article-journal","volume":"67"},"uris":["http://www.mendeley.com/documents/?uuid=73581e37-c28b-4bd9-9dfd-e998f5174ad8"]}],"mendeley":{"formattedCitation":"(20)","plainTextFormattedCitation":"(20)"},"properties":{"noteIndex":0},"schema":"https://github.com/citation-style-language/schema/raw/master/csl-citation.json"}</w:instrText>
      </w:r>
      <w:r w:rsidR="002307F9">
        <w:fldChar w:fldCharType="separate"/>
      </w:r>
      <w:r w:rsidR="002307F9" w:rsidRPr="002307F9">
        <w:rPr>
          <w:noProof/>
        </w:rPr>
        <w:t>(20)</w:t>
      </w:r>
      <w:r w:rsidR="002307F9">
        <w:fldChar w:fldCharType="end"/>
      </w:r>
      <w:r w:rsidR="00B13BA1">
        <w:t>.</w:t>
      </w:r>
      <w:r>
        <w:t xml:space="preserve">  </w:t>
      </w:r>
      <w:r w:rsidR="00B551EF">
        <w:t xml:space="preserve">For experiments using both sexes, a modifying effect of sex was tested for all outcomes and reported where significant.  </w:t>
      </w:r>
      <w:r>
        <w:t xml:space="preserve">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790C7BBF"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2307F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(17,21,22)","plainTextFormattedCitation":"(17,21,22)","previouslyFormattedCitation":"(17,20,21)"},"properties":{"noteIndex":0},"schema":"https://github.com/citation-style-language/schema/raw/master/csl-citation.json"}</w:instrText>
      </w:r>
      <w:r>
        <w:fldChar w:fldCharType="separate"/>
      </w:r>
      <w:r w:rsidR="002307F9" w:rsidRPr="002307F9">
        <w:rPr>
          <w:noProof/>
        </w:rPr>
        <w:t>(17,21,22)</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2307F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(23)","plainTextFormattedCitation":"(23)","previouslyFormattedCitation":"(22)"},"properties":{"noteIndex":0},"schema":"https://github.com/citation-style-language/schema/raw/master/csl-citation.json"}</w:instrText>
      </w:r>
      <w:r w:rsidR="00A57DC9">
        <w:fldChar w:fldCharType="separate"/>
      </w:r>
      <w:r w:rsidR="002307F9" w:rsidRPr="002307F9">
        <w:rPr>
          <w:noProof/>
        </w:rPr>
        <w:t>(23)</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a</w:t>
      </w:r>
      <w:r w:rsidR="00111684">
        <w:rPr>
          <w:rFonts w:eastAsia="Times New Roman" w:cs="Times New Roman"/>
          <w:color w:val="000000" w:themeColor="text1"/>
          <w:shd w:val="clear" w:color="auto" w:fill="FFFFFF"/>
        </w:rPr>
        <w:t>n</w:t>
      </w:r>
      <w:r w:rsidR="00AA75A4" w:rsidRPr="00A57DC9">
        <w:rPr>
          <w:rFonts w:eastAsia="Times New Roman" w:cs="Times New Roman"/>
          <w:color w:val="000000" w:themeColor="text1"/>
          <w:shd w:val="clear" w:color="auto" w:fill="FFFFFF"/>
        </w:rPr>
        <w:t xml:space="preserve"> </w:t>
      </w:r>
      <w:proofErr w:type="gramStart"/>
      <w:r w:rsidR="00AA75A4" w:rsidRPr="00A57DC9">
        <w:rPr>
          <w:rFonts w:eastAsia="Times New Roman" w:cs="Times New Roman"/>
          <w:color w:val="000000" w:themeColor="text1"/>
          <w:shd w:val="clear" w:color="auto" w:fill="FFFFFF"/>
        </w:rPr>
        <w:t>8.7 fold</w:t>
      </w:r>
      <w:proofErr w:type="gramEnd"/>
      <w:r w:rsidR="00AA75A4" w:rsidRPr="00A57DC9">
        <w:rPr>
          <w:rFonts w:eastAsia="Times New Roman" w:cs="Times New Roman"/>
          <w:color w:val="000000" w:themeColor="text1"/>
          <w:shd w:val="clear" w:color="auto" w:fill="FFFFFF"/>
        </w:rPr>
        <w:t xml:space="preserve">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2307F9">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(24)","plainTextFormattedCitation":"(24)","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2307F9" w:rsidRPr="002307F9">
        <w:rPr>
          <w:rFonts w:eastAsia="Times New Roman" w:cs="Times New Roman"/>
          <w:noProof/>
          <w:color w:val="000000" w:themeColor="text1"/>
          <w:shd w:val="clear" w:color="auto" w:fill="FFFFFF"/>
        </w:rPr>
        <w:t>(24)</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532211B9" w14:textId="3BA18820" w:rsidR="007C37D9" w:rsidRPr="007C37D9" w:rsidRDefault="00D23940" w:rsidP="003E4C58">
      <w:r>
        <w:lastRenderedPageBreak/>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CC716A">
        <w:t>We observed that the mice on the ketogenic diets had reduced body weight and lean mass</w:t>
      </w:r>
      <w:r w:rsidR="006A59A5">
        <w:t xml:space="preserve"> </w:t>
      </w:r>
      <w:r w:rsidR="002606BA">
        <w:t>over the first two weeks of diet that recovered by week three</w:t>
      </w:r>
      <w:r w:rsidR="00D06B47">
        <w:t xml:space="preserve"> </w:t>
      </w:r>
      <w:r w:rsidR="006A59A5">
        <w:t>(Figures 1A-</w:t>
      </w:r>
      <w:r w:rsidR="002606BA">
        <w:t>B</w:t>
      </w:r>
      <w:r w:rsidR="006A59A5">
        <w:t>)</w:t>
      </w:r>
      <w:r w:rsidR="00AE5470">
        <w:t xml:space="preserve">, and modest reductions in fat mass </w:t>
      </w:r>
      <w:r w:rsidR="00B13BA1">
        <w:t>(Figure 1C)</w:t>
      </w:r>
      <w:r w:rsidR="00C1772E">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w:t>
      </w:r>
      <w:r w:rsidR="00126906">
        <w:t>D</w:t>
      </w:r>
      <w:r w:rsidR="003E4C58">
        <w:t xml:space="preserve">).  </w:t>
      </w:r>
      <w:r w:rsidR="00B15357">
        <w:t>To test whether GDF15 was altered in the blood of these mice at three weeks, we</w:t>
      </w:r>
      <w:r w:rsidR="00A72A84">
        <w:t xml:space="preserve"> </w:t>
      </w:r>
      <w:r w:rsidR="00B15357">
        <w:t>performed ELISA assays from serum.  After adjusting for sex, we found a 59% increase in GDF15 (p=</w:t>
      </w:r>
      <w:r w:rsidR="00900476">
        <w:t>0.03</w:t>
      </w:r>
      <w:r w:rsidR="005504A6">
        <w:t>, Figure 1E</w:t>
      </w:r>
      <w:r w:rsidR="00900476">
        <w:t>) in mice fed a ketogenic diet.</w:t>
      </w:r>
      <w:r w:rsidR="00411F31">
        <w:t xml:space="preserve">  To understand if this increase was the tapering of an acute effect, or a slowly increasing effect we fed C57BL6/J mice a ketogenic diet and took blood samples at multiple time points over three weeks of ketogenic diet feeding.  We found that there was an early peak of GDF15 induction after 8h of the diet change, that decreased by the second day, but was maintained at ~50% higher than NCD levels (Figure 1F).</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799CB7E8" w:rsidR="00A2647E" w:rsidRDefault="00A2647E" w:rsidP="004E070D">
      <w:pPr>
        <w:pStyle w:val="Heading2"/>
      </w:pPr>
      <w:r>
        <w:t xml:space="preserve">Ablation of GDF15 Results in </w:t>
      </w:r>
      <w:r w:rsidR="00BF47DB">
        <w:t>Fat Mass</w:t>
      </w:r>
      <w:r>
        <w:t xml:space="preserve"> Gain and Increased Energy Intake on a Ketogenic Diet</w:t>
      </w:r>
    </w:p>
    <w:p w14:paraId="3F9AFE26" w14:textId="69EEC410" w:rsidR="005C1BF6" w:rsidRDefault="005C1BF6" w:rsidP="005C1BF6"/>
    <w:p w14:paraId="07E488C9" w14:textId="6085A26B" w:rsidR="005C1BF6" w:rsidRDefault="005C1BF6" w:rsidP="005C1BF6">
      <w:r>
        <w:t xml:space="preserve">While the above studies describe induction of GDF15 under ketogenic conditions, they do not evaluate if this hormone plays a physiological role.  To test </w:t>
      </w:r>
      <w:r w:rsidR="00C7011B">
        <w:t>what happens to mice lacking GDF15</w:t>
      </w:r>
      <w:r>
        <w:t xml:space="preserve"> we </w:t>
      </w:r>
      <w:r w:rsidR="00C7011B">
        <w:t>fed</w:t>
      </w:r>
      <w:r>
        <w:t xml:space="preserve"> male and female wild-type and </w:t>
      </w:r>
      <w:r w:rsidRPr="005C1BF6">
        <w:rPr>
          <w:i/>
        </w:rPr>
        <w:t>Gdf15</w:t>
      </w:r>
      <w:r>
        <w:t xml:space="preserve"> knockout normal chow diets</w:t>
      </w:r>
      <w:r w:rsidR="00C7011B">
        <w:t xml:space="preserve"> until 10 weeks of age.  At this point all </w:t>
      </w:r>
      <w:r>
        <w:t xml:space="preserve">mice </w:t>
      </w:r>
      <w:r w:rsidR="00C7011B">
        <w:t xml:space="preserve">were placed </w:t>
      </w:r>
      <w:r>
        <w:t xml:space="preserve">on KD </w:t>
      </w:r>
      <w:r w:rsidR="00C7011B">
        <w:t xml:space="preserve">for </w:t>
      </w:r>
      <w:r w:rsidR="009A6E02">
        <w:t>five</w:t>
      </w:r>
      <w:r w:rsidR="00C7011B">
        <w:t xml:space="preserve"> weeks</w:t>
      </w:r>
      <w:r>
        <w:t xml:space="preserve">.  We observed </w:t>
      </w:r>
      <w:r w:rsidR="006D1EAE">
        <w:t xml:space="preserve">no significant differences in </w:t>
      </w:r>
      <w:r w:rsidR="003B560C">
        <w:t>body weight and lean mass</w:t>
      </w:r>
      <w:r w:rsidR="006D1EAE">
        <w:t xml:space="preserve"> at baseline, or in response to diet (Figures 3A-B).  </w:t>
      </w:r>
      <w:r w:rsidR="003B560C">
        <w:t xml:space="preserve"> but an increase in fat mass (Figures 3A-C).  Consistent with increases in fat mass, we observed </w:t>
      </w:r>
      <w:r w:rsidR="009A6E02">
        <w:t>elevated fat mass accretion in both male and female mice</w:t>
      </w:r>
      <w:r w:rsidR="003B560C">
        <w:t xml:space="preserve"> (Figure 3D)</w:t>
      </w:r>
      <w:r w:rsidR="00AF76BF">
        <w:t xml:space="preserve">.  While wild-type male mice gained 133% of their fat mass, </w:t>
      </w:r>
      <w:r w:rsidR="0039459D">
        <w:t xml:space="preserve">male </w:t>
      </w:r>
      <w:r w:rsidR="00AF76BF">
        <w:t xml:space="preserve">knockouts </w:t>
      </w:r>
      <w:r w:rsidR="0039459D">
        <w:t xml:space="preserve">had 203% increased </w:t>
      </w:r>
      <w:r w:rsidR="0039459D">
        <w:lastRenderedPageBreak/>
        <w:t xml:space="preserve">fat mass (p=0.002).  </w:t>
      </w:r>
      <w:proofErr w:type="gramStart"/>
      <w:r w:rsidR="0039459D">
        <w:t>Similarly</w:t>
      </w:r>
      <w:proofErr w:type="gramEnd"/>
      <w:r w:rsidR="0039459D">
        <w:t xml:space="preserve"> female wild-type mice gained 56% more fat mass, while </w:t>
      </w:r>
      <w:r w:rsidR="0039459D">
        <w:rPr>
          <w:i/>
        </w:rPr>
        <w:t xml:space="preserve">Gdf15 </w:t>
      </w:r>
      <w:r w:rsidR="0039459D">
        <w:t>knockout females gained over 100% more fat mass relative to baseline body composition (p=0.031).  There was a significant sex difference observed in terms of fat accretion with females gaining less fat mass</w:t>
      </w:r>
      <w:r w:rsidR="00A235AD">
        <w:t xml:space="preserve"> upon ketogenic diet feeding </w:t>
      </w:r>
      <w:r w:rsidR="0039459D">
        <w:t>(</w:t>
      </w:r>
      <w:r w:rsidR="00A235AD">
        <w:t>2.0 +/- 0.6g for males, 0.49 +/- 0.39</w:t>
      </w:r>
      <w:r w:rsidR="00A66F52">
        <w:t>g</w:t>
      </w:r>
      <w:r w:rsidR="00A235AD">
        <w:t xml:space="preserve"> for females; </w:t>
      </w:r>
      <w:proofErr w:type="spellStart"/>
      <w:r w:rsidR="0039459D">
        <w:t>p</w:t>
      </w:r>
      <w:r w:rsidR="00B91044" w:rsidRPr="00B91044">
        <w:rPr>
          <w:vertAlign w:val="subscript"/>
        </w:rPr>
        <w:t>interaction</w:t>
      </w:r>
      <w:proofErr w:type="spellEnd"/>
      <w:r w:rsidR="0039459D">
        <w:t>=0.0006)</w:t>
      </w:r>
      <w:r w:rsidR="00A235AD">
        <w:t>.</w:t>
      </w:r>
    </w:p>
    <w:p w14:paraId="32EA1DA2" w14:textId="5A7F8B7E" w:rsidR="00C70284" w:rsidRDefault="00C70284" w:rsidP="005C1BF6"/>
    <w:p w14:paraId="6A175117" w14:textId="32C816D1"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while male mice had a 3% increase (</w:t>
      </w:r>
      <w:r w:rsidR="003B560C">
        <w:t>Figure 3E</w:t>
      </w:r>
      <w:r w:rsidR="00B55A26">
        <w:t xml:space="preserve">).  After insulin injection, there were no significant effects of </w:t>
      </w:r>
      <w:r w:rsidR="00B55A26" w:rsidRPr="00A66F52">
        <w:rPr>
          <w:i/>
        </w:rPr>
        <w:t>Gdf15</w:t>
      </w:r>
      <w:r w:rsidR="00B55A26">
        <w:t xml:space="preserve"> knockout in either sex (Figure </w:t>
      </w:r>
      <w:r w:rsidR="003B560C">
        <w:t>3F</w:t>
      </w:r>
      <w:r w:rsidR="00B55A26">
        <w:t>)</w:t>
      </w:r>
      <w:r w:rsidR="0079134A">
        <w:t>.</w:t>
      </w:r>
      <w:r w:rsidR="00A66F52">
        <w:t xml:space="preserve">  </w:t>
      </w:r>
      <w:r w:rsidR="00B91044">
        <w:t>Together these data support the hypothesis that a lack of GDF15 results in positive energy balance in mice on a ketogenic diet.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1A0D56D9"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2307F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2307F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49D603B"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2307F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2307F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0"/>
      <w:r>
        <w:rPr>
          <w:rFonts w:eastAsia="Times New Roman"/>
          <w:shd w:val="clear" w:color="auto" w:fill="FFFFFF"/>
        </w:rPr>
        <w:t xml:space="preserve">XXX </w:t>
      </w:r>
      <w:commentRangeEnd w:id="0"/>
      <w:r>
        <w:rPr>
          <w:rStyle w:val="CommentReference"/>
        </w:rPr>
        <w:commentReference w:id="0"/>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w:t>
      </w:r>
      <w:r w:rsidR="00DA6600">
        <w:rPr>
          <w:rFonts w:eastAsia="Times New Roman"/>
          <w:shd w:val="clear" w:color="auto" w:fill="FFFFFF"/>
        </w:rPr>
        <w:lastRenderedPageBreak/>
        <w:t xml:space="preserve">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3F36B520" w14:textId="747C4153" w:rsidR="002307F9" w:rsidRPr="002307F9" w:rsidRDefault="0098529C" w:rsidP="002307F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2307F9" w:rsidRPr="002307F9">
        <w:rPr>
          <w:rFonts w:ascii="Century Schoolbook" w:hAnsi="Century Schoolbook" w:cs="Times New Roman"/>
          <w:noProof/>
        </w:rPr>
        <w:t xml:space="preserve">1. </w:t>
      </w:r>
      <w:r w:rsidR="002307F9" w:rsidRPr="002307F9">
        <w:rPr>
          <w:rFonts w:ascii="Century Schoolbook" w:hAnsi="Century Schoolbook" w:cs="Times New Roman"/>
          <w:noProof/>
        </w:rPr>
        <w:tab/>
      </w:r>
      <w:r w:rsidR="002307F9" w:rsidRPr="002307F9">
        <w:rPr>
          <w:rFonts w:ascii="Century Schoolbook" w:hAnsi="Century Schoolbook" w:cs="Times New Roman"/>
          <w:b/>
          <w:bCs/>
          <w:noProof/>
        </w:rPr>
        <w:t>International Food Information Council Foundation.</w:t>
      </w:r>
      <w:r w:rsidR="002307F9" w:rsidRPr="002307F9">
        <w:rPr>
          <w:rFonts w:ascii="Century Schoolbook" w:hAnsi="Century Schoolbook" w:cs="Times New Roman"/>
          <w:noProof/>
        </w:rPr>
        <w:t xml:space="preserve"> </w:t>
      </w:r>
      <w:r w:rsidR="002307F9" w:rsidRPr="002307F9">
        <w:rPr>
          <w:rFonts w:ascii="Century Schoolbook" w:hAnsi="Century Schoolbook" w:cs="Times New Roman"/>
          <w:i/>
          <w:iCs/>
          <w:noProof/>
        </w:rPr>
        <w:t>2018 Food and Health Survey</w:t>
      </w:r>
      <w:r w:rsidR="002307F9" w:rsidRPr="002307F9">
        <w:rPr>
          <w:rFonts w:ascii="Century Schoolbook" w:hAnsi="Century Schoolbook" w:cs="Times New Roman"/>
          <w:noProof/>
        </w:rPr>
        <w:t>.; 2018. doi:10.1002/ejoc.201200111.</w:t>
      </w:r>
    </w:p>
    <w:p w14:paraId="30CF581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 </w:t>
      </w:r>
      <w:r w:rsidRPr="002307F9">
        <w:rPr>
          <w:rFonts w:ascii="Century Schoolbook" w:hAnsi="Century Schoolbook" w:cs="Times New Roman"/>
          <w:noProof/>
        </w:rPr>
        <w:tab/>
      </w:r>
      <w:r w:rsidRPr="002307F9">
        <w:rPr>
          <w:rFonts w:ascii="Century Schoolbook" w:hAnsi="Century Schoolbook" w:cs="Times New Roman"/>
          <w:b/>
          <w:bCs/>
          <w:noProof/>
        </w:rPr>
        <w:t>Meng Y, Bai H, Wang S, Li Z, Wang Q, Chen L.</w:t>
      </w:r>
      <w:r w:rsidRPr="002307F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2017;131:124–131.</w:t>
      </w:r>
    </w:p>
    <w:p w14:paraId="1D72CDBC"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 </w:t>
      </w:r>
      <w:r w:rsidRPr="002307F9">
        <w:rPr>
          <w:rFonts w:ascii="Century Schoolbook" w:hAnsi="Century Schoolbook" w:cs="Times New Roman"/>
          <w:noProof/>
        </w:rPr>
        <w:tab/>
      </w:r>
      <w:r w:rsidRPr="002307F9">
        <w:rPr>
          <w:rFonts w:ascii="Century Schoolbook" w:hAnsi="Century Schoolbook" w:cs="Times New Roman"/>
          <w:b/>
          <w:bCs/>
          <w:noProof/>
        </w:rPr>
        <w:t>Huntriss R, Campbell M, Bedwell C.</w:t>
      </w:r>
      <w:r w:rsidRPr="002307F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2307F9">
        <w:rPr>
          <w:rFonts w:ascii="Century Schoolbook" w:hAnsi="Century Schoolbook" w:cs="Times New Roman"/>
          <w:i/>
          <w:iCs/>
          <w:noProof/>
        </w:rPr>
        <w:t>Eur. J. Clin. Nutr.</w:t>
      </w:r>
      <w:r w:rsidRPr="002307F9">
        <w:rPr>
          <w:rFonts w:ascii="Century Schoolbook" w:hAnsi="Century Schoolbook" w:cs="Times New Roman"/>
          <w:noProof/>
        </w:rPr>
        <w:t xml:space="preserve"> 2018;72(3):311–325.</w:t>
      </w:r>
    </w:p>
    <w:p w14:paraId="584B704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4. </w:t>
      </w:r>
      <w:r w:rsidRPr="002307F9">
        <w:rPr>
          <w:rFonts w:ascii="Century Schoolbook" w:hAnsi="Century Schoolbook" w:cs="Times New Roman"/>
          <w:noProof/>
        </w:rPr>
        <w:tab/>
      </w:r>
      <w:r w:rsidRPr="002307F9">
        <w:rPr>
          <w:rFonts w:ascii="Century Schoolbook" w:hAnsi="Century Schoolbook" w:cs="Times New Roman"/>
          <w:b/>
          <w:bCs/>
          <w:noProof/>
        </w:rPr>
        <w:t>Hall KD, Chung ST.</w:t>
      </w:r>
      <w:r w:rsidRPr="002307F9">
        <w:rPr>
          <w:rFonts w:ascii="Century Schoolbook" w:hAnsi="Century Schoolbook" w:cs="Times New Roman"/>
          <w:noProof/>
        </w:rPr>
        <w:t xml:space="preserve"> Low-carbohydrate diets for the treatment of obesity and type 2 diabetes. </w:t>
      </w:r>
      <w:r w:rsidRPr="002307F9">
        <w:rPr>
          <w:rFonts w:ascii="Century Schoolbook" w:hAnsi="Century Schoolbook" w:cs="Times New Roman"/>
          <w:i/>
          <w:iCs/>
          <w:noProof/>
        </w:rPr>
        <w:t>Curr. Opin. Clin. Nutr. Metab. Care</w:t>
      </w:r>
      <w:r w:rsidRPr="002307F9">
        <w:rPr>
          <w:rFonts w:ascii="Century Schoolbook" w:hAnsi="Century Schoolbook" w:cs="Times New Roman"/>
          <w:noProof/>
        </w:rPr>
        <w:t xml:space="preserve"> 2018;21(4):308–312.</w:t>
      </w:r>
    </w:p>
    <w:p w14:paraId="61200C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5. </w:t>
      </w:r>
      <w:r w:rsidRPr="002307F9">
        <w:rPr>
          <w:rFonts w:ascii="Century Schoolbook" w:hAnsi="Century Schoolbook" w:cs="Times New Roman"/>
          <w:noProof/>
        </w:rPr>
        <w:tab/>
      </w:r>
      <w:r w:rsidRPr="002307F9">
        <w:rPr>
          <w:rFonts w:ascii="Century Schoolbook" w:hAnsi="Century Schoolbook" w:cs="Times New Roman"/>
          <w:b/>
          <w:bCs/>
          <w:noProof/>
        </w:rPr>
        <w:t>Moberg M, Apró W, Ekblom B, van Hall G, Holmberg H-C, Blomstrand E.</w:t>
      </w:r>
      <w:r w:rsidRPr="002307F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2307F9">
        <w:rPr>
          <w:rFonts w:ascii="Century Schoolbook" w:hAnsi="Century Schoolbook" w:cs="Times New Roman"/>
          <w:i/>
          <w:iCs/>
          <w:noProof/>
        </w:rPr>
        <w:t>Am. J. Physiol. Cell Physiol.</w:t>
      </w:r>
      <w:r w:rsidRPr="002307F9">
        <w:rPr>
          <w:rFonts w:ascii="Century Schoolbook" w:hAnsi="Century Schoolbook" w:cs="Times New Roman"/>
          <w:noProof/>
        </w:rPr>
        <w:t xml:space="preserve"> 2016:ajpcell.00374.2015.</w:t>
      </w:r>
    </w:p>
    <w:p w14:paraId="259F50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6. </w:t>
      </w:r>
      <w:r w:rsidRPr="002307F9">
        <w:rPr>
          <w:rFonts w:ascii="Century Schoolbook" w:hAnsi="Century Schoolbook" w:cs="Times New Roman"/>
          <w:noProof/>
        </w:rPr>
        <w:tab/>
      </w:r>
      <w:r w:rsidRPr="002307F9">
        <w:rPr>
          <w:rFonts w:ascii="Century Schoolbook" w:hAnsi="Century Schoolbook" w:cs="Times New Roman"/>
          <w:b/>
          <w:bCs/>
          <w:noProof/>
        </w:rPr>
        <w:t>Ebbeling CB, Feldman HA, Klein GL, Wong JMW, Bielak L, Steltz SK, Luoto PK, Wolfe RR, Wong WW, Ludwig DS.</w:t>
      </w:r>
      <w:r w:rsidRPr="002307F9">
        <w:rPr>
          <w:rFonts w:ascii="Century Schoolbook" w:hAnsi="Century Schoolbook" w:cs="Times New Roman"/>
          <w:noProof/>
        </w:rPr>
        <w:t xml:space="preserve"> Effects of a low carbohydrate diet on energy expenditure during weight loss maintenance: randomized trial. </w:t>
      </w:r>
      <w:r w:rsidRPr="002307F9">
        <w:rPr>
          <w:rFonts w:ascii="Century Schoolbook" w:hAnsi="Century Schoolbook" w:cs="Times New Roman"/>
          <w:i/>
          <w:iCs/>
          <w:noProof/>
        </w:rPr>
        <w:t>Bmj</w:t>
      </w:r>
      <w:r w:rsidRPr="002307F9">
        <w:rPr>
          <w:rFonts w:ascii="Century Schoolbook" w:hAnsi="Century Schoolbook" w:cs="Times New Roman"/>
          <w:noProof/>
        </w:rPr>
        <w:t xml:space="preserve"> 2018;363:k4583.</w:t>
      </w:r>
    </w:p>
    <w:p w14:paraId="6BCD072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7. </w:t>
      </w:r>
      <w:r w:rsidRPr="002307F9">
        <w:rPr>
          <w:rFonts w:ascii="Century Schoolbook" w:hAnsi="Century Schoolbook" w:cs="Times New Roman"/>
          <w:noProof/>
        </w:rPr>
        <w:tab/>
      </w:r>
      <w:r w:rsidRPr="002307F9">
        <w:rPr>
          <w:rFonts w:ascii="Century Schoolbook" w:hAnsi="Century Schoolbook" w:cs="Times New Roman"/>
          <w:b/>
          <w:bCs/>
          <w:noProof/>
        </w:rPr>
        <w:t>Gibson AA, Seimon R V., Lee CMY, Ayre J, Franklin J, Markovic TP, Caterson ID, Sainsbury A.</w:t>
      </w:r>
      <w:r w:rsidRPr="002307F9">
        <w:rPr>
          <w:rFonts w:ascii="Century Schoolbook" w:hAnsi="Century Schoolbook" w:cs="Times New Roman"/>
          <w:noProof/>
        </w:rPr>
        <w:t xml:space="preserve"> Do ketogenic diets really suppress appetite? A systematic review and meta-analysis. </w:t>
      </w:r>
      <w:r w:rsidRPr="002307F9">
        <w:rPr>
          <w:rFonts w:ascii="Century Schoolbook" w:hAnsi="Century Schoolbook" w:cs="Times New Roman"/>
          <w:i/>
          <w:iCs/>
          <w:noProof/>
        </w:rPr>
        <w:t>Obes. Rev.</w:t>
      </w:r>
      <w:r w:rsidRPr="002307F9">
        <w:rPr>
          <w:rFonts w:ascii="Century Schoolbook" w:hAnsi="Century Schoolbook" w:cs="Times New Roman"/>
          <w:noProof/>
        </w:rPr>
        <w:t xml:space="preserve"> 2015;16(1):64–76.</w:t>
      </w:r>
    </w:p>
    <w:p w14:paraId="33979C3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8. </w:t>
      </w:r>
      <w:r w:rsidRPr="002307F9">
        <w:rPr>
          <w:rFonts w:ascii="Century Schoolbook" w:hAnsi="Century Schoolbook" w:cs="Times New Roman"/>
          <w:noProof/>
        </w:rPr>
        <w:tab/>
      </w:r>
      <w:r w:rsidRPr="002307F9">
        <w:rPr>
          <w:rFonts w:ascii="Century Schoolbook" w:hAnsi="Century Schoolbook" w:cs="Times New Roman"/>
          <w:b/>
          <w:bCs/>
          <w:noProof/>
        </w:rPr>
        <w:t>Petry CJ, Ong KK, Burling KA, Barker P, Goodburn SF, Perry JRB, Acerini CL, Hughes IA, Painter RC, Afink GB, Dunger DB, O’Rahilly SP.</w:t>
      </w:r>
      <w:r w:rsidRPr="002307F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2307F9">
        <w:rPr>
          <w:rFonts w:ascii="Century Schoolbook" w:hAnsi="Century Schoolbook" w:cs="Times New Roman"/>
          <w:i/>
          <w:iCs/>
          <w:noProof/>
        </w:rPr>
        <w:t>Wellcome Open Res.</w:t>
      </w:r>
      <w:r w:rsidRPr="002307F9">
        <w:rPr>
          <w:rFonts w:ascii="Century Schoolbook" w:hAnsi="Century Schoolbook" w:cs="Times New Roman"/>
          <w:noProof/>
        </w:rPr>
        <w:t xml:space="preserve"> 2018;3(0):123.</w:t>
      </w:r>
    </w:p>
    <w:p w14:paraId="5A509D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9. </w:t>
      </w:r>
      <w:r w:rsidRPr="002307F9">
        <w:rPr>
          <w:rFonts w:ascii="Century Schoolbook" w:hAnsi="Century Schoolbook" w:cs="Times New Roman"/>
          <w:noProof/>
        </w:rPr>
        <w:tab/>
      </w:r>
      <w:r w:rsidRPr="002307F9">
        <w:rPr>
          <w:rFonts w:ascii="Century Schoolbook" w:hAnsi="Century Schoolbook" w:cs="Times New Roman"/>
          <w:b/>
          <w:bCs/>
          <w:noProof/>
        </w:rPr>
        <w:t>Fejzo MS, Fasching P, Schneider M, Schwitulla J, Beckmann M, Schwenke E, MacGibbon K, Mullin P.</w:t>
      </w:r>
      <w:r w:rsidRPr="002307F9">
        <w:rPr>
          <w:rFonts w:ascii="Century Schoolbook" w:hAnsi="Century Schoolbook" w:cs="Times New Roman"/>
          <w:noProof/>
        </w:rPr>
        <w:t xml:space="preserve"> Analysis of GDF15 and IGFBP7 in Hyperemesis Gravidarum Support Causality. </w:t>
      </w:r>
      <w:r w:rsidRPr="002307F9">
        <w:rPr>
          <w:rFonts w:ascii="Century Schoolbook" w:hAnsi="Century Schoolbook" w:cs="Times New Roman"/>
          <w:i/>
          <w:iCs/>
          <w:noProof/>
        </w:rPr>
        <w:t>Geburtshilfe Frauenheilkd.</w:t>
      </w:r>
      <w:r w:rsidRPr="002307F9">
        <w:rPr>
          <w:rFonts w:ascii="Century Schoolbook" w:hAnsi="Century Schoolbook" w:cs="Times New Roman"/>
          <w:noProof/>
        </w:rPr>
        <w:t xml:space="preserve"> 2019:382–388.</w:t>
      </w:r>
    </w:p>
    <w:p w14:paraId="61A423F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10. </w:t>
      </w:r>
      <w:r w:rsidRPr="002307F9">
        <w:rPr>
          <w:rFonts w:ascii="Century Schoolbook" w:hAnsi="Century Schoolbook" w:cs="Times New Roman"/>
          <w:noProof/>
        </w:rPr>
        <w:tab/>
      </w:r>
      <w:r w:rsidRPr="002307F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2307F9">
        <w:rPr>
          <w:rFonts w:ascii="Century Schoolbook" w:hAnsi="Century Schoolbook" w:cs="Times New Roman"/>
          <w:noProof/>
        </w:rPr>
        <w:t xml:space="preserve"> Tumor-induced anorexia and weight loss are mediated by the TGF-β superfamily cytokine MIC-1.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2007;13(11):1333–1340.</w:t>
      </w:r>
    </w:p>
    <w:p w14:paraId="7104136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11. </w:t>
      </w:r>
      <w:r w:rsidRPr="002307F9">
        <w:rPr>
          <w:rFonts w:ascii="Century Schoolbook" w:hAnsi="Century Schoolbook" w:cs="Times New Roman"/>
          <w:noProof/>
        </w:rPr>
        <w:tab/>
      </w:r>
      <w:r w:rsidRPr="002307F9">
        <w:rPr>
          <w:rFonts w:ascii="Century Schoolbook" w:hAnsi="Century Schoolbook" w:cs="Times New Roman"/>
          <w:b/>
          <w:bCs/>
          <w:noProof/>
        </w:rPr>
        <w:t>Welsh JB, Sapinoso LM, Kern SG, Brown DA, Liu T, Bauskin AR, Ward RL, Hawkins NJ, Quinn DI, Russell PJ, Sutherland RL, Breit SN, Moskaluk CA, Frierson HF, Hampton GM.</w:t>
      </w:r>
      <w:r w:rsidRPr="002307F9">
        <w:rPr>
          <w:rFonts w:ascii="Century Schoolbook" w:hAnsi="Century Schoolbook" w:cs="Times New Roman"/>
          <w:noProof/>
        </w:rPr>
        <w:t xml:space="preserve"> Large-scale delineation of secreted protein biomarkers overexpressed in cancer tissue and serum. </w:t>
      </w:r>
      <w:r w:rsidRPr="002307F9">
        <w:rPr>
          <w:rFonts w:ascii="Century Schoolbook" w:hAnsi="Century Schoolbook" w:cs="Times New Roman"/>
          <w:i/>
          <w:iCs/>
          <w:noProof/>
        </w:rPr>
        <w:t>Proc. Natl. Acad. Sci.</w:t>
      </w:r>
      <w:r w:rsidRPr="002307F9">
        <w:rPr>
          <w:rFonts w:ascii="Century Schoolbook" w:hAnsi="Century Schoolbook" w:cs="Times New Roman"/>
          <w:noProof/>
        </w:rPr>
        <w:t xml:space="preserve"> 2003;100(6):3410–3415.</w:t>
      </w:r>
    </w:p>
    <w:p w14:paraId="4468D5A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lastRenderedPageBreak/>
        <w:t xml:space="preserve">12. </w:t>
      </w:r>
      <w:r w:rsidRPr="002307F9">
        <w:rPr>
          <w:rFonts w:ascii="Century Schoolbook" w:hAnsi="Century Schoolbook" w:cs="Times New Roman"/>
          <w:noProof/>
        </w:rPr>
        <w:tab/>
      </w:r>
      <w:r w:rsidRPr="002307F9">
        <w:rPr>
          <w:rFonts w:ascii="Century Schoolbook" w:hAnsi="Century Schoolbook" w:cs="Times New Roman"/>
          <w:b/>
          <w:bCs/>
          <w:noProof/>
        </w:rPr>
        <w:t>Frikke-Schmidt H, Hultman K, Galaske JW, Jørgensen SB, Myers MG, Seeley RJ.</w:t>
      </w:r>
      <w:r w:rsidRPr="002307F9">
        <w:rPr>
          <w:rFonts w:ascii="Century Schoolbook" w:hAnsi="Century Schoolbook" w:cs="Times New Roman"/>
          <w:noProof/>
        </w:rPr>
        <w:t xml:space="preserve"> GDF15 acts synergistically with liraglutide but is not necessary for the weight loss induced by bariatric surgery in mice.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2019;21(xxxx):13–21.</w:t>
      </w:r>
    </w:p>
    <w:p w14:paraId="04D9E22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13. </w:t>
      </w:r>
      <w:r w:rsidRPr="002307F9">
        <w:rPr>
          <w:rFonts w:ascii="Century Schoolbook" w:hAnsi="Century Schoolbook" w:cs="Times New Roman"/>
          <w:noProof/>
        </w:rPr>
        <w:tab/>
      </w:r>
      <w:r w:rsidRPr="002307F9">
        <w:rPr>
          <w:rFonts w:ascii="Century Schoolbook" w:hAnsi="Century Schoolbook" w:cs="Times New Roman"/>
          <w:b/>
          <w:bCs/>
          <w:noProof/>
        </w:rPr>
        <w:t>Zhang M, Sun W, Qian J, Tang Y.</w:t>
      </w:r>
      <w:r w:rsidRPr="002307F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2307F9">
        <w:rPr>
          <w:rFonts w:ascii="Century Schoolbook" w:hAnsi="Century Schoolbook" w:cs="Times New Roman"/>
          <w:i/>
          <w:iCs/>
          <w:noProof/>
        </w:rPr>
        <w:t>Redox Biol.</w:t>
      </w:r>
      <w:r w:rsidRPr="002307F9">
        <w:rPr>
          <w:rFonts w:ascii="Century Schoolbook" w:hAnsi="Century Schoolbook" w:cs="Times New Roman"/>
          <w:noProof/>
        </w:rPr>
        <w:t xml:space="preserve"> 2018;16(February):87–96.</w:t>
      </w:r>
    </w:p>
    <w:p w14:paraId="35C5D4A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14. </w:t>
      </w:r>
      <w:r w:rsidRPr="002307F9">
        <w:rPr>
          <w:rFonts w:ascii="Century Schoolbook" w:hAnsi="Century Schoolbook" w:cs="Times New Roman"/>
          <w:noProof/>
        </w:rPr>
        <w:tab/>
      </w:r>
      <w:r w:rsidRPr="002307F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2307F9">
        <w:rPr>
          <w:rFonts w:ascii="Century Schoolbook" w:hAnsi="Century Schoolbook" w:cs="Times New Roman"/>
          <w:noProof/>
        </w:rPr>
        <w:t xml:space="preserve"> GDF15 Provides an Endocrine Signal of Nutritional Stress in Mice and Humans. </w:t>
      </w:r>
      <w:r w:rsidRPr="002307F9">
        <w:rPr>
          <w:rFonts w:ascii="Century Schoolbook" w:hAnsi="Century Schoolbook" w:cs="Times New Roman"/>
          <w:i/>
          <w:iCs/>
          <w:noProof/>
        </w:rPr>
        <w:t>Cell Metab.</w:t>
      </w:r>
      <w:r w:rsidRPr="002307F9">
        <w:rPr>
          <w:rFonts w:ascii="Century Schoolbook" w:hAnsi="Century Schoolbook" w:cs="Times New Roman"/>
          <w:noProof/>
        </w:rPr>
        <w:t xml:space="preserve"> 2019;29(3):707-718.e8.</w:t>
      </w:r>
    </w:p>
    <w:p w14:paraId="017ACB8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15. </w:t>
      </w:r>
      <w:r w:rsidRPr="002307F9">
        <w:rPr>
          <w:rFonts w:ascii="Century Schoolbook" w:hAnsi="Century Schoolbook" w:cs="Times New Roman"/>
          <w:noProof/>
        </w:rPr>
        <w:tab/>
      </w:r>
      <w:r w:rsidRPr="002307F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2307F9">
        <w:rPr>
          <w:rFonts w:ascii="Century Schoolbook" w:hAnsi="Century Schoolbook" w:cs="Times New Roman"/>
          <w:noProof/>
        </w:rPr>
        <w:t xml:space="preserve"> Hepatic steatosis, inflammation, and ER stress in mice maintained long term on a very low-carbohydrate ketogenic diet. </w:t>
      </w:r>
      <w:r w:rsidRPr="002307F9">
        <w:rPr>
          <w:rFonts w:ascii="Century Schoolbook" w:hAnsi="Century Schoolbook" w:cs="Times New Roman"/>
          <w:i/>
          <w:iCs/>
          <w:noProof/>
        </w:rPr>
        <w:t>Am. J. Physiol. Liver Physiol.</w:t>
      </w:r>
      <w:r w:rsidRPr="002307F9">
        <w:rPr>
          <w:rFonts w:ascii="Century Schoolbook" w:hAnsi="Century Schoolbook" w:cs="Times New Roman"/>
          <w:noProof/>
        </w:rPr>
        <w:t xml:space="preserve"> 2011;300(6):G956–G967.</w:t>
      </w:r>
    </w:p>
    <w:p w14:paraId="5EDEC5D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16. </w:t>
      </w:r>
      <w:r w:rsidRPr="002307F9">
        <w:rPr>
          <w:rFonts w:ascii="Century Schoolbook" w:hAnsi="Century Schoolbook" w:cs="Times New Roman"/>
          <w:noProof/>
        </w:rPr>
        <w:tab/>
      </w:r>
      <w:r w:rsidRPr="002307F9">
        <w:rPr>
          <w:rFonts w:ascii="Century Schoolbook" w:hAnsi="Century Schoolbook" w:cs="Times New Roman"/>
          <w:b/>
          <w:bCs/>
          <w:noProof/>
        </w:rPr>
        <w:t>Douris N, Melman T, Pecherer JM, Pissios P, Flier JS, Cantley LC, Locasale JW, Maratos-Flier E.</w:t>
      </w:r>
      <w:r w:rsidRPr="002307F9">
        <w:rPr>
          <w:rFonts w:ascii="Century Schoolbook" w:hAnsi="Century Schoolbook" w:cs="Times New Roman"/>
          <w:noProof/>
        </w:rPr>
        <w:t xml:space="preserve"> Adaptive changes in amino acid metabolism permit normal longevity in mice consuming a low-carbohydrate ketogenic diet. </w:t>
      </w:r>
      <w:r w:rsidRPr="002307F9">
        <w:rPr>
          <w:rFonts w:ascii="Century Schoolbook" w:hAnsi="Century Schoolbook" w:cs="Times New Roman"/>
          <w:i/>
          <w:iCs/>
          <w:noProof/>
        </w:rPr>
        <w:t>Biochim. Biophys. Acta - Mol. Basis Dis.</w:t>
      </w:r>
      <w:r w:rsidRPr="002307F9">
        <w:rPr>
          <w:rFonts w:ascii="Century Schoolbook" w:hAnsi="Century Schoolbook" w:cs="Times New Roman"/>
          <w:noProof/>
        </w:rPr>
        <w:t xml:space="preserve"> 2015;1852(10):2056–2065.</w:t>
      </w:r>
    </w:p>
    <w:p w14:paraId="2359CEF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17. </w:t>
      </w:r>
      <w:r w:rsidRPr="002307F9">
        <w:rPr>
          <w:rFonts w:ascii="Century Schoolbook" w:hAnsi="Century Schoolbook" w:cs="Times New Roman"/>
          <w:noProof/>
        </w:rPr>
        <w:tab/>
      </w:r>
      <w:r w:rsidRPr="002307F9">
        <w:rPr>
          <w:rFonts w:ascii="Century Schoolbook" w:hAnsi="Century Schoolbook" w:cs="Times New Roman"/>
          <w:b/>
          <w:bCs/>
          <w:noProof/>
        </w:rPr>
        <w:t>Stephenson EJ, Redd JR, Snyder DS, Tran QT, Lu B, Peloquin MJ, Mulcahy MC, Harvey I, Fisher K, Han JC, Qi N, Saltiel AR, Bridges D.</w:t>
      </w:r>
      <w:r w:rsidRPr="002307F9">
        <w:rPr>
          <w:rFonts w:ascii="Century Schoolbook" w:hAnsi="Century Schoolbook" w:cs="Times New Roman"/>
          <w:noProof/>
        </w:rPr>
        <w:t xml:space="preserve"> Skeletal Muscle mTORC1 Activation Increases Energy Expenditure and Reduces Longevity in Mice. </w:t>
      </w:r>
      <w:r w:rsidRPr="002307F9">
        <w:rPr>
          <w:rFonts w:ascii="Century Schoolbook" w:hAnsi="Century Schoolbook" w:cs="Times New Roman"/>
          <w:i/>
          <w:iCs/>
          <w:noProof/>
        </w:rPr>
        <w:t>bioRxiv</w:t>
      </w:r>
      <w:r w:rsidRPr="002307F9">
        <w:rPr>
          <w:rFonts w:ascii="Century Schoolbook" w:hAnsi="Century Schoolbook" w:cs="Times New Roman"/>
          <w:noProof/>
        </w:rPr>
        <w:t xml:space="preserve"> 2019. doi:10.1101/720540.</w:t>
      </w:r>
    </w:p>
    <w:p w14:paraId="4765753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18. </w:t>
      </w:r>
      <w:r w:rsidRPr="002307F9">
        <w:rPr>
          <w:rFonts w:ascii="Century Schoolbook" w:hAnsi="Century Schoolbook" w:cs="Times New Roman"/>
          <w:noProof/>
        </w:rPr>
        <w:tab/>
      </w:r>
      <w:r w:rsidRPr="002307F9">
        <w:rPr>
          <w:rFonts w:ascii="Century Schoolbook" w:hAnsi="Century Schoolbook" w:cs="Times New Roman"/>
          <w:b/>
          <w:bCs/>
          <w:noProof/>
        </w:rPr>
        <w:t>Sengupta S, Peterson TR, Laplante M, Oh S, Sabatini DM.</w:t>
      </w:r>
      <w:r w:rsidRPr="002307F9">
        <w:rPr>
          <w:rFonts w:ascii="Century Schoolbook" w:hAnsi="Century Schoolbook" w:cs="Times New Roman"/>
          <w:noProof/>
        </w:rPr>
        <w:t xml:space="preserve"> MTORC1 controls fasting-induced ketogenesis and its modulation by ageing.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2010;468(7327):1100–1106.</w:t>
      </w:r>
    </w:p>
    <w:p w14:paraId="1A4F255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19. </w:t>
      </w:r>
      <w:r w:rsidRPr="002307F9">
        <w:rPr>
          <w:rFonts w:ascii="Century Schoolbook" w:hAnsi="Century Schoolbook" w:cs="Times New Roman"/>
          <w:noProof/>
        </w:rPr>
        <w:tab/>
      </w:r>
      <w:r w:rsidRPr="002307F9">
        <w:rPr>
          <w:rFonts w:ascii="Century Schoolbook" w:hAnsi="Century Schoolbook" w:cs="Times New Roman"/>
          <w:b/>
          <w:bCs/>
          <w:noProof/>
        </w:rPr>
        <w:t>R Core Team.</w:t>
      </w:r>
      <w:r w:rsidRPr="002307F9">
        <w:rPr>
          <w:rFonts w:ascii="Century Schoolbook" w:hAnsi="Century Schoolbook" w:cs="Times New Roman"/>
          <w:noProof/>
        </w:rPr>
        <w:t xml:space="preserve"> R: A Language and Environment for Statistical Computing. 2019.</w:t>
      </w:r>
    </w:p>
    <w:p w14:paraId="69572F79"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20. </w:t>
      </w:r>
      <w:r w:rsidRPr="002307F9">
        <w:rPr>
          <w:rFonts w:ascii="Century Schoolbook" w:hAnsi="Century Schoolbook" w:cs="Times New Roman"/>
          <w:noProof/>
        </w:rPr>
        <w:tab/>
      </w:r>
      <w:r w:rsidRPr="002307F9">
        <w:rPr>
          <w:rFonts w:ascii="Century Schoolbook" w:hAnsi="Century Schoolbook" w:cs="Times New Roman"/>
          <w:b/>
          <w:bCs/>
          <w:noProof/>
        </w:rPr>
        <w:t>Bates DM, Maechler M, Bolker B, Walker S.</w:t>
      </w:r>
      <w:r w:rsidRPr="002307F9">
        <w:rPr>
          <w:rFonts w:ascii="Century Schoolbook" w:hAnsi="Century Schoolbook" w:cs="Times New Roman"/>
          <w:noProof/>
        </w:rPr>
        <w:t xml:space="preserve"> Fitting linear mixed-effects models using lme4. </w:t>
      </w:r>
      <w:r w:rsidRPr="002307F9">
        <w:rPr>
          <w:rFonts w:ascii="Century Schoolbook" w:hAnsi="Century Schoolbook" w:cs="Times New Roman"/>
          <w:i/>
          <w:iCs/>
          <w:noProof/>
        </w:rPr>
        <w:t>J. Stat. Softw.</w:t>
      </w:r>
      <w:r w:rsidRPr="002307F9">
        <w:rPr>
          <w:rFonts w:ascii="Century Schoolbook" w:hAnsi="Century Schoolbook" w:cs="Times New Roman"/>
          <w:noProof/>
        </w:rPr>
        <w:t xml:space="preserve"> 2015;67:1–48.</w:t>
      </w:r>
    </w:p>
    <w:p w14:paraId="50C524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21. </w:t>
      </w:r>
      <w:r w:rsidRPr="002307F9">
        <w:rPr>
          <w:rFonts w:ascii="Century Schoolbook" w:hAnsi="Century Schoolbook" w:cs="Times New Roman"/>
          <w:noProof/>
        </w:rPr>
        <w:tab/>
      </w:r>
      <w:r w:rsidRPr="002307F9">
        <w:rPr>
          <w:rFonts w:ascii="Century Schoolbook" w:hAnsi="Century Schoolbook" w:cs="Times New Roman"/>
          <w:b/>
          <w:bCs/>
          <w:noProof/>
        </w:rPr>
        <w:t>Guridi M, Tintignac LA, Lin S, Kupr B, Castets P, Rüegg MA.</w:t>
      </w:r>
      <w:r w:rsidRPr="002307F9">
        <w:rPr>
          <w:rFonts w:ascii="Century Schoolbook" w:hAnsi="Century Schoolbook" w:cs="Times New Roman"/>
          <w:noProof/>
        </w:rPr>
        <w:t xml:space="preserve"> Activation of mTORC1 in skeletal muscle regulates whole-body metabolism through FGF21. </w:t>
      </w:r>
      <w:r w:rsidRPr="002307F9">
        <w:rPr>
          <w:rFonts w:ascii="Century Schoolbook" w:hAnsi="Century Schoolbook" w:cs="Times New Roman"/>
          <w:i/>
          <w:iCs/>
          <w:noProof/>
        </w:rPr>
        <w:t>Sci. Signal.</w:t>
      </w:r>
      <w:r w:rsidRPr="002307F9">
        <w:rPr>
          <w:rFonts w:ascii="Century Schoolbook" w:hAnsi="Century Schoolbook" w:cs="Times New Roman"/>
          <w:noProof/>
        </w:rPr>
        <w:t xml:space="preserve"> 2015;8(402):ra113–ra113.</w:t>
      </w:r>
    </w:p>
    <w:p w14:paraId="361FB3E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22. </w:t>
      </w:r>
      <w:r w:rsidRPr="002307F9">
        <w:rPr>
          <w:rFonts w:ascii="Century Schoolbook" w:hAnsi="Century Schoolbook" w:cs="Times New Roman"/>
          <w:noProof/>
        </w:rPr>
        <w:tab/>
      </w:r>
      <w:r w:rsidRPr="002307F9">
        <w:rPr>
          <w:rFonts w:ascii="Century Schoolbook" w:hAnsi="Century Schoolbook" w:cs="Times New Roman"/>
          <w:b/>
          <w:bCs/>
          <w:noProof/>
        </w:rPr>
        <w:t>Guridi M, Kupr B, Romanino K, Lin S, Falcetta D, Tintignac L, Rüegg MA.</w:t>
      </w:r>
      <w:r w:rsidRPr="002307F9">
        <w:rPr>
          <w:rFonts w:ascii="Century Schoolbook" w:hAnsi="Century Schoolbook" w:cs="Times New Roman"/>
          <w:noProof/>
        </w:rPr>
        <w:t xml:space="preserve"> Alterations to mTORC1 signaling in the skeletal muscle differentially affect whole-body metabolism. </w:t>
      </w:r>
      <w:r w:rsidRPr="002307F9">
        <w:rPr>
          <w:rFonts w:ascii="Century Schoolbook" w:hAnsi="Century Schoolbook" w:cs="Times New Roman"/>
          <w:i/>
          <w:iCs/>
          <w:noProof/>
        </w:rPr>
        <w:t>Skelet. Muscle</w:t>
      </w:r>
      <w:r w:rsidRPr="002307F9">
        <w:rPr>
          <w:rFonts w:ascii="Century Schoolbook" w:hAnsi="Century Schoolbook" w:cs="Times New Roman"/>
          <w:noProof/>
        </w:rPr>
        <w:t xml:space="preserve"> 2016;6(1):13.</w:t>
      </w:r>
    </w:p>
    <w:p w14:paraId="7944F90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23. </w:t>
      </w:r>
      <w:r w:rsidRPr="002307F9">
        <w:rPr>
          <w:rFonts w:ascii="Century Schoolbook" w:hAnsi="Century Schoolbook" w:cs="Times New Roman"/>
          <w:noProof/>
        </w:rPr>
        <w:tab/>
      </w:r>
      <w:r w:rsidRPr="002307F9">
        <w:rPr>
          <w:rFonts w:ascii="Century Schoolbook" w:hAnsi="Century Schoolbook" w:cs="Times New Roman"/>
          <w:b/>
          <w:bCs/>
          <w:noProof/>
        </w:rPr>
        <w:t xml:space="preserve">Uhlén M, Fagerberg L, Hallström BM, Lindskog C, Oksvold P, Mardinoglu A, Sivertsson Å, Kampf C, Sjöstedt E, Asplund A, Olsson </w:t>
      </w:r>
      <w:r w:rsidRPr="002307F9">
        <w:rPr>
          <w:rFonts w:ascii="Century Schoolbook" w:hAnsi="Century Schoolbook" w:cs="Times New Roman"/>
          <w:b/>
          <w:bCs/>
          <w:noProof/>
        </w:rPr>
        <w:lastRenderedPageBreak/>
        <w:t>IM, Edlund K, Lundberg E, Navani S, Szigyarto CAK, Odeberg J, Djureinovic D, Takanen JO, Hober S, Alm T, Edqvist PH, Berling H, Tegel H, Mulder J, Rockberg J, Nilsson P, Schwenk JM, Hamsten M, Von Feilitzen K, Forsberg M, Persson L, Johansson F, Zwahlen M, Von Heijne G, Nielsen J, Pontén F.</w:t>
      </w:r>
      <w:r w:rsidRPr="002307F9">
        <w:rPr>
          <w:rFonts w:ascii="Century Schoolbook" w:hAnsi="Century Schoolbook" w:cs="Times New Roman"/>
          <w:noProof/>
        </w:rPr>
        <w:t xml:space="preserve"> Tissue-based map of the human proteome. </w:t>
      </w:r>
      <w:r w:rsidRPr="002307F9">
        <w:rPr>
          <w:rFonts w:ascii="Century Schoolbook" w:hAnsi="Century Schoolbook" w:cs="Times New Roman"/>
          <w:i/>
          <w:iCs/>
          <w:noProof/>
        </w:rPr>
        <w:t>Science (80-. ).</w:t>
      </w:r>
      <w:r w:rsidRPr="002307F9">
        <w:rPr>
          <w:rFonts w:ascii="Century Schoolbook" w:hAnsi="Century Schoolbook" w:cs="Times New Roman"/>
          <w:noProof/>
        </w:rPr>
        <w:t xml:space="preserve"> 2015;347(6220). doi:10.1126/science.1260419.</w:t>
      </w:r>
    </w:p>
    <w:p w14:paraId="6611B0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24. </w:t>
      </w:r>
      <w:r w:rsidRPr="002307F9">
        <w:rPr>
          <w:rFonts w:ascii="Century Schoolbook" w:hAnsi="Century Schoolbook" w:cs="Times New Roman"/>
          <w:noProof/>
        </w:rPr>
        <w:tab/>
      </w:r>
      <w:r w:rsidRPr="002307F9">
        <w:rPr>
          <w:rFonts w:ascii="Century Schoolbook" w:hAnsi="Century Schoolbook" w:cs="Times New Roman"/>
          <w:b/>
          <w:bCs/>
          <w:noProof/>
        </w:rPr>
        <w:t>Tang M, Luo M, Lu W, Wang S, Zhang R, Liang W, Gu J, Yu X, Zhang X, Hu C.</w:t>
      </w:r>
      <w:r w:rsidRPr="002307F9">
        <w:rPr>
          <w:rFonts w:ascii="Century Schoolbook" w:hAnsi="Century Schoolbook" w:cs="Times New Roman"/>
          <w:noProof/>
        </w:rPr>
        <w:t xml:space="preserve"> Serum growth differentiation factor 15 is associated with glucose metabolism in the third trimester in Chinese pregnant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2019:107823.</w:t>
      </w:r>
    </w:p>
    <w:p w14:paraId="4FBFF66F"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25. </w:t>
      </w:r>
      <w:r w:rsidRPr="002307F9">
        <w:rPr>
          <w:rFonts w:ascii="Century Schoolbook" w:hAnsi="Century Schoolbook" w:cs="Times New Roman"/>
          <w:noProof/>
        </w:rPr>
        <w:tab/>
      </w:r>
      <w:r w:rsidRPr="002307F9">
        <w:rPr>
          <w:rFonts w:ascii="Century Schoolbook" w:hAnsi="Century Schoolbook" w:cs="Times New Roman"/>
          <w:b/>
          <w:bCs/>
          <w:noProof/>
        </w:rPr>
        <w:t>Sugulle M, Dechend R, Herse F, Weedon-Fekjaer MS, Johnsen GM, Brosnihan KB, Anton L, Luft FC, Wollert KC, Kempf T, Staff AC.</w:t>
      </w:r>
      <w:r w:rsidRPr="002307F9">
        <w:rPr>
          <w:rFonts w:ascii="Century Schoolbook" w:hAnsi="Century Schoolbook" w:cs="Times New Roman"/>
          <w:noProof/>
        </w:rPr>
        <w:t xml:space="preserve"> Circulating and placental growth-differentiation factor 15 in preeclampsia and in pregnancy complicated by diabetes mellitus. </w:t>
      </w:r>
      <w:r w:rsidRPr="002307F9">
        <w:rPr>
          <w:rFonts w:ascii="Century Schoolbook" w:hAnsi="Century Schoolbook" w:cs="Times New Roman"/>
          <w:i/>
          <w:iCs/>
          <w:noProof/>
        </w:rPr>
        <w:t>Hypertension</w:t>
      </w:r>
      <w:r w:rsidRPr="002307F9">
        <w:rPr>
          <w:rFonts w:ascii="Century Schoolbook" w:hAnsi="Century Schoolbook" w:cs="Times New Roman"/>
          <w:noProof/>
        </w:rPr>
        <w:t xml:space="preserve"> 2009;54(1):106–112.</w:t>
      </w:r>
    </w:p>
    <w:p w14:paraId="125DEB5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26. </w:t>
      </w:r>
      <w:r w:rsidRPr="002307F9">
        <w:rPr>
          <w:rFonts w:ascii="Century Schoolbook" w:hAnsi="Century Schoolbook" w:cs="Times New Roman"/>
          <w:noProof/>
        </w:rPr>
        <w:tab/>
      </w:r>
      <w:r w:rsidRPr="002307F9">
        <w:rPr>
          <w:rFonts w:ascii="Century Schoolbook" w:hAnsi="Century Schoolbook" w:cs="Times New Roman"/>
          <w:b/>
          <w:bCs/>
          <w:noProof/>
        </w:rPr>
        <w:t>Tong S, Marjono B, Brown DA, Mulvey S, Breit SN, Manuelpillai U, Wallace EM.</w:t>
      </w:r>
      <w:r w:rsidRPr="002307F9">
        <w:rPr>
          <w:rFonts w:ascii="Century Schoolbook" w:hAnsi="Century Schoolbook" w:cs="Times New Roman"/>
          <w:noProof/>
        </w:rPr>
        <w:t xml:space="preserve"> Serum concentrations of macrophage inhibitory cytokine 1 (MIC 1) as a predictor of miscarriage. </w:t>
      </w:r>
      <w:r w:rsidRPr="002307F9">
        <w:rPr>
          <w:rFonts w:ascii="Century Schoolbook" w:hAnsi="Century Schoolbook" w:cs="Times New Roman"/>
          <w:i/>
          <w:iCs/>
          <w:noProof/>
        </w:rPr>
        <w:t>Lancet</w:t>
      </w:r>
      <w:r w:rsidRPr="002307F9">
        <w:rPr>
          <w:rFonts w:ascii="Century Schoolbook" w:hAnsi="Century Schoolbook" w:cs="Times New Roman"/>
          <w:noProof/>
        </w:rPr>
        <w:t xml:space="preserve"> 2004;363(9403):129–130.</w:t>
      </w:r>
    </w:p>
    <w:p w14:paraId="3819915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27. </w:t>
      </w:r>
      <w:r w:rsidRPr="002307F9">
        <w:rPr>
          <w:rFonts w:ascii="Century Schoolbook" w:hAnsi="Century Schoolbook" w:cs="Times New Roman"/>
          <w:noProof/>
        </w:rPr>
        <w:tab/>
      </w:r>
      <w:r w:rsidRPr="002307F9">
        <w:rPr>
          <w:rFonts w:ascii="Century Schoolbook" w:hAnsi="Century Schoolbook" w:cs="Times New Roman"/>
          <w:b/>
          <w:bCs/>
          <w:noProof/>
        </w:rPr>
        <w:t>Munk PS, Valborgland T, Butt N, Larsen AI.</w:t>
      </w:r>
      <w:r w:rsidRPr="002307F9">
        <w:rPr>
          <w:rFonts w:ascii="Century Schoolbook" w:hAnsi="Century Schoolbook" w:cs="Times New Roman"/>
          <w:noProof/>
        </w:rPr>
        <w:t xml:space="preserve"> Response of growth differentiation factor-15 to percutaneous coronary intervention and regular exercise training. </w:t>
      </w:r>
      <w:r w:rsidRPr="002307F9">
        <w:rPr>
          <w:rFonts w:ascii="Century Schoolbook" w:hAnsi="Century Schoolbook" w:cs="Times New Roman"/>
          <w:i/>
          <w:iCs/>
          <w:noProof/>
        </w:rPr>
        <w:t>Scand. Cardiovasc. J.</w:t>
      </w:r>
      <w:r w:rsidRPr="002307F9">
        <w:rPr>
          <w:rFonts w:ascii="Century Schoolbook" w:hAnsi="Century Schoolbook" w:cs="Times New Roman"/>
          <w:noProof/>
        </w:rPr>
        <w:t xml:space="preserve"> 2011;45(1):27–32.</w:t>
      </w:r>
    </w:p>
    <w:p w14:paraId="47E892D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28. </w:t>
      </w:r>
      <w:r w:rsidRPr="002307F9">
        <w:rPr>
          <w:rFonts w:ascii="Century Schoolbook" w:hAnsi="Century Schoolbook" w:cs="Times New Roman"/>
          <w:noProof/>
        </w:rPr>
        <w:tab/>
      </w:r>
      <w:r w:rsidRPr="002307F9">
        <w:rPr>
          <w:rFonts w:ascii="Century Schoolbook" w:hAnsi="Century Schoolbook" w:cs="Times New Roman"/>
          <w:b/>
          <w:bCs/>
          <w:noProof/>
        </w:rPr>
        <w:t>Galliera E, Lombardi G, Marazzi MG, Grasso D, Vianello E, Pozzoni R, Banfi G, Corsi Romanelli MM.</w:t>
      </w:r>
      <w:r w:rsidRPr="002307F9">
        <w:rPr>
          <w:rFonts w:ascii="Century Schoolbook" w:hAnsi="Century Schoolbook" w:cs="Times New Roman"/>
          <w:noProof/>
        </w:rPr>
        <w:t xml:space="preserve"> Acute exercise in elite rugby players increases the circulating level of the cardiovascular biomarker GDF-15. </w:t>
      </w:r>
      <w:r w:rsidRPr="002307F9">
        <w:rPr>
          <w:rFonts w:ascii="Century Schoolbook" w:hAnsi="Century Schoolbook" w:cs="Times New Roman"/>
          <w:i/>
          <w:iCs/>
          <w:noProof/>
        </w:rPr>
        <w:t>Scand. J. Clin. Lab. Invest.</w:t>
      </w:r>
      <w:r w:rsidRPr="002307F9">
        <w:rPr>
          <w:rFonts w:ascii="Century Schoolbook" w:hAnsi="Century Schoolbook" w:cs="Times New Roman"/>
          <w:noProof/>
        </w:rPr>
        <w:t xml:space="preserve"> 2014;74(6):492–499.</w:t>
      </w:r>
    </w:p>
    <w:p w14:paraId="40550CD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29. </w:t>
      </w:r>
      <w:r w:rsidRPr="002307F9">
        <w:rPr>
          <w:rFonts w:ascii="Century Schoolbook" w:hAnsi="Century Schoolbook" w:cs="Times New Roman"/>
          <w:noProof/>
        </w:rPr>
        <w:tab/>
      </w:r>
      <w:r w:rsidRPr="002307F9">
        <w:rPr>
          <w:rFonts w:ascii="Century Schoolbook" w:hAnsi="Century Schoolbook" w:cs="Times New Roman"/>
          <w:b/>
          <w:bCs/>
          <w:noProof/>
        </w:rPr>
        <w:t>Joung KH, Kim JM, Yi H-S, Lee JH, Kim KS, Kim HJ, Shong M, Ku BJ.</w:t>
      </w:r>
      <w:r w:rsidRPr="002307F9">
        <w:rPr>
          <w:rFonts w:ascii="Century Schoolbook" w:hAnsi="Century Schoolbook" w:cs="Times New Roman"/>
          <w:noProof/>
        </w:rPr>
        <w:t xml:space="preserve"> Effects of exercise program on normal responsiveness of serum GDF15 in middle-aged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2016;120:S65–S66.</w:t>
      </w:r>
    </w:p>
    <w:p w14:paraId="19DAF87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30. </w:t>
      </w:r>
      <w:r w:rsidRPr="002307F9">
        <w:rPr>
          <w:rFonts w:ascii="Century Schoolbook" w:hAnsi="Century Schoolbook" w:cs="Times New Roman"/>
          <w:noProof/>
        </w:rPr>
        <w:tab/>
      </w:r>
      <w:r w:rsidRPr="002307F9">
        <w:rPr>
          <w:rFonts w:ascii="Century Schoolbook" w:hAnsi="Century Schoolbook" w:cs="Times New Roman"/>
          <w:b/>
          <w:bCs/>
          <w:noProof/>
        </w:rPr>
        <w:t>Kleinert M, Clemmensen C, Sjøberg KA, Carl CS, Jeppesen JF, Wojtaszewski JFP, Kiens B, Richter EA.</w:t>
      </w:r>
      <w:r w:rsidRPr="002307F9">
        <w:rPr>
          <w:rFonts w:ascii="Century Schoolbook" w:hAnsi="Century Schoolbook" w:cs="Times New Roman"/>
          <w:noProof/>
        </w:rPr>
        <w:t xml:space="preserve"> Exercise increases circulating GDF15 in humans.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2018;9(January):187–191.</w:t>
      </w:r>
    </w:p>
    <w:p w14:paraId="007B9F77"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31. </w:t>
      </w:r>
      <w:r w:rsidRPr="002307F9">
        <w:rPr>
          <w:rFonts w:ascii="Century Schoolbook" w:hAnsi="Century Schoolbook" w:cs="Times New Roman"/>
          <w:noProof/>
        </w:rPr>
        <w:tab/>
      </w:r>
      <w:r w:rsidRPr="002307F9">
        <w:rPr>
          <w:rFonts w:ascii="Century Schoolbook" w:hAnsi="Century Schoolbook" w:cs="Times New Roman"/>
          <w:b/>
          <w:bCs/>
          <w:noProof/>
        </w:rPr>
        <w:t>Zhang H, Fealy CE, Kirwan JP.</w:t>
      </w:r>
      <w:r w:rsidRPr="002307F9">
        <w:rPr>
          <w:rFonts w:ascii="Century Schoolbook" w:hAnsi="Century Schoolbook" w:cs="Times New Roman"/>
          <w:noProof/>
        </w:rPr>
        <w:t xml:space="preserve"> Exercise Training Promotes a GDF15 Associated Reduction in Fat Mass in Older Adults with Obesity. </w:t>
      </w:r>
      <w:r w:rsidRPr="002307F9">
        <w:rPr>
          <w:rFonts w:ascii="Century Schoolbook" w:hAnsi="Century Schoolbook" w:cs="Times New Roman"/>
          <w:i/>
          <w:iCs/>
          <w:noProof/>
        </w:rPr>
        <w:t>Am. J. Physiol. Metab.</w:t>
      </w:r>
      <w:r w:rsidRPr="002307F9">
        <w:rPr>
          <w:rFonts w:ascii="Century Schoolbook" w:hAnsi="Century Schoolbook" w:cs="Times New Roman"/>
          <w:noProof/>
        </w:rPr>
        <w:t xml:space="preserve"> 2019:ajpendo.00439.2018.</w:t>
      </w:r>
    </w:p>
    <w:p w14:paraId="21A159B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32. </w:t>
      </w:r>
      <w:r w:rsidRPr="002307F9">
        <w:rPr>
          <w:rFonts w:ascii="Century Schoolbook" w:hAnsi="Century Schoolbook" w:cs="Times New Roman"/>
          <w:noProof/>
        </w:rPr>
        <w:tab/>
      </w:r>
      <w:r w:rsidRPr="002307F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2307F9">
        <w:rPr>
          <w:rFonts w:ascii="Century Schoolbook" w:hAnsi="Century Schoolbook" w:cs="Times New Roman"/>
          <w:noProof/>
        </w:rPr>
        <w:t xml:space="preserve"> GFRAL is the receptor for GDF15 and the ligand promotes weight loss in mice and nonhuman primates.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2017;23(10):1150–1157.</w:t>
      </w:r>
    </w:p>
    <w:p w14:paraId="45FBB83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33. </w:t>
      </w:r>
      <w:r w:rsidRPr="002307F9">
        <w:rPr>
          <w:rFonts w:ascii="Century Schoolbook" w:hAnsi="Century Schoolbook" w:cs="Times New Roman"/>
          <w:noProof/>
        </w:rPr>
        <w:tab/>
      </w:r>
      <w:r w:rsidRPr="002307F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Chen YA, </w:t>
      </w:r>
      <w:r w:rsidRPr="002307F9">
        <w:rPr>
          <w:rFonts w:ascii="Century Schoolbook" w:hAnsi="Century Schoolbook" w:cs="Times New Roman"/>
          <w:b/>
          <w:bCs/>
          <w:noProof/>
        </w:rPr>
        <w:lastRenderedPageBreak/>
        <w:t>Tian H, Allan BB.</w:t>
      </w:r>
      <w:r w:rsidRPr="002307F9">
        <w:rPr>
          <w:rFonts w:ascii="Century Schoolbook" w:hAnsi="Century Schoolbook" w:cs="Times New Roman"/>
          <w:noProof/>
        </w:rPr>
        <w:t xml:space="preserve"> Non-homeostatic body weight regulation through a brainstem-restricted receptor for GDF15.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2017;550(7675):255–259.</w:t>
      </w:r>
    </w:p>
    <w:p w14:paraId="64D8040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34. </w:t>
      </w:r>
      <w:r w:rsidRPr="002307F9">
        <w:rPr>
          <w:rFonts w:ascii="Century Schoolbook" w:hAnsi="Century Schoolbook" w:cs="Times New Roman"/>
          <w:noProof/>
        </w:rPr>
        <w:tab/>
      </w:r>
      <w:r w:rsidRPr="002307F9">
        <w:rPr>
          <w:rFonts w:ascii="Century Schoolbook" w:hAnsi="Century Schoolbook" w:cs="Times New Roman"/>
          <w:b/>
          <w:bCs/>
          <w:noProof/>
        </w:rPr>
        <w:t>Tran T, Yang J, Gardner J, Xiong Y.</w:t>
      </w:r>
      <w:r w:rsidRPr="002307F9">
        <w:rPr>
          <w:rFonts w:ascii="Century Schoolbook" w:hAnsi="Century Schoolbook" w:cs="Times New Roman"/>
          <w:noProof/>
        </w:rPr>
        <w:t xml:space="preserve"> GDF15 deficiency promotes high fat diet-induced obesity in mice. Peterson JM, ed. </w:t>
      </w:r>
      <w:r w:rsidRPr="002307F9">
        <w:rPr>
          <w:rFonts w:ascii="Century Schoolbook" w:hAnsi="Century Schoolbook" w:cs="Times New Roman"/>
          <w:i/>
          <w:iCs/>
          <w:noProof/>
        </w:rPr>
        <w:t>PLoS One</w:t>
      </w:r>
      <w:r w:rsidRPr="002307F9">
        <w:rPr>
          <w:rFonts w:ascii="Century Schoolbook" w:hAnsi="Century Schoolbook" w:cs="Times New Roman"/>
          <w:noProof/>
        </w:rPr>
        <w:t xml:space="preserve"> 2018;13(8):e0201584.</w:t>
      </w:r>
    </w:p>
    <w:p w14:paraId="4E1FF02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35. </w:t>
      </w:r>
      <w:r w:rsidRPr="002307F9">
        <w:rPr>
          <w:rFonts w:ascii="Century Schoolbook" w:hAnsi="Century Schoolbook" w:cs="Times New Roman"/>
          <w:noProof/>
        </w:rPr>
        <w:tab/>
      </w:r>
      <w:r w:rsidRPr="002307F9">
        <w:rPr>
          <w:rFonts w:ascii="Century Schoolbook" w:hAnsi="Century Schoolbook" w:cs="Times New Roman"/>
          <w:b/>
          <w:bCs/>
          <w:noProof/>
        </w:rPr>
        <w:t>Tsai VW-W, Zhang HP, Manandhar R, Schofield P, Christ D, Lee-Ng KKM, Lebhar H, Marquis CP, Husaini Y, Brown DA, Breit SN.</w:t>
      </w:r>
      <w:r w:rsidRPr="002307F9">
        <w:rPr>
          <w:rFonts w:ascii="Century Schoolbook" w:hAnsi="Century Schoolbook" w:cs="Times New Roman"/>
          <w:noProof/>
        </w:rPr>
        <w:t xml:space="preserve"> GDF15 mediates adiposity resistance through actions on GFRAL neurons in the hindbrain AP/NTS. </w:t>
      </w:r>
      <w:r w:rsidRPr="002307F9">
        <w:rPr>
          <w:rFonts w:ascii="Century Schoolbook" w:hAnsi="Century Schoolbook" w:cs="Times New Roman"/>
          <w:i/>
          <w:iCs/>
          <w:noProof/>
        </w:rPr>
        <w:t>Int. J. Obes.</w:t>
      </w:r>
      <w:r w:rsidRPr="002307F9">
        <w:rPr>
          <w:rFonts w:ascii="Century Schoolbook" w:hAnsi="Century Schoolbook" w:cs="Times New Roman"/>
          <w:noProof/>
        </w:rPr>
        <w:t xml:space="preserve"> 2019. doi:10.1038/s41366-019-0365-5.</w:t>
      </w:r>
    </w:p>
    <w:p w14:paraId="3A4D50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36. </w:t>
      </w:r>
      <w:r w:rsidRPr="002307F9">
        <w:rPr>
          <w:rFonts w:ascii="Century Schoolbook" w:hAnsi="Century Schoolbook" w:cs="Times New Roman"/>
          <w:noProof/>
        </w:rPr>
        <w:tab/>
      </w:r>
      <w:r w:rsidRPr="002307F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2307F9">
        <w:rPr>
          <w:rFonts w:ascii="Century Schoolbook" w:hAnsi="Century Schoolbook" w:cs="Times New Roman"/>
          <w:noProof/>
        </w:rPr>
        <w:t xml:space="preserve"> The metabolic effects of GDF15 are mediated by the orphan receptor GFRAL.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2017;23(10):1215–1219.</w:t>
      </w:r>
    </w:p>
    <w:p w14:paraId="431FB941" w14:textId="77777777" w:rsidR="002307F9" w:rsidRPr="002307F9" w:rsidRDefault="002307F9" w:rsidP="002307F9">
      <w:pPr>
        <w:widowControl w:val="0"/>
        <w:autoSpaceDE w:val="0"/>
        <w:autoSpaceDN w:val="0"/>
        <w:adjustRightInd w:val="0"/>
        <w:ind w:left="640" w:hanging="640"/>
        <w:rPr>
          <w:rFonts w:ascii="Century Schoolbook" w:hAnsi="Century Schoolbook"/>
          <w:noProof/>
        </w:rPr>
      </w:pPr>
      <w:r w:rsidRPr="002307F9">
        <w:rPr>
          <w:rFonts w:ascii="Century Schoolbook" w:hAnsi="Century Schoolbook" w:cs="Times New Roman"/>
          <w:noProof/>
        </w:rPr>
        <w:t xml:space="preserve">37. </w:t>
      </w:r>
      <w:r w:rsidRPr="002307F9">
        <w:rPr>
          <w:rFonts w:ascii="Century Schoolbook" w:hAnsi="Century Schoolbook" w:cs="Times New Roman"/>
          <w:noProof/>
        </w:rPr>
        <w:tab/>
      </w:r>
      <w:r w:rsidRPr="002307F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2307F9">
        <w:rPr>
          <w:rFonts w:ascii="Century Schoolbook" w:hAnsi="Century Schoolbook" w:cs="Times New Roman"/>
          <w:noProof/>
        </w:rPr>
        <w:t xml:space="preserve"> GFRAL is the receptor for GDF15 and is required for the anti-obesity effects of the ligand.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2017;23(10):1158–1166.</w:t>
      </w:r>
    </w:p>
    <w:p w14:paraId="4FD305D7" w14:textId="34818C41" w:rsidR="00A857D5" w:rsidRDefault="0098529C" w:rsidP="002307F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44F2848B"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Table</w:t>
      </w:r>
      <w:r w:rsidR="008D6974">
        <w:rPr>
          <w:rFonts w:eastAsia="Times New Roman"/>
          <w:shd w:val="clear" w:color="auto" w:fill="FFFFFF"/>
        </w:rPr>
        <w:t>s and</w:t>
      </w:r>
      <w:r w:rsidRPr="00A857D5">
        <w:rPr>
          <w:rFonts w:eastAsia="Times New Roman"/>
          <w:shd w:val="clear" w:color="auto" w:fill="FFFFFF"/>
        </w:rPr>
        <w:t xml:space="preserv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20FBE3EC" w14:textId="77777777" w:rsidR="008D6974" w:rsidRDefault="008D6974">
      <w:r>
        <w:br w:type="page"/>
      </w:r>
    </w:p>
    <w:p w14:paraId="17573BD8" w14:textId="26D3A8B5" w:rsidR="00D17276" w:rsidRDefault="00D17276">
      <w:r>
        <w:lastRenderedPageBreak/>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DC064A">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3026" w:type="dxa"/>
          </w:tcPr>
          <w:p w14:paraId="497F18D3" w14:textId="22A71A16" w:rsidR="00D17276" w:rsidRPr="004F0A9F" w:rsidRDefault="00D17276">
            <w:pPr>
              <w:rPr>
                <w:b/>
              </w:rPr>
            </w:pPr>
            <w:r w:rsidRPr="004F0A9F">
              <w:rPr>
                <w:b/>
              </w:rPr>
              <w:t>Identifier</w:t>
            </w:r>
          </w:p>
        </w:tc>
      </w:tr>
      <w:tr w:rsidR="006822DD" w14:paraId="4615D866" w14:textId="77777777" w:rsidTr="00DC064A">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3026"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DC064A">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3026"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DC064A">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3026" w:type="dxa"/>
          </w:tcPr>
          <w:p w14:paraId="473CDB0F" w14:textId="48BC6998" w:rsidR="00D17276" w:rsidRDefault="00D17276">
            <w:proofErr w:type="gramStart"/>
            <w:r w:rsidRPr="00D17276">
              <w:t>RRID:IMSR</w:t>
            </w:r>
            <w:proofErr w:type="gramEnd"/>
            <w:r w:rsidRPr="00D17276">
              <w:t>_JAX:000646</w:t>
            </w:r>
          </w:p>
        </w:tc>
      </w:tr>
      <w:tr w:rsidR="00DC064A" w14:paraId="7627A72D" w14:textId="77777777" w:rsidTr="00DC064A">
        <w:tc>
          <w:tcPr>
            <w:tcW w:w="1655" w:type="dxa"/>
          </w:tcPr>
          <w:p w14:paraId="4C2019F0" w14:textId="1100A7CE" w:rsidR="00DC064A" w:rsidRDefault="00DC064A" w:rsidP="00DC064A">
            <w:r>
              <w:t>Mouse Line</w:t>
            </w:r>
          </w:p>
        </w:tc>
        <w:tc>
          <w:tcPr>
            <w:tcW w:w="3380" w:type="dxa"/>
          </w:tcPr>
          <w:p w14:paraId="068FDDF0" w14:textId="231A089C" w:rsidR="00DC064A" w:rsidRDefault="00DC064A" w:rsidP="00DC064A">
            <w:r>
              <w:t>C57BL/6J</w:t>
            </w:r>
          </w:p>
        </w:tc>
        <w:tc>
          <w:tcPr>
            <w:tcW w:w="3026" w:type="dxa"/>
          </w:tcPr>
          <w:p w14:paraId="5841FA2E" w14:textId="19BF146C" w:rsidR="00DC064A" w:rsidRPr="00D17276" w:rsidRDefault="00DC064A" w:rsidP="00DC064A">
            <w:proofErr w:type="gramStart"/>
            <w:r w:rsidRPr="00D17276">
              <w:t>RRID:IMSR</w:t>
            </w:r>
            <w:proofErr w:type="gramEnd"/>
            <w:r w:rsidRPr="00D17276">
              <w:t>_JAX:0006</w:t>
            </w:r>
            <w:r>
              <w:t>64</w:t>
            </w:r>
          </w:p>
        </w:tc>
      </w:tr>
      <w:tr w:rsidR="00DC064A" w14:paraId="6D026C33" w14:textId="77777777" w:rsidTr="00DC064A">
        <w:tc>
          <w:tcPr>
            <w:tcW w:w="1655" w:type="dxa"/>
          </w:tcPr>
          <w:p w14:paraId="6FE79342" w14:textId="3290218C" w:rsidR="00DC064A" w:rsidRDefault="00DC064A" w:rsidP="00DC064A">
            <w:r>
              <w:t>Mouse Line</w:t>
            </w:r>
          </w:p>
        </w:tc>
        <w:tc>
          <w:tcPr>
            <w:tcW w:w="3380" w:type="dxa"/>
          </w:tcPr>
          <w:p w14:paraId="220946D6" w14:textId="3F6F97B4" w:rsidR="00DC064A" w:rsidRDefault="00DC064A" w:rsidP="00DC064A">
            <w:r w:rsidRPr="006822DD">
              <w:rPr>
                <w:i/>
              </w:rPr>
              <w:t>Gdf15</w:t>
            </w:r>
            <w:r>
              <w:t xml:space="preserve"> null</w:t>
            </w:r>
          </w:p>
        </w:tc>
        <w:tc>
          <w:tcPr>
            <w:tcW w:w="3026" w:type="dxa"/>
          </w:tcPr>
          <w:p w14:paraId="58EF3CF5" w14:textId="77777777" w:rsidR="00DC064A" w:rsidRDefault="00DC064A" w:rsidP="00DC064A"/>
        </w:tc>
      </w:tr>
      <w:tr w:rsidR="00DC064A" w14:paraId="16AFE3BB" w14:textId="77777777" w:rsidTr="00DC064A">
        <w:tc>
          <w:tcPr>
            <w:tcW w:w="1655" w:type="dxa"/>
          </w:tcPr>
          <w:p w14:paraId="10FDE1A2" w14:textId="66D88EF5" w:rsidR="00DC064A" w:rsidRDefault="00DC064A" w:rsidP="00DC064A">
            <w:r>
              <w:t>Diet</w:t>
            </w:r>
          </w:p>
        </w:tc>
        <w:tc>
          <w:tcPr>
            <w:tcW w:w="3380" w:type="dxa"/>
          </w:tcPr>
          <w:p w14:paraId="76C5B620" w14:textId="1A06F8BC" w:rsidR="00DC064A" w:rsidRDefault="00DC064A" w:rsidP="00DC064A">
            <w:r>
              <w:t>NCD</w:t>
            </w:r>
          </w:p>
        </w:tc>
        <w:tc>
          <w:tcPr>
            <w:tcW w:w="3026" w:type="dxa"/>
          </w:tcPr>
          <w:p w14:paraId="19E8E542" w14:textId="77777777" w:rsidR="00DC064A" w:rsidRDefault="00DC064A" w:rsidP="00DC064A"/>
        </w:tc>
      </w:tr>
      <w:tr w:rsidR="00DC064A" w14:paraId="66BACA76" w14:textId="77777777" w:rsidTr="00DC064A">
        <w:tc>
          <w:tcPr>
            <w:tcW w:w="1655" w:type="dxa"/>
          </w:tcPr>
          <w:p w14:paraId="10DFE154" w14:textId="7477A4F3" w:rsidR="00DC064A" w:rsidRDefault="00DC064A" w:rsidP="00DC064A">
            <w:r>
              <w:t>Diet</w:t>
            </w:r>
          </w:p>
        </w:tc>
        <w:tc>
          <w:tcPr>
            <w:tcW w:w="3380" w:type="dxa"/>
          </w:tcPr>
          <w:p w14:paraId="77D40DBB" w14:textId="7140441E" w:rsidR="00DC064A" w:rsidRDefault="00DC064A" w:rsidP="00DC064A">
            <w:r>
              <w:t>CD</w:t>
            </w:r>
          </w:p>
        </w:tc>
        <w:tc>
          <w:tcPr>
            <w:tcW w:w="3026" w:type="dxa"/>
          </w:tcPr>
          <w:p w14:paraId="1D1FC44F" w14:textId="77777777" w:rsidR="00DC064A" w:rsidRDefault="00DC064A" w:rsidP="00DC064A"/>
        </w:tc>
      </w:tr>
      <w:tr w:rsidR="00DC064A" w14:paraId="7356E7BC" w14:textId="77777777" w:rsidTr="00DC064A">
        <w:tc>
          <w:tcPr>
            <w:tcW w:w="1655" w:type="dxa"/>
          </w:tcPr>
          <w:p w14:paraId="5E2B89D2" w14:textId="68F64030" w:rsidR="00DC064A" w:rsidRDefault="00DC064A" w:rsidP="00DC064A">
            <w:r>
              <w:t>Diet</w:t>
            </w:r>
          </w:p>
        </w:tc>
        <w:tc>
          <w:tcPr>
            <w:tcW w:w="3380" w:type="dxa"/>
          </w:tcPr>
          <w:p w14:paraId="4753151B" w14:textId="631DC301" w:rsidR="00DC064A" w:rsidRDefault="00DC064A" w:rsidP="00DC064A">
            <w:r>
              <w:t>KD</w:t>
            </w:r>
          </w:p>
        </w:tc>
        <w:tc>
          <w:tcPr>
            <w:tcW w:w="3026" w:type="dxa"/>
          </w:tcPr>
          <w:p w14:paraId="595D8227" w14:textId="77777777" w:rsidR="00DC064A" w:rsidRDefault="00DC064A" w:rsidP="00DC064A"/>
        </w:tc>
      </w:tr>
      <w:tr w:rsidR="00DC064A" w14:paraId="7685AB14" w14:textId="77777777" w:rsidTr="00DC064A">
        <w:tc>
          <w:tcPr>
            <w:tcW w:w="1655" w:type="dxa"/>
          </w:tcPr>
          <w:p w14:paraId="1A6E121B" w14:textId="4F1D8E36" w:rsidR="00DC064A" w:rsidRDefault="00DC064A" w:rsidP="00DC064A">
            <w:r>
              <w:t>Cell Line</w:t>
            </w:r>
          </w:p>
        </w:tc>
        <w:tc>
          <w:tcPr>
            <w:tcW w:w="3380" w:type="dxa"/>
          </w:tcPr>
          <w:p w14:paraId="0BB96709" w14:textId="3E51ECD2" w:rsidR="00DC064A" w:rsidRDefault="00DC064A" w:rsidP="00DC064A">
            <w:r>
              <w:t>AML12</w:t>
            </w:r>
          </w:p>
        </w:tc>
        <w:tc>
          <w:tcPr>
            <w:tcW w:w="3026" w:type="dxa"/>
          </w:tcPr>
          <w:p w14:paraId="62B28ADA" w14:textId="5EE003D6" w:rsidR="00DC064A" w:rsidRPr="00496561" w:rsidRDefault="00DC064A" w:rsidP="00DC064A">
            <w:proofErr w:type="gramStart"/>
            <w:r w:rsidRPr="00496561">
              <w:rPr>
                <w:bCs/>
              </w:rPr>
              <w:t>RRID:CVCL</w:t>
            </w:r>
            <w:proofErr w:type="gramEnd"/>
            <w:r w:rsidRPr="00496561">
              <w:rPr>
                <w:bCs/>
              </w:rPr>
              <w:t>_0140</w:t>
            </w:r>
          </w:p>
        </w:tc>
      </w:tr>
      <w:tr w:rsidR="00DC064A" w14:paraId="5498FF6B" w14:textId="77777777" w:rsidTr="00DC064A">
        <w:tc>
          <w:tcPr>
            <w:tcW w:w="1655" w:type="dxa"/>
          </w:tcPr>
          <w:p w14:paraId="079B6D9F" w14:textId="414C4090" w:rsidR="00DC064A" w:rsidRDefault="00DC064A" w:rsidP="00DC064A">
            <w:r>
              <w:t>Resource</w:t>
            </w:r>
          </w:p>
        </w:tc>
        <w:tc>
          <w:tcPr>
            <w:tcW w:w="3380" w:type="dxa"/>
          </w:tcPr>
          <w:p w14:paraId="70C91166" w14:textId="77F4BEB1" w:rsidR="00DC064A" w:rsidRDefault="00DC064A" w:rsidP="00DC064A">
            <w:r>
              <w:t>Human Protein Atlas</w:t>
            </w:r>
          </w:p>
        </w:tc>
        <w:tc>
          <w:tcPr>
            <w:tcW w:w="3026" w:type="dxa"/>
          </w:tcPr>
          <w:p w14:paraId="6CAD6F70" w14:textId="03447DAC" w:rsidR="00DC064A" w:rsidRPr="00496561" w:rsidRDefault="00DC064A" w:rsidP="00DC064A">
            <w:pPr>
              <w:rPr>
                <w:bCs/>
              </w:rPr>
            </w:pPr>
          </w:p>
        </w:tc>
      </w:tr>
      <w:tr w:rsidR="00DC064A" w14:paraId="3DE4F89A" w14:textId="77777777" w:rsidTr="00DC064A">
        <w:tc>
          <w:tcPr>
            <w:tcW w:w="1655" w:type="dxa"/>
          </w:tcPr>
          <w:p w14:paraId="5F43904C" w14:textId="32B22C86" w:rsidR="00DC064A" w:rsidRDefault="00DC064A" w:rsidP="00DC064A">
            <w:r>
              <w:t>Resource</w:t>
            </w:r>
          </w:p>
        </w:tc>
        <w:tc>
          <w:tcPr>
            <w:tcW w:w="3380" w:type="dxa"/>
          </w:tcPr>
          <w:p w14:paraId="3E03A93F" w14:textId="4A0F447F" w:rsidR="00DC064A" w:rsidRDefault="00DC064A" w:rsidP="00DC064A">
            <w:proofErr w:type="spellStart"/>
            <w:r>
              <w:t>Biomart</w:t>
            </w:r>
            <w:proofErr w:type="spellEnd"/>
          </w:p>
        </w:tc>
        <w:tc>
          <w:tcPr>
            <w:tcW w:w="3026" w:type="dxa"/>
          </w:tcPr>
          <w:p w14:paraId="2D80B679" w14:textId="7389BAD7" w:rsidR="00DC064A" w:rsidRPr="004F0A9F" w:rsidRDefault="00DC064A" w:rsidP="00DC064A">
            <w:pPr>
              <w:rPr>
                <w:bCs/>
              </w:rPr>
            </w:pPr>
            <w:r w:rsidRPr="004F0A9F">
              <w:rPr>
                <w:bCs/>
              </w:rPr>
              <w:t>RRID:SCR_010714</w:t>
            </w:r>
          </w:p>
        </w:tc>
      </w:tr>
      <w:tr w:rsidR="00DC064A" w14:paraId="339FB823" w14:textId="77777777" w:rsidTr="00DC064A">
        <w:tc>
          <w:tcPr>
            <w:tcW w:w="1655" w:type="dxa"/>
          </w:tcPr>
          <w:p w14:paraId="33CB2B95" w14:textId="13F109D2" w:rsidR="00DC064A" w:rsidRDefault="00DC064A" w:rsidP="00DC064A">
            <w:r>
              <w:t>Resource</w:t>
            </w:r>
          </w:p>
        </w:tc>
        <w:tc>
          <w:tcPr>
            <w:tcW w:w="3380" w:type="dxa"/>
          </w:tcPr>
          <w:p w14:paraId="1453C495" w14:textId="72845854" w:rsidR="00DC064A" w:rsidRDefault="00DC064A" w:rsidP="00DC064A">
            <w:r>
              <w:t>Gene Expression Omnibus</w:t>
            </w:r>
          </w:p>
        </w:tc>
        <w:tc>
          <w:tcPr>
            <w:tcW w:w="3026" w:type="dxa"/>
          </w:tcPr>
          <w:p w14:paraId="6CA93D40" w14:textId="6BD6DB9B" w:rsidR="00DC064A" w:rsidRPr="004F0A9F" w:rsidRDefault="00DC064A" w:rsidP="00DC064A">
            <w:pPr>
              <w:rPr>
                <w:bCs/>
              </w:rPr>
            </w:pPr>
            <w:r w:rsidRPr="001C3EEE">
              <w:rPr>
                <w:bCs/>
              </w:rPr>
              <w:t>RRID:SCR_005012</w:t>
            </w:r>
          </w:p>
        </w:tc>
      </w:tr>
    </w:tbl>
    <w:p w14:paraId="07922CCE" w14:textId="109A7633" w:rsidR="00D17276" w:rsidRPr="00671789" w:rsidRDefault="00D17276">
      <w:pPr>
        <w:rPr>
          <w:b/>
        </w:rPr>
      </w:pPr>
    </w:p>
    <w:p w14:paraId="53364563" w14:textId="77777777" w:rsidR="008D6974" w:rsidRDefault="008D6974">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239CEB8C" w14:textId="3D6E8021" w:rsidR="008D6974" w:rsidRDefault="008D6974" w:rsidP="008D6974">
      <w:pPr>
        <w:pStyle w:val="Heading1"/>
        <w:rPr>
          <w:b/>
        </w:rPr>
      </w:pPr>
      <w:r w:rsidRPr="00A857D5">
        <w:rPr>
          <w:rFonts w:eastAsia="Times New Roman"/>
          <w:shd w:val="clear" w:color="auto" w:fill="FFFFFF"/>
        </w:rPr>
        <w:lastRenderedPageBreak/>
        <w:t>Figure</w:t>
      </w:r>
      <w:r>
        <w:rPr>
          <w:rFonts w:eastAsia="Times New Roman"/>
          <w:shd w:val="clear" w:color="auto" w:fill="FFFFFF"/>
        </w:rPr>
        <w:t xml:space="preserve"> Legends</w:t>
      </w:r>
    </w:p>
    <w:p w14:paraId="1D335304" w14:textId="77777777" w:rsidR="008D6974" w:rsidRDefault="008D6974">
      <w:pPr>
        <w:rPr>
          <w:b/>
        </w:rPr>
      </w:pPr>
    </w:p>
    <w:p w14:paraId="45A70276" w14:textId="56051CE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08B28DDF" w14:textId="77777777" w:rsidR="003676ED" w:rsidRPr="003676ED" w:rsidRDefault="003676ED">
      <w:pPr>
        <w:rPr>
          <w:b/>
        </w:rPr>
      </w:pPr>
    </w:p>
    <w:p w14:paraId="10B54537" w14:textId="1F774F68" w:rsidR="009E3923" w:rsidRDefault="009E3923">
      <w:r w:rsidRPr="00671789">
        <w:rPr>
          <w:b/>
        </w:rPr>
        <w:t xml:space="preserve">Figure </w:t>
      </w:r>
      <w:r w:rsidR="003676ED">
        <w:rPr>
          <w:b/>
        </w:rPr>
        <w:t>2</w:t>
      </w:r>
      <w:r w:rsidRPr="00671789">
        <w:rPr>
          <w:b/>
        </w:rPr>
        <w:t>: GDF15 is induced upon feeding mice a ketogenic diet.</w:t>
      </w:r>
      <w:r>
        <w:t xml:space="preserve">  A) Body weight of male and femal</w:t>
      </w:r>
      <w:r w:rsidR="00D92DE6">
        <w:t>e A/J</w:t>
      </w:r>
      <w:r w:rsidR="00424E8D">
        <w:t xml:space="preserve"> </w:t>
      </w:r>
      <w:r>
        <w:t>mice on a control or ketogenic diet</w:t>
      </w:r>
      <w:r w:rsidR="00671789">
        <w:t xml:space="preserve">.  B) </w:t>
      </w:r>
      <w:r w:rsidR="0069797E">
        <w:t>Lean mass (B) and t</w:t>
      </w:r>
      <w:r w:rsidR="00671789">
        <w:t xml:space="preserve">otal fat mass </w:t>
      </w:r>
      <w:r w:rsidR="0069797E">
        <w:t>(C)</w:t>
      </w:r>
      <w:r w:rsidR="00671789">
        <w:t>.  D) Ketone body levels at 3 weeks of age from fed serum (</w:t>
      </w:r>
      <w:r w:rsidR="00774F5F">
        <w:t>E</w:t>
      </w:r>
      <w:r w:rsidR="006B6E98">
        <w:t xml:space="preserve">) GDF15 levels </w:t>
      </w:r>
      <w:r w:rsidR="00DA15B7">
        <w:t xml:space="preserve">in A/J mice </w:t>
      </w:r>
      <w:r w:rsidR="006B6E98">
        <w:t>a</w:t>
      </w:r>
      <w:r w:rsidR="00774F5F">
        <w:t>fter</w:t>
      </w:r>
      <w:r w:rsidR="006B6E98">
        <w:t xml:space="preserve"> </w:t>
      </w:r>
      <w:r w:rsidR="00774F5F">
        <w:t>three</w:t>
      </w:r>
      <w:r w:rsidR="006B6E98">
        <w:t xml:space="preserve"> weeks of </w:t>
      </w:r>
      <w:r w:rsidR="00774F5F">
        <w:t>diet</w:t>
      </w:r>
      <w:r w:rsidR="006B6E98">
        <w:t>.</w:t>
      </w:r>
      <w:r w:rsidR="0069797E">
        <w:t xml:space="preserve">  </w:t>
      </w:r>
      <w:r w:rsidR="00424E8D">
        <w:t>F) GDF15 levels over time in C57BL/6J</w:t>
      </w:r>
      <w:r w:rsidR="00D92DE6">
        <w:t>.  Dashed line indicates baseline GDF15 levels</w:t>
      </w:r>
      <w:r w:rsidR="00041E5F">
        <w:t xml:space="preserve"> (on NCD)</w:t>
      </w:r>
      <w:bookmarkStart w:id="1" w:name="_GoBack"/>
      <w:bookmarkEnd w:id="1"/>
      <w:r w:rsidR="00D92DE6">
        <w:t xml:space="preserve">. </w:t>
      </w:r>
      <w:r w:rsidR="0069797E">
        <w:t>Asterisks indicate p&lt;0.05</w:t>
      </w:r>
      <w:r w:rsidR="008E14BF">
        <w:t>, n=7-8/group</w:t>
      </w:r>
      <w:r w:rsidR="00424E8D">
        <w:t xml:space="preserve"> (A-E) and 3-4 (F)</w:t>
      </w:r>
      <w:r w:rsidR="008E14BF">
        <w:t>.</w:t>
      </w:r>
    </w:p>
    <w:p w14:paraId="4AB139E0" w14:textId="0C061FFE" w:rsidR="003B38E5" w:rsidRDefault="003B38E5"/>
    <w:p w14:paraId="6206100A" w14:textId="12987072" w:rsidR="003B38E5" w:rsidRDefault="003B38E5">
      <w:r w:rsidRPr="003B38E5">
        <w:rPr>
          <w:b/>
        </w:rPr>
        <w:t>Figure 4: Ablation of GDF15 causes increased fat accretion and energy intake on a ketogenic diet.</w:t>
      </w:r>
      <w:r>
        <w:t xml:space="preserve">  </w:t>
      </w:r>
      <w:r w:rsidR="00DF2D36">
        <w:t xml:space="preserve">A) Body weight (B) lean mass and (C) fat mass of GDF15 knockout mice before and after </w:t>
      </w:r>
      <w:r w:rsidR="00366FCB">
        <w:t xml:space="preserve">four weeks of ketogenic diet.  </w:t>
      </w:r>
      <w:r w:rsidR="00DF2D36">
        <w:t xml:space="preserve">Dashed line indicates the start of the ketogenic diet.  </w:t>
      </w:r>
      <w:r>
        <w:t>Asterisks indicate p&lt;0.05, n=8-14/group.</w:t>
      </w:r>
    </w:p>
    <w:sectPr w:rsidR="003B38E5"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41E5F"/>
    <w:rsid w:val="000A1F94"/>
    <w:rsid w:val="000C06E4"/>
    <w:rsid w:val="00103452"/>
    <w:rsid w:val="00111684"/>
    <w:rsid w:val="00126906"/>
    <w:rsid w:val="00142C53"/>
    <w:rsid w:val="00143D60"/>
    <w:rsid w:val="001A281A"/>
    <w:rsid w:val="001C3EEE"/>
    <w:rsid w:val="001C4F59"/>
    <w:rsid w:val="001E755B"/>
    <w:rsid w:val="002142C7"/>
    <w:rsid w:val="00215F72"/>
    <w:rsid w:val="002307F9"/>
    <w:rsid w:val="002606BA"/>
    <w:rsid w:val="00264932"/>
    <w:rsid w:val="002C7002"/>
    <w:rsid w:val="002E312A"/>
    <w:rsid w:val="00346166"/>
    <w:rsid w:val="00352A61"/>
    <w:rsid w:val="00366FCB"/>
    <w:rsid w:val="003676ED"/>
    <w:rsid w:val="0039459D"/>
    <w:rsid w:val="003B38E5"/>
    <w:rsid w:val="003B560C"/>
    <w:rsid w:val="003C3D65"/>
    <w:rsid w:val="003E4C58"/>
    <w:rsid w:val="00411F31"/>
    <w:rsid w:val="00424E8D"/>
    <w:rsid w:val="00425D66"/>
    <w:rsid w:val="00496561"/>
    <w:rsid w:val="004B06E2"/>
    <w:rsid w:val="004E070D"/>
    <w:rsid w:val="004F0A9F"/>
    <w:rsid w:val="00520A7E"/>
    <w:rsid w:val="005504A6"/>
    <w:rsid w:val="005862D5"/>
    <w:rsid w:val="005C1BF6"/>
    <w:rsid w:val="00602C70"/>
    <w:rsid w:val="00651EAB"/>
    <w:rsid w:val="00663579"/>
    <w:rsid w:val="0066357F"/>
    <w:rsid w:val="00671789"/>
    <w:rsid w:val="006822DD"/>
    <w:rsid w:val="0069797E"/>
    <w:rsid w:val="006A59A5"/>
    <w:rsid w:val="006B0D21"/>
    <w:rsid w:val="006B12FE"/>
    <w:rsid w:val="006B6E98"/>
    <w:rsid w:val="006D1EAE"/>
    <w:rsid w:val="00706736"/>
    <w:rsid w:val="00724E49"/>
    <w:rsid w:val="00741B02"/>
    <w:rsid w:val="00772316"/>
    <w:rsid w:val="00774F5F"/>
    <w:rsid w:val="0079134A"/>
    <w:rsid w:val="007C37D9"/>
    <w:rsid w:val="007F1182"/>
    <w:rsid w:val="008231F1"/>
    <w:rsid w:val="008A0E61"/>
    <w:rsid w:val="008D6974"/>
    <w:rsid w:val="008E14BF"/>
    <w:rsid w:val="00900476"/>
    <w:rsid w:val="00903DAE"/>
    <w:rsid w:val="00980612"/>
    <w:rsid w:val="0098529C"/>
    <w:rsid w:val="009A006A"/>
    <w:rsid w:val="009A2992"/>
    <w:rsid w:val="009A6E02"/>
    <w:rsid w:val="009A702B"/>
    <w:rsid w:val="009B767F"/>
    <w:rsid w:val="009C0806"/>
    <w:rsid w:val="009C4AB5"/>
    <w:rsid w:val="009E370E"/>
    <w:rsid w:val="009E3923"/>
    <w:rsid w:val="009F57B1"/>
    <w:rsid w:val="00A008C7"/>
    <w:rsid w:val="00A235AD"/>
    <w:rsid w:val="00A2647E"/>
    <w:rsid w:val="00A31956"/>
    <w:rsid w:val="00A465AF"/>
    <w:rsid w:val="00A57DC9"/>
    <w:rsid w:val="00A66F52"/>
    <w:rsid w:val="00A72A84"/>
    <w:rsid w:val="00A857D5"/>
    <w:rsid w:val="00AA75A4"/>
    <w:rsid w:val="00AD2F62"/>
    <w:rsid w:val="00AE5470"/>
    <w:rsid w:val="00AF42BC"/>
    <w:rsid w:val="00AF6D0B"/>
    <w:rsid w:val="00AF76BF"/>
    <w:rsid w:val="00B04431"/>
    <w:rsid w:val="00B052A8"/>
    <w:rsid w:val="00B13BA1"/>
    <w:rsid w:val="00B15357"/>
    <w:rsid w:val="00B3215F"/>
    <w:rsid w:val="00B514CE"/>
    <w:rsid w:val="00B551EF"/>
    <w:rsid w:val="00B553F4"/>
    <w:rsid w:val="00B55A26"/>
    <w:rsid w:val="00B91044"/>
    <w:rsid w:val="00BD701D"/>
    <w:rsid w:val="00BD7FD9"/>
    <w:rsid w:val="00BF1CFD"/>
    <w:rsid w:val="00BF47DB"/>
    <w:rsid w:val="00BF4C02"/>
    <w:rsid w:val="00C1772E"/>
    <w:rsid w:val="00C3736A"/>
    <w:rsid w:val="00C57D5F"/>
    <w:rsid w:val="00C7011B"/>
    <w:rsid w:val="00C70284"/>
    <w:rsid w:val="00CA1206"/>
    <w:rsid w:val="00CC4A50"/>
    <w:rsid w:val="00CC716A"/>
    <w:rsid w:val="00CF2D6D"/>
    <w:rsid w:val="00CF6625"/>
    <w:rsid w:val="00D06B47"/>
    <w:rsid w:val="00D15A12"/>
    <w:rsid w:val="00D17276"/>
    <w:rsid w:val="00D23940"/>
    <w:rsid w:val="00D36726"/>
    <w:rsid w:val="00D60CFE"/>
    <w:rsid w:val="00D74A03"/>
    <w:rsid w:val="00D92DE6"/>
    <w:rsid w:val="00D957CE"/>
    <w:rsid w:val="00DA15B7"/>
    <w:rsid w:val="00DA6600"/>
    <w:rsid w:val="00DC064A"/>
    <w:rsid w:val="00DF2D36"/>
    <w:rsid w:val="00DF33AC"/>
    <w:rsid w:val="00E129E7"/>
    <w:rsid w:val="00E32D7B"/>
    <w:rsid w:val="00E3687A"/>
    <w:rsid w:val="00E410CE"/>
    <w:rsid w:val="00E43D02"/>
    <w:rsid w:val="00E51DC8"/>
    <w:rsid w:val="00EC6185"/>
    <w:rsid w:val="00EE38E8"/>
    <w:rsid w:val="00EF1E1B"/>
    <w:rsid w:val="00F359A5"/>
    <w:rsid w:val="00F56AE8"/>
    <w:rsid w:val="00F83986"/>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7EAC-DAFE-D742-84E6-011892D1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15</Pages>
  <Words>24250</Words>
  <Characters>138226</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121</cp:revision>
  <dcterms:created xsi:type="dcterms:W3CDTF">2020-02-05T19:13:00Z</dcterms:created>
  <dcterms:modified xsi:type="dcterms:W3CDTF">2021-02-01T15:17:00Z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