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lastRenderedPageBreak/>
        <w:t>Significance was determined</w:t>
      </w:r>
      <w:r w:rsidR="00B13BA1">
        <w:t xml:space="preserve"> via Chi-squared tests</w:t>
      </w:r>
      <w:r w:rsidR="008231F1">
        <w:t xml:space="preserve"> between models with or without 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7A63A91A" w:rsidR="007C37D9" w:rsidRPr="007C37D9"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3CB6C36C"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for four weeks</w:t>
      </w:r>
      <w:bookmarkStart w:id="0" w:name="_GoBack"/>
      <w:bookmarkEnd w:id="0"/>
      <w:r>
        <w:t>.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r w:rsidR="00B55A26">
        <w:lastRenderedPageBreak/>
        <w:t>(</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617E7090"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Asterisks indicate p&lt;0.05</w:t>
      </w:r>
      <w:r w:rsidR="008E14BF">
        <w:t xml:space="preserve">, </w:t>
      </w:r>
      <w:r w:rsidR="008E14BF">
        <w:t>n=7-8/group.</w:t>
      </w:r>
    </w:p>
    <w:p w14:paraId="4AB139E0" w14:textId="0C061FFE" w:rsidR="003B38E5" w:rsidRDefault="003B38E5"/>
    <w:p w14:paraId="6206100A" w14:textId="315D4A0D" w:rsidR="003B38E5" w:rsidRDefault="003B38E5">
      <w:r w:rsidRPr="003B38E5">
        <w:rPr>
          <w:b/>
        </w:rPr>
        <w:t>Figure 4: Ablation of GDF15 causes increased fat accretion and energy intake on a ketogenic diet.</w:t>
      </w:r>
      <w:r>
        <w:t xml:space="preserve">  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76ED"/>
    <w:rsid w:val="003B38E5"/>
    <w:rsid w:val="003B560C"/>
    <w:rsid w:val="003C3D65"/>
    <w:rsid w:val="003E4C58"/>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E5470"/>
    <w:rsid w:val="00AF42BC"/>
    <w:rsid w:val="00AF6D0B"/>
    <w:rsid w:val="00B04431"/>
    <w:rsid w:val="00B13BA1"/>
    <w:rsid w:val="00B15357"/>
    <w:rsid w:val="00B3215F"/>
    <w:rsid w:val="00B514CE"/>
    <w:rsid w:val="00B551EF"/>
    <w:rsid w:val="00B553F4"/>
    <w:rsid w:val="00B55A26"/>
    <w:rsid w:val="00BD701D"/>
    <w:rsid w:val="00BD7FD9"/>
    <w:rsid w:val="00BF1CFD"/>
    <w:rsid w:val="00BF4C02"/>
    <w:rsid w:val="00C1772E"/>
    <w:rsid w:val="00C3736A"/>
    <w:rsid w:val="00C57D5F"/>
    <w:rsid w:val="00C7011B"/>
    <w:rsid w:val="00C70284"/>
    <w:rsid w:val="00CA1206"/>
    <w:rsid w:val="00CC4A50"/>
    <w:rsid w:val="00CC716A"/>
    <w:rsid w:val="00CF2D6D"/>
    <w:rsid w:val="00CF6625"/>
    <w:rsid w:val="00D06B47"/>
    <w:rsid w:val="00D17276"/>
    <w:rsid w:val="00D23940"/>
    <w:rsid w:val="00D36726"/>
    <w:rsid w:val="00D60CFE"/>
    <w:rsid w:val="00D74A03"/>
    <w:rsid w:val="00D957CE"/>
    <w:rsid w:val="00DA6600"/>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C0552-5AC2-5141-8553-CFA16FF0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24025</Words>
  <Characters>136946</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105</cp:revision>
  <dcterms:created xsi:type="dcterms:W3CDTF">2020-02-05T19:13:00Z</dcterms:created>
  <dcterms:modified xsi:type="dcterms:W3CDTF">2020-04-06T18:20:00Z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