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r>
        <w:rPr>
          <w:rFonts w:eastAsia="Times New Roman"/>
          <w:shd w:val="clear" w:color="auto" w:fill="FFFFFF"/>
        </w:rPr>
        <w:t xml:space="preserve"> and Diets</w:t>
      </w:r>
    </w:p>
    <w:p w14:paraId="379C2929" w14:textId="77777777" w:rsidR="00D17276" w:rsidRPr="00D17276" w:rsidRDefault="00D17276" w:rsidP="00D17276"/>
    <w:p w14:paraId="57EF9CE2" w14:textId="0D5A66C6"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Tg</w:t>
      </w:r>
      <w:proofErr w:type="spellEnd"/>
      <w:r w:rsidR="006822DD" w:rsidRPr="006822DD">
        <w:rPr>
          <w:vertAlign w:val="superscript"/>
        </w:rPr>
        <w:t>/+</w:t>
      </w:r>
      <w:r w:rsidR="006822DD">
        <w:t xml:space="preserve">.  More details about these mice can be found in </w:t>
      </w:r>
      <w:r w:rsidR="006822DD">
        <w:fldChar w:fldCharType="begin" w:fldLock="1"/>
      </w:r>
      <w:r w:rsidR="00A57DC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2E9E8AF2" w:rsidR="00BF1CFD" w:rsidRDefault="00BF1CFD" w:rsidP="00BF1CFD">
      <w:pPr>
        <w:pStyle w:val="Heading2"/>
      </w:pPr>
      <w:r>
        <w:lastRenderedPageBreak/>
        <w:t>Food Preference Test</w:t>
      </w:r>
    </w:p>
    <w:p w14:paraId="13453471" w14:textId="77777777" w:rsidR="00E3687A" w:rsidRPr="00E3687A" w:rsidRDefault="00E3687A" w:rsidP="00E3687A"/>
    <w:p w14:paraId="0A27BE50" w14:textId="7534E84E" w:rsidR="00E3687A" w:rsidRPr="00E3687A" w:rsidRDefault="00E3687A" w:rsidP="00E3687A">
      <w:r w:rsidRPr="00E3687A">
        <w:t xml:space="preserve">At </w:t>
      </w:r>
      <w:r>
        <w:t>nine</w:t>
      </w:r>
      <w:r w:rsidRPr="00E3687A">
        <w:t xml:space="preserve"> weeks of age, mice were singly-housed</w:t>
      </w:r>
      <w:r>
        <w:t xml:space="preserve"> for one week to </w:t>
      </w:r>
      <w:proofErr w:type="spellStart"/>
      <w:r>
        <w:t>acclimitize</w:t>
      </w:r>
      <w:proofErr w:type="spellEnd"/>
      <w:r w:rsidRPr="00E3687A">
        <w:t xml:space="preserve">. Mice were given </w:t>
      </w:r>
      <w:r w:rsidRPr="00E3687A">
        <w:rPr>
          <w:i/>
        </w:rPr>
        <w:t>ad libitum</w:t>
      </w:r>
      <w:r w:rsidRPr="00E3687A">
        <w:t xml:space="preserve"> access to two diets delivered in identical for 4 </w:t>
      </w:r>
      <w:r>
        <w:t>-</w:t>
      </w:r>
      <w:r w:rsidRPr="00E3687A">
        <w:t xml:space="preserve"> 5 days</w:t>
      </w:r>
      <w:r>
        <w:t xml:space="preserve"> in jars with custom lids to avoid spillage</w:t>
      </w:r>
      <w:r w:rsidRPr="00E3687A">
        <w:t xml:space="preserve">.  On day two of the experiment, if food was found in cage bedding, data was discarded. The </w:t>
      </w:r>
      <w:r>
        <w:t xml:space="preserve">physical </w:t>
      </w:r>
      <w:r w:rsidRPr="00E3687A">
        <w:t>position of each diet feeder was switched at least once during the experiment. </w:t>
      </w:r>
      <w:r>
        <w:t xml:space="preserve">  Data are presented as relative calories consumed from each jar over each period.</w:t>
      </w:r>
    </w:p>
    <w:p w14:paraId="31BCC274" w14:textId="77777777" w:rsidR="00E3687A" w:rsidRPr="00E3687A" w:rsidRDefault="00E3687A" w:rsidP="00E3687A"/>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1260AF25" w14:textId="3F158DB7" w:rsidR="00FE24FF" w:rsidRPr="00FE24FF" w:rsidRDefault="00425D66" w:rsidP="00FE24FF">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3A42B59"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A57DC9">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42796E4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A57DC9">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(19)","plainTextFormattedCitation":"(19)","previouslyFormattedCitation":"(19)"},"properties":{"noteIndex":0},"schema":"https://github.com/citation-style-language/schema/raw/master/csl-citation.json"}</w:instrText>
      </w:r>
      <w:r>
        <w:fldChar w:fldCharType="separate"/>
      </w:r>
      <w:r w:rsidR="00A57DC9" w:rsidRPr="00A57DC9">
        <w:rPr>
          <w:noProof/>
        </w:rPr>
        <w:t>(19)</w:t>
      </w:r>
      <w:r>
        <w:fldChar w:fldCharType="end"/>
      </w:r>
      <w:r>
        <w:t xml:space="preserve">.  </w:t>
      </w:r>
      <w:r w:rsidR="00B13BA1">
        <w:t>For longitudinal measurements</w:t>
      </w:r>
      <w:r w:rsidR="0069797E">
        <w:t xml:space="preserve">, </w:t>
      </w:r>
      <w:r w:rsidR="00B13BA1">
        <w:t xml:space="preserve"> mixed linear models were constructed</w:t>
      </w:r>
      <w:r w:rsidR="00F83986">
        <w:t xml:space="preserve"> with random intercepts</w:t>
      </w:r>
      <w:r w:rsidR="0069797E">
        <w:t xml:space="preserve"> starting at the diet change.</w:t>
      </w:r>
      <w:r w:rsidR="00B13BA1">
        <w:t xml:space="preserve">, </w:t>
      </w:r>
      <w:r w:rsidR="0069797E">
        <w:t>Significance was determined</w:t>
      </w:r>
      <w:r w:rsidR="00B13BA1">
        <w:t xml:space="preserve"> via Chi-squared tests</w:t>
      </w:r>
      <w:r w:rsidR="008231F1">
        <w:t xml:space="preserve"> between models with or without </w:t>
      </w:r>
      <w:r w:rsidR="008231F1">
        <w:lastRenderedPageBreak/>
        <w:t>the genotype or diet terms</w:t>
      </w:r>
      <w:r w:rsidR="002307F9">
        <w:t xml:space="preserve"> using the lme4 package version 1.1-21 </w:t>
      </w:r>
      <w:r w:rsidR="002307F9">
        <w:fldChar w:fldCharType="begin" w:fldLock="1"/>
      </w:r>
      <w:r w:rsidR="002307F9">
        <w:instrText>ADDIN CSL_CITATION {"citationItems":[{"id":"ITEM-1","itemData":{"DOI":"10.1177/009286150103500418","ISBN":"3900051070","ISSN":"0092-8615","abstract":"lme4: Mixed-e</w:instrText>
      </w:r>
      <w:r w:rsidR="002307F9">
        <w:rPr>
          <w:rFonts w:ascii="Cambria Math" w:hAnsi="Cambria Math" w:cs="Cambria Math"/>
        </w:rPr>
        <w:instrText>ﬀ</w:instrText>
      </w:r>
      <w:r w:rsidR="002307F9">
        <w:instrText>ects modeling with R","author":[{"dropping-particle":"","family":"Bates","given":"Douglas M","non-dropping-particle":"","parse-names":false,"suffix":""},{"dropping-particle":"","family":"Maechler","given":"Martin","non-dropping-particle":"","parse-names":false,"suffix":""},{"dropping-particle":"","family":"Bolker","given":"Ben","non-dropping-particle":"","parse-names":false,"suffix":""},{"dropping-particle":"","family":"Walker","given":"Steve","non-dropping-particle":"","parse-names":false,"suffix":""}],"container-title":"Journal of Statistical Software","id":"ITEM-1","issued":{"date-parts":[["2015"]]},"page":"1-48","title":"Fitting linear mixed-effects models using lme4","type":"article-journal","volume":"67"},"uris":["http://www.mendeley.com/documents/?uuid=73581e37-c28b-4bd9-9dfd-e998f5174ad8"]}],"mendeley":{"formattedCitation":"(20)","plainTextFormattedCitation":"(20)"},"properties":{"noteIndex":0},"schema":"https://github.com/citation-style-language/schema/raw/master/csl-citation.json"}</w:instrText>
      </w:r>
      <w:r w:rsidR="002307F9">
        <w:fldChar w:fldCharType="separate"/>
      </w:r>
      <w:r w:rsidR="002307F9" w:rsidRPr="002307F9">
        <w:rPr>
          <w:noProof/>
        </w:rPr>
        <w:t>(20)</w:t>
      </w:r>
      <w:r w:rsidR="002307F9">
        <w:fldChar w:fldCharType="end"/>
      </w:r>
      <w:r w:rsidR="00B13BA1">
        <w:t>.</w:t>
      </w:r>
      <w:r>
        <w:t xml:space="preserve">  </w:t>
      </w:r>
      <w:r w:rsidR="00B551EF">
        <w:t xml:space="preserve">For experiments using both sexes, a modifying effect of sex was tested for all outcomes and reported where significant.  </w:t>
      </w:r>
      <w:r>
        <w:t xml:space="preserve">All raw data and analysis scripts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0C087682" w:rsidR="001A281A" w:rsidRPr="00A57DC9" w:rsidRDefault="00B04431" w:rsidP="009A702B">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2307F9">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(17,21,22)","plainTextFormattedCitation":"(17,21,22)","previouslyFormattedCitation":"(17,20,21)"},"properties":{"noteIndex":0},"schema":"https://github.com/citation-style-language/schema/raw/master/csl-citation.json"}</w:instrText>
      </w:r>
      <w:r>
        <w:fldChar w:fldCharType="separate"/>
      </w:r>
      <w:r w:rsidR="002307F9" w:rsidRPr="002307F9">
        <w:rPr>
          <w:noProof/>
        </w:rPr>
        <w:t>(17,21,22)</w:t>
      </w:r>
      <w:r>
        <w:fldChar w:fldCharType="end"/>
      </w:r>
      <w:r>
        <w:t xml:space="preserve">.  To identify potential factors secreted from muscle that may drive changes in systemic physiology we used transcriptomic data filtered to identify </w:t>
      </w:r>
      <w:r w:rsidR="00215F72">
        <w:t>putatively secreted proteins</w:t>
      </w:r>
      <w:r w:rsidR="00A57DC9">
        <w:t xml:space="preserve"> based on the Human Protein Atlas annotated as secreted in blood </w:t>
      </w:r>
      <w:r w:rsidR="00A57DC9">
        <w:fldChar w:fldCharType="begin" w:fldLock="1"/>
      </w:r>
      <w:r w:rsidR="002307F9">
        <w:instrText>ADDIN CSL_CITATION {"citationItems":[{"id":"ITEM-1","itemData":{"DOI":"10.1126/science.1260419","ISSN":"10959203","PMID":"25613900","abstract":"Resolving the molecular details of proteome variation in the different tissues and organs of the human body will greatly increase our knowledge of human biology and disease. Here, we present a map of the human tissue proteome based on an integrated omics approach that involves quantitative transcriptomics at the tissue and organ level, combined with tissue microarray-based immunohistochemistry, to achieve spatial localization of proteins down to the single-cell level. Our tissue-based analysis detected more than 90% of the putative protein-coding genes.We used this approach to explore the human secretome, the membrane proteome, the druggable proteome, the cancer proteome, and the metabolic functions in 32 different tissues and organs. All the data are integrated in an interactive Web-based database that allows exploration of individual proteins, as well as navigation of global expression patterns, in all major tissues and organs in the human body.","author":[{"dropping-particle":"","family":"Uhlén","given":"Mathias","non-dropping-particle":"","parse-names":false,"suffix":""},{"dropping-particle":"","family":"Fagerberg","given":"Linn","non-dropping-particle":"","parse-names":false,"suffix":""},{"dropping-particle":"","family":"Hallström","given":"Bjö M.","non-dropping-particle":"","parse-names":false,"suffix":""},{"dropping-particle":"","family":"Lindskog","given":"Cecilia","non-dropping-particle":"","parse-names":false,"suffix":""},{"dropping-particle":"","family":"Oksvold","given":"Per","non-dropping-particle":"","parse-names":false,"suffix":""},{"dropping-particle":"","family":"Mardinoglu","given":"Adil","non-dropping-particle":"","parse-names":false,"suffix":""},{"dropping-particle":"","family":"Sivertsson","given":"Åsa","non-dropping-particle":"","parse-names":false,"suffix":""},{"dropping-particle":"","family":"Kampf","given":"Caroline","non-dropping-particle":"","parse-names":false,"suffix":""},{"dropping-particle":"","family":"Sjöstedt","given":"Evelina","non-dropping-particle":"","parse-names":false,"suffix":""},{"dropping-particle":"","family":"Asplund","given":"Anna","non-dropping-particle":"","parse-names":false,"suffix":""},{"dropping-particle":"","family":"Olsson","given":"Ing Marie","non-dropping-particle":"","parse-names":false,"suffix":""},{"dropping-particle":"","family":"Edlund","given":"Karolina","non-dropping-particle":"","parse-names":false,"suffix":""},{"dropping-particle":"","family":"Lundberg","given":"Emma","non-dropping-particle":"","parse-names":false,"suffix":""},{"dropping-particle":"","family":"Navani","given":"Sanjay","non-dropping-particle":"","parse-names":false,"suffix":""},{"dropping-particle":"","family":"Szigyarto","given":"Cristina Al Khalili","non-dropping-particle":"","parse-names":false,"suffix":""},{"dropping-particle":"","family":"Odeberg","given":"Jacob","non-dropping-particle":"","parse-names":false,"suffix":""},{"dropping-particle":"","family":"Djureinovic","given":"Dijana","non-dropping-particle":"","parse-names":false,"suffix":""},{"dropping-particle":"","family":"Takanen","given":"Jenny Ottosson","non-dropping-particle":"","parse-names":false,"suffix":""},{"dropping-particle":"","family":"Hober","given":"Sophia","non-dropping-particle":"","parse-names":false,"suffix":""},{"dropping-particle":"","family":"Alm","given":"Tove","non-dropping-particle":"","parse-names":false,"suffix":""},{"dropping-particle":"","family":"Edqvist","given":"Per Henrik","non-dropping-particle":"","parse-names":false,"suffix":""},{"dropping-particle":"","family":"Berling","given":"Holger","non-dropping-particle":"","parse-names":false,"suffix":""},{"dropping-particle":"","family":"Tegel","given":"Hanna","non-dropping-particle":"","parse-names":false,"suffix":""},{"dropping-particle":"","family":"Mulder","given":"Jan","non-dropping-particle":"","parse-names":false,"suffix":""},{"dropping-particle":"","family":"Rockberg","given":"Johan","non-dropping-particle":"","parse-names":false,"suffix":""},{"dropping-particle":"","family":"Nilsson","given":"Peter","non-dropping-particle":"","parse-names":false,"suffix":""},{"dropping-particle":"","family":"Schwenk","given":"Jochen M.","non-dropping-particle":"","parse-names":false,"suffix":""},{"dropping-particle":"","family":"Hamsten","given":"Marica","non-dropping-particle":"","parse-names":false,"suffix":""},{"dropping-particle":"","family":"Feilitzen","given":"Kalle","non-dropping-particle":"Von","parse-names":false,"suffix":""},{"dropping-particle":"","family":"Forsberg","given":"Mattias","non-dropping-particle":"","parse-names":false,"suffix":""},{"dropping-particle":"","family":"Persson","given":"Lukas","non-dropping-particle":"","parse-names":false,"suffix":""},{"dropping-particle":"","family":"Johansson","given":"Fredric","non-dropping-particle":"","parse-names":false,"suffix":""},{"dropping-particle":"","family":"Zwahlen","given":"Martin","non-dropping-particle":"","parse-names":false,"suffix":""},{"dropping-particle":"","family":"Heijne","given":"Gunnar","non-dropping-particle":"Von","parse-names":false,"suffix":""},{"dropping-particle":"","family":"Nielsen","given":"Jens","non-dropping-particle":"","parse-names":false,"suffix":""},{"dropping-particle":"","family":"Pontén","given":"Fredrik","non-dropping-particle":"","parse-names":false,"suffix":""}],"container-title":"Science","id":"ITEM-1","issue":"6220","issued":{"date-parts":[["2015"]]},"title":"Tissue-based map of the human proteome","type":"article-journal","volume":"347"},"uris":["http://www.mendeley.com/documents/?uuid=15fc4c6e-24d4-4950-b73d-a40c2d4bc09e"]}],"mendeley":{"formattedCitation":"(23)","plainTextFormattedCitation":"(23)","previouslyFormattedCitation":"(22)"},"properties":{"noteIndex":0},"schema":"https://github.com/citation-style-language/schema/raw/master/csl-citation.json"}</w:instrText>
      </w:r>
      <w:r w:rsidR="00A57DC9">
        <w:fldChar w:fldCharType="separate"/>
      </w:r>
      <w:r w:rsidR="002307F9" w:rsidRPr="002307F9">
        <w:rPr>
          <w:noProof/>
        </w:rPr>
        <w:t>(23)</w:t>
      </w:r>
      <w:r w:rsidR="00A57DC9">
        <w:fldChar w:fldCharType="end"/>
      </w:r>
      <w:r w:rsidR="00215F72">
        <w:t xml:space="preserve">.  </w:t>
      </w:r>
      <w:r w:rsidR="00A57DC9">
        <w:t>After converting to mouse identifiers, t</w:t>
      </w:r>
      <w:r w:rsidR="00215F72">
        <w:t xml:space="preserve">his </w:t>
      </w:r>
      <w:r w:rsidR="00A57DC9">
        <w:t>nominated</w:t>
      </w:r>
      <w:r w:rsidR="00215F72">
        <w:t xml:space="preserve"> </w:t>
      </w:r>
      <w:r w:rsidR="00A57DC9" w:rsidRPr="00A57DC9">
        <w:t>1780</w:t>
      </w:r>
      <w:r w:rsidR="00A57DC9">
        <w:t xml:space="preserve"> mouse genes with secreted</w:t>
      </w:r>
      <w:r w:rsidR="00215F72">
        <w:t xml:space="preserve"> </w:t>
      </w:r>
      <w:r w:rsidR="00A57DC9">
        <w:t>peptides</w:t>
      </w:r>
      <w:r w:rsidR="00215F72">
        <w:t xml:space="preserve">, of which </w:t>
      </w:r>
      <w:r w:rsidR="00A57DC9">
        <w:t>116</w:t>
      </w:r>
      <w:r w:rsidR="00215F72">
        <w:t xml:space="preserve">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w:t>
      </w:r>
      <w:r w:rsidR="00A57DC9">
        <w:t>T</w:t>
      </w:r>
      <w:r w:rsidR="00352A61">
        <w:t xml:space="preserve">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57DC9">
        <w:rPr>
          <w:rFonts w:eastAsia="Times New Roman" w:cs="Times New Roman"/>
          <w:color w:val="000000" w:themeColor="text1"/>
          <w:shd w:val="clear" w:color="auto" w:fill="FFFFFF"/>
        </w:rPr>
        <w:t>To test if this</w:t>
      </w:r>
      <w:r w:rsidR="00A57DC9">
        <w:rPr>
          <w:rFonts w:eastAsia="Times New Roman" w:cs="Times New Roman"/>
          <w:color w:val="000000" w:themeColor="text1"/>
          <w:shd w:val="clear" w:color="auto" w:fill="FFFFFF"/>
        </w:rPr>
        <w:t xml:space="preserve"> induction of muscle GDF15 transcription</w:t>
      </w:r>
      <w:r w:rsidR="00AA75A4" w:rsidRPr="00A57DC9">
        <w:rPr>
          <w:rFonts w:eastAsia="Times New Roman" w:cs="Times New Roman"/>
          <w:color w:val="000000" w:themeColor="text1"/>
          <w:shd w:val="clear" w:color="auto" w:fill="FFFFFF"/>
        </w:rPr>
        <w:t xml:space="preserve"> had an impact on circulating levels we performed ELISA assays on the blood from muscle </w:t>
      </w:r>
      <w:r w:rsidR="00AA75A4" w:rsidRPr="00A57DC9">
        <w:rPr>
          <w:rFonts w:eastAsia="Times New Roman" w:cs="Times New Roman"/>
          <w:i/>
          <w:color w:val="000000" w:themeColor="text1"/>
          <w:shd w:val="clear" w:color="auto" w:fill="FFFFFF"/>
        </w:rPr>
        <w:t>Tsc1</w:t>
      </w:r>
      <w:r w:rsidR="00AA75A4" w:rsidRPr="00A57DC9">
        <w:rPr>
          <w:rFonts w:eastAsia="Times New Roman" w:cs="Times New Roman"/>
          <w:color w:val="000000" w:themeColor="text1"/>
          <w:shd w:val="clear" w:color="auto" w:fill="FFFFFF"/>
        </w:rPr>
        <w:t xml:space="preserve"> knockout animals and found </w:t>
      </w:r>
      <w:proofErr w:type="gramStart"/>
      <w:r w:rsidR="00AA75A4" w:rsidRPr="00A57DC9">
        <w:rPr>
          <w:rFonts w:eastAsia="Times New Roman" w:cs="Times New Roman"/>
          <w:color w:val="000000" w:themeColor="text1"/>
          <w:shd w:val="clear" w:color="auto" w:fill="FFFFFF"/>
        </w:rPr>
        <w:t>a</w:t>
      </w:r>
      <w:proofErr w:type="gramEnd"/>
      <w:r w:rsidR="00AA75A4" w:rsidRPr="00A57DC9">
        <w:rPr>
          <w:rFonts w:eastAsia="Times New Roman" w:cs="Times New Roman"/>
          <w:color w:val="000000" w:themeColor="text1"/>
          <w:shd w:val="clear" w:color="auto" w:fill="FFFFFF"/>
        </w:rPr>
        <w:t xml:space="preserve"> 8.7 fold increase in serum GDF15 (Figure 1B, p=4.7 x 10</w:t>
      </w:r>
      <w:r w:rsidR="00AA75A4" w:rsidRPr="00A57DC9">
        <w:rPr>
          <w:rFonts w:eastAsia="Times New Roman" w:cs="Times New Roman"/>
          <w:color w:val="000000" w:themeColor="text1"/>
          <w:shd w:val="clear" w:color="auto" w:fill="FFFFFF"/>
          <w:vertAlign w:val="superscript"/>
        </w:rPr>
        <w:t>-5</w:t>
      </w:r>
      <w:r w:rsidR="00AA75A4" w:rsidRPr="00A57DC9">
        <w:rPr>
          <w:rFonts w:eastAsia="Times New Roman" w:cs="Times New Roman"/>
          <w:color w:val="000000" w:themeColor="text1"/>
          <w:shd w:val="clear" w:color="auto" w:fill="FFFFFF"/>
        </w:rPr>
        <w:t>).</w:t>
      </w:r>
      <w:r w:rsidR="00A57DC9">
        <w:rPr>
          <w:rFonts w:eastAsia="Times New Roman" w:cs="Times New Roman"/>
          <w:color w:val="000000" w:themeColor="text1"/>
          <w:shd w:val="clear" w:color="auto" w:fill="FFFFFF"/>
        </w:rPr>
        <w:t xml:space="preserve">  This is consistent with </w:t>
      </w:r>
      <w:r w:rsidR="00B553F4">
        <w:rPr>
          <w:rFonts w:eastAsia="Times New Roman" w:cs="Times New Roman"/>
          <w:color w:val="000000" w:themeColor="text1"/>
          <w:shd w:val="clear" w:color="auto" w:fill="FFFFFF"/>
        </w:rPr>
        <w:t xml:space="preserve">a </w:t>
      </w:r>
      <w:r w:rsidR="00A57DC9">
        <w:rPr>
          <w:rFonts w:eastAsia="Times New Roman" w:cs="Times New Roman"/>
          <w:color w:val="000000" w:themeColor="text1"/>
          <w:shd w:val="clear" w:color="auto" w:fill="FFFFFF"/>
        </w:rPr>
        <w:t xml:space="preserve">prior report of muscle </w:t>
      </w:r>
      <w:r w:rsidR="00A57DC9">
        <w:rPr>
          <w:rFonts w:eastAsia="Times New Roman" w:cs="Times New Roman"/>
          <w:i/>
          <w:color w:val="000000" w:themeColor="text1"/>
          <w:shd w:val="clear" w:color="auto" w:fill="FFFFFF"/>
        </w:rPr>
        <w:t>Tsc1</w:t>
      </w:r>
      <w:r w:rsidR="00A57DC9">
        <w:rPr>
          <w:rFonts w:eastAsia="Times New Roman" w:cs="Times New Roman"/>
          <w:color w:val="000000" w:themeColor="text1"/>
          <w:shd w:val="clear" w:color="auto" w:fill="FFFFFF"/>
        </w:rPr>
        <w:t xml:space="preserve"> ablation causing induction of GDF15 in blood </w:t>
      </w:r>
      <w:r w:rsidR="00A57DC9">
        <w:rPr>
          <w:rFonts w:eastAsia="Times New Roman" w:cs="Times New Roman"/>
          <w:color w:val="000000" w:themeColor="text1"/>
          <w:shd w:val="clear" w:color="auto" w:fill="FFFFFF"/>
        </w:rPr>
        <w:fldChar w:fldCharType="begin" w:fldLock="1"/>
      </w:r>
      <w:r w:rsidR="002307F9">
        <w:rPr>
          <w:rFonts w:eastAsia="Times New Roman" w:cs="Times New Roman"/>
          <w:color w:val="000000" w:themeColor="text1"/>
          <w:shd w:val="clear" w:color="auto" w:fill="FFFFFF"/>
        </w:rPr>
        <w:instrText>ADDIN CSL_CITATION {"citationItems":[{"id":"ITEM-1","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Practice","id":"ITEM-1","issued":{"date-parts":[["2019"]]},"page":"107823","publisher":"Elsevier Ireland Ltd","title":"Serum growth differentiation factor 15 is associated with glucose metabolism in the third trimester in Chinese pregnant women","type":"article-journal"},"uris":["http://www.mendeley.com/documents/?uuid=fb1aeee1-6a59-43ef-9767-80a7b2b5ab0d"]}],"mendeley":{"formattedCitation":"(24)","plainTextFormattedCitation":"(24)","previouslyFormattedCitation":"(23)"},"properties":{"noteIndex":0},"schema":"https://github.com/citation-style-language/schema/raw/master/csl-citation.json"}</w:instrText>
      </w:r>
      <w:r w:rsidR="00A57DC9">
        <w:rPr>
          <w:rFonts w:eastAsia="Times New Roman" w:cs="Times New Roman"/>
          <w:color w:val="000000" w:themeColor="text1"/>
          <w:shd w:val="clear" w:color="auto" w:fill="FFFFFF"/>
        </w:rPr>
        <w:fldChar w:fldCharType="separate"/>
      </w:r>
      <w:r w:rsidR="002307F9" w:rsidRPr="002307F9">
        <w:rPr>
          <w:rFonts w:eastAsia="Times New Roman" w:cs="Times New Roman"/>
          <w:noProof/>
          <w:color w:val="000000" w:themeColor="text1"/>
          <w:shd w:val="clear" w:color="auto" w:fill="FFFFFF"/>
        </w:rPr>
        <w:t>(24)</w:t>
      </w:r>
      <w:r w:rsidR="00A57DC9">
        <w:rPr>
          <w:rFonts w:eastAsia="Times New Roman" w:cs="Times New Roman"/>
          <w:color w:val="000000" w:themeColor="text1"/>
          <w:shd w:val="clear" w:color="auto" w:fill="FFFFFF"/>
        </w:rPr>
        <w:fldChar w:fldCharType="end"/>
      </w:r>
      <w:r w:rsidR="00A57DC9">
        <w:rPr>
          <w:rFonts w:eastAsia="Times New Roman" w:cs="Times New Roman"/>
          <w:color w:val="000000" w:themeColor="text1"/>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2D248D14"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0A1F94">
        <w:t xml:space="preserve"> over the carbohydrate rich food</w:t>
      </w:r>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w:t>
      </w:r>
      <w:r w:rsidR="00EF1E1B">
        <w:t>diet</w:t>
      </w:r>
      <w:r w:rsidR="00FC680E">
        <w:t xml:space="preserve">.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6205887D" w:rsidR="003E4C58" w:rsidRDefault="00D23940" w:rsidP="003E4C58">
      <w:r>
        <w:lastRenderedPageBreak/>
        <w:t xml:space="preserve">Based on the inductions of GDF15 and </w:t>
      </w:r>
      <w:r w:rsidR="00E129E7">
        <w:t xml:space="preserve">the reduced </w:t>
      </w:r>
      <w:r>
        <w:t xml:space="preserve">preference towards diets high in fat, we </w:t>
      </w:r>
      <w:r w:rsidR="00980612">
        <w:t xml:space="preserve">next tested whether </w:t>
      </w:r>
      <w:r w:rsidR="00E129E7">
        <w:t xml:space="preserve">circulating </w:t>
      </w:r>
      <w:r w:rsidR="00980612">
        <w:t xml:space="preserve">GDF15 was affected when mice were placed on control or ketogenic diets.  We randomized cages of </w:t>
      </w:r>
      <w:r w:rsidR="00E129E7">
        <w:t xml:space="preserve">A/J </w:t>
      </w:r>
      <w:r w:rsidR="00980612">
        <w:t xml:space="preserve">mice starting at 10 weeks of age on to one or other of these diets and measured their body </w:t>
      </w:r>
      <w:r w:rsidR="00D06B47">
        <w:t xml:space="preserve">weights and </w:t>
      </w:r>
      <w:r w:rsidR="00980612">
        <w:t xml:space="preserve">composition for </w:t>
      </w:r>
      <w:r w:rsidR="00F56AE8">
        <w:t>three</w:t>
      </w:r>
      <w:r w:rsidR="00980612">
        <w:t xml:space="preserve"> weeks. </w:t>
      </w:r>
      <w:r w:rsidR="00CC716A">
        <w:t>We observed that the mice on the ketogenic diets had reduced body weight and lean mass</w:t>
      </w:r>
      <w:r w:rsidR="006A59A5">
        <w:t xml:space="preserve"> </w:t>
      </w:r>
      <w:r w:rsidR="002606BA">
        <w:t>over the first two weeks of diet that recovered by week three</w:t>
      </w:r>
      <w:r w:rsidR="00D06B47">
        <w:t xml:space="preserve"> </w:t>
      </w:r>
      <w:r w:rsidR="006A59A5">
        <w:t>(Figures 1A-</w:t>
      </w:r>
      <w:r w:rsidR="002606BA">
        <w:t>B</w:t>
      </w:r>
      <w:r w:rsidR="006A59A5">
        <w:t>)</w:t>
      </w:r>
      <w:r w:rsidR="00AE5470">
        <w:t xml:space="preserve">, and modest reductions in fat mass </w:t>
      </w:r>
      <w:r w:rsidR="00B13BA1">
        <w:t>(Figure 1C)</w:t>
      </w:r>
      <w:r w:rsidR="00C1772E">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11.8 and 10.4 fold induction of total ketone bodies in male and female mice respectively relative to control diets (p&lt;0.001, Figure 1</w:t>
      </w:r>
      <w:r w:rsidR="00126906">
        <w:t>D</w:t>
      </w:r>
      <w:bookmarkStart w:id="0" w:name="_GoBack"/>
      <w:bookmarkEnd w:id="0"/>
      <w:r w:rsidR="003E4C58">
        <w:t xml:space="preserve">).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B1932F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A57DC9">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(18)"},"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Discussion</w:t>
      </w:r>
    </w:p>
    <w:p w14:paraId="70C1B1AC" w14:textId="77777777" w:rsidR="0098529C" w:rsidRDefault="0098529C" w:rsidP="0098529C">
      <w:pPr>
        <w:rPr>
          <w:shd w:val="clear" w:color="auto" w:fill="FFFFFF"/>
        </w:rPr>
      </w:pPr>
    </w:p>
    <w:p w14:paraId="4AC08B4B" w14:textId="1A0D56D9"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2307F9">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(8,23–25)"},"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2307F9">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(26–30)"},"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549D603B"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2307F9">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(31–34)"},"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2307F9">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(12,35,36)"},"properties":{"noteIndex":0},"schema":"https://github.com/citation-style-language/schema/raw/master/csl-citation.json"}</w:instrText>
      </w:r>
      <w:r>
        <w:rPr>
          <w:shd w:val="clear" w:color="auto" w:fill="FFFFFF"/>
        </w:rPr>
        <w:fldChar w:fldCharType="separate"/>
      </w:r>
      <w:r w:rsidR="002307F9" w:rsidRPr="002307F9">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3F36B520" w14:textId="747C4153" w:rsidR="002307F9" w:rsidRPr="002307F9" w:rsidRDefault="0098529C" w:rsidP="002307F9">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2307F9" w:rsidRPr="002307F9">
        <w:rPr>
          <w:rFonts w:ascii="Century Schoolbook" w:hAnsi="Century Schoolbook" w:cs="Times New Roman"/>
          <w:noProof/>
        </w:rPr>
        <w:t xml:space="preserve">1. </w:t>
      </w:r>
      <w:r w:rsidR="002307F9" w:rsidRPr="002307F9">
        <w:rPr>
          <w:rFonts w:ascii="Century Schoolbook" w:hAnsi="Century Schoolbook" w:cs="Times New Roman"/>
          <w:noProof/>
        </w:rPr>
        <w:tab/>
      </w:r>
      <w:r w:rsidR="002307F9" w:rsidRPr="002307F9">
        <w:rPr>
          <w:rFonts w:ascii="Century Schoolbook" w:hAnsi="Century Schoolbook" w:cs="Times New Roman"/>
          <w:b/>
          <w:bCs/>
          <w:noProof/>
        </w:rPr>
        <w:t>International Food Information Council Foundation.</w:t>
      </w:r>
      <w:r w:rsidR="002307F9" w:rsidRPr="002307F9">
        <w:rPr>
          <w:rFonts w:ascii="Century Schoolbook" w:hAnsi="Century Schoolbook" w:cs="Times New Roman"/>
          <w:noProof/>
        </w:rPr>
        <w:t xml:space="preserve"> </w:t>
      </w:r>
      <w:r w:rsidR="002307F9" w:rsidRPr="002307F9">
        <w:rPr>
          <w:rFonts w:ascii="Century Schoolbook" w:hAnsi="Century Schoolbook" w:cs="Times New Roman"/>
          <w:i/>
          <w:iCs/>
          <w:noProof/>
        </w:rPr>
        <w:t>2018 Food and Health Survey</w:t>
      </w:r>
      <w:r w:rsidR="002307F9" w:rsidRPr="002307F9">
        <w:rPr>
          <w:rFonts w:ascii="Century Schoolbook" w:hAnsi="Century Schoolbook" w:cs="Times New Roman"/>
          <w:noProof/>
        </w:rPr>
        <w:t>.; 2018. doi:10.1002/ejoc.201200111.</w:t>
      </w:r>
    </w:p>
    <w:p w14:paraId="30CF581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 </w:t>
      </w:r>
      <w:r w:rsidRPr="002307F9">
        <w:rPr>
          <w:rFonts w:ascii="Century Schoolbook" w:hAnsi="Century Schoolbook" w:cs="Times New Roman"/>
          <w:noProof/>
        </w:rPr>
        <w:tab/>
      </w:r>
      <w:r w:rsidRPr="002307F9">
        <w:rPr>
          <w:rFonts w:ascii="Century Schoolbook" w:hAnsi="Century Schoolbook" w:cs="Times New Roman"/>
          <w:b/>
          <w:bCs/>
          <w:noProof/>
        </w:rPr>
        <w:t>Meng Y, Bai H, Wang S, Li Z, Wang Q, Chen L.</w:t>
      </w:r>
      <w:r w:rsidRPr="002307F9">
        <w:rPr>
          <w:rFonts w:ascii="Century Schoolbook" w:hAnsi="Century Schoolbook" w:cs="Times New Roman"/>
          <w:noProof/>
        </w:rPr>
        <w:t xml:space="preserve"> Efficacy of low carbohydrate diet for type 2 diabetes mellitus management: A systematic review and meta-analysis of randomized controlled trials.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2017;131:124–131.</w:t>
      </w:r>
    </w:p>
    <w:p w14:paraId="1D72CDBC"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 </w:t>
      </w:r>
      <w:r w:rsidRPr="002307F9">
        <w:rPr>
          <w:rFonts w:ascii="Century Schoolbook" w:hAnsi="Century Schoolbook" w:cs="Times New Roman"/>
          <w:noProof/>
        </w:rPr>
        <w:tab/>
      </w:r>
      <w:r w:rsidRPr="002307F9">
        <w:rPr>
          <w:rFonts w:ascii="Century Schoolbook" w:hAnsi="Century Schoolbook" w:cs="Times New Roman"/>
          <w:b/>
          <w:bCs/>
          <w:noProof/>
        </w:rPr>
        <w:t>Huntriss R, Campbell M, Bedwell C.</w:t>
      </w:r>
      <w:r w:rsidRPr="002307F9">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2307F9">
        <w:rPr>
          <w:rFonts w:ascii="Century Schoolbook" w:hAnsi="Century Schoolbook" w:cs="Times New Roman"/>
          <w:i/>
          <w:iCs/>
          <w:noProof/>
        </w:rPr>
        <w:t>Eur. J. Clin. Nutr.</w:t>
      </w:r>
      <w:r w:rsidRPr="002307F9">
        <w:rPr>
          <w:rFonts w:ascii="Century Schoolbook" w:hAnsi="Century Schoolbook" w:cs="Times New Roman"/>
          <w:noProof/>
        </w:rPr>
        <w:t xml:space="preserve"> 2018;72(3):311–325.</w:t>
      </w:r>
    </w:p>
    <w:p w14:paraId="584B704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4. </w:t>
      </w:r>
      <w:r w:rsidRPr="002307F9">
        <w:rPr>
          <w:rFonts w:ascii="Century Schoolbook" w:hAnsi="Century Schoolbook" w:cs="Times New Roman"/>
          <w:noProof/>
        </w:rPr>
        <w:tab/>
      </w:r>
      <w:r w:rsidRPr="002307F9">
        <w:rPr>
          <w:rFonts w:ascii="Century Schoolbook" w:hAnsi="Century Schoolbook" w:cs="Times New Roman"/>
          <w:b/>
          <w:bCs/>
          <w:noProof/>
        </w:rPr>
        <w:t>Hall KD, Chung ST.</w:t>
      </w:r>
      <w:r w:rsidRPr="002307F9">
        <w:rPr>
          <w:rFonts w:ascii="Century Schoolbook" w:hAnsi="Century Schoolbook" w:cs="Times New Roman"/>
          <w:noProof/>
        </w:rPr>
        <w:t xml:space="preserve"> Low-carbohydrate diets for the treatment of obesity and type 2 diabetes. </w:t>
      </w:r>
      <w:r w:rsidRPr="002307F9">
        <w:rPr>
          <w:rFonts w:ascii="Century Schoolbook" w:hAnsi="Century Schoolbook" w:cs="Times New Roman"/>
          <w:i/>
          <w:iCs/>
          <w:noProof/>
        </w:rPr>
        <w:t>Curr. Opin. Clin. Nutr. Metab. Care</w:t>
      </w:r>
      <w:r w:rsidRPr="002307F9">
        <w:rPr>
          <w:rFonts w:ascii="Century Schoolbook" w:hAnsi="Century Schoolbook" w:cs="Times New Roman"/>
          <w:noProof/>
        </w:rPr>
        <w:t xml:space="preserve"> 2018;21(4):308–312.</w:t>
      </w:r>
    </w:p>
    <w:p w14:paraId="61200C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5. </w:t>
      </w:r>
      <w:r w:rsidRPr="002307F9">
        <w:rPr>
          <w:rFonts w:ascii="Century Schoolbook" w:hAnsi="Century Schoolbook" w:cs="Times New Roman"/>
          <w:noProof/>
        </w:rPr>
        <w:tab/>
      </w:r>
      <w:r w:rsidRPr="002307F9">
        <w:rPr>
          <w:rFonts w:ascii="Century Schoolbook" w:hAnsi="Century Schoolbook" w:cs="Times New Roman"/>
          <w:b/>
          <w:bCs/>
          <w:noProof/>
        </w:rPr>
        <w:t>Moberg M, Apró W, Ekblom B, van Hall G, Holmberg H-C, Blomstrand E.</w:t>
      </w:r>
      <w:r w:rsidRPr="002307F9">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2307F9">
        <w:rPr>
          <w:rFonts w:ascii="Century Schoolbook" w:hAnsi="Century Schoolbook" w:cs="Times New Roman"/>
          <w:i/>
          <w:iCs/>
          <w:noProof/>
        </w:rPr>
        <w:t>Am. J. Physiol. Cell Physiol.</w:t>
      </w:r>
      <w:r w:rsidRPr="002307F9">
        <w:rPr>
          <w:rFonts w:ascii="Century Schoolbook" w:hAnsi="Century Schoolbook" w:cs="Times New Roman"/>
          <w:noProof/>
        </w:rPr>
        <w:t xml:space="preserve"> 2016:ajpcell.00374.2015.</w:t>
      </w:r>
    </w:p>
    <w:p w14:paraId="259F50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6. </w:t>
      </w:r>
      <w:r w:rsidRPr="002307F9">
        <w:rPr>
          <w:rFonts w:ascii="Century Schoolbook" w:hAnsi="Century Schoolbook" w:cs="Times New Roman"/>
          <w:noProof/>
        </w:rPr>
        <w:tab/>
      </w:r>
      <w:r w:rsidRPr="002307F9">
        <w:rPr>
          <w:rFonts w:ascii="Century Schoolbook" w:hAnsi="Century Schoolbook" w:cs="Times New Roman"/>
          <w:b/>
          <w:bCs/>
          <w:noProof/>
        </w:rPr>
        <w:t>Ebbeling CB, Feldman HA, Klein GL, Wong JMW, Bielak L, Steltz SK, Luoto PK, Wolfe RR, Wong WW, Ludwig DS.</w:t>
      </w:r>
      <w:r w:rsidRPr="002307F9">
        <w:rPr>
          <w:rFonts w:ascii="Century Schoolbook" w:hAnsi="Century Schoolbook" w:cs="Times New Roman"/>
          <w:noProof/>
        </w:rPr>
        <w:t xml:space="preserve"> Effects of a low carbohydrate diet on energy expenditure during weight loss maintenance: randomized trial. </w:t>
      </w:r>
      <w:r w:rsidRPr="002307F9">
        <w:rPr>
          <w:rFonts w:ascii="Century Schoolbook" w:hAnsi="Century Schoolbook" w:cs="Times New Roman"/>
          <w:i/>
          <w:iCs/>
          <w:noProof/>
        </w:rPr>
        <w:t>Bmj</w:t>
      </w:r>
      <w:r w:rsidRPr="002307F9">
        <w:rPr>
          <w:rFonts w:ascii="Century Schoolbook" w:hAnsi="Century Schoolbook" w:cs="Times New Roman"/>
          <w:noProof/>
        </w:rPr>
        <w:t xml:space="preserve"> 2018;363:k4583.</w:t>
      </w:r>
    </w:p>
    <w:p w14:paraId="6BCD072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7. </w:t>
      </w:r>
      <w:r w:rsidRPr="002307F9">
        <w:rPr>
          <w:rFonts w:ascii="Century Schoolbook" w:hAnsi="Century Schoolbook" w:cs="Times New Roman"/>
          <w:noProof/>
        </w:rPr>
        <w:tab/>
      </w:r>
      <w:r w:rsidRPr="002307F9">
        <w:rPr>
          <w:rFonts w:ascii="Century Schoolbook" w:hAnsi="Century Schoolbook" w:cs="Times New Roman"/>
          <w:b/>
          <w:bCs/>
          <w:noProof/>
        </w:rPr>
        <w:t>Gibson AA, Seimon R V., Lee CMY, Ayre J, Franklin J, Markovic TP, Caterson ID, Sainsbury A.</w:t>
      </w:r>
      <w:r w:rsidRPr="002307F9">
        <w:rPr>
          <w:rFonts w:ascii="Century Schoolbook" w:hAnsi="Century Schoolbook" w:cs="Times New Roman"/>
          <w:noProof/>
        </w:rPr>
        <w:t xml:space="preserve"> Do ketogenic diets really suppress appetite? A systematic review and meta-analysis. </w:t>
      </w:r>
      <w:r w:rsidRPr="002307F9">
        <w:rPr>
          <w:rFonts w:ascii="Century Schoolbook" w:hAnsi="Century Schoolbook" w:cs="Times New Roman"/>
          <w:i/>
          <w:iCs/>
          <w:noProof/>
        </w:rPr>
        <w:t>Obes. Rev.</w:t>
      </w:r>
      <w:r w:rsidRPr="002307F9">
        <w:rPr>
          <w:rFonts w:ascii="Century Schoolbook" w:hAnsi="Century Schoolbook" w:cs="Times New Roman"/>
          <w:noProof/>
        </w:rPr>
        <w:t xml:space="preserve"> 2015;16(1):64–76.</w:t>
      </w:r>
    </w:p>
    <w:p w14:paraId="33979C3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8. </w:t>
      </w:r>
      <w:r w:rsidRPr="002307F9">
        <w:rPr>
          <w:rFonts w:ascii="Century Schoolbook" w:hAnsi="Century Schoolbook" w:cs="Times New Roman"/>
          <w:noProof/>
        </w:rPr>
        <w:tab/>
      </w:r>
      <w:r w:rsidRPr="002307F9">
        <w:rPr>
          <w:rFonts w:ascii="Century Schoolbook" w:hAnsi="Century Schoolbook" w:cs="Times New Roman"/>
          <w:b/>
          <w:bCs/>
          <w:noProof/>
        </w:rPr>
        <w:t>Petry CJ, Ong KK, Burling KA, Barker P, Goodburn SF, Perry JRB, Acerini CL, Hughes IA, Painter RC, Afink GB, Dunger DB, O’Rahilly SP.</w:t>
      </w:r>
      <w:r w:rsidRPr="002307F9">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2307F9">
        <w:rPr>
          <w:rFonts w:ascii="Century Schoolbook" w:hAnsi="Century Schoolbook" w:cs="Times New Roman"/>
          <w:i/>
          <w:iCs/>
          <w:noProof/>
        </w:rPr>
        <w:t>Wellcome Open Res.</w:t>
      </w:r>
      <w:r w:rsidRPr="002307F9">
        <w:rPr>
          <w:rFonts w:ascii="Century Schoolbook" w:hAnsi="Century Schoolbook" w:cs="Times New Roman"/>
          <w:noProof/>
        </w:rPr>
        <w:t xml:space="preserve"> 2018;3(0):123.</w:t>
      </w:r>
    </w:p>
    <w:p w14:paraId="5A509D0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9. </w:t>
      </w:r>
      <w:r w:rsidRPr="002307F9">
        <w:rPr>
          <w:rFonts w:ascii="Century Schoolbook" w:hAnsi="Century Schoolbook" w:cs="Times New Roman"/>
          <w:noProof/>
        </w:rPr>
        <w:tab/>
      </w:r>
      <w:r w:rsidRPr="002307F9">
        <w:rPr>
          <w:rFonts w:ascii="Century Schoolbook" w:hAnsi="Century Schoolbook" w:cs="Times New Roman"/>
          <w:b/>
          <w:bCs/>
          <w:noProof/>
        </w:rPr>
        <w:t>Fejzo MS, Fasching P, Schneider M, Schwitulla J, Beckmann M, Schwenke E, MacGibbon K, Mullin P.</w:t>
      </w:r>
      <w:r w:rsidRPr="002307F9">
        <w:rPr>
          <w:rFonts w:ascii="Century Schoolbook" w:hAnsi="Century Schoolbook" w:cs="Times New Roman"/>
          <w:noProof/>
        </w:rPr>
        <w:t xml:space="preserve"> Analysis of GDF15 and IGFBP7 in Hyperemesis Gravidarum Support Causality. </w:t>
      </w:r>
      <w:r w:rsidRPr="002307F9">
        <w:rPr>
          <w:rFonts w:ascii="Century Schoolbook" w:hAnsi="Century Schoolbook" w:cs="Times New Roman"/>
          <w:i/>
          <w:iCs/>
          <w:noProof/>
        </w:rPr>
        <w:t>Geburtshilfe Frauenheilkd.</w:t>
      </w:r>
      <w:r w:rsidRPr="002307F9">
        <w:rPr>
          <w:rFonts w:ascii="Century Schoolbook" w:hAnsi="Century Schoolbook" w:cs="Times New Roman"/>
          <w:noProof/>
        </w:rPr>
        <w:t xml:space="preserve"> 2019:382–388.</w:t>
      </w:r>
    </w:p>
    <w:p w14:paraId="61A423F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10. </w:t>
      </w:r>
      <w:r w:rsidRPr="002307F9">
        <w:rPr>
          <w:rFonts w:ascii="Century Schoolbook" w:hAnsi="Century Schoolbook" w:cs="Times New Roman"/>
          <w:noProof/>
        </w:rPr>
        <w:tab/>
      </w:r>
      <w:r w:rsidRPr="002307F9">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2307F9">
        <w:rPr>
          <w:rFonts w:ascii="Century Schoolbook" w:hAnsi="Century Schoolbook" w:cs="Times New Roman"/>
          <w:noProof/>
        </w:rPr>
        <w:t xml:space="preserve"> Tumor-induced anorexia and weight loss are mediated by the TGF-β superfamily cytokine MIC-1.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2007;13(11):1333–1340.</w:t>
      </w:r>
    </w:p>
    <w:p w14:paraId="7104136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11. </w:t>
      </w:r>
      <w:r w:rsidRPr="002307F9">
        <w:rPr>
          <w:rFonts w:ascii="Century Schoolbook" w:hAnsi="Century Schoolbook" w:cs="Times New Roman"/>
          <w:noProof/>
        </w:rPr>
        <w:tab/>
      </w:r>
      <w:r w:rsidRPr="002307F9">
        <w:rPr>
          <w:rFonts w:ascii="Century Schoolbook" w:hAnsi="Century Schoolbook" w:cs="Times New Roman"/>
          <w:b/>
          <w:bCs/>
          <w:noProof/>
        </w:rPr>
        <w:t>Welsh JB, Sapinoso LM, Kern SG, Brown DA, Liu T, Bauskin AR, Ward RL, Hawkins NJ, Quinn DI, Russell PJ, Sutherland RL, Breit SN, Moskaluk CA, Frierson HF, Hampton GM.</w:t>
      </w:r>
      <w:r w:rsidRPr="002307F9">
        <w:rPr>
          <w:rFonts w:ascii="Century Schoolbook" w:hAnsi="Century Schoolbook" w:cs="Times New Roman"/>
          <w:noProof/>
        </w:rPr>
        <w:t xml:space="preserve"> Large-scale delineation of secreted protein biomarkers overexpressed in cancer tissue and serum. </w:t>
      </w:r>
      <w:r w:rsidRPr="002307F9">
        <w:rPr>
          <w:rFonts w:ascii="Century Schoolbook" w:hAnsi="Century Schoolbook" w:cs="Times New Roman"/>
          <w:i/>
          <w:iCs/>
          <w:noProof/>
        </w:rPr>
        <w:t>Proc. Natl. Acad. Sci.</w:t>
      </w:r>
      <w:r w:rsidRPr="002307F9">
        <w:rPr>
          <w:rFonts w:ascii="Century Schoolbook" w:hAnsi="Century Schoolbook" w:cs="Times New Roman"/>
          <w:noProof/>
        </w:rPr>
        <w:t xml:space="preserve"> 2003;100(6):3410–3415.</w:t>
      </w:r>
    </w:p>
    <w:p w14:paraId="4468D5A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lastRenderedPageBreak/>
        <w:t xml:space="preserve">12. </w:t>
      </w:r>
      <w:r w:rsidRPr="002307F9">
        <w:rPr>
          <w:rFonts w:ascii="Century Schoolbook" w:hAnsi="Century Schoolbook" w:cs="Times New Roman"/>
          <w:noProof/>
        </w:rPr>
        <w:tab/>
      </w:r>
      <w:r w:rsidRPr="002307F9">
        <w:rPr>
          <w:rFonts w:ascii="Century Schoolbook" w:hAnsi="Century Schoolbook" w:cs="Times New Roman"/>
          <w:b/>
          <w:bCs/>
          <w:noProof/>
        </w:rPr>
        <w:t>Frikke-Schmidt H, Hultman K, Galaske JW, Jørgensen SB, Myers MG, Seeley RJ.</w:t>
      </w:r>
      <w:r w:rsidRPr="002307F9">
        <w:rPr>
          <w:rFonts w:ascii="Century Schoolbook" w:hAnsi="Century Schoolbook" w:cs="Times New Roman"/>
          <w:noProof/>
        </w:rPr>
        <w:t xml:space="preserve"> GDF15 acts synergistically with liraglutide but is not necessary for the weight loss induced by bariatric surgery in mice.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2019;21(xxxx):13–21.</w:t>
      </w:r>
    </w:p>
    <w:p w14:paraId="04D9E22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13. </w:t>
      </w:r>
      <w:r w:rsidRPr="002307F9">
        <w:rPr>
          <w:rFonts w:ascii="Century Schoolbook" w:hAnsi="Century Schoolbook" w:cs="Times New Roman"/>
          <w:noProof/>
        </w:rPr>
        <w:tab/>
      </w:r>
      <w:r w:rsidRPr="002307F9">
        <w:rPr>
          <w:rFonts w:ascii="Century Schoolbook" w:hAnsi="Century Schoolbook" w:cs="Times New Roman"/>
          <w:b/>
          <w:bCs/>
          <w:noProof/>
        </w:rPr>
        <w:t>Zhang M, Sun W, Qian J, Tang Y.</w:t>
      </w:r>
      <w:r w:rsidRPr="002307F9">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2307F9">
        <w:rPr>
          <w:rFonts w:ascii="Century Schoolbook" w:hAnsi="Century Schoolbook" w:cs="Times New Roman"/>
          <w:i/>
          <w:iCs/>
          <w:noProof/>
        </w:rPr>
        <w:t>Redox Biol.</w:t>
      </w:r>
      <w:r w:rsidRPr="002307F9">
        <w:rPr>
          <w:rFonts w:ascii="Century Schoolbook" w:hAnsi="Century Schoolbook" w:cs="Times New Roman"/>
          <w:noProof/>
        </w:rPr>
        <w:t xml:space="preserve"> 2018;16(February):87–96.</w:t>
      </w:r>
    </w:p>
    <w:p w14:paraId="35C5D4A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14. </w:t>
      </w:r>
      <w:r w:rsidRPr="002307F9">
        <w:rPr>
          <w:rFonts w:ascii="Century Schoolbook" w:hAnsi="Century Schoolbook" w:cs="Times New Roman"/>
          <w:noProof/>
        </w:rPr>
        <w:tab/>
      </w:r>
      <w:r w:rsidRPr="002307F9">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2307F9">
        <w:rPr>
          <w:rFonts w:ascii="Century Schoolbook" w:hAnsi="Century Schoolbook" w:cs="Times New Roman"/>
          <w:noProof/>
        </w:rPr>
        <w:t xml:space="preserve"> GDF15 Provides an Endocrine Signal of Nutritional Stress in Mice and Humans. </w:t>
      </w:r>
      <w:r w:rsidRPr="002307F9">
        <w:rPr>
          <w:rFonts w:ascii="Century Schoolbook" w:hAnsi="Century Schoolbook" w:cs="Times New Roman"/>
          <w:i/>
          <w:iCs/>
          <w:noProof/>
        </w:rPr>
        <w:t>Cell Metab.</w:t>
      </w:r>
      <w:r w:rsidRPr="002307F9">
        <w:rPr>
          <w:rFonts w:ascii="Century Schoolbook" w:hAnsi="Century Schoolbook" w:cs="Times New Roman"/>
          <w:noProof/>
        </w:rPr>
        <w:t xml:space="preserve"> 2019;29(3):707-718.e8.</w:t>
      </w:r>
    </w:p>
    <w:p w14:paraId="017ACB8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15. </w:t>
      </w:r>
      <w:r w:rsidRPr="002307F9">
        <w:rPr>
          <w:rFonts w:ascii="Century Schoolbook" w:hAnsi="Century Schoolbook" w:cs="Times New Roman"/>
          <w:noProof/>
        </w:rPr>
        <w:tab/>
      </w:r>
      <w:r w:rsidRPr="002307F9">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2307F9">
        <w:rPr>
          <w:rFonts w:ascii="Century Schoolbook" w:hAnsi="Century Schoolbook" w:cs="Times New Roman"/>
          <w:noProof/>
        </w:rPr>
        <w:t xml:space="preserve"> Hepatic steatosis, inflammation, and ER stress in mice maintained long term on a very low-carbohydrate ketogenic diet. </w:t>
      </w:r>
      <w:r w:rsidRPr="002307F9">
        <w:rPr>
          <w:rFonts w:ascii="Century Schoolbook" w:hAnsi="Century Schoolbook" w:cs="Times New Roman"/>
          <w:i/>
          <w:iCs/>
          <w:noProof/>
        </w:rPr>
        <w:t>Am. J. Physiol. Liver Physiol.</w:t>
      </w:r>
      <w:r w:rsidRPr="002307F9">
        <w:rPr>
          <w:rFonts w:ascii="Century Schoolbook" w:hAnsi="Century Schoolbook" w:cs="Times New Roman"/>
          <w:noProof/>
        </w:rPr>
        <w:t xml:space="preserve"> 2011;300(6):G956–G967.</w:t>
      </w:r>
    </w:p>
    <w:p w14:paraId="5EDEC5D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16. </w:t>
      </w:r>
      <w:r w:rsidRPr="002307F9">
        <w:rPr>
          <w:rFonts w:ascii="Century Schoolbook" w:hAnsi="Century Schoolbook" w:cs="Times New Roman"/>
          <w:noProof/>
        </w:rPr>
        <w:tab/>
      </w:r>
      <w:r w:rsidRPr="002307F9">
        <w:rPr>
          <w:rFonts w:ascii="Century Schoolbook" w:hAnsi="Century Schoolbook" w:cs="Times New Roman"/>
          <w:b/>
          <w:bCs/>
          <w:noProof/>
        </w:rPr>
        <w:t>Douris N, Melman T, Pecherer JM, Pissios P, Flier JS, Cantley LC, Locasale JW, Maratos-Flier E.</w:t>
      </w:r>
      <w:r w:rsidRPr="002307F9">
        <w:rPr>
          <w:rFonts w:ascii="Century Schoolbook" w:hAnsi="Century Schoolbook" w:cs="Times New Roman"/>
          <w:noProof/>
        </w:rPr>
        <w:t xml:space="preserve"> Adaptive changes in amino acid metabolism permit normal longevity in mice consuming a low-carbohydrate ketogenic diet. </w:t>
      </w:r>
      <w:r w:rsidRPr="002307F9">
        <w:rPr>
          <w:rFonts w:ascii="Century Schoolbook" w:hAnsi="Century Schoolbook" w:cs="Times New Roman"/>
          <w:i/>
          <w:iCs/>
          <w:noProof/>
        </w:rPr>
        <w:t>Biochim. Biophys. Acta - Mol. Basis Dis.</w:t>
      </w:r>
      <w:r w:rsidRPr="002307F9">
        <w:rPr>
          <w:rFonts w:ascii="Century Schoolbook" w:hAnsi="Century Schoolbook" w:cs="Times New Roman"/>
          <w:noProof/>
        </w:rPr>
        <w:t xml:space="preserve"> 2015;1852(10):2056–2065.</w:t>
      </w:r>
    </w:p>
    <w:p w14:paraId="2359CEF6"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17. </w:t>
      </w:r>
      <w:r w:rsidRPr="002307F9">
        <w:rPr>
          <w:rFonts w:ascii="Century Schoolbook" w:hAnsi="Century Schoolbook" w:cs="Times New Roman"/>
          <w:noProof/>
        </w:rPr>
        <w:tab/>
      </w:r>
      <w:r w:rsidRPr="002307F9">
        <w:rPr>
          <w:rFonts w:ascii="Century Schoolbook" w:hAnsi="Century Schoolbook" w:cs="Times New Roman"/>
          <w:b/>
          <w:bCs/>
          <w:noProof/>
        </w:rPr>
        <w:t>Stephenson EJ, Redd JR, Snyder DS, Tran QT, Lu B, Peloquin MJ, Mulcahy MC, Harvey I, Fisher K, Han JC, Qi N, Saltiel AR, Bridges D.</w:t>
      </w:r>
      <w:r w:rsidRPr="002307F9">
        <w:rPr>
          <w:rFonts w:ascii="Century Schoolbook" w:hAnsi="Century Schoolbook" w:cs="Times New Roman"/>
          <w:noProof/>
        </w:rPr>
        <w:t xml:space="preserve"> Skeletal Muscle mTORC1 Activation Increases Energy Expenditure and Reduces Longevity in Mice. </w:t>
      </w:r>
      <w:r w:rsidRPr="002307F9">
        <w:rPr>
          <w:rFonts w:ascii="Century Schoolbook" w:hAnsi="Century Schoolbook" w:cs="Times New Roman"/>
          <w:i/>
          <w:iCs/>
          <w:noProof/>
        </w:rPr>
        <w:t>bioRxiv</w:t>
      </w:r>
      <w:r w:rsidRPr="002307F9">
        <w:rPr>
          <w:rFonts w:ascii="Century Schoolbook" w:hAnsi="Century Schoolbook" w:cs="Times New Roman"/>
          <w:noProof/>
        </w:rPr>
        <w:t xml:space="preserve"> 2019. doi:10.1101/720540.</w:t>
      </w:r>
    </w:p>
    <w:p w14:paraId="4765753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18. </w:t>
      </w:r>
      <w:r w:rsidRPr="002307F9">
        <w:rPr>
          <w:rFonts w:ascii="Century Schoolbook" w:hAnsi="Century Schoolbook" w:cs="Times New Roman"/>
          <w:noProof/>
        </w:rPr>
        <w:tab/>
      </w:r>
      <w:r w:rsidRPr="002307F9">
        <w:rPr>
          <w:rFonts w:ascii="Century Schoolbook" w:hAnsi="Century Schoolbook" w:cs="Times New Roman"/>
          <w:b/>
          <w:bCs/>
          <w:noProof/>
        </w:rPr>
        <w:t>Sengupta S, Peterson TR, Laplante M, Oh S, Sabatini DM.</w:t>
      </w:r>
      <w:r w:rsidRPr="002307F9">
        <w:rPr>
          <w:rFonts w:ascii="Century Schoolbook" w:hAnsi="Century Schoolbook" w:cs="Times New Roman"/>
          <w:noProof/>
        </w:rPr>
        <w:t xml:space="preserve"> MTORC1 controls fasting-induced ketogenesis and its modulation by ageing.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2010;468(7327):1100–1106.</w:t>
      </w:r>
    </w:p>
    <w:p w14:paraId="1A4F255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19. </w:t>
      </w:r>
      <w:r w:rsidRPr="002307F9">
        <w:rPr>
          <w:rFonts w:ascii="Century Schoolbook" w:hAnsi="Century Schoolbook" w:cs="Times New Roman"/>
          <w:noProof/>
        </w:rPr>
        <w:tab/>
      </w:r>
      <w:r w:rsidRPr="002307F9">
        <w:rPr>
          <w:rFonts w:ascii="Century Schoolbook" w:hAnsi="Century Schoolbook" w:cs="Times New Roman"/>
          <w:b/>
          <w:bCs/>
          <w:noProof/>
        </w:rPr>
        <w:t>R Core Team.</w:t>
      </w:r>
      <w:r w:rsidRPr="002307F9">
        <w:rPr>
          <w:rFonts w:ascii="Century Schoolbook" w:hAnsi="Century Schoolbook" w:cs="Times New Roman"/>
          <w:noProof/>
        </w:rPr>
        <w:t xml:space="preserve"> R: A Language and Environment for Statistical Computing. 2019.</w:t>
      </w:r>
    </w:p>
    <w:p w14:paraId="69572F79"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20. </w:t>
      </w:r>
      <w:r w:rsidRPr="002307F9">
        <w:rPr>
          <w:rFonts w:ascii="Century Schoolbook" w:hAnsi="Century Schoolbook" w:cs="Times New Roman"/>
          <w:noProof/>
        </w:rPr>
        <w:tab/>
      </w:r>
      <w:r w:rsidRPr="002307F9">
        <w:rPr>
          <w:rFonts w:ascii="Century Schoolbook" w:hAnsi="Century Schoolbook" w:cs="Times New Roman"/>
          <w:b/>
          <w:bCs/>
          <w:noProof/>
        </w:rPr>
        <w:t>Bates DM, Maechler M, Bolker B, Walker S.</w:t>
      </w:r>
      <w:r w:rsidRPr="002307F9">
        <w:rPr>
          <w:rFonts w:ascii="Century Schoolbook" w:hAnsi="Century Schoolbook" w:cs="Times New Roman"/>
          <w:noProof/>
        </w:rPr>
        <w:t xml:space="preserve"> Fitting linear mixed-effects models using lme4. </w:t>
      </w:r>
      <w:r w:rsidRPr="002307F9">
        <w:rPr>
          <w:rFonts w:ascii="Century Schoolbook" w:hAnsi="Century Schoolbook" w:cs="Times New Roman"/>
          <w:i/>
          <w:iCs/>
          <w:noProof/>
        </w:rPr>
        <w:t>J. Stat. Softw.</w:t>
      </w:r>
      <w:r w:rsidRPr="002307F9">
        <w:rPr>
          <w:rFonts w:ascii="Century Schoolbook" w:hAnsi="Century Schoolbook" w:cs="Times New Roman"/>
          <w:noProof/>
        </w:rPr>
        <w:t xml:space="preserve"> 2015;67:1–48.</w:t>
      </w:r>
    </w:p>
    <w:p w14:paraId="50C524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21. </w:t>
      </w:r>
      <w:r w:rsidRPr="002307F9">
        <w:rPr>
          <w:rFonts w:ascii="Century Schoolbook" w:hAnsi="Century Schoolbook" w:cs="Times New Roman"/>
          <w:noProof/>
        </w:rPr>
        <w:tab/>
      </w:r>
      <w:r w:rsidRPr="002307F9">
        <w:rPr>
          <w:rFonts w:ascii="Century Schoolbook" w:hAnsi="Century Schoolbook" w:cs="Times New Roman"/>
          <w:b/>
          <w:bCs/>
          <w:noProof/>
        </w:rPr>
        <w:t>Guridi M, Tintignac LA, Lin S, Kupr B, Castets P, Rüegg MA.</w:t>
      </w:r>
      <w:r w:rsidRPr="002307F9">
        <w:rPr>
          <w:rFonts w:ascii="Century Schoolbook" w:hAnsi="Century Schoolbook" w:cs="Times New Roman"/>
          <w:noProof/>
        </w:rPr>
        <w:t xml:space="preserve"> Activation of mTORC1 in skeletal muscle regulates whole-body metabolism through FGF21. </w:t>
      </w:r>
      <w:r w:rsidRPr="002307F9">
        <w:rPr>
          <w:rFonts w:ascii="Century Schoolbook" w:hAnsi="Century Schoolbook" w:cs="Times New Roman"/>
          <w:i/>
          <w:iCs/>
          <w:noProof/>
        </w:rPr>
        <w:t>Sci. Signal.</w:t>
      </w:r>
      <w:r w:rsidRPr="002307F9">
        <w:rPr>
          <w:rFonts w:ascii="Century Schoolbook" w:hAnsi="Century Schoolbook" w:cs="Times New Roman"/>
          <w:noProof/>
        </w:rPr>
        <w:t xml:space="preserve"> 2015;8(402):ra113–ra113.</w:t>
      </w:r>
    </w:p>
    <w:p w14:paraId="361FB3E4"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22. </w:t>
      </w:r>
      <w:r w:rsidRPr="002307F9">
        <w:rPr>
          <w:rFonts w:ascii="Century Schoolbook" w:hAnsi="Century Schoolbook" w:cs="Times New Roman"/>
          <w:noProof/>
        </w:rPr>
        <w:tab/>
      </w:r>
      <w:r w:rsidRPr="002307F9">
        <w:rPr>
          <w:rFonts w:ascii="Century Schoolbook" w:hAnsi="Century Schoolbook" w:cs="Times New Roman"/>
          <w:b/>
          <w:bCs/>
          <w:noProof/>
        </w:rPr>
        <w:t>Guridi M, Kupr B, Romanino K, Lin S, Falcetta D, Tintignac L, Rüegg MA.</w:t>
      </w:r>
      <w:r w:rsidRPr="002307F9">
        <w:rPr>
          <w:rFonts w:ascii="Century Schoolbook" w:hAnsi="Century Schoolbook" w:cs="Times New Roman"/>
          <w:noProof/>
        </w:rPr>
        <w:t xml:space="preserve"> Alterations to mTORC1 signaling in the skeletal muscle differentially affect whole-body metabolism. </w:t>
      </w:r>
      <w:r w:rsidRPr="002307F9">
        <w:rPr>
          <w:rFonts w:ascii="Century Schoolbook" w:hAnsi="Century Schoolbook" w:cs="Times New Roman"/>
          <w:i/>
          <w:iCs/>
          <w:noProof/>
        </w:rPr>
        <w:t>Skelet. Muscle</w:t>
      </w:r>
      <w:r w:rsidRPr="002307F9">
        <w:rPr>
          <w:rFonts w:ascii="Century Schoolbook" w:hAnsi="Century Schoolbook" w:cs="Times New Roman"/>
          <w:noProof/>
        </w:rPr>
        <w:t xml:space="preserve"> 2016;6(1):13.</w:t>
      </w:r>
    </w:p>
    <w:p w14:paraId="7944F902"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23. </w:t>
      </w:r>
      <w:r w:rsidRPr="002307F9">
        <w:rPr>
          <w:rFonts w:ascii="Century Schoolbook" w:hAnsi="Century Schoolbook" w:cs="Times New Roman"/>
          <w:noProof/>
        </w:rPr>
        <w:tab/>
      </w:r>
      <w:r w:rsidRPr="002307F9">
        <w:rPr>
          <w:rFonts w:ascii="Century Schoolbook" w:hAnsi="Century Schoolbook" w:cs="Times New Roman"/>
          <w:b/>
          <w:bCs/>
          <w:noProof/>
        </w:rPr>
        <w:t xml:space="preserve">Uhlén M, Fagerberg L, Hallström BM, Lindskog C, Oksvold P, Mardinoglu A, Sivertsson Å, Kampf C, Sjöstedt E, Asplund A, Olsson </w:t>
      </w:r>
      <w:r w:rsidRPr="002307F9">
        <w:rPr>
          <w:rFonts w:ascii="Century Schoolbook" w:hAnsi="Century Schoolbook" w:cs="Times New Roman"/>
          <w:b/>
          <w:bCs/>
          <w:noProof/>
        </w:rPr>
        <w:lastRenderedPageBreak/>
        <w:t>IM, Edlund K, Lundberg E, Navani S, Szigyarto CAK, Odeberg J, Djureinovic D, Takanen JO, Hober S, Alm T, Edqvist PH, Berling H, Tegel H, Mulder J, Rockberg J, Nilsson P, Schwenk JM, Hamsten M, Von Feilitzen K, Forsberg M, Persson L, Johansson F, Zwahlen M, Von Heijne G, Nielsen J, Pontén F.</w:t>
      </w:r>
      <w:r w:rsidRPr="002307F9">
        <w:rPr>
          <w:rFonts w:ascii="Century Schoolbook" w:hAnsi="Century Schoolbook" w:cs="Times New Roman"/>
          <w:noProof/>
        </w:rPr>
        <w:t xml:space="preserve"> Tissue-based map of the human proteome. </w:t>
      </w:r>
      <w:r w:rsidRPr="002307F9">
        <w:rPr>
          <w:rFonts w:ascii="Century Schoolbook" w:hAnsi="Century Schoolbook" w:cs="Times New Roman"/>
          <w:i/>
          <w:iCs/>
          <w:noProof/>
        </w:rPr>
        <w:t>Science (80-. ).</w:t>
      </w:r>
      <w:r w:rsidRPr="002307F9">
        <w:rPr>
          <w:rFonts w:ascii="Century Schoolbook" w:hAnsi="Century Schoolbook" w:cs="Times New Roman"/>
          <w:noProof/>
        </w:rPr>
        <w:t xml:space="preserve"> 2015;347(6220). doi:10.1126/science.1260419.</w:t>
      </w:r>
    </w:p>
    <w:p w14:paraId="6611B0F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24. </w:t>
      </w:r>
      <w:r w:rsidRPr="002307F9">
        <w:rPr>
          <w:rFonts w:ascii="Century Schoolbook" w:hAnsi="Century Schoolbook" w:cs="Times New Roman"/>
          <w:noProof/>
        </w:rPr>
        <w:tab/>
      </w:r>
      <w:r w:rsidRPr="002307F9">
        <w:rPr>
          <w:rFonts w:ascii="Century Schoolbook" w:hAnsi="Century Schoolbook" w:cs="Times New Roman"/>
          <w:b/>
          <w:bCs/>
          <w:noProof/>
        </w:rPr>
        <w:t>Tang M, Luo M, Lu W, Wang S, Zhang R, Liang W, Gu J, Yu X, Zhang X, Hu C.</w:t>
      </w:r>
      <w:r w:rsidRPr="002307F9">
        <w:rPr>
          <w:rFonts w:ascii="Century Schoolbook" w:hAnsi="Century Schoolbook" w:cs="Times New Roman"/>
          <w:noProof/>
        </w:rPr>
        <w:t xml:space="preserve"> Serum growth differentiation factor 15 is associated with glucose metabolism in the third trimester in Chinese pregnant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2019:107823.</w:t>
      </w:r>
    </w:p>
    <w:p w14:paraId="4FBFF66F"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25. </w:t>
      </w:r>
      <w:r w:rsidRPr="002307F9">
        <w:rPr>
          <w:rFonts w:ascii="Century Schoolbook" w:hAnsi="Century Schoolbook" w:cs="Times New Roman"/>
          <w:noProof/>
        </w:rPr>
        <w:tab/>
      </w:r>
      <w:r w:rsidRPr="002307F9">
        <w:rPr>
          <w:rFonts w:ascii="Century Schoolbook" w:hAnsi="Century Schoolbook" w:cs="Times New Roman"/>
          <w:b/>
          <w:bCs/>
          <w:noProof/>
        </w:rPr>
        <w:t>Sugulle M, Dechend R, Herse F, Weedon-Fekjaer MS, Johnsen GM, Brosnihan KB, Anton L, Luft FC, Wollert KC, Kempf T, Staff AC.</w:t>
      </w:r>
      <w:r w:rsidRPr="002307F9">
        <w:rPr>
          <w:rFonts w:ascii="Century Schoolbook" w:hAnsi="Century Schoolbook" w:cs="Times New Roman"/>
          <w:noProof/>
        </w:rPr>
        <w:t xml:space="preserve"> Circulating and placental growth-differentiation factor 15 in preeclampsia and in pregnancy complicated by diabetes mellitus. </w:t>
      </w:r>
      <w:r w:rsidRPr="002307F9">
        <w:rPr>
          <w:rFonts w:ascii="Century Schoolbook" w:hAnsi="Century Schoolbook" w:cs="Times New Roman"/>
          <w:i/>
          <w:iCs/>
          <w:noProof/>
        </w:rPr>
        <w:t>Hypertension</w:t>
      </w:r>
      <w:r w:rsidRPr="002307F9">
        <w:rPr>
          <w:rFonts w:ascii="Century Schoolbook" w:hAnsi="Century Schoolbook" w:cs="Times New Roman"/>
          <w:noProof/>
        </w:rPr>
        <w:t xml:space="preserve"> 2009;54(1):106–112.</w:t>
      </w:r>
    </w:p>
    <w:p w14:paraId="125DEB53"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26. </w:t>
      </w:r>
      <w:r w:rsidRPr="002307F9">
        <w:rPr>
          <w:rFonts w:ascii="Century Schoolbook" w:hAnsi="Century Schoolbook" w:cs="Times New Roman"/>
          <w:noProof/>
        </w:rPr>
        <w:tab/>
      </w:r>
      <w:r w:rsidRPr="002307F9">
        <w:rPr>
          <w:rFonts w:ascii="Century Schoolbook" w:hAnsi="Century Schoolbook" w:cs="Times New Roman"/>
          <w:b/>
          <w:bCs/>
          <w:noProof/>
        </w:rPr>
        <w:t>Tong S, Marjono B, Brown DA, Mulvey S, Breit SN, Manuelpillai U, Wallace EM.</w:t>
      </w:r>
      <w:r w:rsidRPr="002307F9">
        <w:rPr>
          <w:rFonts w:ascii="Century Schoolbook" w:hAnsi="Century Schoolbook" w:cs="Times New Roman"/>
          <w:noProof/>
        </w:rPr>
        <w:t xml:space="preserve"> Serum concentrations of macrophage inhibitory cytokine 1 (MIC 1) as a predictor of miscarriage. </w:t>
      </w:r>
      <w:r w:rsidRPr="002307F9">
        <w:rPr>
          <w:rFonts w:ascii="Century Schoolbook" w:hAnsi="Century Schoolbook" w:cs="Times New Roman"/>
          <w:i/>
          <w:iCs/>
          <w:noProof/>
        </w:rPr>
        <w:t>Lancet</w:t>
      </w:r>
      <w:r w:rsidRPr="002307F9">
        <w:rPr>
          <w:rFonts w:ascii="Century Schoolbook" w:hAnsi="Century Schoolbook" w:cs="Times New Roman"/>
          <w:noProof/>
        </w:rPr>
        <w:t xml:space="preserve"> 2004;363(9403):129–130.</w:t>
      </w:r>
    </w:p>
    <w:p w14:paraId="38199151"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27. </w:t>
      </w:r>
      <w:r w:rsidRPr="002307F9">
        <w:rPr>
          <w:rFonts w:ascii="Century Schoolbook" w:hAnsi="Century Schoolbook" w:cs="Times New Roman"/>
          <w:noProof/>
        </w:rPr>
        <w:tab/>
      </w:r>
      <w:r w:rsidRPr="002307F9">
        <w:rPr>
          <w:rFonts w:ascii="Century Schoolbook" w:hAnsi="Century Schoolbook" w:cs="Times New Roman"/>
          <w:b/>
          <w:bCs/>
          <w:noProof/>
        </w:rPr>
        <w:t>Munk PS, Valborgland T, Butt N, Larsen AI.</w:t>
      </w:r>
      <w:r w:rsidRPr="002307F9">
        <w:rPr>
          <w:rFonts w:ascii="Century Schoolbook" w:hAnsi="Century Schoolbook" w:cs="Times New Roman"/>
          <w:noProof/>
        </w:rPr>
        <w:t xml:space="preserve"> Response of growth differentiation factor-15 to percutaneous coronary intervention and regular exercise training. </w:t>
      </w:r>
      <w:r w:rsidRPr="002307F9">
        <w:rPr>
          <w:rFonts w:ascii="Century Schoolbook" w:hAnsi="Century Schoolbook" w:cs="Times New Roman"/>
          <w:i/>
          <w:iCs/>
          <w:noProof/>
        </w:rPr>
        <w:t>Scand. Cardiovasc. J.</w:t>
      </w:r>
      <w:r w:rsidRPr="002307F9">
        <w:rPr>
          <w:rFonts w:ascii="Century Schoolbook" w:hAnsi="Century Schoolbook" w:cs="Times New Roman"/>
          <w:noProof/>
        </w:rPr>
        <w:t xml:space="preserve"> 2011;45(1):27–32.</w:t>
      </w:r>
    </w:p>
    <w:p w14:paraId="47E892D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28. </w:t>
      </w:r>
      <w:r w:rsidRPr="002307F9">
        <w:rPr>
          <w:rFonts w:ascii="Century Schoolbook" w:hAnsi="Century Schoolbook" w:cs="Times New Roman"/>
          <w:noProof/>
        </w:rPr>
        <w:tab/>
      </w:r>
      <w:r w:rsidRPr="002307F9">
        <w:rPr>
          <w:rFonts w:ascii="Century Schoolbook" w:hAnsi="Century Schoolbook" w:cs="Times New Roman"/>
          <w:b/>
          <w:bCs/>
          <w:noProof/>
        </w:rPr>
        <w:t>Galliera E, Lombardi G, Marazzi MG, Grasso D, Vianello E, Pozzoni R, Banfi G, Corsi Romanelli MM.</w:t>
      </w:r>
      <w:r w:rsidRPr="002307F9">
        <w:rPr>
          <w:rFonts w:ascii="Century Schoolbook" w:hAnsi="Century Schoolbook" w:cs="Times New Roman"/>
          <w:noProof/>
        </w:rPr>
        <w:t xml:space="preserve"> Acute exercise in elite rugby players increases the circulating level of the cardiovascular biomarker GDF-15. </w:t>
      </w:r>
      <w:r w:rsidRPr="002307F9">
        <w:rPr>
          <w:rFonts w:ascii="Century Schoolbook" w:hAnsi="Century Schoolbook" w:cs="Times New Roman"/>
          <w:i/>
          <w:iCs/>
          <w:noProof/>
        </w:rPr>
        <w:t>Scand. J. Clin. Lab. Invest.</w:t>
      </w:r>
      <w:r w:rsidRPr="002307F9">
        <w:rPr>
          <w:rFonts w:ascii="Century Schoolbook" w:hAnsi="Century Schoolbook" w:cs="Times New Roman"/>
          <w:noProof/>
        </w:rPr>
        <w:t xml:space="preserve"> 2014;74(6):492–499.</w:t>
      </w:r>
    </w:p>
    <w:p w14:paraId="40550CDB"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29. </w:t>
      </w:r>
      <w:r w:rsidRPr="002307F9">
        <w:rPr>
          <w:rFonts w:ascii="Century Schoolbook" w:hAnsi="Century Schoolbook" w:cs="Times New Roman"/>
          <w:noProof/>
        </w:rPr>
        <w:tab/>
      </w:r>
      <w:r w:rsidRPr="002307F9">
        <w:rPr>
          <w:rFonts w:ascii="Century Schoolbook" w:hAnsi="Century Schoolbook" w:cs="Times New Roman"/>
          <w:b/>
          <w:bCs/>
          <w:noProof/>
        </w:rPr>
        <w:t>Joung KH, Kim JM, Yi H-S, Lee JH, Kim KS, Kim HJ, Shong M, Ku BJ.</w:t>
      </w:r>
      <w:r w:rsidRPr="002307F9">
        <w:rPr>
          <w:rFonts w:ascii="Century Schoolbook" w:hAnsi="Century Schoolbook" w:cs="Times New Roman"/>
          <w:noProof/>
        </w:rPr>
        <w:t xml:space="preserve"> Effects of exercise program on normal responsiveness of serum GDF15 in middle-aged women. </w:t>
      </w:r>
      <w:r w:rsidRPr="002307F9">
        <w:rPr>
          <w:rFonts w:ascii="Century Schoolbook" w:hAnsi="Century Schoolbook" w:cs="Times New Roman"/>
          <w:i/>
          <w:iCs/>
          <w:noProof/>
        </w:rPr>
        <w:t>Diabetes Res. Clin. Pract.</w:t>
      </w:r>
      <w:r w:rsidRPr="002307F9">
        <w:rPr>
          <w:rFonts w:ascii="Century Schoolbook" w:hAnsi="Century Schoolbook" w:cs="Times New Roman"/>
          <w:noProof/>
        </w:rPr>
        <w:t xml:space="preserve"> 2016;120:S65–S66.</w:t>
      </w:r>
    </w:p>
    <w:p w14:paraId="19DAF87D"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30. </w:t>
      </w:r>
      <w:r w:rsidRPr="002307F9">
        <w:rPr>
          <w:rFonts w:ascii="Century Schoolbook" w:hAnsi="Century Schoolbook" w:cs="Times New Roman"/>
          <w:noProof/>
        </w:rPr>
        <w:tab/>
      </w:r>
      <w:r w:rsidRPr="002307F9">
        <w:rPr>
          <w:rFonts w:ascii="Century Schoolbook" w:hAnsi="Century Schoolbook" w:cs="Times New Roman"/>
          <w:b/>
          <w:bCs/>
          <w:noProof/>
        </w:rPr>
        <w:t>Kleinert M, Clemmensen C, Sjøberg KA, Carl CS, Jeppesen JF, Wojtaszewski JFP, Kiens B, Richter EA.</w:t>
      </w:r>
      <w:r w:rsidRPr="002307F9">
        <w:rPr>
          <w:rFonts w:ascii="Century Schoolbook" w:hAnsi="Century Schoolbook" w:cs="Times New Roman"/>
          <w:noProof/>
        </w:rPr>
        <w:t xml:space="preserve"> Exercise increases circulating GDF15 in humans. </w:t>
      </w:r>
      <w:r w:rsidRPr="002307F9">
        <w:rPr>
          <w:rFonts w:ascii="Century Schoolbook" w:hAnsi="Century Schoolbook" w:cs="Times New Roman"/>
          <w:i/>
          <w:iCs/>
          <w:noProof/>
        </w:rPr>
        <w:t>Mol. Metab.</w:t>
      </w:r>
      <w:r w:rsidRPr="002307F9">
        <w:rPr>
          <w:rFonts w:ascii="Century Schoolbook" w:hAnsi="Century Schoolbook" w:cs="Times New Roman"/>
          <w:noProof/>
        </w:rPr>
        <w:t xml:space="preserve"> 2018;9(January):187–191.</w:t>
      </w:r>
    </w:p>
    <w:p w14:paraId="007B9F77"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31. </w:t>
      </w:r>
      <w:r w:rsidRPr="002307F9">
        <w:rPr>
          <w:rFonts w:ascii="Century Schoolbook" w:hAnsi="Century Schoolbook" w:cs="Times New Roman"/>
          <w:noProof/>
        </w:rPr>
        <w:tab/>
      </w:r>
      <w:r w:rsidRPr="002307F9">
        <w:rPr>
          <w:rFonts w:ascii="Century Schoolbook" w:hAnsi="Century Schoolbook" w:cs="Times New Roman"/>
          <w:b/>
          <w:bCs/>
          <w:noProof/>
        </w:rPr>
        <w:t>Zhang H, Fealy CE, Kirwan JP.</w:t>
      </w:r>
      <w:r w:rsidRPr="002307F9">
        <w:rPr>
          <w:rFonts w:ascii="Century Schoolbook" w:hAnsi="Century Schoolbook" w:cs="Times New Roman"/>
          <w:noProof/>
        </w:rPr>
        <w:t xml:space="preserve"> Exercise Training Promotes a GDF15 Associated Reduction in Fat Mass in Older Adults with Obesity. </w:t>
      </w:r>
      <w:r w:rsidRPr="002307F9">
        <w:rPr>
          <w:rFonts w:ascii="Century Schoolbook" w:hAnsi="Century Schoolbook" w:cs="Times New Roman"/>
          <w:i/>
          <w:iCs/>
          <w:noProof/>
        </w:rPr>
        <w:t>Am. J. Physiol. Metab.</w:t>
      </w:r>
      <w:r w:rsidRPr="002307F9">
        <w:rPr>
          <w:rFonts w:ascii="Century Schoolbook" w:hAnsi="Century Schoolbook" w:cs="Times New Roman"/>
          <w:noProof/>
        </w:rPr>
        <w:t xml:space="preserve"> 2019:ajpendo.00439.2018.</w:t>
      </w:r>
    </w:p>
    <w:p w14:paraId="21A159B8"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32. </w:t>
      </w:r>
      <w:r w:rsidRPr="002307F9">
        <w:rPr>
          <w:rFonts w:ascii="Century Schoolbook" w:hAnsi="Century Schoolbook" w:cs="Times New Roman"/>
          <w:noProof/>
        </w:rPr>
        <w:tab/>
      </w:r>
      <w:r w:rsidRPr="002307F9">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2307F9">
        <w:rPr>
          <w:rFonts w:ascii="Century Schoolbook" w:hAnsi="Century Schoolbook" w:cs="Times New Roman"/>
          <w:noProof/>
        </w:rPr>
        <w:t xml:space="preserve"> GFRAL is the receptor for GDF15 and the ligand promotes weight loss in mice and nonhuman primates.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2017;23(10):1150–1157.</w:t>
      </w:r>
    </w:p>
    <w:p w14:paraId="45FBB83E"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33. </w:t>
      </w:r>
      <w:r w:rsidRPr="002307F9">
        <w:rPr>
          <w:rFonts w:ascii="Century Schoolbook" w:hAnsi="Century Schoolbook" w:cs="Times New Roman"/>
          <w:noProof/>
        </w:rPr>
        <w:tab/>
      </w:r>
      <w:r w:rsidRPr="002307F9">
        <w:rPr>
          <w:rFonts w:ascii="Century Schoolbook" w:hAnsi="Century Schoolbook" w:cs="Times New Roman"/>
          <w:b/>
          <w:bCs/>
          <w:noProof/>
        </w:rPr>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Chen YA, </w:t>
      </w:r>
      <w:r w:rsidRPr="002307F9">
        <w:rPr>
          <w:rFonts w:ascii="Century Schoolbook" w:hAnsi="Century Schoolbook" w:cs="Times New Roman"/>
          <w:b/>
          <w:bCs/>
          <w:noProof/>
        </w:rPr>
        <w:lastRenderedPageBreak/>
        <w:t>Tian H, Allan BB.</w:t>
      </w:r>
      <w:r w:rsidRPr="002307F9">
        <w:rPr>
          <w:rFonts w:ascii="Century Schoolbook" w:hAnsi="Century Schoolbook" w:cs="Times New Roman"/>
          <w:noProof/>
        </w:rPr>
        <w:t xml:space="preserve"> Non-homeostatic body weight regulation through a brainstem-restricted receptor for GDF15. </w:t>
      </w:r>
      <w:r w:rsidRPr="002307F9">
        <w:rPr>
          <w:rFonts w:ascii="Century Schoolbook" w:hAnsi="Century Schoolbook" w:cs="Times New Roman"/>
          <w:i/>
          <w:iCs/>
          <w:noProof/>
        </w:rPr>
        <w:t>Nature</w:t>
      </w:r>
      <w:r w:rsidRPr="002307F9">
        <w:rPr>
          <w:rFonts w:ascii="Century Schoolbook" w:hAnsi="Century Schoolbook" w:cs="Times New Roman"/>
          <w:noProof/>
        </w:rPr>
        <w:t xml:space="preserve"> 2017;550(7675):255–259.</w:t>
      </w:r>
    </w:p>
    <w:p w14:paraId="64D8040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34. </w:t>
      </w:r>
      <w:r w:rsidRPr="002307F9">
        <w:rPr>
          <w:rFonts w:ascii="Century Schoolbook" w:hAnsi="Century Schoolbook" w:cs="Times New Roman"/>
          <w:noProof/>
        </w:rPr>
        <w:tab/>
      </w:r>
      <w:r w:rsidRPr="002307F9">
        <w:rPr>
          <w:rFonts w:ascii="Century Schoolbook" w:hAnsi="Century Schoolbook" w:cs="Times New Roman"/>
          <w:b/>
          <w:bCs/>
          <w:noProof/>
        </w:rPr>
        <w:t>Tran T, Yang J, Gardner J, Xiong Y.</w:t>
      </w:r>
      <w:r w:rsidRPr="002307F9">
        <w:rPr>
          <w:rFonts w:ascii="Century Schoolbook" w:hAnsi="Century Schoolbook" w:cs="Times New Roman"/>
          <w:noProof/>
        </w:rPr>
        <w:t xml:space="preserve"> GDF15 deficiency promotes high fat diet-induced obesity in mice. Peterson JM, ed. </w:t>
      </w:r>
      <w:r w:rsidRPr="002307F9">
        <w:rPr>
          <w:rFonts w:ascii="Century Schoolbook" w:hAnsi="Century Schoolbook" w:cs="Times New Roman"/>
          <w:i/>
          <w:iCs/>
          <w:noProof/>
        </w:rPr>
        <w:t>PLoS One</w:t>
      </w:r>
      <w:r w:rsidRPr="002307F9">
        <w:rPr>
          <w:rFonts w:ascii="Century Schoolbook" w:hAnsi="Century Schoolbook" w:cs="Times New Roman"/>
          <w:noProof/>
        </w:rPr>
        <w:t xml:space="preserve"> 2018;13(8):e0201584.</w:t>
      </w:r>
    </w:p>
    <w:p w14:paraId="4E1FF02A"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35. </w:t>
      </w:r>
      <w:r w:rsidRPr="002307F9">
        <w:rPr>
          <w:rFonts w:ascii="Century Schoolbook" w:hAnsi="Century Schoolbook" w:cs="Times New Roman"/>
          <w:noProof/>
        </w:rPr>
        <w:tab/>
      </w:r>
      <w:r w:rsidRPr="002307F9">
        <w:rPr>
          <w:rFonts w:ascii="Century Schoolbook" w:hAnsi="Century Schoolbook" w:cs="Times New Roman"/>
          <w:b/>
          <w:bCs/>
          <w:noProof/>
        </w:rPr>
        <w:t>Tsai VW-W, Zhang HP, Manandhar R, Schofield P, Christ D, Lee-Ng KKM, Lebhar H, Marquis CP, Husaini Y, Brown DA, Breit SN.</w:t>
      </w:r>
      <w:r w:rsidRPr="002307F9">
        <w:rPr>
          <w:rFonts w:ascii="Century Schoolbook" w:hAnsi="Century Schoolbook" w:cs="Times New Roman"/>
          <w:noProof/>
        </w:rPr>
        <w:t xml:space="preserve"> GDF15 mediates adiposity resistance through actions on GFRAL neurons in the hindbrain AP/NTS. </w:t>
      </w:r>
      <w:r w:rsidRPr="002307F9">
        <w:rPr>
          <w:rFonts w:ascii="Century Schoolbook" w:hAnsi="Century Schoolbook" w:cs="Times New Roman"/>
          <w:i/>
          <w:iCs/>
          <w:noProof/>
        </w:rPr>
        <w:t>Int. J. Obes.</w:t>
      </w:r>
      <w:r w:rsidRPr="002307F9">
        <w:rPr>
          <w:rFonts w:ascii="Century Schoolbook" w:hAnsi="Century Schoolbook" w:cs="Times New Roman"/>
          <w:noProof/>
        </w:rPr>
        <w:t xml:space="preserve"> 2019. doi:10.1038/s41366-019-0365-5.</w:t>
      </w:r>
    </w:p>
    <w:p w14:paraId="3A4D50C0" w14:textId="77777777" w:rsidR="002307F9" w:rsidRPr="002307F9" w:rsidRDefault="002307F9" w:rsidP="002307F9">
      <w:pPr>
        <w:widowControl w:val="0"/>
        <w:autoSpaceDE w:val="0"/>
        <w:autoSpaceDN w:val="0"/>
        <w:adjustRightInd w:val="0"/>
        <w:ind w:left="640" w:hanging="640"/>
        <w:rPr>
          <w:rFonts w:ascii="Century Schoolbook" w:hAnsi="Century Schoolbook" w:cs="Times New Roman"/>
          <w:noProof/>
        </w:rPr>
      </w:pPr>
      <w:r w:rsidRPr="002307F9">
        <w:rPr>
          <w:rFonts w:ascii="Century Schoolbook" w:hAnsi="Century Schoolbook" w:cs="Times New Roman"/>
          <w:noProof/>
        </w:rPr>
        <w:t xml:space="preserve">36. </w:t>
      </w:r>
      <w:r w:rsidRPr="002307F9">
        <w:rPr>
          <w:rFonts w:ascii="Century Schoolbook" w:hAnsi="Century Schoolbook" w:cs="Times New Roman"/>
          <w:noProof/>
        </w:rPr>
        <w:tab/>
      </w:r>
      <w:r w:rsidRPr="002307F9">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2307F9">
        <w:rPr>
          <w:rFonts w:ascii="Century Schoolbook" w:hAnsi="Century Schoolbook" w:cs="Times New Roman"/>
          <w:noProof/>
        </w:rPr>
        <w:t xml:space="preserve"> The metabolic effects of GDF15 are mediated by the orphan receptor GFRAL.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2017;23(10):1215–1219.</w:t>
      </w:r>
    </w:p>
    <w:p w14:paraId="431FB941" w14:textId="77777777" w:rsidR="002307F9" w:rsidRPr="002307F9" w:rsidRDefault="002307F9" w:rsidP="002307F9">
      <w:pPr>
        <w:widowControl w:val="0"/>
        <w:autoSpaceDE w:val="0"/>
        <w:autoSpaceDN w:val="0"/>
        <w:adjustRightInd w:val="0"/>
        <w:ind w:left="640" w:hanging="640"/>
        <w:rPr>
          <w:rFonts w:ascii="Century Schoolbook" w:hAnsi="Century Schoolbook"/>
          <w:noProof/>
        </w:rPr>
      </w:pPr>
      <w:r w:rsidRPr="002307F9">
        <w:rPr>
          <w:rFonts w:ascii="Century Schoolbook" w:hAnsi="Century Schoolbook" w:cs="Times New Roman"/>
          <w:noProof/>
        </w:rPr>
        <w:t xml:space="preserve">37. </w:t>
      </w:r>
      <w:r w:rsidRPr="002307F9">
        <w:rPr>
          <w:rFonts w:ascii="Century Schoolbook" w:hAnsi="Century Schoolbook" w:cs="Times New Roman"/>
          <w:noProof/>
        </w:rPr>
        <w:tab/>
      </w:r>
      <w:r w:rsidRPr="002307F9">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2307F9">
        <w:rPr>
          <w:rFonts w:ascii="Century Schoolbook" w:hAnsi="Century Schoolbook" w:cs="Times New Roman"/>
          <w:noProof/>
        </w:rPr>
        <w:t xml:space="preserve"> GFRAL is the receptor for GDF15 and is required for the anti-obesity effects of the ligand. </w:t>
      </w:r>
      <w:r w:rsidRPr="002307F9">
        <w:rPr>
          <w:rFonts w:ascii="Century Schoolbook" w:hAnsi="Century Schoolbook" w:cs="Times New Roman"/>
          <w:i/>
          <w:iCs/>
          <w:noProof/>
        </w:rPr>
        <w:t>Nat. Med.</w:t>
      </w:r>
      <w:r w:rsidRPr="002307F9">
        <w:rPr>
          <w:rFonts w:ascii="Century Schoolbook" w:hAnsi="Century Schoolbook" w:cs="Times New Roman"/>
          <w:noProof/>
        </w:rPr>
        <w:t xml:space="preserve"> 2017;23(10):1158–1166.</w:t>
      </w:r>
    </w:p>
    <w:p w14:paraId="4FD305D7" w14:textId="34818C41" w:rsidR="00A857D5" w:rsidRDefault="0098529C" w:rsidP="002307F9">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7F4BEB1" w:rsidR="004F0A9F" w:rsidRDefault="00A57DC9">
            <w:r>
              <w:t>Human Protein Atlas</w:t>
            </w:r>
          </w:p>
        </w:tc>
        <w:tc>
          <w:tcPr>
            <w:tcW w:w="2854" w:type="dxa"/>
          </w:tcPr>
          <w:p w14:paraId="6CAD6F70" w14:textId="03447DAC" w:rsidR="004F0A9F" w:rsidRPr="00496561" w:rsidRDefault="004F0A9F" w:rsidP="00F359A5">
            <w:pPr>
              <w:rPr>
                <w:bCs/>
              </w:rPr>
            </w:pP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45A70276" w14:textId="7AA41CA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40D55A92"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xml:space="preserve">.  B) </w:t>
      </w:r>
      <w:r w:rsidR="0069797E">
        <w:t>Lean mass (B) and t</w:t>
      </w:r>
      <w:r w:rsidR="00671789">
        <w:t xml:space="preserve">otal fat mass </w:t>
      </w:r>
      <w:r w:rsidR="0069797E">
        <w:t>(C)</w:t>
      </w:r>
      <w:r w:rsidR="00671789">
        <w:t>.  D) Ketone body levels at 3 weeks of age from fed serum (n=7-8/group).</w:t>
      </w:r>
      <w:r w:rsidR="006B6E98">
        <w:t xml:space="preserve"> F) GDF15 levels at four weeks of age.</w:t>
      </w:r>
      <w:r w:rsidR="0069797E">
        <w:t xml:space="preserve">  Asterisks indicate p&lt;0.05</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A1F94"/>
    <w:rsid w:val="000C06E4"/>
    <w:rsid w:val="00103452"/>
    <w:rsid w:val="00126906"/>
    <w:rsid w:val="00143D60"/>
    <w:rsid w:val="001A281A"/>
    <w:rsid w:val="001C3EEE"/>
    <w:rsid w:val="001C4F59"/>
    <w:rsid w:val="001E755B"/>
    <w:rsid w:val="002142C7"/>
    <w:rsid w:val="00215F72"/>
    <w:rsid w:val="002307F9"/>
    <w:rsid w:val="002606BA"/>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862D5"/>
    <w:rsid w:val="005C1BF6"/>
    <w:rsid w:val="00602C70"/>
    <w:rsid w:val="00651EAB"/>
    <w:rsid w:val="00663579"/>
    <w:rsid w:val="0066357F"/>
    <w:rsid w:val="00671789"/>
    <w:rsid w:val="006822DD"/>
    <w:rsid w:val="0069797E"/>
    <w:rsid w:val="006A59A5"/>
    <w:rsid w:val="006B0D21"/>
    <w:rsid w:val="006B12FE"/>
    <w:rsid w:val="006B6E98"/>
    <w:rsid w:val="00706736"/>
    <w:rsid w:val="00741B02"/>
    <w:rsid w:val="00772316"/>
    <w:rsid w:val="0079134A"/>
    <w:rsid w:val="007C37D9"/>
    <w:rsid w:val="007F1182"/>
    <w:rsid w:val="008231F1"/>
    <w:rsid w:val="008A0E61"/>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57DC9"/>
    <w:rsid w:val="00A72A84"/>
    <w:rsid w:val="00A857D5"/>
    <w:rsid w:val="00AA75A4"/>
    <w:rsid w:val="00AD2F62"/>
    <w:rsid w:val="00AE5470"/>
    <w:rsid w:val="00AF42BC"/>
    <w:rsid w:val="00AF6D0B"/>
    <w:rsid w:val="00B04431"/>
    <w:rsid w:val="00B13BA1"/>
    <w:rsid w:val="00B3215F"/>
    <w:rsid w:val="00B514CE"/>
    <w:rsid w:val="00B551EF"/>
    <w:rsid w:val="00B553F4"/>
    <w:rsid w:val="00B55A26"/>
    <w:rsid w:val="00BD701D"/>
    <w:rsid w:val="00BF1CFD"/>
    <w:rsid w:val="00BF4C02"/>
    <w:rsid w:val="00C1772E"/>
    <w:rsid w:val="00C3736A"/>
    <w:rsid w:val="00C57D5F"/>
    <w:rsid w:val="00C70284"/>
    <w:rsid w:val="00CA1206"/>
    <w:rsid w:val="00CC4A50"/>
    <w:rsid w:val="00CC716A"/>
    <w:rsid w:val="00CF2D6D"/>
    <w:rsid w:val="00CF6625"/>
    <w:rsid w:val="00D06B47"/>
    <w:rsid w:val="00D17276"/>
    <w:rsid w:val="00D23940"/>
    <w:rsid w:val="00D36726"/>
    <w:rsid w:val="00D60CFE"/>
    <w:rsid w:val="00D957CE"/>
    <w:rsid w:val="00DA6600"/>
    <w:rsid w:val="00DF33AC"/>
    <w:rsid w:val="00E129E7"/>
    <w:rsid w:val="00E32D7B"/>
    <w:rsid w:val="00E3687A"/>
    <w:rsid w:val="00E410CE"/>
    <w:rsid w:val="00E43D02"/>
    <w:rsid w:val="00E51DC8"/>
    <w:rsid w:val="00EC6185"/>
    <w:rsid w:val="00EE38E8"/>
    <w:rsid w:val="00EF1E1B"/>
    <w:rsid w:val="00F359A5"/>
    <w:rsid w:val="00F56AE8"/>
    <w:rsid w:val="00F83986"/>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399132605">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780032307">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839495058">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1B6D7-926D-0448-B11E-F21F20F1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23945</Words>
  <Characters>136489</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95</cp:revision>
  <dcterms:created xsi:type="dcterms:W3CDTF">2020-02-05T19:13:00Z</dcterms:created>
  <dcterms:modified xsi:type="dcterms:W3CDTF">2020-04-06T14:40:00Z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