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lastRenderedPageBreak/>
        <w:t>Significance was determined</w:t>
      </w:r>
      <w:r w:rsidR="00B13BA1">
        <w:t xml:space="preserve"> via Chi-squared tests</w:t>
      </w:r>
      <w:r w:rsidR="008231F1">
        <w:t xml:space="preserve"> between models with or without 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0C087682"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lastRenderedPageBreak/>
        <w:t>GDF15 Is Induced on Mice Fed a Ketogenic Diet</w:t>
      </w:r>
    </w:p>
    <w:p w14:paraId="75CEAF92" w14:textId="179891E7" w:rsidR="007C37D9" w:rsidRDefault="007C37D9" w:rsidP="007C37D9"/>
    <w:p w14:paraId="532211B9" w14:textId="7A63A91A" w:rsidR="007C37D9" w:rsidRPr="007C37D9" w:rsidRDefault="00D23940" w:rsidP="003E4C58">
      <w:r>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w:t>
      </w:r>
      <w:r w:rsidR="00126906">
        <w:t>D</w:t>
      </w:r>
      <w:r w:rsidR="003E4C58">
        <w:t xml:space="preserve">).  </w:t>
      </w:r>
      <w:r w:rsidR="00B15357">
        <w:t>To test whether GDF15 was altered in the blood of these mice at three weeks, we</w:t>
      </w:r>
      <w:r w:rsidR="00A72A84">
        <w:t xml:space="preserve"> </w:t>
      </w:r>
      <w:r w:rsidR="00B15357">
        <w:t>performed ELISA assays from serum.  After adjusting for sex, we found a 59% increase in GDF15 (p=</w:t>
      </w:r>
      <w:r w:rsidR="00900476">
        <w:t>0.03</w:t>
      </w:r>
      <w:r w:rsidR="005504A6">
        <w:t>, Figure 1E</w:t>
      </w:r>
      <w:r w:rsidR="00900476">
        <w:t>) in mice fed a ketogenic diet.</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6085A26B" w:rsidR="005C1BF6" w:rsidRDefault="005C1BF6" w:rsidP="005C1BF6">
      <w:r>
        <w:t xml:space="preserve">While the above studies describe induction of GDF15 under ketogenic conditions, they do not evaluate if this hormone plays a physiological role.  To test </w:t>
      </w:r>
      <w:r w:rsidR="00C7011B">
        <w:t>what happens to mice lacking GDF15</w:t>
      </w:r>
      <w:r>
        <w:t xml:space="preserve"> we </w:t>
      </w:r>
      <w:r w:rsidR="00C7011B">
        <w:t>fed</w:t>
      </w:r>
      <w:r>
        <w:t xml:space="preserve"> male and female wild-type and </w:t>
      </w:r>
      <w:r w:rsidRPr="005C1BF6">
        <w:rPr>
          <w:i/>
        </w:rPr>
        <w:t>Gdf15</w:t>
      </w:r>
      <w:r>
        <w:t xml:space="preserve"> knockout normal chow diets</w:t>
      </w:r>
      <w:r w:rsidR="00C7011B">
        <w:t xml:space="preserve"> until 10 weeks of age.  At this point all </w:t>
      </w:r>
      <w:r>
        <w:t xml:space="preserve">mice </w:t>
      </w:r>
      <w:r w:rsidR="00C7011B">
        <w:t xml:space="preserve">were placed </w:t>
      </w:r>
      <w:r>
        <w:t xml:space="preserve">on KD </w:t>
      </w:r>
      <w:r w:rsidR="00C7011B">
        <w:t xml:space="preserve">for </w:t>
      </w:r>
      <w:r w:rsidR="009A6E02">
        <w:t>five</w:t>
      </w:r>
      <w:r w:rsidR="00C7011B">
        <w:t xml:space="preserve"> weeks</w:t>
      </w:r>
      <w:r>
        <w:t xml:space="preserve">.  We observed </w:t>
      </w:r>
      <w:r w:rsidR="006D1EAE">
        <w:t xml:space="preserve">no significant differences in </w:t>
      </w:r>
      <w:r w:rsidR="003B560C">
        <w:t>body weight and lean mass</w:t>
      </w:r>
      <w:r w:rsidR="006D1EAE">
        <w:t xml:space="preserve"> at baseline, or in response to diet (Figures 3A-B).  </w:t>
      </w:r>
      <w:r w:rsidR="003B560C">
        <w:t xml:space="preserve"> but an increase in fat mass (Figures 3A-C).  Consistent with increases in fat mass, we observed </w:t>
      </w:r>
      <w:r w:rsidR="009A6E02">
        <w:t>elevated fat mass accretion in both male and female mice</w:t>
      </w:r>
      <w:r w:rsidR="003B560C">
        <w:t xml:space="preserve"> (Figure 3D)</w:t>
      </w:r>
      <w:r w:rsidR="00AF76BF">
        <w:t xml:space="preserve">.  While wild-type male mice gained 133% of their fat mass, </w:t>
      </w:r>
      <w:r w:rsidR="0039459D">
        <w:t xml:space="preserve">male </w:t>
      </w:r>
      <w:r w:rsidR="00AF76BF">
        <w:t xml:space="preserve">knockouts </w:t>
      </w:r>
      <w:r w:rsidR="0039459D">
        <w:t xml:space="preserve">had 203% increased fat mass (p=0.002).  </w:t>
      </w:r>
      <w:proofErr w:type="gramStart"/>
      <w:r w:rsidR="0039459D">
        <w:t>Similarly</w:t>
      </w:r>
      <w:proofErr w:type="gramEnd"/>
      <w:r w:rsidR="0039459D">
        <w:t xml:space="preserve"> female wild-type mice gained 56% more fat mass, while </w:t>
      </w:r>
      <w:r w:rsidR="0039459D">
        <w:rPr>
          <w:i/>
        </w:rPr>
        <w:t xml:space="preserve">Gdf15 </w:t>
      </w:r>
      <w:r w:rsidR="0039459D">
        <w:t xml:space="preserve">knockout females gained over 100% more fat mass relative to baseline body composition (p=0.031).  There was a significant sex difference observed in </w:t>
      </w:r>
      <w:r w:rsidR="0039459D">
        <w:lastRenderedPageBreak/>
        <w:t>terms of fat accretion with females gaining less fat mass</w:t>
      </w:r>
      <w:r w:rsidR="00A235AD">
        <w:t xml:space="preserve"> upon ketogenic diet feeding </w:t>
      </w:r>
      <w:r w:rsidR="0039459D">
        <w:t>(</w:t>
      </w:r>
      <w:r w:rsidR="00A235AD">
        <w:t>2.0 +/- 0.6g for males, 0.49 +/- 0.39</w:t>
      </w:r>
      <w:r w:rsidR="00A66F52">
        <w:t>g</w:t>
      </w:r>
      <w:r w:rsidR="00A235AD">
        <w:t xml:space="preserve"> for females; </w:t>
      </w:r>
      <w:proofErr w:type="spellStart"/>
      <w:r w:rsidR="0039459D">
        <w:t>p</w:t>
      </w:r>
      <w:r w:rsidR="00B91044" w:rsidRPr="00B91044">
        <w:rPr>
          <w:vertAlign w:val="subscript"/>
        </w:rPr>
        <w:t>interaction</w:t>
      </w:r>
      <w:proofErr w:type="spellEnd"/>
      <w:r w:rsidR="0039459D">
        <w:t>=0.0006)</w:t>
      </w:r>
      <w:r w:rsidR="00A235AD">
        <w:t>.</w:t>
      </w:r>
    </w:p>
    <w:p w14:paraId="32EA1DA2" w14:textId="5A7F8B7E" w:rsidR="00C70284" w:rsidRDefault="00C70284" w:rsidP="005C1BF6"/>
    <w:p w14:paraId="6A175117" w14:textId="32C816D1"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while male mice had a 3% increase (</w:t>
      </w:r>
      <w:r w:rsidR="003B560C">
        <w:t>Figure 3E</w:t>
      </w:r>
      <w:r w:rsidR="00B55A26">
        <w:t xml:space="preserve">).  After insulin injection, there were no significant effects of </w:t>
      </w:r>
      <w:r w:rsidR="00B55A26" w:rsidRPr="00A66F52">
        <w:rPr>
          <w:i/>
        </w:rPr>
        <w:t>Gdf15</w:t>
      </w:r>
      <w:r w:rsidR="00B55A26">
        <w:t xml:space="preserve"> knockout in either sex (Figure </w:t>
      </w:r>
      <w:r w:rsidR="003B560C">
        <w:t>3F</w:t>
      </w:r>
      <w:r w:rsidR="00B55A26">
        <w:t>)</w:t>
      </w:r>
      <w:r w:rsidR="0079134A">
        <w:t>.</w:t>
      </w:r>
      <w:r w:rsidR="00A66F52">
        <w:t xml:space="preserve">  </w:t>
      </w:r>
      <w:r w:rsidR="00B91044">
        <w:t>Together these data support the hypothesis that a lack of GDF15 results in positive energy balance in mice on a ketogenic diet.</w:t>
      </w:r>
      <w:bookmarkStart w:id="0" w:name="_GoBack"/>
      <w:bookmarkEnd w:id="0"/>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lastRenderedPageBreak/>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44F2848B"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Table</w:t>
      </w:r>
      <w:r w:rsidR="008D6974">
        <w:rPr>
          <w:rFonts w:eastAsia="Times New Roman"/>
          <w:shd w:val="clear" w:color="auto" w:fill="FFFFFF"/>
        </w:rPr>
        <w:t>s and</w:t>
      </w:r>
      <w:r w:rsidRPr="00A857D5">
        <w:rPr>
          <w:rFonts w:eastAsia="Times New Roman"/>
          <w:shd w:val="clear" w:color="auto" w:fill="FFFFFF"/>
        </w:rPr>
        <w:t xml:space="preserv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20FBE3EC" w14:textId="77777777" w:rsidR="008D6974" w:rsidRDefault="008D6974">
      <w:r>
        <w:br w:type="page"/>
      </w:r>
    </w:p>
    <w:p w14:paraId="17573BD8" w14:textId="26D3A8B5" w:rsidR="00D17276" w:rsidRDefault="00D17276">
      <w:r>
        <w:lastRenderedPageBreak/>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53364563" w14:textId="77777777" w:rsidR="008D6974" w:rsidRDefault="008D6974">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239CEB8C" w14:textId="3D6E8021" w:rsidR="008D6974" w:rsidRDefault="008D6974" w:rsidP="008D6974">
      <w:pPr>
        <w:pStyle w:val="Heading1"/>
        <w:rPr>
          <w:b/>
        </w:rPr>
      </w:pPr>
      <w:r w:rsidRPr="00A857D5">
        <w:rPr>
          <w:rFonts w:eastAsia="Times New Roman"/>
          <w:shd w:val="clear" w:color="auto" w:fill="FFFFFF"/>
        </w:rPr>
        <w:lastRenderedPageBreak/>
        <w:t>Figure</w:t>
      </w:r>
      <w:r>
        <w:rPr>
          <w:rFonts w:eastAsia="Times New Roman"/>
          <w:shd w:val="clear" w:color="auto" w:fill="FFFFFF"/>
        </w:rPr>
        <w:t xml:space="preserve"> Legends</w:t>
      </w:r>
    </w:p>
    <w:p w14:paraId="1D335304" w14:textId="77777777" w:rsidR="008D6974" w:rsidRDefault="008D6974">
      <w:pPr>
        <w:rPr>
          <w:b/>
        </w:rPr>
      </w:pPr>
    </w:p>
    <w:p w14:paraId="45A70276" w14:textId="56051CE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617E7090"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w:t>
      </w:r>
      <w:r w:rsidR="00774F5F">
        <w:t>E</w:t>
      </w:r>
      <w:r w:rsidR="006B6E98">
        <w:t>) GDF15 levels a</w:t>
      </w:r>
      <w:r w:rsidR="00774F5F">
        <w:t>fter</w:t>
      </w:r>
      <w:r w:rsidR="006B6E98">
        <w:t xml:space="preserve"> </w:t>
      </w:r>
      <w:r w:rsidR="00774F5F">
        <w:t>three</w:t>
      </w:r>
      <w:r w:rsidR="006B6E98">
        <w:t xml:space="preserve"> weeks of </w:t>
      </w:r>
      <w:r w:rsidR="00774F5F">
        <w:t>diet</w:t>
      </w:r>
      <w:r w:rsidR="006B6E98">
        <w:t>.</w:t>
      </w:r>
      <w:r w:rsidR="0069797E">
        <w:t xml:space="preserve">  Asterisks indicate p&lt;0.05</w:t>
      </w:r>
      <w:r w:rsidR="008E14BF">
        <w:t xml:space="preserve">, </w:t>
      </w:r>
      <w:r w:rsidR="008E14BF">
        <w:t>n=7-8/group.</w:t>
      </w:r>
    </w:p>
    <w:p w14:paraId="4AB139E0" w14:textId="0C061FFE" w:rsidR="003B38E5" w:rsidRDefault="003B38E5"/>
    <w:p w14:paraId="6206100A" w14:textId="12987072" w:rsidR="003B38E5" w:rsidRDefault="003B38E5">
      <w:r w:rsidRPr="003B38E5">
        <w:rPr>
          <w:b/>
        </w:rPr>
        <w:t>Figure 4: Ablation of GDF15 causes increased fat accretion and energy intake on a ketogenic diet.</w:t>
      </w:r>
      <w:r>
        <w:t xml:space="preserve">  </w:t>
      </w:r>
      <w:r w:rsidR="00DF2D36">
        <w:t xml:space="preserve">A) Body weight (B) lean mass and (C) fat mass of GDF15 knockout mice before and after </w:t>
      </w:r>
      <w:r w:rsidR="00366FCB">
        <w:t xml:space="preserve">four weeks of ketogenic diet.  </w:t>
      </w:r>
      <w:r w:rsidR="00DF2D36">
        <w:t xml:space="preserve">Dashed line indicates the start of the ketogenic diet.  </w:t>
      </w:r>
      <w:r>
        <w:t>Asterisks indicate p&lt;0.05, n=8-14/group.</w:t>
      </w:r>
    </w:p>
    <w:sectPr w:rsidR="003B38E5"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26906"/>
    <w:rsid w:val="00142C53"/>
    <w:rsid w:val="00143D60"/>
    <w:rsid w:val="001A281A"/>
    <w:rsid w:val="001C3EEE"/>
    <w:rsid w:val="001C4F59"/>
    <w:rsid w:val="001E755B"/>
    <w:rsid w:val="002142C7"/>
    <w:rsid w:val="00215F72"/>
    <w:rsid w:val="002307F9"/>
    <w:rsid w:val="002606BA"/>
    <w:rsid w:val="00264932"/>
    <w:rsid w:val="002C7002"/>
    <w:rsid w:val="002E312A"/>
    <w:rsid w:val="00346166"/>
    <w:rsid w:val="00352A61"/>
    <w:rsid w:val="00366FCB"/>
    <w:rsid w:val="003676ED"/>
    <w:rsid w:val="0039459D"/>
    <w:rsid w:val="003B38E5"/>
    <w:rsid w:val="003B560C"/>
    <w:rsid w:val="003C3D65"/>
    <w:rsid w:val="003E4C58"/>
    <w:rsid w:val="00425D66"/>
    <w:rsid w:val="00496561"/>
    <w:rsid w:val="004B06E2"/>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6D1EAE"/>
    <w:rsid w:val="00706736"/>
    <w:rsid w:val="00724E49"/>
    <w:rsid w:val="00741B02"/>
    <w:rsid w:val="00772316"/>
    <w:rsid w:val="00774F5F"/>
    <w:rsid w:val="0079134A"/>
    <w:rsid w:val="007C37D9"/>
    <w:rsid w:val="007F1182"/>
    <w:rsid w:val="008231F1"/>
    <w:rsid w:val="008A0E61"/>
    <w:rsid w:val="008D6974"/>
    <w:rsid w:val="008E14BF"/>
    <w:rsid w:val="00900476"/>
    <w:rsid w:val="00903DAE"/>
    <w:rsid w:val="00980612"/>
    <w:rsid w:val="0098529C"/>
    <w:rsid w:val="009A006A"/>
    <w:rsid w:val="009A2992"/>
    <w:rsid w:val="009A6E02"/>
    <w:rsid w:val="009A702B"/>
    <w:rsid w:val="009B767F"/>
    <w:rsid w:val="009C0806"/>
    <w:rsid w:val="009C4AB5"/>
    <w:rsid w:val="009E3923"/>
    <w:rsid w:val="009F57B1"/>
    <w:rsid w:val="00A008C7"/>
    <w:rsid w:val="00A235AD"/>
    <w:rsid w:val="00A2647E"/>
    <w:rsid w:val="00A31956"/>
    <w:rsid w:val="00A465AF"/>
    <w:rsid w:val="00A57DC9"/>
    <w:rsid w:val="00A66F52"/>
    <w:rsid w:val="00A72A84"/>
    <w:rsid w:val="00A857D5"/>
    <w:rsid w:val="00AA75A4"/>
    <w:rsid w:val="00AD2F62"/>
    <w:rsid w:val="00AE5470"/>
    <w:rsid w:val="00AF42BC"/>
    <w:rsid w:val="00AF6D0B"/>
    <w:rsid w:val="00AF76BF"/>
    <w:rsid w:val="00B04431"/>
    <w:rsid w:val="00B13BA1"/>
    <w:rsid w:val="00B15357"/>
    <w:rsid w:val="00B3215F"/>
    <w:rsid w:val="00B514CE"/>
    <w:rsid w:val="00B551EF"/>
    <w:rsid w:val="00B553F4"/>
    <w:rsid w:val="00B55A26"/>
    <w:rsid w:val="00B91044"/>
    <w:rsid w:val="00BD701D"/>
    <w:rsid w:val="00BD7FD9"/>
    <w:rsid w:val="00BF1CFD"/>
    <w:rsid w:val="00BF4C02"/>
    <w:rsid w:val="00C1772E"/>
    <w:rsid w:val="00C3736A"/>
    <w:rsid w:val="00C57D5F"/>
    <w:rsid w:val="00C7011B"/>
    <w:rsid w:val="00C70284"/>
    <w:rsid w:val="00CA1206"/>
    <w:rsid w:val="00CC4A50"/>
    <w:rsid w:val="00CC716A"/>
    <w:rsid w:val="00CF2D6D"/>
    <w:rsid w:val="00CF6625"/>
    <w:rsid w:val="00D06B47"/>
    <w:rsid w:val="00D17276"/>
    <w:rsid w:val="00D23940"/>
    <w:rsid w:val="00D36726"/>
    <w:rsid w:val="00D60CFE"/>
    <w:rsid w:val="00D74A03"/>
    <w:rsid w:val="00D957CE"/>
    <w:rsid w:val="00DA6600"/>
    <w:rsid w:val="00DF2D36"/>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11401-F448-8543-8B1F-59D3A25B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15</Pages>
  <Words>24159</Words>
  <Characters>137712</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113</cp:revision>
  <dcterms:created xsi:type="dcterms:W3CDTF">2020-02-05T19:13:00Z</dcterms:created>
  <dcterms:modified xsi:type="dcterms:W3CDTF">2020-04-06T19:05:00Z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