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bookmarkStart w:id="0" w:name="_GoBack"/>
      <w:bookmarkEnd w:id="0"/>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 xml:space="preserve">=0.043).  Female mice had a 19% reduction in fasting blood glucose </w:t>
      </w:r>
      <w:r w:rsidR="00B55A26">
        <w:lastRenderedPageBreak/>
        <w:t>(p=0.037)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257844D7"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FB69-57C7-094D-ACB2-AEBA086E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23997</Words>
  <Characters>136785</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103</cp:revision>
  <dcterms:created xsi:type="dcterms:W3CDTF">2020-02-05T19:13:00Z</dcterms:created>
  <dcterms:modified xsi:type="dcterms:W3CDTF">2020-04-06T18:03:00Z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