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lastRenderedPageBreak/>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w:t>
      </w:r>
      <w:r w:rsidR="003A05B9">
        <w:rPr>
          <w:rFonts w:ascii="Arial" w:eastAsia="Times New Roman" w:hAnsi="Arial" w:cs="Arial"/>
          <w:bCs/>
          <w:sz w:val="24"/>
          <w:szCs w:val="24"/>
          <w:shd w:val="clear" w:color="auto" w:fill="FFFFFF"/>
        </w:rPr>
        <w:lastRenderedPageBreak/>
        <w:t>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B770A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Body Composition</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(Figure 4B). </w:t>
      </w:r>
      <w:r w:rsidR="00CF7E7A">
        <w:rPr>
          <w:rFonts w:ascii="Arial" w:eastAsia="Times New Roman" w:hAnsi="Arial" w:cs="Arial"/>
          <w:bCs/>
          <w:sz w:val="24"/>
          <w:szCs w:val="24"/>
          <w:shd w:val="clear" w:color="auto" w:fill="FFFFFF"/>
        </w:rPr>
        <w:t>Consistent with no 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 xml:space="preserve">between KO </w:t>
      </w:r>
      <w:r w:rsidR="00CF7E7A" w:rsidRPr="00CF7E7A">
        <w:rPr>
          <w:rFonts w:ascii="Arial" w:eastAsia="Times New Roman" w:hAnsi="Arial" w:cs="Arial"/>
          <w:bCs/>
          <w:sz w:val="24"/>
          <w:szCs w:val="24"/>
          <w:shd w:val="clear" w:color="auto" w:fill="FFFFFF"/>
        </w:rPr>
        <w:lastRenderedPageBreak/>
        <w:t>and WT mice on both diet groups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Consistent with the change in Fat Mass over four week,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0E22D4" w:rsidRDefault="00FD3697" w:rsidP="000E22D4">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Liver Histology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bookmarkStart w:id="0" w:name="_GoBack"/>
      <w:bookmarkEnd w:id="0"/>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D76474"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xml:space="preserve">, there was no difference in fasting blood glucose between KO and WT </w:t>
      </w:r>
      <w:r w:rsidR="00927558">
        <w:rPr>
          <w:rFonts w:ascii="Arial" w:eastAsia="Times New Roman" w:hAnsi="Arial" w:cs="Arial"/>
          <w:bCs/>
          <w:sz w:val="24"/>
          <w:szCs w:val="24"/>
          <w:shd w:val="clear" w:color="auto" w:fill="FFFFFF"/>
        </w:rPr>
        <w:t>mice</w:t>
      </w:r>
      <w:r w:rsidR="00833001">
        <w:rPr>
          <w:rFonts w:ascii="Arial" w:eastAsia="Times New Roman" w:hAnsi="Arial" w:cs="Arial"/>
          <w:bCs/>
          <w:sz w:val="24"/>
          <w:szCs w:val="24"/>
          <w:shd w:val="clear" w:color="auto" w:fill="FFFFFF"/>
        </w:rPr>
        <w:t xml:space="preserve"> on either diet</w:t>
      </w:r>
      <w:r w:rsidR="00927558">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(Figure ___). </w:t>
      </w:r>
      <w:r w:rsidR="00833001">
        <w:rPr>
          <w:rFonts w:ascii="Arial" w:eastAsia="Times New Roman" w:hAnsi="Arial" w:cs="Arial"/>
          <w:bCs/>
          <w:sz w:val="24"/>
          <w:szCs w:val="24"/>
          <w:shd w:val="clear" w:color="auto" w:fill="FFFFFF"/>
        </w:rPr>
        <w:t xml:space="preserve">Both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833001">
        <w:rPr>
          <w:rFonts w:ascii="Arial" w:eastAsia="Times New Roman" w:hAnsi="Arial" w:cs="Arial"/>
          <w:bCs/>
          <w:sz w:val="24"/>
          <w:szCs w:val="24"/>
          <w:shd w:val="clear" w:color="auto" w:fill="FFFFFF"/>
        </w:rPr>
        <w:t xml:space="preserve">s and a larger drop and subsequent increase in blood glucose compared to mice fed a control diet.  </w:t>
      </w:r>
    </w:p>
    <w:p w:rsidR="00D92143" w:rsidRPr="00DE60AB" w:rsidRDefault="00927558" w:rsidP="00DE60AB">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Our results were in agreement with the previous finding that AMPKa2 KO mice had normal insulin sensitivity</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8</w:t>
      </w:r>
      <w:r>
        <w:rPr>
          <w:rFonts w:ascii="Arial" w:eastAsia="Times New Roman" w:hAnsi="Arial" w:cs="Arial"/>
          <w:bCs/>
          <w:sz w:val="24"/>
          <w:szCs w:val="24"/>
          <w:shd w:val="clear" w:color="auto" w:fill="FFFFFF"/>
        </w:rPr>
        <w:fldChar w:fldCharType="end"/>
      </w:r>
      <w:r w:rsidRPr="00927558">
        <w:rPr>
          <w:rFonts w:ascii="Arial" w:eastAsia="Times New Roman" w:hAnsi="Arial" w:cs="Arial"/>
          <w:bCs/>
          <w:sz w:val="24"/>
          <w:szCs w:val="24"/>
          <w:shd w:val="clear" w:color="auto" w:fill="FFFFFF"/>
        </w:rPr>
        <w:t xml:space="preserve">. </w:t>
      </w:r>
      <w:r w:rsidR="001001E2">
        <w:rPr>
          <w:rFonts w:ascii="Arial" w:eastAsia="Times New Roman" w:hAnsi="Arial" w:cs="Arial"/>
          <w:bCs/>
          <w:sz w:val="24"/>
          <w:szCs w:val="24"/>
          <w:shd w:val="clear" w:color="auto" w:fill="FFFFFF"/>
        </w:rPr>
        <w:t>Our findings showed that a</w:t>
      </w:r>
      <w:r>
        <w:rPr>
          <w:rFonts w:ascii="Arial" w:eastAsia="Times New Roman" w:hAnsi="Arial" w:cs="Arial"/>
          <w:bCs/>
          <w:sz w:val="24"/>
          <w:szCs w:val="24"/>
          <w:shd w:val="clear" w:color="auto" w:fill="FFFFFF"/>
        </w:rPr>
        <w:t>lpha</w:t>
      </w:r>
      <w:r w:rsidR="001001E2">
        <w:rPr>
          <w:rFonts w:ascii="Arial" w:eastAsia="Times New Roman" w:hAnsi="Arial" w:cs="Arial"/>
          <w:bCs/>
          <w:sz w:val="24"/>
          <w:szCs w:val="24"/>
          <w:shd w:val="clear" w:color="auto" w:fill="FFFFFF"/>
        </w:rPr>
        <w:t xml:space="preserve">1/2 </w:t>
      </w:r>
      <w:r w:rsidR="00107C65">
        <w:rPr>
          <w:rFonts w:ascii="Arial" w:eastAsia="Times New Roman" w:hAnsi="Arial" w:cs="Arial"/>
          <w:bCs/>
          <w:sz w:val="24"/>
          <w:szCs w:val="24"/>
          <w:shd w:val="clear" w:color="auto" w:fill="FFFFFF"/>
        </w:rPr>
        <w:t xml:space="preserve">KO mice were equally insulin sensitive to WT </w:t>
      </w:r>
      <w:r w:rsidR="00DE60AB">
        <w:rPr>
          <w:rFonts w:ascii="Arial" w:eastAsia="Times New Roman" w:hAnsi="Arial" w:cs="Arial"/>
          <w:bCs/>
          <w:sz w:val="24"/>
          <w:szCs w:val="24"/>
          <w:shd w:val="clear" w:color="auto" w:fill="FFFFFF"/>
        </w:rPr>
        <w:t xml:space="preserve">and the ketogenic diet had no impact on the insulin sensitivity of KO mice </w:t>
      </w:r>
      <w:r w:rsidR="00107C65">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 xml:space="preserve">in blood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(Figure 5).</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w:t>
      </w:r>
      <w:r w:rsidRPr="00A81F07">
        <w:rPr>
          <w:rFonts w:ascii="Arial" w:hAnsi="Arial" w:cs="Arial"/>
          <w:noProof/>
          <w:sz w:val="24"/>
        </w:rPr>
        <w:lastRenderedPageBreak/>
        <w:t xml:space="preserve">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BB5030" w:rsidRDefault="00BB5030"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D. </w:t>
      </w:r>
      <w:proofErr w:type="spellStart"/>
      <w:r w:rsidR="005D0364">
        <w:rPr>
          <w:rFonts w:ascii="Arial" w:eastAsia="Times New Roman" w:hAnsi="Arial" w:cs="Arial"/>
          <w:bCs/>
          <w:color w:val="252525"/>
          <w:sz w:val="24"/>
          <w:szCs w:val="24"/>
          <w:shd w:val="clear" w:color="auto" w:fill="FFFFFF"/>
        </w:rPr>
        <w:t>Gastroc</w:t>
      </w:r>
      <w:proofErr w:type="spellEnd"/>
    </w:p>
    <w:p w:rsidR="005D0364" w:rsidRDefault="005D0364"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E. Quad</w:t>
      </w:r>
    </w:p>
    <w:p w:rsidR="005D0364" w:rsidRDefault="005D0364" w:rsidP="00B56108">
      <w:pPr>
        <w:pStyle w:val="ListParagraph"/>
        <w:numPr>
          <w:ilvl w:val="1"/>
          <w:numId w:val="4"/>
        </w:numPr>
        <w:rPr>
          <w:rFonts w:ascii="Arial" w:eastAsia="Times New Roman" w:hAnsi="Arial" w:cs="Arial"/>
          <w:bCs/>
          <w:color w:val="252525"/>
          <w:sz w:val="24"/>
          <w:szCs w:val="24"/>
          <w:shd w:val="clear" w:color="auto" w:fill="FFFFFF"/>
        </w:rPr>
      </w:pP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E2"/>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B6B1A"/>
    <w:rsid w:val="000C06E4"/>
    <w:rsid w:val="000C7114"/>
    <w:rsid w:val="000D1C70"/>
    <w:rsid w:val="000D33C2"/>
    <w:rsid w:val="000D7218"/>
    <w:rsid w:val="000E22D4"/>
    <w:rsid w:val="001001E2"/>
    <w:rsid w:val="00101E97"/>
    <w:rsid w:val="00107C65"/>
    <w:rsid w:val="001107E7"/>
    <w:rsid w:val="00110E14"/>
    <w:rsid w:val="001122D0"/>
    <w:rsid w:val="00124B57"/>
    <w:rsid w:val="001338A1"/>
    <w:rsid w:val="0013608F"/>
    <w:rsid w:val="00140695"/>
    <w:rsid w:val="00143D60"/>
    <w:rsid w:val="00155C21"/>
    <w:rsid w:val="0016027B"/>
    <w:rsid w:val="0016217D"/>
    <w:rsid w:val="00162C3D"/>
    <w:rsid w:val="00173B60"/>
    <w:rsid w:val="00185DC4"/>
    <w:rsid w:val="001B4F84"/>
    <w:rsid w:val="001C2003"/>
    <w:rsid w:val="001C3744"/>
    <w:rsid w:val="001C4117"/>
    <w:rsid w:val="001D5F73"/>
    <w:rsid w:val="002039BE"/>
    <w:rsid w:val="0020446A"/>
    <w:rsid w:val="0021415B"/>
    <w:rsid w:val="002247F6"/>
    <w:rsid w:val="002363E7"/>
    <w:rsid w:val="00241FE3"/>
    <w:rsid w:val="00242BA6"/>
    <w:rsid w:val="00256CB1"/>
    <w:rsid w:val="00291371"/>
    <w:rsid w:val="00294E88"/>
    <w:rsid w:val="00297F08"/>
    <w:rsid w:val="002A7B0D"/>
    <w:rsid w:val="002C3162"/>
    <w:rsid w:val="002C543A"/>
    <w:rsid w:val="002F0AFB"/>
    <w:rsid w:val="002F14B8"/>
    <w:rsid w:val="002F2BD5"/>
    <w:rsid w:val="002F5553"/>
    <w:rsid w:val="00323E7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A1E83"/>
    <w:rsid w:val="004D080E"/>
    <w:rsid w:val="004E5DF5"/>
    <w:rsid w:val="00513B38"/>
    <w:rsid w:val="00514871"/>
    <w:rsid w:val="00516F4A"/>
    <w:rsid w:val="005228A3"/>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D0364"/>
    <w:rsid w:val="005E1986"/>
    <w:rsid w:val="005E56B3"/>
    <w:rsid w:val="00605381"/>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12FE"/>
    <w:rsid w:val="006B46F1"/>
    <w:rsid w:val="006C329F"/>
    <w:rsid w:val="006D4153"/>
    <w:rsid w:val="006D4402"/>
    <w:rsid w:val="006E4D96"/>
    <w:rsid w:val="006E7F9A"/>
    <w:rsid w:val="006F4F34"/>
    <w:rsid w:val="00700D6E"/>
    <w:rsid w:val="0070707F"/>
    <w:rsid w:val="00713A20"/>
    <w:rsid w:val="007204F4"/>
    <w:rsid w:val="00721138"/>
    <w:rsid w:val="007215A1"/>
    <w:rsid w:val="0072729E"/>
    <w:rsid w:val="0074110F"/>
    <w:rsid w:val="007418F7"/>
    <w:rsid w:val="00751C67"/>
    <w:rsid w:val="0076090A"/>
    <w:rsid w:val="00767AF7"/>
    <w:rsid w:val="00775CCF"/>
    <w:rsid w:val="00780EFC"/>
    <w:rsid w:val="00785905"/>
    <w:rsid w:val="00791E62"/>
    <w:rsid w:val="0079352E"/>
    <w:rsid w:val="007A25BB"/>
    <w:rsid w:val="007C1191"/>
    <w:rsid w:val="007C42A7"/>
    <w:rsid w:val="007E6BDC"/>
    <w:rsid w:val="007F757D"/>
    <w:rsid w:val="0080440A"/>
    <w:rsid w:val="00805B4A"/>
    <w:rsid w:val="00811C77"/>
    <w:rsid w:val="00816EAE"/>
    <w:rsid w:val="00832399"/>
    <w:rsid w:val="00833001"/>
    <w:rsid w:val="00854154"/>
    <w:rsid w:val="00856746"/>
    <w:rsid w:val="0086639D"/>
    <w:rsid w:val="00870106"/>
    <w:rsid w:val="00870582"/>
    <w:rsid w:val="008827DB"/>
    <w:rsid w:val="00882AFD"/>
    <w:rsid w:val="00890E1E"/>
    <w:rsid w:val="008A2A86"/>
    <w:rsid w:val="008A33CB"/>
    <w:rsid w:val="008A3A9E"/>
    <w:rsid w:val="008A5B4F"/>
    <w:rsid w:val="008D55E7"/>
    <w:rsid w:val="008F4740"/>
    <w:rsid w:val="00904B08"/>
    <w:rsid w:val="00921852"/>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B5809"/>
    <w:rsid w:val="009B72AA"/>
    <w:rsid w:val="009C1D03"/>
    <w:rsid w:val="009C500E"/>
    <w:rsid w:val="009D7A95"/>
    <w:rsid w:val="009E3F34"/>
    <w:rsid w:val="009E7C30"/>
    <w:rsid w:val="009F33C1"/>
    <w:rsid w:val="00A03B44"/>
    <w:rsid w:val="00A04B22"/>
    <w:rsid w:val="00A12978"/>
    <w:rsid w:val="00A1368C"/>
    <w:rsid w:val="00A178B0"/>
    <w:rsid w:val="00A23432"/>
    <w:rsid w:val="00A260A5"/>
    <w:rsid w:val="00A33F17"/>
    <w:rsid w:val="00A44067"/>
    <w:rsid w:val="00A472B9"/>
    <w:rsid w:val="00A67F3B"/>
    <w:rsid w:val="00A81F07"/>
    <w:rsid w:val="00A82049"/>
    <w:rsid w:val="00A842D0"/>
    <w:rsid w:val="00AA3B97"/>
    <w:rsid w:val="00AD0E09"/>
    <w:rsid w:val="00AD2F62"/>
    <w:rsid w:val="00B0274F"/>
    <w:rsid w:val="00B24465"/>
    <w:rsid w:val="00B35BCF"/>
    <w:rsid w:val="00B42A35"/>
    <w:rsid w:val="00B53907"/>
    <w:rsid w:val="00B53F07"/>
    <w:rsid w:val="00B56108"/>
    <w:rsid w:val="00B65AA3"/>
    <w:rsid w:val="00B76A05"/>
    <w:rsid w:val="00B770A3"/>
    <w:rsid w:val="00B81781"/>
    <w:rsid w:val="00B826DB"/>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F5AB0"/>
    <w:rsid w:val="00C00473"/>
    <w:rsid w:val="00C077BB"/>
    <w:rsid w:val="00C12504"/>
    <w:rsid w:val="00C36CEE"/>
    <w:rsid w:val="00C42403"/>
    <w:rsid w:val="00C42D20"/>
    <w:rsid w:val="00C759DA"/>
    <w:rsid w:val="00C77779"/>
    <w:rsid w:val="00C87256"/>
    <w:rsid w:val="00CD749F"/>
    <w:rsid w:val="00CE2582"/>
    <w:rsid w:val="00CF4BA0"/>
    <w:rsid w:val="00CF7E7A"/>
    <w:rsid w:val="00D03402"/>
    <w:rsid w:val="00D1389B"/>
    <w:rsid w:val="00D15637"/>
    <w:rsid w:val="00D3376A"/>
    <w:rsid w:val="00D37D8D"/>
    <w:rsid w:val="00D4568B"/>
    <w:rsid w:val="00D477FA"/>
    <w:rsid w:val="00D54710"/>
    <w:rsid w:val="00D57F86"/>
    <w:rsid w:val="00D6081C"/>
    <w:rsid w:val="00D65458"/>
    <w:rsid w:val="00D75AAA"/>
    <w:rsid w:val="00D76474"/>
    <w:rsid w:val="00D76931"/>
    <w:rsid w:val="00D85F9A"/>
    <w:rsid w:val="00D86C4E"/>
    <w:rsid w:val="00D91231"/>
    <w:rsid w:val="00D92143"/>
    <w:rsid w:val="00D93722"/>
    <w:rsid w:val="00D94063"/>
    <w:rsid w:val="00DA3811"/>
    <w:rsid w:val="00DA4D7F"/>
    <w:rsid w:val="00DA4E23"/>
    <w:rsid w:val="00DB67D0"/>
    <w:rsid w:val="00DB78B8"/>
    <w:rsid w:val="00DC3AA4"/>
    <w:rsid w:val="00DD4FBF"/>
    <w:rsid w:val="00DE60AB"/>
    <w:rsid w:val="00DF0439"/>
    <w:rsid w:val="00DF0723"/>
    <w:rsid w:val="00DF144A"/>
    <w:rsid w:val="00E03A00"/>
    <w:rsid w:val="00E05257"/>
    <w:rsid w:val="00E05968"/>
    <w:rsid w:val="00E17DE2"/>
    <w:rsid w:val="00E30211"/>
    <w:rsid w:val="00E321E1"/>
    <w:rsid w:val="00E504BF"/>
    <w:rsid w:val="00E6491D"/>
    <w:rsid w:val="00E662F3"/>
    <w:rsid w:val="00E828A8"/>
    <w:rsid w:val="00EA2C86"/>
    <w:rsid w:val="00EA30B7"/>
    <w:rsid w:val="00EA39BD"/>
    <w:rsid w:val="00EA4ADA"/>
    <w:rsid w:val="00EB67BF"/>
    <w:rsid w:val="00EB75AD"/>
    <w:rsid w:val="00EC3D9F"/>
    <w:rsid w:val="00EC3F44"/>
    <w:rsid w:val="00ED700A"/>
    <w:rsid w:val="00EE44CC"/>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3373"/>
    <w:rsid w:val="00FA578B"/>
    <w:rsid w:val="00FA737E"/>
    <w:rsid w:val="00FB4F43"/>
    <w:rsid w:val="00FB7448"/>
    <w:rsid w:val="00FD02B0"/>
    <w:rsid w:val="00FD3697"/>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47F9-68EA-4149-8F9F-7862C5146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13923</Words>
  <Characters>79364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312</cp:revision>
  <dcterms:created xsi:type="dcterms:W3CDTF">2020-05-06T19:29:00Z</dcterms:created>
  <dcterms:modified xsi:type="dcterms:W3CDTF">2020-05-28T15:33:00Z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