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D6081C" w:rsidRPr="008A7B1D" w:rsidRDefault="00D6081C"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Generating liver-specific AMPK</w:t>
      </w:r>
      <w:r w:rsidR="00993B14" w:rsidRPr="008A7B1D">
        <w:rPr>
          <w:rFonts w:ascii="Arial" w:eastAsia="Times New Roman" w:hAnsi="Arial" w:cs="Arial"/>
          <w:b/>
          <w:bCs/>
          <w:color w:val="252525"/>
          <w:sz w:val="24"/>
          <w:szCs w:val="24"/>
          <w:shd w:val="clear" w:color="auto" w:fill="FFFFFF"/>
        </w:rPr>
        <w:t xml:space="preserve"> </w:t>
      </w:r>
      <m:oMath>
        <m:r>
          <m:rPr>
            <m:sty m:val="bi"/>
          </m:rPr>
          <w:rPr>
            <w:rFonts w:ascii="Cambria Math" w:eastAsia="Times New Roman" w:hAnsi="Cambria Math" w:cs="Arial"/>
            <w:color w:val="252525"/>
            <w:sz w:val="24"/>
            <w:szCs w:val="24"/>
            <w:shd w:val="clear" w:color="auto" w:fill="FFFFFF"/>
          </w:rPr>
          <m:t>α</m:t>
        </m:r>
      </m:oMath>
      <w:r w:rsidR="000243BD" w:rsidRPr="008A7B1D">
        <w:rPr>
          <w:rFonts w:ascii="Arial" w:eastAsia="Times New Roman" w:hAnsi="Arial" w:cs="Arial"/>
          <w:b/>
          <w:bCs/>
          <w:color w:val="252525"/>
          <w:sz w:val="24"/>
          <w:szCs w:val="24"/>
          <w:shd w:val="clear" w:color="auto" w:fill="FFFFFF"/>
        </w:rPr>
        <w:t>1/</w:t>
      </w:r>
      <w:r w:rsidRPr="008A7B1D">
        <w:rPr>
          <w:rFonts w:ascii="Arial" w:eastAsia="Times New Roman" w:hAnsi="Arial" w:cs="Arial"/>
          <w:b/>
          <w:bCs/>
          <w:color w:val="252525"/>
          <w:sz w:val="24"/>
          <w:szCs w:val="24"/>
          <w:shd w:val="clear" w:color="auto" w:fill="FFFFFF"/>
        </w:rPr>
        <w:t>2 knockout mice</w:t>
      </w:r>
    </w:p>
    <w:p w:rsidR="008A7B1D" w:rsidRPr="0091174E"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A82049" w:rsidRDefault="00A82049" w:rsidP="008A7B1D">
      <w:pPr>
        <w:spacing w:line="240" w:lineRule="auto"/>
        <w:ind w:firstLine="720"/>
        <w:contextualSpacing/>
        <w:jc w:val="left"/>
        <w:rPr>
          <w:rFonts w:ascii="Arial" w:eastAsia="Times New Roman" w:hAnsi="Arial" w:cs="Arial"/>
          <w:color w:val="000000"/>
          <w:sz w:val="24"/>
          <w:szCs w:val="24"/>
          <w:shd w:val="clear" w:color="auto" w:fill="FFFFFF"/>
        </w:rPr>
      </w:pPr>
      <w:r w:rsidRPr="0091174E">
        <w:rPr>
          <w:rFonts w:ascii="Arial" w:eastAsia="Times New Roman" w:hAnsi="Arial" w:cs="Arial"/>
          <w:color w:val="2E2E2E"/>
          <w:sz w:val="24"/>
          <w:szCs w:val="24"/>
        </w:rPr>
        <w:t>Mice (C5</w:t>
      </w:r>
      <w:r w:rsidR="00EA39BD" w:rsidRPr="0091174E">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91174E">
        <w:rPr>
          <w:rFonts w:ascii="Arial" w:eastAsia="Times New Roman" w:hAnsi="Arial" w:cs="Arial"/>
          <w:color w:val="000000"/>
          <w:sz w:val="24"/>
          <w:szCs w:val="24"/>
          <w:shd w:val="clear" w:color="auto" w:fill="FFFFFF"/>
        </w:rPr>
        <w:t>(Lab Diet; 2.91 kcal/g; 5% fat, 24% protein, 2.7% sucrose, 32% starch)</w:t>
      </w:r>
      <w:r w:rsidR="00EA39BD" w:rsidRPr="0091174E">
        <w:rPr>
          <w:rFonts w:ascii="Arial" w:eastAsia="Times New Roman" w:hAnsi="Arial" w:cs="Arial"/>
          <w:color w:val="2E2E2E"/>
          <w:sz w:val="24"/>
          <w:szCs w:val="24"/>
        </w:rPr>
        <w:t xml:space="preserve">. </w:t>
      </w:r>
      <w:r w:rsidR="00EA39BD" w:rsidRPr="0091174E">
        <w:rPr>
          <w:rFonts w:ascii="Arial" w:eastAsia="Times New Roman" w:hAnsi="Arial" w:cs="Arial"/>
          <w:color w:val="FF0000"/>
          <w:sz w:val="24"/>
          <w:szCs w:val="24"/>
        </w:rPr>
        <w:t xml:space="preserve">Animal use was </w:t>
      </w:r>
      <w:r w:rsidR="00816EAE" w:rsidRPr="0091174E">
        <w:rPr>
          <w:rFonts w:ascii="Arial" w:eastAsia="Times New Roman" w:hAnsi="Arial" w:cs="Arial"/>
          <w:color w:val="FF0000"/>
          <w:sz w:val="24"/>
          <w:szCs w:val="24"/>
        </w:rPr>
        <w:t xml:space="preserve">performed in accordance </w:t>
      </w:r>
      <w:r w:rsidR="00EA39BD" w:rsidRPr="0091174E">
        <w:rPr>
          <w:rFonts w:ascii="Arial" w:eastAsia="Times New Roman" w:hAnsi="Arial" w:cs="Arial"/>
          <w:color w:val="FF0000"/>
          <w:sz w:val="24"/>
          <w:szCs w:val="24"/>
        </w:rPr>
        <w:t xml:space="preserve">with the Institute of Laboratory Animal Research </w:t>
      </w:r>
      <w:r w:rsidR="00EA39BD" w:rsidRPr="0091174E">
        <w:rPr>
          <w:rFonts w:ascii="Arial" w:eastAsia="Times New Roman" w:hAnsi="Arial" w:cs="Arial"/>
          <w:b/>
          <w:i/>
          <w:color w:val="FF0000"/>
          <w:sz w:val="24"/>
          <w:szCs w:val="24"/>
        </w:rPr>
        <w:t xml:space="preserve">Guide for the Care and Use of Laboratory Animals </w:t>
      </w:r>
      <w:r w:rsidR="00EA39BD" w:rsidRPr="0091174E">
        <w:rPr>
          <w:rFonts w:ascii="Arial" w:eastAsia="Times New Roman" w:hAnsi="Arial" w:cs="Arial"/>
          <w:color w:val="FF0000"/>
          <w:sz w:val="24"/>
          <w:szCs w:val="24"/>
        </w:rPr>
        <w:t xml:space="preserve">and approved by the </w:t>
      </w:r>
      <w:r w:rsidR="004A1E83" w:rsidRPr="0091174E">
        <w:rPr>
          <w:rFonts w:ascii="Arial" w:eastAsia="Times New Roman" w:hAnsi="Arial" w:cs="Arial"/>
          <w:color w:val="FF0000"/>
          <w:sz w:val="24"/>
          <w:szCs w:val="24"/>
        </w:rPr>
        <w:t>University</w:t>
      </w:r>
      <w:r w:rsidR="00EA39BD" w:rsidRPr="0091174E">
        <w:rPr>
          <w:rFonts w:ascii="Arial" w:eastAsia="Times New Roman" w:hAnsi="Arial" w:cs="Arial"/>
          <w:color w:val="FF0000"/>
          <w:sz w:val="24"/>
          <w:szCs w:val="24"/>
        </w:rPr>
        <w:t xml:space="preserve"> Committee on Use and </w:t>
      </w:r>
      <w:r w:rsidR="004A1E83" w:rsidRPr="0091174E">
        <w:rPr>
          <w:rFonts w:ascii="Arial" w:eastAsia="Times New Roman" w:hAnsi="Arial" w:cs="Arial"/>
          <w:color w:val="FF0000"/>
          <w:sz w:val="24"/>
          <w:szCs w:val="24"/>
        </w:rPr>
        <w:t>Care of Animals a</w:t>
      </w:r>
      <w:r w:rsidR="00516F4A" w:rsidRPr="0091174E">
        <w:rPr>
          <w:rFonts w:ascii="Arial" w:eastAsia="Times New Roman" w:hAnsi="Arial" w:cs="Arial"/>
          <w:color w:val="FF0000"/>
          <w:sz w:val="24"/>
          <w:szCs w:val="24"/>
        </w:rPr>
        <w:t>t</w:t>
      </w:r>
      <w:r w:rsidR="004A1E83" w:rsidRPr="0091174E">
        <w:rPr>
          <w:rFonts w:ascii="Arial" w:eastAsia="Times New Roman" w:hAnsi="Arial" w:cs="Arial"/>
          <w:color w:val="FF0000"/>
          <w:sz w:val="24"/>
          <w:szCs w:val="24"/>
        </w:rPr>
        <w:t xml:space="preserve"> the </w:t>
      </w:r>
      <w:r w:rsidR="0065623E" w:rsidRPr="0091174E">
        <w:rPr>
          <w:rFonts w:ascii="Arial" w:eastAsia="Times New Roman" w:hAnsi="Arial" w:cs="Arial"/>
          <w:color w:val="FF0000"/>
          <w:sz w:val="24"/>
          <w:szCs w:val="24"/>
        </w:rPr>
        <w:t>University</w:t>
      </w:r>
      <w:r w:rsidR="004A1E83" w:rsidRPr="0091174E">
        <w:rPr>
          <w:rFonts w:ascii="Arial" w:eastAsia="Times New Roman" w:hAnsi="Arial" w:cs="Arial"/>
          <w:color w:val="FF0000"/>
          <w:sz w:val="24"/>
          <w:szCs w:val="24"/>
        </w:rPr>
        <w:t xml:space="preserve"> of Michigan. </w:t>
      </w:r>
      <w:r w:rsidR="004A1E83" w:rsidRPr="0091174E">
        <w:rPr>
          <w:rFonts w:ascii="Arial" w:eastAsia="Times New Roman" w:hAnsi="Arial" w:cs="Arial"/>
          <w:color w:val="2E2E2E"/>
          <w:sz w:val="24"/>
          <w:szCs w:val="24"/>
        </w:rPr>
        <w:t>Mice that</w:t>
      </w:r>
      <w:r w:rsidR="0086639D" w:rsidRPr="0091174E">
        <w:rPr>
          <w:rFonts w:ascii="Arial" w:eastAsia="Times New Roman" w:hAnsi="Arial" w:cs="Arial"/>
          <w:bCs/>
          <w:color w:val="252525"/>
          <w:sz w:val="24"/>
          <w:szCs w:val="24"/>
          <w:shd w:val="clear" w:color="auto" w:fill="FFFFFF"/>
        </w:rPr>
        <w:t xml:space="preserve"> harbored homozygous, </w:t>
      </w:r>
      <w:proofErr w:type="spellStart"/>
      <w:r w:rsidR="0086639D" w:rsidRPr="0091174E">
        <w:rPr>
          <w:rFonts w:ascii="Arial" w:eastAsia="Times New Roman" w:hAnsi="Arial" w:cs="Arial"/>
          <w:bCs/>
          <w:color w:val="252525"/>
          <w:sz w:val="24"/>
          <w:szCs w:val="24"/>
          <w:shd w:val="clear" w:color="auto" w:fill="FFFFFF"/>
        </w:rPr>
        <w:t>floxed</w:t>
      </w:r>
      <w:proofErr w:type="spellEnd"/>
      <w:r w:rsidR="0086639D" w:rsidRPr="0091174E">
        <w:rPr>
          <w:rFonts w:ascii="Arial" w:eastAsia="Times New Roman" w:hAnsi="Arial" w:cs="Arial"/>
          <w:bCs/>
          <w:color w:val="252525"/>
          <w:sz w:val="24"/>
          <w:szCs w:val="24"/>
          <w:shd w:val="clear" w:color="auto" w:fill="FFFFFF"/>
        </w:rPr>
        <w:t xml:space="preserve"> alleles for both AMPK a1 and a2 were</w:t>
      </w:r>
      <w:r w:rsidR="00487286" w:rsidRPr="0091174E">
        <w:rPr>
          <w:rFonts w:ascii="Arial" w:eastAsia="Times New Roman" w:hAnsi="Arial" w:cs="Arial"/>
          <w:bCs/>
          <w:color w:val="252525"/>
          <w:sz w:val="24"/>
          <w:szCs w:val="24"/>
          <w:shd w:val="clear" w:color="auto" w:fill="FFFFFF"/>
        </w:rPr>
        <w:t xml:space="preserve"> generated by S. Morrison </w:t>
      </w:r>
      <w:r w:rsidR="00487286" w:rsidRPr="0091174E">
        <w:rPr>
          <w:rFonts w:ascii="Arial" w:hAnsi="Arial" w:cs="Arial"/>
          <w:color w:val="000000"/>
          <w:sz w:val="24"/>
          <w:szCs w:val="24"/>
          <w:shd w:val="clear" w:color="auto" w:fill="FFFFFF"/>
        </w:rPr>
        <w:t xml:space="preserve">(UT Southwestern Medical Center) as described </w:t>
      </w:r>
      <w:r w:rsidR="00081C9D" w:rsidRPr="0091174E">
        <w:rPr>
          <w:rFonts w:ascii="Arial" w:hAnsi="Arial" w:cs="Arial"/>
          <w:color w:val="000000"/>
          <w:sz w:val="24"/>
          <w:szCs w:val="24"/>
          <w:shd w:val="clear" w:color="auto" w:fill="FFFFFF"/>
        </w:rPr>
        <w:fldChar w:fldCharType="begin" w:fldLock="1"/>
      </w:r>
      <w:r w:rsidR="00081C9D" w:rsidRPr="0091174E">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1</w:t>
      </w:r>
      <w:r w:rsidR="00081C9D" w:rsidRPr="0091174E">
        <w:rPr>
          <w:rFonts w:ascii="Arial" w:hAnsi="Arial" w:cs="Arial"/>
          <w:color w:val="000000"/>
          <w:sz w:val="24"/>
          <w:szCs w:val="24"/>
          <w:shd w:val="clear" w:color="auto" w:fill="FFFFFF"/>
        </w:rPr>
        <w:fldChar w:fldCharType="end"/>
      </w:r>
      <w:r w:rsidR="00487286" w:rsidRPr="0091174E">
        <w:rPr>
          <w:rFonts w:ascii="Arial" w:hAnsi="Arial" w:cs="Arial"/>
          <w:color w:val="000000"/>
          <w:sz w:val="24"/>
          <w:szCs w:val="24"/>
          <w:shd w:val="clear" w:color="auto" w:fill="FFFFFF"/>
        </w:rPr>
        <w:t xml:space="preserve"> </w:t>
      </w:r>
      <w:r w:rsidR="00D03402" w:rsidRPr="0091174E">
        <w:rPr>
          <w:rFonts w:ascii="Arial" w:hAnsi="Arial" w:cs="Arial"/>
          <w:color w:val="000000"/>
          <w:sz w:val="24"/>
          <w:szCs w:val="24"/>
          <w:shd w:val="clear" w:color="auto" w:fill="FFFFFF"/>
        </w:rPr>
        <w:t>and shared by K. Inoki (University of Michigan Medical School)</w:t>
      </w:r>
      <w:r w:rsidR="00081C9D" w:rsidRPr="0091174E">
        <w:rPr>
          <w:rFonts w:ascii="Arial" w:hAnsi="Arial" w:cs="Arial"/>
          <w:color w:val="000000"/>
          <w:sz w:val="24"/>
          <w:szCs w:val="24"/>
          <w:shd w:val="clear" w:color="auto" w:fill="FFFFFF"/>
        </w:rPr>
        <w:fldChar w:fldCharType="begin" w:fldLock="1"/>
      </w:r>
      <w:r w:rsidR="008D55E7" w:rsidRPr="0091174E">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2</w:t>
      </w:r>
      <w:r w:rsidR="00081C9D" w:rsidRPr="0091174E">
        <w:rPr>
          <w:rFonts w:ascii="Arial" w:hAnsi="Arial" w:cs="Arial"/>
          <w:color w:val="000000"/>
          <w:sz w:val="24"/>
          <w:szCs w:val="24"/>
          <w:shd w:val="clear" w:color="auto" w:fill="FFFFFF"/>
        </w:rPr>
        <w:fldChar w:fldCharType="end"/>
      </w:r>
      <w:r w:rsidR="00D03402" w:rsidRPr="0091174E">
        <w:rPr>
          <w:rFonts w:ascii="Arial" w:hAnsi="Arial" w:cs="Arial"/>
          <w:color w:val="000000"/>
          <w:sz w:val="24"/>
          <w:szCs w:val="24"/>
          <w:shd w:val="clear" w:color="auto" w:fill="FFFFFF"/>
        </w:rPr>
        <w:t xml:space="preserve">. </w:t>
      </w:r>
      <w:r w:rsidR="000243BD" w:rsidRPr="0091174E">
        <w:rPr>
          <w:rFonts w:ascii="Arial" w:eastAsia="Times New Roman" w:hAnsi="Arial" w:cs="Arial"/>
          <w:color w:val="2E2E2E"/>
          <w:sz w:val="24"/>
          <w:szCs w:val="24"/>
        </w:rPr>
        <w:t xml:space="preserve">To produce liver-specific </w:t>
      </w:r>
      <w:r w:rsidR="000243BD" w:rsidRPr="0091174E">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91174E">
        <w:rPr>
          <w:rFonts w:ascii="Arial" w:eastAsia="Times New Roman" w:hAnsi="Arial" w:cs="Arial"/>
          <w:bCs/>
          <w:color w:val="252525"/>
          <w:sz w:val="24"/>
          <w:szCs w:val="24"/>
          <w:shd w:val="clear" w:color="auto" w:fill="FFFFFF"/>
        </w:rPr>
        <w:t xml:space="preserve"> </w:t>
      </w:r>
      <w:r w:rsidR="000243BD" w:rsidRPr="0091174E">
        <w:rPr>
          <w:rFonts w:ascii="Arial" w:eastAsia="Times New Roman" w:hAnsi="Arial" w:cs="Arial"/>
          <w:bCs/>
          <w:color w:val="252525"/>
          <w:sz w:val="24"/>
          <w:szCs w:val="24"/>
          <w:shd w:val="clear" w:color="auto" w:fill="FFFFFF"/>
        </w:rPr>
        <w:t>1/2 knockout mice</w:t>
      </w:r>
      <w:r w:rsidR="000243BD" w:rsidRPr="0091174E">
        <w:rPr>
          <w:rFonts w:ascii="Arial" w:eastAsia="Times New Roman" w:hAnsi="Arial" w:cs="Arial"/>
          <w:color w:val="2E2E2E"/>
          <w:sz w:val="24"/>
          <w:szCs w:val="24"/>
        </w:rPr>
        <w:t>,</w:t>
      </w:r>
      <w:r w:rsidR="0086639D" w:rsidRPr="0091174E">
        <w:rPr>
          <w:rFonts w:ascii="Arial" w:eastAsia="Times New Roman" w:hAnsi="Arial" w:cs="Arial"/>
          <w:color w:val="2E2E2E"/>
          <w:sz w:val="24"/>
          <w:szCs w:val="24"/>
        </w:rPr>
        <w:t xml:space="preserve"> at 70 days old</w:t>
      </w:r>
      <w:r w:rsidR="000243BD" w:rsidRPr="0091174E">
        <w:rPr>
          <w:rFonts w:ascii="Arial" w:eastAsia="Times New Roman" w:hAnsi="Arial" w:cs="Arial"/>
          <w:color w:val="2E2E2E"/>
          <w:sz w:val="24"/>
          <w:szCs w:val="24"/>
        </w:rPr>
        <w:t xml:space="preserve"> </w:t>
      </w:r>
      <w:r w:rsidR="0086639D" w:rsidRPr="0091174E">
        <w:rPr>
          <w:rFonts w:ascii="Arial" w:eastAsia="Times New Roman" w:hAnsi="Arial" w:cs="Arial"/>
          <w:bCs/>
          <w:color w:val="252525"/>
          <w:sz w:val="24"/>
          <w:szCs w:val="24"/>
          <w:shd w:val="clear" w:color="auto" w:fill="FFFFFF"/>
        </w:rPr>
        <w:t>these mice were</w:t>
      </w:r>
      <w:r w:rsidR="0072729E" w:rsidRPr="0091174E">
        <w:rPr>
          <w:rFonts w:ascii="Arial" w:eastAsia="Times New Roman" w:hAnsi="Arial" w:cs="Arial"/>
          <w:bCs/>
          <w:color w:val="252525"/>
          <w:sz w:val="24"/>
          <w:szCs w:val="24"/>
          <w:shd w:val="clear" w:color="auto" w:fill="FFFFFF"/>
        </w:rPr>
        <w:t xml:space="preserve"> </w:t>
      </w:r>
      <w:r w:rsidR="0021415B" w:rsidRPr="0091174E">
        <w:rPr>
          <w:rFonts w:ascii="Arial" w:eastAsia="Times New Roman" w:hAnsi="Arial" w:cs="Arial"/>
          <w:bCs/>
          <w:color w:val="252525"/>
          <w:sz w:val="24"/>
          <w:szCs w:val="24"/>
          <w:shd w:val="clear" w:color="auto" w:fill="FFFFFF"/>
        </w:rPr>
        <w:t>i</w:t>
      </w:r>
      <w:r w:rsidR="00077072" w:rsidRPr="0091174E">
        <w:rPr>
          <w:rFonts w:ascii="Arial" w:eastAsia="Times New Roman" w:hAnsi="Arial" w:cs="Arial"/>
          <w:bCs/>
          <w:color w:val="252525"/>
          <w:sz w:val="24"/>
          <w:szCs w:val="24"/>
          <w:shd w:val="clear" w:color="auto" w:fill="FFFFFF"/>
        </w:rPr>
        <w:t>n</w:t>
      </w:r>
      <w:r w:rsidR="001107E7" w:rsidRPr="0091174E">
        <w:rPr>
          <w:rFonts w:ascii="Arial" w:eastAsia="Times New Roman" w:hAnsi="Arial" w:cs="Arial"/>
          <w:bCs/>
          <w:color w:val="252525"/>
          <w:sz w:val="24"/>
          <w:szCs w:val="24"/>
          <w:shd w:val="clear" w:color="auto" w:fill="FFFFFF"/>
        </w:rPr>
        <w:t>jected through the tail vein</w:t>
      </w:r>
      <w:r w:rsidR="00077072" w:rsidRPr="0091174E">
        <w:rPr>
          <w:rFonts w:ascii="Arial" w:eastAsia="Times New Roman" w:hAnsi="Arial" w:cs="Arial"/>
          <w:bCs/>
          <w:color w:val="252525"/>
          <w:sz w:val="24"/>
          <w:szCs w:val="24"/>
          <w:shd w:val="clear" w:color="auto" w:fill="FFFFFF"/>
        </w:rPr>
        <w:t xml:space="preserve"> </w:t>
      </w:r>
      <w:r w:rsidR="00077072" w:rsidRPr="0091174E">
        <w:rPr>
          <w:rFonts w:ascii="Arial" w:eastAsia="Times New Roman" w:hAnsi="Arial" w:cs="Arial"/>
          <w:color w:val="000000"/>
          <w:sz w:val="24"/>
          <w:szCs w:val="24"/>
          <w:shd w:val="clear" w:color="auto" w:fill="FFFFFF"/>
        </w:rPr>
        <w:t>with adeno-associated virus expressing either GFP (</w:t>
      </w:r>
      <w:r w:rsidR="00870106" w:rsidRPr="0091174E">
        <w:rPr>
          <w:rFonts w:ascii="Arial" w:hAnsi="Arial" w:cs="Arial"/>
          <w:color w:val="000000"/>
          <w:sz w:val="24"/>
          <w:szCs w:val="24"/>
          <w:shd w:val="clear" w:color="auto" w:fill="FFFFFF"/>
        </w:rPr>
        <w:t xml:space="preserve">AAV8-TBG.PI.eGFP.WPRE. </w:t>
      </w:r>
      <w:proofErr w:type="spellStart"/>
      <w:r w:rsidR="00870106" w:rsidRPr="0091174E">
        <w:rPr>
          <w:rFonts w:ascii="Arial" w:hAnsi="Arial" w:cs="Arial"/>
          <w:color w:val="000000"/>
          <w:sz w:val="24"/>
          <w:szCs w:val="24"/>
          <w:shd w:val="clear" w:color="auto" w:fill="FFFFFF"/>
        </w:rPr>
        <w:t>bGH</w:t>
      </w:r>
      <w:proofErr w:type="spellEnd"/>
      <w:r w:rsidR="00077072" w:rsidRPr="0091174E">
        <w:rPr>
          <w:rFonts w:ascii="Arial" w:eastAsia="Times New Roman" w:hAnsi="Arial" w:cs="Arial"/>
          <w:color w:val="000000"/>
          <w:sz w:val="24"/>
          <w:szCs w:val="24"/>
          <w:shd w:val="clear" w:color="auto" w:fill="FFFFFF"/>
        </w:rPr>
        <w:t xml:space="preserve">) or </w:t>
      </w:r>
      <w:proofErr w:type="spellStart"/>
      <w:r w:rsidR="00077072" w:rsidRPr="0091174E">
        <w:rPr>
          <w:rFonts w:ascii="Arial" w:eastAsia="Times New Roman" w:hAnsi="Arial" w:cs="Arial"/>
          <w:color w:val="000000"/>
          <w:sz w:val="24"/>
          <w:szCs w:val="24"/>
          <w:shd w:val="clear" w:color="auto" w:fill="FFFFFF"/>
        </w:rPr>
        <w:t>C</w:t>
      </w:r>
      <w:r w:rsidR="00FD3879" w:rsidRPr="0091174E">
        <w:rPr>
          <w:rFonts w:ascii="Arial" w:eastAsia="Times New Roman" w:hAnsi="Arial" w:cs="Arial"/>
          <w:color w:val="000000"/>
          <w:sz w:val="24"/>
          <w:szCs w:val="24"/>
          <w:shd w:val="clear" w:color="auto" w:fill="FFFFFF"/>
        </w:rPr>
        <w:t>re</w:t>
      </w:r>
      <w:proofErr w:type="spellEnd"/>
      <w:r w:rsidR="00077072" w:rsidRPr="0091174E">
        <w:rPr>
          <w:rFonts w:ascii="Arial" w:eastAsia="Times New Roman" w:hAnsi="Arial" w:cs="Arial"/>
          <w:color w:val="000000"/>
          <w:sz w:val="24"/>
          <w:szCs w:val="24"/>
          <w:shd w:val="clear" w:color="auto" w:fill="FFFFFF"/>
        </w:rPr>
        <w:t xml:space="preserve"> recombinase</w:t>
      </w:r>
      <w:r w:rsidR="003835C6" w:rsidRPr="0091174E">
        <w:rPr>
          <w:rFonts w:ascii="Arial" w:eastAsia="Times New Roman" w:hAnsi="Arial" w:cs="Arial"/>
          <w:color w:val="000000"/>
          <w:sz w:val="24"/>
          <w:szCs w:val="24"/>
          <w:shd w:val="clear" w:color="auto" w:fill="FFFFFF"/>
        </w:rPr>
        <w:t xml:space="preserve"> </w:t>
      </w:r>
      <w:r w:rsidR="0076090A" w:rsidRPr="0091174E">
        <w:rPr>
          <w:rFonts w:ascii="Arial" w:eastAsia="Times New Roman" w:hAnsi="Arial" w:cs="Arial"/>
          <w:color w:val="000000"/>
          <w:sz w:val="24"/>
          <w:szCs w:val="24"/>
          <w:shd w:val="clear" w:color="auto" w:fill="FFFFFF"/>
        </w:rPr>
        <w:t>(</w:t>
      </w:r>
      <w:r w:rsidR="0076090A" w:rsidRPr="0091174E">
        <w:rPr>
          <w:rFonts w:ascii="Arial" w:hAnsi="Arial" w:cs="Arial"/>
          <w:color w:val="000000"/>
          <w:sz w:val="24"/>
          <w:szCs w:val="24"/>
          <w:shd w:val="clear" w:color="auto" w:fill="FFFFFF"/>
        </w:rPr>
        <w:t>AAV8.TBG.PPI.Cre.rBG</w:t>
      </w:r>
      <w:r w:rsidR="0076090A" w:rsidRPr="0091174E">
        <w:rPr>
          <w:rFonts w:ascii="Arial" w:eastAsia="Times New Roman" w:hAnsi="Arial" w:cs="Arial"/>
          <w:color w:val="000000"/>
          <w:sz w:val="24"/>
          <w:szCs w:val="24"/>
          <w:shd w:val="clear" w:color="auto" w:fill="FFFFFF"/>
        </w:rPr>
        <w:t xml:space="preserve">) </w:t>
      </w:r>
      <w:r w:rsidR="000243BD" w:rsidRPr="0091174E">
        <w:rPr>
          <w:rFonts w:ascii="Arial" w:eastAsia="Times New Roman" w:hAnsi="Arial" w:cs="Arial"/>
          <w:color w:val="000000"/>
          <w:sz w:val="24"/>
          <w:szCs w:val="24"/>
          <w:shd w:val="clear" w:color="auto" w:fill="FFFFFF"/>
        </w:rPr>
        <w:t>from a liver-</w:t>
      </w:r>
      <w:r w:rsidR="00F772BB" w:rsidRPr="0091174E">
        <w:rPr>
          <w:rFonts w:ascii="Arial" w:eastAsia="Times New Roman" w:hAnsi="Arial" w:cs="Arial"/>
          <w:color w:val="000000"/>
          <w:sz w:val="24"/>
          <w:szCs w:val="24"/>
          <w:shd w:val="clear" w:color="auto" w:fill="FFFFFF"/>
        </w:rPr>
        <w:t>specific</w:t>
      </w:r>
      <w:r w:rsidR="000243BD" w:rsidRPr="0091174E">
        <w:rPr>
          <w:rFonts w:ascii="Arial" w:eastAsia="Times New Roman" w:hAnsi="Arial" w:cs="Arial"/>
          <w:color w:val="000000"/>
          <w:sz w:val="24"/>
          <w:szCs w:val="24"/>
          <w:shd w:val="clear" w:color="auto" w:fill="FFFFFF"/>
        </w:rPr>
        <w:t xml:space="preserve"> TBG promoter </w:t>
      </w:r>
      <w:r w:rsidR="00B9762B" w:rsidRPr="0091174E">
        <w:rPr>
          <w:rFonts w:ascii="Arial" w:eastAsia="Times New Roman" w:hAnsi="Arial" w:cs="Arial"/>
          <w:color w:val="000000"/>
          <w:sz w:val="24"/>
          <w:szCs w:val="24"/>
          <w:shd w:val="clear" w:color="auto" w:fill="FFFFFF"/>
        </w:rPr>
        <w:t>(</w:t>
      </w:r>
      <w:r w:rsidR="00B9762B" w:rsidRPr="0091174E">
        <w:rPr>
          <w:rFonts w:ascii="Arial" w:hAnsi="Arial" w:cs="Arial"/>
          <w:color w:val="000000"/>
          <w:sz w:val="24"/>
          <w:szCs w:val="24"/>
          <w:shd w:val="clear" w:color="auto" w:fill="FFFFFF"/>
        </w:rPr>
        <w:t>1.5 × 10 to 10 plaque-forming units per mouse)</w:t>
      </w:r>
      <w:r w:rsidR="008F4740" w:rsidRPr="0091174E">
        <w:rPr>
          <w:rFonts w:ascii="Arial" w:hAnsi="Arial" w:cs="Arial"/>
          <w:color w:val="000000"/>
          <w:sz w:val="24"/>
          <w:szCs w:val="24"/>
          <w:shd w:val="clear" w:color="auto" w:fill="FFFFFF"/>
        </w:rPr>
        <w:t>.</w:t>
      </w:r>
      <w:r w:rsidR="00BC34B8" w:rsidRPr="0091174E">
        <w:rPr>
          <w:rFonts w:ascii="Arial" w:eastAsia="Times New Roman" w:hAnsi="Arial" w:cs="Arial"/>
          <w:color w:val="000000"/>
          <w:sz w:val="24"/>
          <w:szCs w:val="24"/>
          <w:shd w:val="clear" w:color="auto" w:fill="FFFFFF"/>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484D62"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Making Liver lysates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700D6E" w:rsidRDefault="00BB0DCA" w:rsidP="008A7B1D">
      <w:pPr>
        <w:spacing w:line="240" w:lineRule="auto"/>
        <w:ind w:firstLine="720"/>
        <w:contextualSpacing/>
        <w:jc w:val="left"/>
        <w:rPr>
          <w:rFonts w:ascii="Arial" w:eastAsia="Times New Roman" w:hAnsi="Arial" w:cs="Arial"/>
          <w:color w:val="252525"/>
          <w:sz w:val="24"/>
          <w:szCs w:val="24"/>
        </w:rPr>
      </w:pPr>
      <w:r w:rsidRPr="0091174E">
        <w:rPr>
          <w:rFonts w:ascii="Arial" w:eastAsia="Times New Roman" w:hAnsi="Arial" w:cs="Arial"/>
          <w:color w:val="000000"/>
          <w:sz w:val="24"/>
          <w:szCs w:val="24"/>
          <w:shd w:val="clear" w:color="auto" w:fill="FFFFFF"/>
        </w:rPr>
        <w:t>After harvesting liver fr</w:t>
      </w:r>
      <w:r w:rsidR="00444758" w:rsidRPr="0091174E">
        <w:rPr>
          <w:rFonts w:ascii="Arial" w:eastAsia="Times New Roman" w:hAnsi="Arial" w:cs="Arial"/>
          <w:color w:val="000000"/>
          <w:sz w:val="24"/>
          <w:szCs w:val="24"/>
          <w:shd w:val="clear" w:color="auto" w:fill="FFFFFF"/>
        </w:rPr>
        <w:t>o</w:t>
      </w:r>
      <w:r w:rsidRPr="0091174E">
        <w:rPr>
          <w:rFonts w:ascii="Arial" w:eastAsia="Times New Roman" w:hAnsi="Arial" w:cs="Arial"/>
          <w:color w:val="000000"/>
          <w:sz w:val="24"/>
          <w:szCs w:val="24"/>
          <w:shd w:val="clear" w:color="auto" w:fill="FFFFFF"/>
        </w:rPr>
        <w:t xml:space="preserve">m mice, livers were placed in an </w:t>
      </w:r>
      <w:r w:rsidR="00993B14" w:rsidRPr="0091174E">
        <w:rPr>
          <w:rFonts w:ascii="Arial" w:eastAsia="Times New Roman" w:hAnsi="Arial" w:cs="Arial"/>
          <w:color w:val="252525"/>
          <w:sz w:val="24"/>
          <w:szCs w:val="24"/>
          <w:shd w:val="clear" w:color="auto" w:fill="FFFFFF"/>
        </w:rPr>
        <w:t>Eppendorf</w:t>
      </w:r>
      <w:r w:rsidRPr="0091174E">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91174E">
        <w:rPr>
          <w:rFonts w:ascii="Arial" w:eastAsia="Times New Roman" w:hAnsi="Arial" w:cs="Arial"/>
          <w:color w:val="252525"/>
          <w:sz w:val="24"/>
          <w:szCs w:val="24"/>
          <w:shd w:val="clear" w:color="auto" w:fill="FFFFFF"/>
        </w:rPr>
        <w:t>uL</w:t>
      </w:r>
      <w:proofErr w:type="spellEnd"/>
      <w:r w:rsidRPr="0091174E">
        <w:rPr>
          <w:rFonts w:ascii="Arial" w:eastAsia="Times New Roman" w:hAnsi="Arial" w:cs="Arial"/>
          <w:color w:val="252525"/>
          <w:sz w:val="24"/>
          <w:szCs w:val="24"/>
          <w:shd w:val="clear" w:color="auto" w:fill="FFFFFF"/>
        </w:rPr>
        <w:t xml:space="preserve">/mg of RIPA buffer </w:t>
      </w:r>
      <w:r w:rsidR="006333A8" w:rsidRPr="0091174E">
        <w:rPr>
          <w:rFonts w:ascii="Arial" w:eastAsia="Times New Roman" w:hAnsi="Arial" w:cs="Arial"/>
          <w:color w:val="FF0000"/>
          <w:sz w:val="24"/>
          <w:szCs w:val="24"/>
          <w:shd w:val="clear" w:color="auto" w:fill="FFFFFF"/>
        </w:rPr>
        <w:t xml:space="preserve">(from where?) </w:t>
      </w:r>
      <w:r w:rsidRPr="0091174E">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91174E">
        <w:rPr>
          <w:rFonts w:ascii="Arial" w:eastAsia="Times New Roman" w:hAnsi="Arial" w:cs="Arial"/>
          <w:color w:val="252525"/>
          <w:sz w:val="24"/>
          <w:szCs w:val="24"/>
          <w:shd w:val="clear" w:color="auto" w:fill="FFFFFF"/>
        </w:rPr>
        <w:t>Lyser</w:t>
      </w:r>
      <w:proofErr w:type="spellEnd"/>
      <w:r w:rsidRPr="0091174E">
        <w:rPr>
          <w:rFonts w:ascii="Arial" w:eastAsia="Times New Roman" w:hAnsi="Arial" w:cs="Arial"/>
          <w:color w:val="252525"/>
          <w:sz w:val="24"/>
          <w:szCs w:val="24"/>
          <w:shd w:val="clear" w:color="auto" w:fill="FFFFFF"/>
        </w:rPr>
        <w:t xml:space="preserve"> (3 min at 25Hz). </w:t>
      </w:r>
      <w:r w:rsidR="00700D6E" w:rsidRPr="0091174E">
        <w:rPr>
          <w:rFonts w:ascii="Arial" w:eastAsia="Times New Roman" w:hAnsi="Arial" w:cs="Arial"/>
          <w:color w:val="252525"/>
          <w:sz w:val="24"/>
          <w:szCs w:val="24"/>
          <w:shd w:val="clear" w:color="auto" w:fill="FFFFFF"/>
        </w:rPr>
        <w:t xml:space="preserve">Samples were </w:t>
      </w:r>
      <w:r w:rsidR="00700D6E" w:rsidRPr="0091174E">
        <w:rPr>
          <w:rFonts w:ascii="Arial" w:eastAsia="Times New Roman" w:hAnsi="Arial" w:cs="Arial"/>
          <w:color w:val="252525"/>
          <w:sz w:val="24"/>
          <w:szCs w:val="24"/>
        </w:rPr>
        <w:t>centrifuged at 1</w:t>
      </w:r>
      <w:r w:rsidR="00D75AAA" w:rsidRPr="0091174E">
        <w:rPr>
          <w:rFonts w:ascii="Arial" w:eastAsia="Times New Roman" w:hAnsi="Arial" w:cs="Arial"/>
          <w:color w:val="252525"/>
          <w:sz w:val="24"/>
          <w:szCs w:val="24"/>
        </w:rPr>
        <w:t>4,</w:t>
      </w:r>
      <w:r w:rsidR="00700D6E" w:rsidRPr="0091174E">
        <w:rPr>
          <w:rFonts w:ascii="Arial" w:eastAsia="Times New Roman" w:hAnsi="Arial" w:cs="Arial"/>
          <w:color w:val="252525"/>
          <w:sz w:val="24"/>
          <w:szCs w:val="24"/>
        </w:rPr>
        <w:t>000 RPM at 4C for 10 min</w:t>
      </w:r>
      <w:r w:rsidR="0020446A" w:rsidRPr="0091174E">
        <w:rPr>
          <w:rFonts w:ascii="Arial" w:eastAsia="Times New Roman" w:hAnsi="Arial" w:cs="Arial"/>
          <w:color w:val="252525"/>
          <w:sz w:val="24"/>
          <w:szCs w:val="24"/>
        </w:rPr>
        <w:t xml:space="preserve">. </w:t>
      </w:r>
      <w:r w:rsidR="003E3F5F" w:rsidRPr="0091174E">
        <w:rPr>
          <w:rFonts w:ascii="Arial" w:eastAsia="Times New Roman" w:hAnsi="Arial" w:cs="Arial"/>
          <w:color w:val="252525"/>
          <w:sz w:val="24"/>
          <w:szCs w:val="24"/>
        </w:rPr>
        <w:t xml:space="preserve">160 </w:t>
      </w:r>
      <w:proofErr w:type="spellStart"/>
      <w:r w:rsidR="003E3F5F" w:rsidRPr="0091174E">
        <w:rPr>
          <w:rFonts w:ascii="Arial" w:eastAsia="Times New Roman" w:hAnsi="Arial" w:cs="Arial"/>
          <w:color w:val="252525"/>
          <w:sz w:val="24"/>
          <w:szCs w:val="24"/>
        </w:rPr>
        <w:t>uL</w:t>
      </w:r>
      <w:proofErr w:type="spellEnd"/>
      <w:r w:rsidR="003E3F5F" w:rsidRPr="0091174E">
        <w:rPr>
          <w:rFonts w:ascii="Arial" w:eastAsia="Times New Roman" w:hAnsi="Arial" w:cs="Arial"/>
          <w:color w:val="252525"/>
          <w:sz w:val="24"/>
          <w:szCs w:val="24"/>
        </w:rPr>
        <w:t xml:space="preserve"> of </w:t>
      </w:r>
      <w:r w:rsidR="00D37D8D" w:rsidRPr="0091174E">
        <w:rPr>
          <w:rFonts w:ascii="Arial" w:eastAsia="Times New Roman" w:hAnsi="Arial" w:cs="Arial"/>
          <w:color w:val="252525"/>
          <w:sz w:val="24"/>
          <w:szCs w:val="24"/>
        </w:rPr>
        <w:t>supernatant</w:t>
      </w:r>
      <w:r w:rsidR="0020446A" w:rsidRPr="0091174E">
        <w:rPr>
          <w:rFonts w:ascii="Arial" w:eastAsia="Times New Roman" w:hAnsi="Arial" w:cs="Arial"/>
          <w:color w:val="252525"/>
          <w:sz w:val="24"/>
          <w:szCs w:val="24"/>
        </w:rPr>
        <w:t xml:space="preserve"> was removed </w:t>
      </w:r>
      <w:r w:rsidR="00C12504" w:rsidRPr="0091174E">
        <w:rPr>
          <w:rFonts w:ascii="Arial" w:eastAsia="Times New Roman" w:hAnsi="Arial" w:cs="Arial"/>
          <w:color w:val="252525"/>
          <w:sz w:val="24"/>
          <w:szCs w:val="24"/>
        </w:rPr>
        <w:t xml:space="preserve">and 40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proofErr w:type="spellStart"/>
      <w:r w:rsidR="00FE69D0" w:rsidRPr="0091174E">
        <w:rPr>
          <w:rFonts w:ascii="Arial" w:eastAsia="Times New Roman" w:hAnsi="Arial" w:cs="Arial"/>
          <w:color w:val="252525"/>
          <w:sz w:val="24"/>
          <w:szCs w:val="24"/>
        </w:rPr>
        <w:t>ThermoFisher</w:t>
      </w:r>
      <w:proofErr w:type="spellEnd"/>
      <w:r w:rsidR="00FE69D0" w:rsidRPr="0091174E">
        <w:rPr>
          <w:rFonts w:ascii="Arial" w:eastAsia="Times New Roman" w:hAnsi="Arial" w:cs="Arial"/>
          <w:color w:val="252525"/>
          <w:sz w:val="24"/>
          <w:szCs w:val="24"/>
        </w:rPr>
        <w:t xml:space="preserve"> Scientific </w:t>
      </w:r>
      <w:proofErr w:type="spellStart"/>
      <w:r w:rsidR="00D75AAA" w:rsidRPr="0091174E">
        <w:rPr>
          <w:rFonts w:ascii="Arial" w:eastAsia="Times New Roman" w:hAnsi="Arial" w:cs="Arial"/>
          <w:color w:val="252525"/>
          <w:sz w:val="24"/>
          <w:szCs w:val="24"/>
        </w:rPr>
        <w:t>NuPAGE</w:t>
      </w:r>
      <w:proofErr w:type="spellEnd"/>
      <w:r w:rsidR="00D75AAA" w:rsidRPr="0091174E">
        <w:rPr>
          <w:rFonts w:ascii="Arial" w:eastAsia="Times New Roman" w:hAnsi="Arial" w:cs="Arial"/>
          <w:color w:val="252525"/>
          <w:sz w:val="24"/>
          <w:szCs w:val="24"/>
        </w:rPr>
        <w:t xml:space="preserve"> sample </w:t>
      </w:r>
      <w:r w:rsidR="00C12504" w:rsidRPr="0091174E">
        <w:rPr>
          <w:rFonts w:ascii="Arial" w:eastAsia="Times New Roman" w:hAnsi="Arial" w:cs="Arial"/>
          <w:color w:val="252525"/>
          <w:sz w:val="24"/>
          <w:szCs w:val="24"/>
        </w:rPr>
        <w:t>reducing agent</w:t>
      </w:r>
      <w:r w:rsidR="00D75AAA" w:rsidRPr="0091174E">
        <w:rPr>
          <w:rFonts w:ascii="Arial" w:eastAsia="Times New Roman" w:hAnsi="Arial" w:cs="Arial"/>
          <w:color w:val="252525"/>
          <w:sz w:val="24"/>
          <w:szCs w:val="24"/>
        </w:rPr>
        <w:t xml:space="preserve"> (10x) </w:t>
      </w:r>
      <w:r w:rsidR="00C12504" w:rsidRPr="0091174E">
        <w:rPr>
          <w:rFonts w:ascii="Arial" w:eastAsia="Times New Roman" w:hAnsi="Arial" w:cs="Arial"/>
          <w:color w:val="252525"/>
          <w:sz w:val="24"/>
          <w:szCs w:val="24"/>
        </w:rPr>
        <w:t xml:space="preserve">and 200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r w:rsidR="00FE69D0" w:rsidRPr="0091174E">
        <w:rPr>
          <w:rFonts w:ascii="Arial" w:eastAsia="Times New Roman" w:hAnsi="Arial" w:cs="Arial"/>
          <w:color w:val="252525"/>
          <w:sz w:val="24"/>
          <w:szCs w:val="24"/>
        </w:rPr>
        <w:t xml:space="preserve">Fisher Scientific </w:t>
      </w:r>
      <w:r w:rsidR="00D75AAA" w:rsidRPr="0091174E">
        <w:rPr>
          <w:rFonts w:ascii="Arial" w:eastAsia="Times New Roman" w:hAnsi="Arial" w:cs="Arial"/>
          <w:color w:val="252525"/>
          <w:sz w:val="24"/>
          <w:szCs w:val="24"/>
        </w:rPr>
        <w:t xml:space="preserve">Tris-Glycine SDS </w:t>
      </w:r>
      <w:r w:rsidR="00C12504" w:rsidRPr="0091174E">
        <w:rPr>
          <w:rFonts w:ascii="Arial" w:eastAsia="Times New Roman" w:hAnsi="Arial" w:cs="Arial"/>
          <w:color w:val="252525"/>
          <w:sz w:val="24"/>
          <w:szCs w:val="24"/>
        </w:rPr>
        <w:t xml:space="preserve">sample buffer </w:t>
      </w:r>
      <w:r w:rsidR="00D75AAA" w:rsidRPr="0091174E">
        <w:rPr>
          <w:rFonts w:ascii="Arial" w:eastAsia="Times New Roman" w:hAnsi="Arial" w:cs="Arial"/>
          <w:color w:val="252525"/>
          <w:sz w:val="24"/>
          <w:szCs w:val="24"/>
        </w:rPr>
        <w:t xml:space="preserve">(2X) </w:t>
      </w:r>
      <w:r w:rsidR="00C12504" w:rsidRPr="0091174E">
        <w:rPr>
          <w:rFonts w:ascii="Arial" w:eastAsia="Times New Roman" w:hAnsi="Arial" w:cs="Arial"/>
          <w:color w:val="252525"/>
          <w:sz w:val="24"/>
          <w:szCs w:val="24"/>
        </w:rPr>
        <w:t>w</w:t>
      </w:r>
      <w:r w:rsidR="006333A8" w:rsidRPr="0091174E">
        <w:rPr>
          <w:rFonts w:ascii="Arial" w:eastAsia="Times New Roman" w:hAnsi="Arial" w:cs="Arial"/>
          <w:color w:val="252525"/>
          <w:sz w:val="24"/>
          <w:szCs w:val="24"/>
        </w:rPr>
        <w:t>ere</w:t>
      </w:r>
      <w:r w:rsidR="00C12504" w:rsidRPr="0091174E">
        <w:rPr>
          <w:rFonts w:ascii="Arial" w:eastAsia="Times New Roman" w:hAnsi="Arial" w:cs="Arial"/>
          <w:color w:val="252525"/>
          <w:sz w:val="24"/>
          <w:szCs w:val="24"/>
        </w:rPr>
        <w:t xml:space="preserve"> added. </w:t>
      </w:r>
      <w:r w:rsidR="00A33F17" w:rsidRPr="0091174E">
        <w:rPr>
          <w:rFonts w:ascii="Arial" w:eastAsia="Times New Roman" w:hAnsi="Arial" w:cs="Arial"/>
          <w:color w:val="252525"/>
          <w:sz w:val="24"/>
          <w:szCs w:val="24"/>
        </w:rPr>
        <w:t>Samples were heated with loading buffer at 85</w:t>
      </w:r>
      <w:r w:rsidR="003F280D" w:rsidRPr="0091174E">
        <w:rPr>
          <w:rFonts w:ascii="Arial" w:eastAsia="Times New Roman" w:hAnsi="Arial" w:cs="Arial"/>
          <w:color w:val="252525"/>
          <w:sz w:val="24"/>
          <w:szCs w:val="24"/>
        </w:rPr>
        <w:t>C</w:t>
      </w:r>
      <w:r w:rsidR="00A33F17" w:rsidRPr="0091174E">
        <w:rPr>
          <w:rFonts w:ascii="Arial" w:eastAsia="Times New Roman" w:hAnsi="Arial" w:cs="Arial"/>
          <w:color w:val="252525"/>
          <w:sz w:val="24"/>
          <w:szCs w:val="24"/>
        </w:rPr>
        <w:t xml:space="preserve"> for 2 mins</w:t>
      </w:r>
      <w:r w:rsidR="00DB67D0" w:rsidRPr="0091174E">
        <w:rPr>
          <w:rFonts w:ascii="Arial" w:eastAsia="Times New Roman" w:hAnsi="Arial" w:cs="Arial"/>
          <w:color w:val="252525"/>
          <w:sz w:val="24"/>
          <w:szCs w:val="24"/>
        </w:rPr>
        <w:t xml:space="preserve"> and then snap frozen </w:t>
      </w:r>
      <w:r w:rsidR="00400A98" w:rsidRPr="0091174E">
        <w:rPr>
          <w:rFonts w:ascii="Arial" w:eastAsia="Times New Roman" w:hAnsi="Arial" w:cs="Arial"/>
          <w:color w:val="252525"/>
          <w:sz w:val="24"/>
          <w:szCs w:val="24"/>
        </w:rPr>
        <w:t>to</w:t>
      </w:r>
      <w:r w:rsidR="00DB67D0" w:rsidRPr="0091174E">
        <w:rPr>
          <w:rFonts w:ascii="Arial" w:eastAsia="Times New Roman" w:hAnsi="Arial" w:cs="Arial"/>
          <w:color w:val="252525"/>
          <w:sz w:val="24"/>
          <w:szCs w:val="24"/>
        </w:rPr>
        <w:t xml:space="preserve"> -80</w:t>
      </w:r>
      <w:r w:rsidR="003F280D" w:rsidRPr="0091174E">
        <w:rPr>
          <w:rFonts w:ascii="Arial" w:eastAsia="Times New Roman" w:hAnsi="Arial" w:cs="Arial"/>
          <w:color w:val="252525"/>
          <w:sz w:val="24"/>
          <w:szCs w:val="24"/>
        </w:rPr>
        <w:t>˚ F.</w:t>
      </w:r>
      <w:r w:rsidR="00E05257" w:rsidRPr="0091174E">
        <w:rPr>
          <w:rFonts w:ascii="Arial" w:eastAsia="Times New Roman" w:hAnsi="Arial" w:cs="Arial"/>
          <w:color w:val="252525"/>
          <w:sz w:val="24"/>
          <w:szCs w:val="24"/>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0D7218"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Western Blots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BB0DCA" w:rsidRDefault="00E05257" w:rsidP="0091174E">
      <w:pPr>
        <w:spacing w:line="240" w:lineRule="auto"/>
        <w:contextualSpacing/>
        <w:jc w:val="left"/>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91174E">
        <w:rPr>
          <w:rFonts w:ascii="Arial" w:eastAsia="Times New Roman" w:hAnsi="Arial" w:cs="Arial"/>
          <w:color w:val="000000"/>
          <w:sz w:val="24"/>
          <w:szCs w:val="24"/>
          <w:shd w:val="clear" w:color="auto" w:fill="FFFFFF"/>
        </w:rPr>
        <w:t xml:space="preserve">10 </w:t>
      </w:r>
      <w:proofErr w:type="spellStart"/>
      <w:r w:rsidR="00854154" w:rsidRPr="0091174E">
        <w:rPr>
          <w:rFonts w:ascii="Arial" w:eastAsia="Times New Roman" w:hAnsi="Arial" w:cs="Arial"/>
          <w:color w:val="000000"/>
          <w:sz w:val="24"/>
          <w:szCs w:val="24"/>
          <w:shd w:val="clear" w:color="auto" w:fill="FFFFFF"/>
        </w:rPr>
        <w:t>uL</w:t>
      </w:r>
      <w:proofErr w:type="spellEnd"/>
      <w:r w:rsidR="00854154" w:rsidRPr="0091174E">
        <w:rPr>
          <w:rFonts w:ascii="Arial" w:eastAsia="Times New Roman" w:hAnsi="Arial" w:cs="Arial"/>
          <w:color w:val="000000"/>
          <w:sz w:val="24"/>
          <w:szCs w:val="24"/>
          <w:shd w:val="clear" w:color="auto" w:fill="FFFFFF"/>
        </w:rPr>
        <w:t xml:space="preserve"> of s</w:t>
      </w:r>
      <w:r w:rsidRPr="0091174E">
        <w:rPr>
          <w:rFonts w:ascii="Arial" w:eastAsia="Times New Roman" w:hAnsi="Arial" w:cs="Arial"/>
          <w:color w:val="000000"/>
          <w:sz w:val="24"/>
          <w:szCs w:val="24"/>
          <w:shd w:val="clear" w:color="auto" w:fill="FFFFFF"/>
        </w:rPr>
        <w:t>ampl</w:t>
      </w:r>
      <w:r w:rsidR="00C87256" w:rsidRPr="0091174E">
        <w:rPr>
          <w:rFonts w:ascii="Arial" w:eastAsia="Times New Roman" w:hAnsi="Arial" w:cs="Arial"/>
          <w:color w:val="000000"/>
          <w:sz w:val="24"/>
          <w:szCs w:val="24"/>
          <w:shd w:val="clear" w:color="auto" w:fill="FFFFFF"/>
        </w:rPr>
        <w:t>es were</w:t>
      </w:r>
      <w:r w:rsidRPr="0091174E">
        <w:rPr>
          <w:rFonts w:ascii="Arial" w:eastAsia="Times New Roman" w:hAnsi="Arial" w:cs="Arial"/>
          <w:color w:val="000000"/>
          <w:sz w:val="24"/>
          <w:szCs w:val="24"/>
          <w:shd w:val="clear" w:color="auto" w:fill="FFFFFF"/>
        </w:rPr>
        <w:t xml:space="preserve"> placed in </w:t>
      </w:r>
      <w:r w:rsidR="00854154" w:rsidRPr="0091174E">
        <w:rPr>
          <w:rFonts w:ascii="Arial" w:eastAsia="Times New Roman" w:hAnsi="Arial" w:cs="Arial"/>
          <w:color w:val="000000"/>
          <w:sz w:val="24"/>
          <w:szCs w:val="24"/>
          <w:shd w:val="clear" w:color="auto" w:fill="FFFFFF"/>
        </w:rPr>
        <w:t xml:space="preserve">a </w:t>
      </w:r>
      <w:r w:rsidR="00B76A05" w:rsidRPr="0091174E">
        <w:rPr>
          <w:rFonts w:ascii="Arial" w:eastAsia="Times New Roman" w:hAnsi="Arial" w:cs="Arial"/>
          <w:color w:val="000000"/>
          <w:sz w:val="24"/>
          <w:szCs w:val="24"/>
          <w:shd w:val="clear" w:color="auto" w:fill="FFFFFF"/>
        </w:rPr>
        <w:t xml:space="preserve">Fisher Scientific </w:t>
      </w:r>
      <w:r w:rsidRPr="0091174E">
        <w:rPr>
          <w:rFonts w:ascii="Arial" w:eastAsia="Times New Roman" w:hAnsi="Arial" w:cs="Arial"/>
          <w:color w:val="000000"/>
          <w:sz w:val="24"/>
          <w:szCs w:val="24"/>
          <w:shd w:val="clear" w:color="auto" w:fill="FFFFFF"/>
        </w:rPr>
        <w:t>15 well, 4-12% Tris-glycine, 1.0 MM mini protein gel in 1x SDS running buffer</w:t>
      </w:r>
      <w:r w:rsidR="00854154" w:rsidRPr="0091174E">
        <w:rPr>
          <w:rFonts w:ascii="Arial" w:eastAsia="Times New Roman" w:hAnsi="Arial" w:cs="Arial"/>
          <w:color w:val="252525"/>
          <w:sz w:val="24"/>
          <w:szCs w:val="24"/>
          <w:shd w:val="clear" w:color="auto" w:fill="FFFFFF"/>
        </w:rPr>
        <w:t> at 125 Volts until samples and ladder reach</w:t>
      </w:r>
      <w:r w:rsidR="00A1368C" w:rsidRPr="0091174E">
        <w:rPr>
          <w:rFonts w:ascii="Arial" w:eastAsia="Times New Roman" w:hAnsi="Arial" w:cs="Arial"/>
          <w:color w:val="252525"/>
          <w:sz w:val="24"/>
          <w:szCs w:val="24"/>
          <w:shd w:val="clear" w:color="auto" w:fill="FFFFFF"/>
        </w:rPr>
        <w:t>ed</w:t>
      </w:r>
      <w:r w:rsidR="00854154" w:rsidRPr="0091174E">
        <w:rPr>
          <w:rFonts w:ascii="Arial" w:eastAsia="Times New Roman" w:hAnsi="Arial" w:cs="Arial"/>
          <w:color w:val="252525"/>
          <w:sz w:val="24"/>
          <w:szCs w:val="24"/>
          <w:shd w:val="clear" w:color="auto" w:fill="FFFFFF"/>
        </w:rPr>
        <w:t xml:space="preserve"> the bottom of the gel. </w:t>
      </w:r>
      <w:r w:rsidR="00D75AAA" w:rsidRPr="0091174E">
        <w:rPr>
          <w:rFonts w:ascii="Arial" w:eastAsia="Times New Roman" w:hAnsi="Arial" w:cs="Arial"/>
          <w:color w:val="252525"/>
          <w:sz w:val="24"/>
          <w:szCs w:val="24"/>
          <w:shd w:val="clear" w:color="auto" w:fill="FFFFFF"/>
        </w:rPr>
        <w:t>Protein was transferred to nitrocellulose paper from the gel u</w:t>
      </w:r>
      <w:r w:rsidR="005572C7" w:rsidRPr="0091174E">
        <w:rPr>
          <w:rFonts w:ascii="Arial" w:eastAsia="Times New Roman" w:hAnsi="Arial" w:cs="Arial"/>
          <w:color w:val="252525"/>
          <w:sz w:val="24"/>
          <w:szCs w:val="24"/>
          <w:shd w:val="clear" w:color="auto" w:fill="FFFFFF"/>
        </w:rPr>
        <w:t xml:space="preserve">sing a Bio-Rad Transfer Apparatus in 1X transfer buffer diluted </w:t>
      </w:r>
      <w:r w:rsidR="00A1368C" w:rsidRPr="0091174E">
        <w:rPr>
          <w:rFonts w:ascii="Arial" w:eastAsia="Times New Roman" w:hAnsi="Arial" w:cs="Arial"/>
          <w:color w:val="252525"/>
          <w:sz w:val="24"/>
          <w:szCs w:val="24"/>
          <w:shd w:val="clear" w:color="auto" w:fill="FFFFFF"/>
        </w:rPr>
        <w:t>from</w:t>
      </w:r>
      <w:r w:rsidR="005572C7" w:rsidRPr="0091174E">
        <w:rPr>
          <w:rFonts w:ascii="Arial" w:eastAsia="Times New Roman" w:hAnsi="Arial" w:cs="Arial"/>
          <w:color w:val="252525"/>
          <w:sz w:val="24"/>
          <w:szCs w:val="24"/>
          <w:shd w:val="clear" w:color="auto" w:fill="FFFFFF"/>
        </w:rPr>
        <w:t xml:space="preserve"> 10X with water and 20% methanol. </w:t>
      </w:r>
      <w:r w:rsidR="00360505" w:rsidRPr="0091174E">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91174E">
        <w:rPr>
          <w:rFonts w:ascii="Arial" w:eastAsia="Times New Roman" w:hAnsi="Arial" w:cs="Arial"/>
          <w:color w:val="252525"/>
          <w:sz w:val="24"/>
          <w:szCs w:val="24"/>
          <w:shd w:val="clear" w:color="auto" w:fill="FFFFFF"/>
        </w:rPr>
        <w:t>LI-COR</w:t>
      </w:r>
      <w:r w:rsidR="00360505" w:rsidRPr="0091174E">
        <w:rPr>
          <w:rFonts w:ascii="Arial" w:eastAsia="Times New Roman" w:hAnsi="Arial" w:cs="Arial"/>
          <w:color w:val="252525"/>
          <w:sz w:val="24"/>
          <w:szCs w:val="24"/>
          <w:shd w:val="clear" w:color="auto" w:fill="FFFFFF"/>
        </w:rPr>
        <w:t xml:space="preserve"> </w:t>
      </w:r>
      <w:r w:rsidR="009C1D03" w:rsidRPr="0091174E">
        <w:rPr>
          <w:rFonts w:ascii="Arial" w:eastAsia="Times New Roman" w:hAnsi="Arial" w:cs="Arial"/>
          <w:color w:val="252525"/>
          <w:sz w:val="24"/>
          <w:szCs w:val="24"/>
          <w:shd w:val="clear" w:color="auto" w:fill="FFFFFF"/>
        </w:rPr>
        <w:t>Revert</w:t>
      </w:r>
      <w:r w:rsidR="00360505" w:rsidRPr="0091174E">
        <w:rPr>
          <w:rFonts w:ascii="Arial" w:eastAsia="Times New Roman" w:hAnsi="Arial" w:cs="Arial"/>
          <w:color w:val="252525"/>
          <w:sz w:val="24"/>
          <w:szCs w:val="24"/>
          <w:shd w:val="clear" w:color="auto" w:fill="FFFFFF"/>
        </w:rPr>
        <w:t xml:space="preserve"> Total Protein Stain for 5 minutes</w:t>
      </w:r>
      <w:r w:rsidR="00961C21" w:rsidRPr="0091174E">
        <w:rPr>
          <w:rFonts w:ascii="Arial" w:eastAsia="Times New Roman" w:hAnsi="Arial" w:cs="Arial"/>
          <w:color w:val="252525"/>
          <w:sz w:val="24"/>
          <w:szCs w:val="24"/>
          <w:shd w:val="clear" w:color="auto" w:fill="FFFFFF"/>
        </w:rPr>
        <w:t xml:space="preserve"> and rinsed twice </w:t>
      </w:r>
      <w:r w:rsidR="00044F0D" w:rsidRPr="0091174E">
        <w:rPr>
          <w:rFonts w:ascii="Arial" w:eastAsia="Times New Roman" w:hAnsi="Arial" w:cs="Arial"/>
          <w:color w:val="252525"/>
          <w:sz w:val="24"/>
          <w:szCs w:val="24"/>
          <w:shd w:val="clear" w:color="auto" w:fill="FFFFFF"/>
        </w:rPr>
        <w:t xml:space="preserve">in </w:t>
      </w:r>
      <w:r w:rsidR="0003354F" w:rsidRPr="0091174E">
        <w:rPr>
          <w:rFonts w:ascii="Arial" w:eastAsia="Times New Roman" w:hAnsi="Arial" w:cs="Arial"/>
          <w:color w:val="252525"/>
          <w:sz w:val="24"/>
          <w:szCs w:val="24"/>
          <w:shd w:val="clear" w:color="auto" w:fill="FFFFFF"/>
        </w:rPr>
        <w:t xml:space="preserve">LI-COR </w:t>
      </w:r>
      <w:r w:rsidR="00961C21" w:rsidRPr="0091174E">
        <w:rPr>
          <w:rFonts w:ascii="Arial" w:eastAsia="Times New Roman" w:hAnsi="Arial" w:cs="Arial"/>
          <w:color w:val="252525"/>
          <w:sz w:val="24"/>
          <w:szCs w:val="24"/>
        </w:rPr>
        <w:t>revert wash solution</w:t>
      </w:r>
      <w:r w:rsidR="00C77779" w:rsidRPr="0091174E">
        <w:rPr>
          <w:rFonts w:ascii="Arial" w:eastAsia="Times New Roman" w:hAnsi="Arial" w:cs="Arial"/>
          <w:color w:val="252525"/>
          <w:sz w:val="24"/>
          <w:szCs w:val="24"/>
        </w:rPr>
        <w:t xml:space="preserve">. </w:t>
      </w:r>
      <w:r w:rsidR="002247F6" w:rsidRPr="0091174E">
        <w:rPr>
          <w:rFonts w:ascii="Arial" w:eastAsia="Times New Roman" w:hAnsi="Arial" w:cs="Arial"/>
          <w:color w:val="252525"/>
          <w:sz w:val="24"/>
          <w:szCs w:val="24"/>
        </w:rPr>
        <w:t>The blot was scanned for total protein using the L</w:t>
      </w:r>
      <w:r w:rsidR="002C543A" w:rsidRPr="0091174E">
        <w:rPr>
          <w:rFonts w:ascii="Arial" w:eastAsia="Times New Roman" w:hAnsi="Arial" w:cs="Arial"/>
          <w:color w:val="252525"/>
          <w:sz w:val="24"/>
          <w:szCs w:val="24"/>
        </w:rPr>
        <w:t>I</w:t>
      </w:r>
      <w:r w:rsidR="002247F6" w:rsidRPr="0091174E">
        <w:rPr>
          <w:rFonts w:ascii="Arial" w:eastAsia="Times New Roman" w:hAnsi="Arial" w:cs="Arial"/>
          <w:color w:val="252525"/>
          <w:sz w:val="24"/>
          <w:szCs w:val="24"/>
        </w:rPr>
        <w:t>-C</w:t>
      </w:r>
      <w:r w:rsidR="002C543A" w:rsidRPr="0091174E">
        <w:rPr>
          <w:rFonts w:ascii="Arial" w:eastAsia="Times New Roman" w:hAnsi="Arial" w:cs="Arial"/>
          <w:color w:val="252525"/>
          <w:sz w:val="24"/>
          <w:szCs w:val="24"/>
        </w:rPr>
        <w:t>OR</w:t>
      </w:r>
      <w:r w:rsidR="002247F6" w:rsidRPr="0091174E">
        <w:rPr>
          <w:rFonts w:ascii="Arial" w:eastAsia="Times New Roman" w:hAnsi="Arial" w:cs="Arial"/>
          <w:color w:val="252525"/>
          <w:sz w:val="24"/>
          <w:szCs w:val="24"/>
        </w:rPr>
        <w:t xml:space="preserve"> </w:t>
      </w:r>
      <w:r w:rsidR="002247F6" w:rsidRPr="0091174E">
        <w:rPr>
          <w:rFonts w:ascii="Arial" w:eastAsia="Times New Roman" w:hAnsi="Arial" w:cs="Arial"/>
          <w:color w:val="FF0000"/>
          <w:sz w:val="24"/>
          <w:szCs w:val="24"/>
        </w:rPr>
        <w:t>(model?)</w:t>
      </w:r>
      <w:r w:rsidR="009C1D03" w:rsidRPr="0091174E">
        <w:rPr>
          <w:rFonts w:ascii="Arial" w:eastAsia="Times New Roman" w:hAnsi="Arial" w:cs="Arial"/>
          <w:sz w:val="24"/>
          <w:szCs w:val="24"/>
        </w:rPr>
        <w:t xml:space="preserve">. </w:t>
      </w:r>
      <w:r w:rsidR="009C1D03" w:rsidRPr="0091174E">
        <w:rPr>
          <w:rFonts w:ascii="Arial" w:eastAsia="Times New Roman" w:hAnsi="Arial" w:cs="Arial"/>
          <w:color w:val="252525"/>
          <w:sz w:val="24"/>
          <w:szCs w:val="24"/>
          <w:shd w:val="clear" w:color="auto" w:fill="FFFFFF"/>
        </w:rPr>
        <w:t xml:space="preserve">Nitrocellulose was then rinsed in </w:t>
      </w:r>
      <w:r w:rsidR="002C543A" w:rsidRPr="0091174E">
        <w:rPr>
          <w:rFonts w:ascii="Arial" w:eastAsia="Times New Roman" w:hAnsi="Arial" w:cs="Arial"/>
          <w:color w:val="252525"/>
          <w:sz w:val="24"/>
          <w:szCs w:val="24"/>
          <w:shd w:val="clear" w:color="auto" w:fill="FFFFFF"/>
        </w:rPr>
        <w:t xml:space="preserve">LI-COR </w:t>
      </w:r>
      <w:r w:rsidR="009C1D03" w:rsidRPr="0091174E">
        <w:rPr>
          <w:rFonts w:ascii="Arial" w:eastAsia="Times New Roman" w:hAnsi="Arial" w:cs="Arial"/>
          <w:color w:val="252525"/>
          <w:sz w:val="24"/>
          <w:szCs w:val="24"/>
          <w:shd w:val="clear" w:color="auto" w:fill="FFFFFF"/>
        </w:rPr>
        <w:t>revert reversal solution for 5 minutes</w:t>
      </w:r>
      <w:r w:rsidR="00652AFF" w:rsidRPr="0091174E">
        <w:rPr>
          <w:rFonts w:ascii="Arial" w:eastAsia="Times New Roman" w:hAnsi="Arial" w:cs="Arial"/>
          <w:color w:val="252525"/>
          <w:sz w:val="24"/>
          <w:szCs w:val="24"/>
          <w:shd w:val="clear" w:color="auto" w:fill="FFFFFF"/>
        </w:rPr>
        <w:t xml:space="preserve"> and then rinsed in 2% BSA (2g BSA in 100ml TBST)</w:t>
      </w:r>
      <w:r w:rsidR="00436B6D" w:rsidRPr="0091174E">
        <w:rPr>
          <w:rFonts w:ascii="Arial" w:eastAsia="Times New Roman" w:hAnsi="Arial" w:cs="Arial"/>
          <w:color w:val="252525"/>
          <w:sz w:val="24"/>
          <w:szCs w:val="24"/>
          <w:shd w:val="clear" w:color="auto" w:fill="FFFFFF"/>
        </w:rPr>
        <w:t xml:space="preserve"> for 1 hour</w:t>
      </w:r>
      <w:r w:rsidR="00652AFF"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color w:val="252525"/>
          <w:sz w:val="24"/>
          <w:szCs w:val="24"/>
          <w:shd w:val="clear" w:color="auto" w:fill="FFFFFF"/>
        </w:rPr>
        <w:t>The blots were incubated in primary antibody</w:t>
      </w:r>
      <w:r w:rsidR="00FA737E"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sz w:val="24"/>
          <w:szCs w:val="24"/>
          <w:shd w:val="clear" w:color="auto" w:fill="FFFFFF"/>
        </w:rPr>
        <w:t xml:space="preserve">for greater than 1 hour and washed every 5 minutes for 15 minutes using TBST. </w:t>
      </w:r>
      <w:r w:rsidR="00FA737E" w:rsidRPr="0091174E">
        <w:rPr>
          <w:rFonts w:ascii="Arial" w:eastAsia="Times New Roman" w:hAnsi="Arial" w:cs="Arial"/>
          <w:color w:val="FF0000"/>
          <w:sz w:val="24"/>
          <w:szCs w:val="24"/>
          <w:shd w:val="clear" w:color="auto" w:fill="FFFFFF"/>
        </w:rPr>
        <w:t xml:space="preserve">The primary antibodies </w:t>
      </w:r>
      <w:r w:rsidR="00BC0D30" w:rsidRPr="0091174E">
        <w:rPr>
          <w:rFonts w:ascii="Arial" w:eastAsia="Times New Roman" w:hAnsi="Arial" w:cs="Arial"/>
          <w:color w:val="FF0000"/>
          <w:sz w:val="24"/>
          <w:szCs w:val="24"/>
          <w:shd w:val="clear" w:color="auto" w:fill="FFFFFF"/>
        </w:rPr>
        <w:t xml:space="preserve">were: total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sidRPr="0091174E">
        <w:rPr>
          <w:rFonts w:ascii="Arial" w:eastAsia="Times New Roman" w:hAnsi="Arial" w:cs="Arial"/>
          <w:color w:val="FF0000"/>
          <w:sz w:val="24"/>
          <w:szCs w:val="24"/>
          <w:shd w:val="clear" w:color="auto" w:fill="FFFFFF"/>
        </w:rPr>
        <w:t xml:space="preserve"> </w:t>
      </w:r>
      <w:r w:rsidR="006D4402" w:rsidRPr="0091174E">
        <w:rPr>
          <w:rFonts w:ascii="Arial" w:eastAsia="Times New Roman" w:hAnsi="Arial" w:cs="Arial"/>
          <w:color w:val="FF0000"/>
          <w:sz w:val="24"/>
          <w:szCs w:val="24"/>
          <w:shd w:val="clear" w:color="auto" w:fill="FFFFFF"/>
        </w:rPr>
        <w:lastRenderedPageBreak/>
        <w:t xml:space="preserve">(All from Cell Signaling Technology). </w:t>
      </w:r>
      <w:r w:rsidR="00454811" w:rsidRPr="0091174E">
        <w:rPr>
          <w:rFonts w:ascii="Arial" w:eastAsia="Times New Roman" w:hAnsi="Arial" w:cs="Arial"/>
          <w:sz w:val="24"/>
          <w:szCs w:val="24"/>
          <w:shd w:val="clear" w:color="auto" w:fill="FFFFFF"/>
        </w:rPr>
        <w:t xml:space="preserve">Blots were incubated with </w:t>
      </w:r>
      <w:r w:rsidR="00434C3A" w:rsidRPr="0091174E">
        <w:rPr>
          <w:rFonts w:ascii="Arial" w:eastAsia="Times New Roman" w:hAnsi="Arial" w:cs="Arial"/>
          <w:sz w:val="24"/>
          <w:szCs w:val="24"/>
          <w:shd w:val="clear" w:color="auto" w:fill="FFFFFF"/>
        </w:rPr>
        <w:t xml:space="preserve">10,000x </w:t>
      </w:r>
      <w:r w:rsidR="00291371" w:rsidRPr="0091174E">
        <w:rPr>
          <w:rFonts w:ascii="Arial" w:eastAsia="Times New Roman" w:hAnsi="Arial" w:cs="Arial"/>
          <w:sz w:val="24"/>
          <w:szCs w:val="24"/>
          <w:shd w:val="clear" w:color="auto" w:fill="FFFFFF"/>
        </w:rPr>
        <w:t xml:space="preserve">secondary antibody </w:t>
      </w:r>
      <w:r w:rsidR="00434C3A" w:rsidRPr="0091174E">
        <w:rPr>
          <w:rFonts w:ascii="Arial" w:eastAsia="Times New Roman" w:hAnsi="Arial" w:cs="Arial"/>
          <w:color w:val="FF0000"/>
          <w:sz w:val="24"/>
          <w:szCs w:val="24"/>
          <w:shd w:val="clear" w:color="auto" w:fill="FFFFFF"/>
        </w:rPr>
        <w:t>(list both of them)</w:t>
      </w:r>
      <w:r w:rsidR="00434C3A" w:rsidRPr="0091174E">
        <w:rPr>
          <w:rFonts w:ascii="Arial" w:eastAsia="Times New Roman" w:hAnsi="Arial" w:cs="Arial"/>
          <w:sz w:val="24"/>
          <w:szCs w:val="24"/>
          <w:shd w:val="clear" w:color="auto" w:fill="FFFFFF"/>
        </w:rPr>
        <w:t xml:space="preserve"> for 45 minutes</w:t>
      </w:r>
      <w:r w:rsidR="00605381" w:rsidRPr="0091174E">
        <w:rPr>
          <w:rFonts w:ascii="Arial" w:eastAsia="Times New Roman" w:hAnsi="Arial" w:cs="Arial"/>
          <w:sz w:val="24"/>
          <w:szCs w:val="24"/>
          <w:shd w:val="clear" w:color="auto" w:fill="FFFFFF"/>
        </w:rPr>
        <w:t xml:space="preserve"> and washed every 5 minutes for 15 minutes with TBST </w:t>
      </w:r>
      <w:r w:rsidR="00C759DA" w:rsidRPr="0091174E">
        <w:rPr>
          <w:rFonts w:ascii="Arial" w:eastAsia="Times New Roman" w:hAnsi="Arial" w:cs="Arial"/>
          <w:sz w:val="24"/>
          <w:szCs w:val="24"/>
          <w:shd w:val="clear" w:color="auto" w:fill="FFFFFF"/>
        </w:rPr>
        <w:t xml:space="preserve">and rinsed with double distilled water. </w:t>
      </w:r>
      <w:r w:rsidR="00953BEC" w:rsidRPr="0091174E">
        <w:rPr>
          <w:rFonts w:ascii="Arial" w:eastAsia="Times New Roman" w:hAnsi="Arial" w:cs="Arial"/>
          <w:sz w:val="24"/>
          <w:szCs w:val="24"/>
          <w:shd w:val="clear" w:color="auto" w:fill="FFFFFF"/>
        </w:rPr>
        <w:t xml:space="preserve">Blots were scanned using LI-COR </w:t>
      </w:r>
      <w:r w:rsidR="00953BEC" w:rsidRPr="0091174E">
        <w:rPr>
          <w:rFonts w:ascii="Arial" w:eastAsia="Times New Roman" w:hAnsi="Arial" w:cs="Arial"/>
          <w:color w:val="FF0000"/>
          <w:sz w:val="24"/>
          <w:szCs w:val="24"/>
          <w:shd w:val="clear" w:color="auto" w:fill="FFFFFF"/>
        </w:rPr>
        <w:t xml:space="preserve">(model) </w:t>
      </w:r>
      <w:r w:rsidR="00953BEC" w:rsidRPr="0091174E">
        <w:rPr>
          <w:rFonts w:ascii="Arial" w:eastAsia="Times New Roman" w:hAnsi="Arial" w:cs="Arial"/>
          <w:sz w:val="24"/>
          <w:szCs w:val="24"/>
          <w:shd w:val="clear" w:color="auto" w:fill="FFFFFF"/>
        </w:rPr>
        <w:t xml:space="preserve">and normalized using total revert stain. </w:t>
      </w:r>
    </w:p>
    <w:p w:rsidR="006C3C3E" w:rsidRPr="0091174E" w:rsidRDefault="006C3C3E" w:rsidP="0091174E">
      <w:pPr>
        <w:spacing w:line="240" w:lineRule="auto"/>
        <w:contextualSpacing/>
        <w:jc w:val="left"/>
        <w:rPr>
          <w:rFonts w:ascii="Arial" w:eastAsia="Times New Roman" w:hAnsi="Arial" w:cs="Arial"/>
          <w:color w:val="000000"/>
          <w:sz w:val="24"/>
          <w:szCs w:val="24"/>
          <w:shd w:val="clear" w:color="auto" w:fill="FFFFFF"/>
        </w:rPr>
      </w:pPr>
    </w:p>
    <w:p w:rsidR="006D4153" w:rsidRPr="006C3C3E" w:rsidRDefault="006D4153"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 xml:space="preserve">Ketone body </w:t>
      </w:r>
      <w:r w:rsidR="007C42A7" w:rsidRPr="006C3C3E">
        <w:rPr>
          <w:rFonts w:ascii="Arial" w:eastAsia="Times New Roman" w:hAnsi="Arial" w:cs="Arial"/>
          <w:b/>
          <w:color w:val="000000"/>
          <w:sz w:val="24"/>
          <w:szCs w:val="24"/>
          <w:shd w:val="clear" w:color="auto" w:fill="FFFFFF"/>
        </w:rPr>
        <w:t>assay</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65AA3" w:rsidRPr="0091174E" w:rsidRDefault="001D5F73"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Ketone bodies from serum were analyzed </w:t>
      </w:r>
      <w:r w:rsidR="00101E97" w:rsidRPr="0091174E">
        <w:rPr>
          <w:rFonts w:ascii="Arial" w:eastAsia="Times New Roman" w:hAnsi="Arial" w:cs="Arial"/>
          <w:color w:val="000000"/>
          <w:sz w:val="24"/>
          <w:szCs w:val="24"/>
          <w:shd w:val="clear" w:color="auto" w:fill="FFFFFF"/>
        </w:rPr>
        <w:t xml:space="preserve">using the Wako Diagnostics ketone bodies R1 and R2 kit. </w:t>
      </w:r>
      <w:r w:rsidR="00B65AA3" w:rsidRPr="0091174E">
        <w:rPr>
          <w:rFonts w:ascii="Arial" w:eastAsia="Times New Roman" w:hAnsi="Arial" w:cs="Arial"/>
          <w:color w:val="000000"/>
          <w:sz w:val="24"/>
          <w:szCs w:val="24"/>
          <w:shd w:val="clear" w:color="auto" w:fill="FFFFFF"/>
        </w:rPr>
        <w:t xml:space="preserve">4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control sample and 1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ketogenic diet sample were pipet into a 96 well plate.</w:t>
      </w:r>
      <w:r w:rsidR="00B65AA3" w:rsidRPr="0091174E">
        <w:rPr>
          <w:rFonts w:ascii="Arial" w:eastAsia="Times New Roman" w:hAnsi="Arial" w:cs="Arial"/>
          <w:color w:val="252525"/>
          <w:sz w:val="24"/>
          <w:szCs w:val="24"/>
          <w:shd w:val="clear" w:color="auto" w:fill="FFFFFF"/>
        </w:rPr>
        <w:t xml:space="preserve"> 270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Pr="006C3C3E" w:rsidRDefault="00A81F07"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Food Intake</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A81F07" w:rsidRDefault="00256CB1"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CD and KD </w:t>
      </w:r>
      <w:r w:rsidR="00993B14" w:rsidRPr="0091174E">
        <w:rPr>
          <w:rFonts w:ascii="Arial" w:eastAsia="Times New Roman" w:hAnsi="Arial" w:cs="Arial"/>
          <w:color w:val="000000"/>
          <w:sz w:val="24"/>
          <w:szCs w:val="24"/>
          <w:shd w:val="clear" w:color="auto" w:fill="FFFFFF"/>
        </w:rPr>
        <w:t>were</w:t>
      </w:r>
      <w:r w:rsidRPr="0091174E">
        <w:rPr>
          <w:rFonts w:ascii="Arial" w:eastAsia="Times New Roman" w:hAnsi="Arial" w:cs="Arial"/>
          <w:color w:val="000000"/>
          <w:sz w:val="24"/>
          <w:szCs w:val="24"/>
          <w:shd w:val="clear" w:color="auto" w:fill="FFFFFF"/>
        </w:rPr>
        <w:t xml:space="preserve"> placed in shallow jars with </w:t>
      </w:r>
      <w:r w:rsidR="006F4F34" w:rsidRPr="0091174E">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sidRPr="0091174E">
        <w:rPr>
          <w:rFonts w:ascii="Arial" w:eastAsia="Times New Roman" w:hAnsi="Arial" w:cs="Arial"/>
          <w:color w:val="000000"/>
          <w:sz w:val="24"/>
          <w:szCs w:val="24"/>
          <w:shd w:val="clear" w:color="auto" w:fill="FFFFFF"/>
        </w:rPr>
        <w:t xml:space="preserve"> and for accurate food measurements</w:t>
      </w:r>
      <w:r w:rsidR="006F4F34" w:rsidRPr="0091174E">
        <w:rPr>
          <w:rFonts w:ascii="Arial" w:eastAsia="Times New Roman" w:hAnsi="Arial" w:cs="Arial"/>
          <w:color w:val="000000"/>
          <w:sz w:val="24"/>
          <w:szCs w:val="24"/>
          <w:shd w:val="clear" w:color="auto" w:fill="FFFFFF"/>
        </w:rPr>
        <w:t>. Jars with food were weighed and refilled every other day</w:t>
      </w:r>
      <w:r w:rsidR="00B0274F" w:rsidRPr="0091174E">
        <w:rPr>
          <w:rFonts w:ascii="Arial" w:eastAsia="Times New Roman" w:hAnsi="Arial" w:cs="Arial"/>
          <w:color w:val="000000"/>
          <w:sz w:val="24"/>
          <w:szCs w:val="24"/>
          <w:shd w:val="clear" w:color="auto" w:fill="FFFFFF"/>
        </w:rPr>
        <w:t xml:space="preserve">. </w:t>
      </w:r>
    </w:p>
    <w:p w:rsidR="006C3C3E" w:rsidRPr="0091174E" w:rsidRDefault="006C3C3E" w:rsidP="0091174E">
      <w:pPr>
        <w:spacing w:line="240" w:lineRule="auto"/>
        <w:contextualSpacing/>
        <w:rPr>
          <w:rFonts w:ascii="Arial" w:eastAsia="Times New Roman" w:hAnsi="Arial" w:cs="Arial"/>
          <w:color w:val="000000"/>
          <w:sz w:val="24"/>
          <w:szCs w:val="24"/>
          <w:shd w:val="clear" w:color="auto" w:fill="FFFFFF"/>
        </w:rPr>
      </w:pPr>
    </w:p>
    <w:p w:rsidR="00904B08" w:rsidRPr="006C3C3E" w:rsidRDefault="00904B08"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Body composition measurements using MRI</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D714E" w:rsidRPr="0091174E" w:rsidRDefault="002363E7"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sidRPr="0091174E">
        <w:rPr>
          <w:rFonts w:ascii="Arial" w:eastAsia="Times New Roman" w:hAnsi="Arial" w:cs="Arial"/>
          <w:color w:val="000000"/>
          <w:sz w:val="24"/>
          <w:szCs w:val="24"/>
          <w:shd w:val="clear" w:color="auto" w:fill="FFFFFF"/>
        </w:rPr>
        <w:t xml:space="preserve"> Echo MRI 1100</w:t>
      </w:r>
      <w:r w:rsidRPr="0091174E">
        <w:rPr>
          <w:rFonts w:ascii="Arial" w:eastAsia="Times New Roman" w:hAnsi="Arial" w:cs="Arial"/>
          <w:color w:val="000000"/>
          <w:sz w:val="24"/>
          <w:szCs w:val="24"/>
          <w:shd w:val="clear" w:color="auto" w:fill="FFFFFF"/>
        </w:rPr>
        <w:t xml:space="preserve"> weekly</w:t>
      </w:r>
      <w:r w:rsidR="00D91231" w:rsidRPr="0091174E">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1D2D0B"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ED700A" w:rsidRPr="001D2D0B" w:rsidRDefault="00811C77"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Serum collection</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D91231" w:rsidRDefault="00A03B44" w:rsidP="0091174E">
      <w:pPr>
        <w:spacing w:line="240" w:lineRule="auto"/>
        <w:contextualSpacing/>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Mice were </w:t>
      </w:r>
      <w:r w:rsidR="00811C77" w:rsidRPr="0091174E">
        <w:rPr>
          <w:rFonts w:ascii="Arial" w:eastAsia="Times New Roman" w:hAnsi="Arial" w:cs="Arial"/>
          <w:color w:val="000000"/>
          <w:sz w:val="24"/>
          <w:szCs w:val="24"/>
          <w:shd w:val="clear" w:color="auto" w:fill="FFFFFF"/>
        </w:rPr>
        <w:t>anesthetize</w:t>
      </w:r>
      <w:r w:rsidR="008A33CB" w:rsidRPr="0091174E">
        <w:rPr>
          <w:rFonts w:ascii="Arial" w:eastAsia="Times New Roman" w:hAnsi="Arial" w:cs="Arial"/>
          <w:color w:val="000000"/>
          <w:sz w:val="24"/>
          <w:szCs w:val="24"/>
          <w:shd w:val="clear" w:color="auto" w:fill="FFFFFF"/>
        </w:rPr>
        <w:t>d using isoflurane</w:t>
      </w:r>
      <w:r w:rsidRPr="0091174E">
        <w:rPr>
          <w:rFonts w:ascii="Arial" w:eastAsia="Times New Roman" w:hAnsi="Arial" w:cs="Arial"/>
          <w:color w:val="000000"/>
          <w:sz w:val="24"/>
          <w:szCs w:val="24"/>
          <w:shd w:val="clear" w:color="auto" w:fill="FFFFFF"/>
        </w:rPr>
        <w:t xml:space="preserve"> </w:t>
      </w:r>
      <w:r w:rsidR="008A33CB" w:rsidRPr="0091174E">
        <w:rPr>
          <w:rFonts w:ascii="Arial" w:eastAsia="Times New Roman" w:hAnsi="Arial" w:cs="Arial"/>
          <w:color w:val="000000"/>
          <w:sz w:val="24"/>
          <w:szCs w:val="24"/>
          <w:shd w:val="clear" w:color="auto" w:fill="FFFFFF"/>
        </w:rPr>
        <w:t xml:space="preserve">and </w:t>
      </w:r>
      <w:r w:rsidR="007C1191" w:rsidRPr="0091174E">
        <w:rPr>
          <w:rFonts w:ascii="Arial" w:eastAsia="Times New Roman" w:hAnsi="Arial" w:cs="Arial"/>
          <w:color w:val="000000"/>
          <w:sz w:val="24"/>
          <w:szCs w:val="24"/>
          <w:shd w:val="clear" w:color="auto" w:fill="FFFFFF"/>
        </w:rPr>
        <w:t>blood was collected using retro-orbital bleeding</w:t>
      </w:r>
      <w:r w:rsidR="002039BE" w:rsidRPr="0091174E">
        <w:rPr>
          <w:rFonts w:ascii="Arial" w:eastAsia="Times New Roman" w:hAnsi="Arial" w:cs="Arial"/>
          <w:color w:val="000000"/>
          <w:sz w:val="24"/>
          <w:szCs w:val="24"/>
          <w:shd w:val="clear" w:color="auto" w:fill="FFFFFF"/>
        </w:rPr>
        <w:t xml:space="preserve">. </w:t>
      </w:r>
      <w:r w:rsidR="00090AF3" w:rsidRPr="0091174E">
        <w:rPr>
          <w:rFonts w:ascii="Arial" w:eastAsia="Times New Roman" w:hAnsi="Arial" w:cs="Arial"/>
          <w:color w:val="000000"/>
          <w:sz w:val="24"/>
          <w:szCs w:val="24"/>
          <w:shd w:val="clear" w:color="auto" w:fill="FFFFFF"/>
        </w:rPr>
        <w:t xml:space="preserve"> </w:t>
      </w:r>
      <w:r w:rsidR="002039BE" w:rsidRPr="0091174E">
        <w:rPr>
          <w:rFonts w:ascii="Arial" w:eastAsia="Times New Roman" w:hAnsi="Arial" w:cs="Arial"/>
          <w:color w:val="000000"/>
          <w:sz w:val="24"/>
          <w:szCs w:val="24"/>
          <w:shd w:val="clear" w:color="auto" w:fill="FFFFFF"/>
        </w:rPr>
        <w:t xml:space="preserve">After collection, </w:t>
      </w:r>
      <w:r w:rsidR="00090AF3" w:rsidRPr="0091174E">
        <w:rPr>
          <w:rFonts w:ascii="Arial" w:eastAsia="Times New Roman" w:hAnsi="Arial" w:cs="Arial"/>
          <w:color w:val="000000"/>
          <w:sz w:val="24"/>
          <w:szCs w:val="24"/>
          <w:shd w:val="clear" w:color="auto" w:fill="FFFFFF"/>
        </w:rPr>
        <w:t xml:space="preserve">samples </w:t>
      </w:r>
      <w:r w:rsidR="00353148" w:rsidRPr="0091174E">
        <w:rPr>
          <w:rFonts w:ascii="Arial" w:eastAsia="Times New Roman" w:hAnsi="Arial" w:cs="Arial"/>
          <w:color w:val="000000"/>
          <w:sz w:val="24"/>
          <w:szCs w:val="24"/>
          <w:shd w:val="clear" w:color="auto" w:fill="FFFFFF"/>
        </w:rPr>
        <w:t xml:space="preserve">were </w:t>
      </w:r>
      <w:r w:rsidR="006E4D96" w:rsidRPr="0091174E">
        <w:rPr>
          <w:rFonts w:ascii="Arial" w:eastAsia="Times New Roman" w:hAnsi="Arial" w:cs="Arial"/>
          <w:color w:val="000000"/>
          <w:sz w:val="24"/>
          <w:szCs w:val="24"/>
          <w:shd w:val="clear" w:color="auto" w:fill="FFFFFF"/>
        </w:rPr>
        <w:t xml:space="preserve">centrifuged at 4˚C for </w:t>
      </w:r>
      <w:r w:rsidR="006E4D96" w:rsidRPr="0091174E">
        <w:rPr>
          <w:rFonts w:ascii="Arial" w:eastAsia="Times New Roman" w:hAnsi="Arial" w:cs="Arial"/>
          <w:color w:val="FF0000"/>
          <w:sz w:val="24"/>
          <w:szCs w:val="24"/>
          <w:shd w:val="clear" w:color="auto" w:fill="FFFFFF"/>
        </w:rPr>
        <w:t>____ minute</w:t>
      </w:r>
      <w:r w:rsidR="005B25F5" w:rsidRPr="0091174E">
        <w:rPr>
          <w:rFonts w:ascii="Arial" w:eastAsia="Times New Roman" w:hAnsi="Arial" w:cs="Arial"/>
          <w:color w:val="FF0000"/>
          <w:sz w:val="24"/>
          <w:szCs w:val="24"/>
          <w:shd w:val="clear" w:color="auto" w:fill="FFFFFF"/>
        </w:rPr>
        <w:t>s.</w:t>
      </w:r>
      <w:r w:rsidR="008A33CB" w:rsidRPr="0091174E">
        <w:rPr>
          <w:rFonts w:ascii="Arial" w:eastAsia="Times New Roman" w:hAnsi="Arial" w:cs="Arial"/>
          <w:sz w:val="24"/>
          <w:szCs w:val="24"/>
          <w:shd w:val="clear" w:color="auto" w:fill="FFFFFF"/>
        </w:rPr>
        <w:t xml:space="preserve"> </w:t>
      </w:r>
      <w:r w:rsidR="005B25F5" w:rsidRPr="0091174E">
        <w:rPr>
          <w:rFonts w:ascii="Arial" w:eastAsia="Times New Roman" w:hAnsi="Arial" w:cs="Arial"/>
          <w:sz w:val="24"/>
          <w:szCs w:val="24"/>
          <w:shd w:val="clear" w:color="auto" w:fill="FFFFFF"/>
        </w:rPr>
        <w:t>T</w:t>
      </w:r>
      <w:r w:rsidR="008A33CB" w:rsidRPr="0091174E">
        <w:rPr>
          <w:rFonts w:ascii="Arial" w:eastAsia="Times New Roman" w:hAnsi="Arial" w:cs="Arial"/>
          <w:sz w:val="24"/>
          <w:szCs w:val="24"/>
          <w:shd w:val="clear" w:color="auto" w:fill="FFFFFF"/>
        </w:rPr>
        <w:t xml:space="preserve">he top layer (serum) was transferred to another tube and frozen at -80 ˚C.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Default="000766A1"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Liver Histology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E045D3" w:rsidRDefault="00A85004" w:rsidP="0091174E">
      <w:pPr>
        <w:spacing w:line="240" w:lineRule="auto"/>
        <w:contextualSpacing/>
        <w:rPr>
          <w:rFonts w:ascii="Arial" w:eastAsia="Times New Roman" w:hAnsi="Arial" w:cs="Arial"/>
          <w:color w:val="FF0000"/>
          <w:sz w:val="24"/>
          <w:szCs w:val="24"/>
          <w:shd w:val="clear" w:color="auto" w:fill="FFFFFF"/>
        </w:rPr>
      </w:pPr>
      <w:r w:rsidRPr="0091174E">
        <w:rPr>
          <w:rFonts w:ascii="Arial" w:eastAsia="Times New Roman" w:hAnsi="Arial" w:cs="Arial"/>
          <w:color w:val="000000"/>
          <w:sz w:val="24"/>
          <w:szCs w:val="24"/>
          <w:shd w:val="clear" w:color="auto" w:fill="FFFFFF"/>
        </w:rPr>
        <w:t xml:space="preserve">Liver </w:t>
      </w:r>
      <w:proofErr w:type="spellStart"/>
      <w:r w:rsidRPr="0091174E">
        <w:rPr>
          <w:rFonts w:ascii="Arial" w:eastAsia="Times New Roman" w:hAnsi="Arial" w:cs="Arial"/>
          <w:color w:val="000000"/>
          <w:sz w:val="24"/>
          <w:szCs w:val="24"/>
          <w:shd w:val="clear" w:color="auto" w:fill="FFFFFF"/>
        </w:rPr>
        <w:t>cryosections</w:t>
      </w:r>
      <w:proofErr w:type="spellEnd"/>
      <w:r w:rsidRPr="0091174E">
        <w:rPr>
          <w:rFonts w:ascii="Arial" w:eastAsia="Times New Roman" w:hAnsi="Arial" w:cs="Arial"/>
          <w:color w:val="000000"/>
          <w:sz w:val="24"/>
          <w:szCs w:val="24"/>
          <w:shd w:val="clear" w:color="auto" w:fill="FFFFFF"/>
        </w:rPr>
        <w:t xml:space="preserve"> were stained with </w:t>
      </w:r>
      <w:r w:rsidRPr="0091174E">
        <w:rPr>
          <w:rFonts w:ascii="Arial" w:eastAsia="Times New Roman" w:hAnsi="Arial" w:cs="Arial"/>
          <w:color w:val="FF0000"/>
          <w:sz w:val="24"/>
          <w:szCs w:val="24"/>
          <w:shd w:val="clear" w:color="auto" w:fill="FFFFFF"/>
        </w:rPr>
        <w:t xml:space="preserve">__??__ according to </w:t>
      </w:r>
      <w:proofErr w:type="spellStart"/>
      <w:r w:rsidR="00BA7DB7" w:rsidRPr="0091174E">
        <w:rPr>
          <w:rFonts w:ascii="Arial" w:eastAsia="Times New Roman" w:hAnsi="Arial" w:cs="Arial"/>
          <w:color w:val="FF0000"/>
          <w:sz w:val="24"/>
          <w:szCs w:val="24"/>
          <w:shd w:val="clear" w:color="auto" w:fill="FFFFFF"/>
        </w:rPr>
        <w:t>manufacture’s</w:t>
      </w:r>
      <w:proofErr w:type="spellEnd"/>
      <w:r w:rsidRPr="0091174E">
        <w:rPr>
          <w:rFonts w:ascii="Arial" w:eastAsia="Times New Roman" w:hAnsi="Arial" w:cs="Arial"/>
          <w:color w:val="FF0000"/>
          <w:sz w:val="24"/>
          <w:szCs w:val="24"/>
          <w:shd w:val="clear" w:color="auto" w:fill="FFFFFF"/>
        </w:rPr>
        <w:t xml:space="preserve">? protocol.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Pr="001D2D0B" w:rsidRDefault="009E0845"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Triglyceride Assay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7204F4" w:rsidRPr="001D2D0B" w:rsidRDefault="00441516"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Insulin tolerance test</w:t>
      </w:r>
      <w:r w:rsidR="007204F4" w:rsidRPr="001D2D0B">
        <w:rPr>
          <w:rFonts w:ascii="Arial" w:eastAsia="Times New Roman" w:hAnsi="Arial" w:cs="Arial"/>
          <w:b/>
          <w:color w:val="000000"/>
          <w:sz w:val="24"/>
          <w:szCs w:val="24"/>
          <w:shd w:val="clear" w:color="auto" w:fill="FFFFFF"/>
        </w:rPr>
        <w:t>s</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A842D0" w:rsidRDefault="00DD4FBF" w:rsidP="0091174E">
      <w:pPr>
        <w:spacing w:line="240" w:lineRule="auto"/>
        <w:contextualSpacing/>
        <w:rPr>
          <w:rFonts w:ascii="Arial" w:eastAsia="Times New Roman" w:hAnsi="Arial" w:cs="Arial"/>
          <w:color w:val="252525"/>
          <w:sz w:val="24"/>
          <w:szCs w:val="24"/>
          <w:shd w:val="clear" w:color="auto" w:fill="FFFFFF"/>
        </w:rPr>
      </w:pPr>
      <w:r w:rsidRPr="0091174E">
        <w:rPr>
          <w:rFonts w:ascii="Arial" w:eastAsia="Times New Roman" w:hAnsi="Arial" w:cs="Arial"/>
          <w:color w:val="000000"/>
          <w:sz w:val="24"/>
          <w:szCs w:val="24"/>
          <w:shd w:val="clear" w:color="auto" w:fill="FFFFFF"/>
        </w:rPr>
        <w:t xml:space="preserve">Mice were fasted for 6 hours </w:t>
      </w:r>
      <w:r w:rsidR="00955293" w:rsidRPr="0091174E">
        <w:rPr>
          <w:rFonts w:ascii="Arial" w:eastAsia="Times New Roman" w:hAnsi="Arial" w:cs="Arial"/>
          <w:color w:val="000000"/>
          <w:sz w:val="24"/>
          <w:szCs w:val="24"/>
          <w:shd w:val="clear" w:color="auto" w:fill="FFFFFF"/>
        </w:rPr>
        <w:t xml:space="preserve">and then injected with </w:t>
      </w:r>
      <w:r w:rsidR="00955293" w:rsidRPr="0091174E">
        <w:rPr>
          <w:rFonts w:ascii="Arial" w:eastAsia="Times New Roman" w:hAnsi="Arial" w:cs="Arial"/>
          <w:color w:val="FF0000"/>
          <w:sz w:val="24"/>
          <w:szCs w:val="24"/>
          <w:shd w:val="clear" w:color="auto" w:fill="FFFFFF"/>
        </w:rPr>
        <w:t xml:space="preserve">0.75 </w:t>
      </w:r>
      <w:r w:rsidR="00F016EF" w:rsidRPr="0091174E">
        <w:rPr>
          <w:rFonts w:ascii="Arial" w:eastAsia="Times New Roman" w:hAnsi="Arial" w:cs="Arial"/>
          <w:color w:val="FF0000"/>
          <w:sz w:val="24"/>
          <w:szCs w:val="24"/>
          <w:shd w:val="clear" w:color="auto" w:fill="FFFFFF"/>
        </w:rPr>
        <w:t>U/kg of lean body mass</w:t>
      </w:r>
      <w:r w:rsidR="00955293" w:rsidRPr="0091174E">
        <w:rPr>
          <w:rFonts w:ascii="Arial" w:eastAsia="Times New Roman" w:hAnsi="Arial" w:cs="Arial"/>
          <w:color w:val="FF0000"/>
          <w:sz w:val="24"/>
          <w:szCs w:val="24"/>
          <w:shd w:val="clear" w:color="auto" w:fill="FFFFFF"/>
        </w:rPr>
        <w:t xml:space="preserve"> </w:t>
      </w:r>
      <w:r w:rsidR="00F016EF" w:rsidRPr="0091174E">
        <w:rPr>
          <w:rFonts w:ascii="Arial" w:eastAsia="Times New Roman" w:hAnsi="Arial" w:cs="Arial"/>
          <w:color w:val="FF0000"/>
          <w:sz w:val="24"/>
          <w:szCs w:val="24"/>
          <w:shd w:val="clear" w:color="auto" w:fill="FFFFFF"/>
        </w:rPr>
        <w:t xml:space="preserve">of </w:t>
      </w:r>
      <w:r w:rsidR="00F016EF" w:rsidRPr="0091174E">
        <w:rPr>
          <w:rFonts w:ascii="Arial" w:eastAsia="Times New Roman" w:hAnsi="Arial" w:cs="Arial"/>
          <w:sz w:val="24"/>
          <w:szCs w:val="24"/>
          <w:shd w:val="clear" w:color="auto" w:fill="FFFFFF"/>
        </w:rPr>
        <w:t>i</w:t>
      </w:r>
      <w:r w:rsidR="00955293" w:rsidRPr="0091174E">
        <w:rPr>
          <w:rFonts w:ascii="Arial" w:eastAsia="Times New Roman" w:hAnsi="Arial" w:cs="Arial"/>
          <w:sz w:val="24"/>
          <w:szCs w:val="24"/>
          <w:shd w:val="clear" w:color="auto" w:fill="FFFFFF"/>
        </w:rPr>
        <w:t>nsulin</w:t>
      </w:r>
      <w:r w:rsidR="00450914" w:rsidRPr="0091174E">
        <w:rPr>
          <w:rFonts w:ascii="Arial" w:eastAsia="Times New Roman" w:hAnsi="Arial" w:cs="Arial"/>
          <w:sz w:val="24"/>
          <w:szCs w:val="24"/>
          <w:shd w:val="clear" w:color="auto" w:fill="FFFFFF"/>
        </w:rPr>
        <w:t xml:space="preserve"> into the </w:t>
      </w:r>
      <w:r w:rsidR="00C01136" w:rsidRPr="0091174E">
        <w:rPr>
          <w:rFonts w:ascii="Arial" w:eastAsia="Times New Roman" w:hAnsi="Arial" w:cs="Arial"/>
          <w:color w:val="252525"/>
          <w:sz w:val="24"/>
          <w:szCs w:val="24"/>
          <w:shd w:val="clear" w:color="auto" w:fill="FFFFFF"/>
        </w:rPr>
        <w:t>intraperitoneal</w:t>
      </w:r>
      <w:r w:rsidR="00450914" w:rsidRPr="0091174E">
        <w:rPr>
          <w:rFonts w:ascii="Arial" w:eastAsia="Times New Roman" w:hAnsi="Arial" w:cs="Arial"/>
          <w:color w:val="252525"/>
          <w:sz w:val="24"/>
          <w:szCs w:val="24"/>
          <w:shd w:val="clear" w:color="auto" w:fill="FFFFFF"/>
        </w:rPr>
        <w:t xml:space="preserve"> cavity. </w:t>
      </w:r>
      <w:r w:rsidR="001C3744" w:rsidRPr="0091174E">
        <w:rPr>
          <w:rFonts w:ascii="Arial" w:eastAsia="Times New Roman" w:hAnsi="Arial" w:cs="Arial"/>
          <w:color w:val="252525"/>
          <w:sz w:val="24"/>
          <w:szCs w:val="24"/>
          <w:shd w:val="clear" w:color="auto" w:fill="FFFFFF"/>
        </w:rPr>
        <w:t xml:space="preserve">Blood </w:t>
      </w:r>
      <w:r w:rsidR="00F016EF" w:rsidRPr="0091174E">
        <w:rPr>
          <w:rFonts w:ascii="Arial" w:eastAsia="Times New Roman" w:hAnsi="Arial" w:cs="Arial"/>
          <w:color w:val="252525"/>
          <w:sz w:val="24"/>
          <w:szCs w:val="24"/>
          <w:shd w:val="clear" w:color="auto" w:fill="FFFFFF"/>
        </w:rPr>
        <w:t>glucose was</w:t>
      </w:r>
      <w:r w:rsidR="00D85F9A" w:rsidRPr="0091174E">
        <w:rPr>
          <w:rFonts w:ascii="Arial" w:eastAsia="Times New Roman" w:hAnsi="Arial" w:cs="Arial"/>
          <w:color w:val="252525"/>
          <w:sz w:val="24"/>
          <w:szCs w:val="24"/>
          <w:shd w:val="clear" w:color="auto" w:fill="FFFFFF"/>
        </w:rPr>
        <w:t xml:space="preserve"> measured</w:t>
      </w:r>
      <w:r w:rsidR="00F016EF" w:rsidRPr="0091174E">
        <w:rPr>
          <w:rFonts w:ascii="Arial" w:eastAsia="Times New Roman" w:hAnsi="Arial" w:cs="Arial"/>
          <w:color w:val="252525"/>
          <w:sz w:val="24"/>
          <w:szCs w:val="24"/>
          <w:shd w:val="clear" w:color="auto" w:fill="FFFFFF"/>
        </w:rPr>
        <w:t xml:space="preserve"> </w:t>
      </w:r>
      <w:r w:rsidR="009E7C30" w:rsidRPr="0091174E">
        <w:rPr>
          <w:rFonts w:ascii="Arial" w:eastAsia="Times New Roman" w:hAnsi="Arial" w:cs="Arial"/>
          <w:color w:val="252525"/>
          <w:sz w:val="24"/>
          <w:szCs w:val="24"/>
          <w:shd w:val="clear" w:color="auto" w:fill="FFFFFF"/>
        </w:rPr>
        <w:t>from the</w:t>
      </w:r>
      <w:r w:rsidR="001C3744" w:rsidRPr="0091174E">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1174E">
        <w:rPr>
          <w:rFonts w:ascii="Arial" w:eastAsia="Times New Roman" w:hAnsi="Arial" w:cs="Arial"/>
          <w:color w:val="252525"/>
          <w:sz w:val="24"/>
          <w:szCs w:val="24"/>
          <w:shd w:val="clear" w:color="auto" w:fill="FFFFFF"/>
        </w:rPr>
        <w:t xml:space="preserve"> using a </w:t>
      </w:r>
      <w:r w:rsidR="009814FF" w:rsidRPr="0091174E">
        <w:rPr>
          <w:rFonts w:ascii="Arial" w:eastAsia="Times New Roman" w:hAnsi="Arial" w:cs="Arial"/>
          <w:color w:val="252525"/>
          <w:sz w:val="24"/>
          <w:szCs w:val="24"/>
          <w:shd w:val="clear" w:color="auto" w:fill="FFFFFF"/>
        </w:rPr>
        <w:t xml:space="preserve">glucometer </w:t>
      </w:r>
      <w:r w:rsidR="009E7C30" w:rsidRPr="0091174E">
        <w:rPr>
          <w:rFonts w:ascii="Arial" w:eastAsia="Times New Roman" w:hAnsi="Arial" w:cs="Arial"/>
          <w:color w:val="FF0000"/>
          <w:sz w:val="24"/>
          <w:szCs w:val="24"/>
          <w:shd w:val="clear" w:color="auto" w:fill="FFFFFF"/>
        </w:rPr>
        <w:t>(</w:t>
      </w:r>
      <w:r w:rsidR="009814FF" w:rsidRPr="0091174E">
        <w:rPr>
          <w:rFonts w:ascii="Arial" w:eastAsia="Times New Roman" w:hAnsi="Arial" w:cs="Arial"/>
          <w:color w:val="FF0000"/>
          <w:sz w:val="24"/>
          <w:szCs w:val="24"/>
          <w:shd w:val="clear" w:color="auto" w:fill="FFFFFF"/>
        </w:rPr>
        <w:t>brand?</w:t>
      </w:r>
      <w:r w:rsidR="009E7C30" w:rsidRPr="0091174E">
        <w:rPr>
          <w:rFonts w:ascii="Arial" w:eastAsia="Times New Roman" w:hAnsi="Arial" w:cs="Arial"/>
          <w:color w:val="FF0000"/>
          <w:sz w:val="24"/>
          <w:szCs w:val="24"/>
          <w:shd w:val="clear" w:color="auto" w:fill="FFFFFF"/>
        </w:rPr>
        <w:t>)</w:t>
      </w:r>
      <w:r w:rsidR="001C3744" w:rsidRPr="0091174E">
        <w:rPr>
          <w:rFonts w:ascii="Arial" w:eastAsia="Times New Roman" w:hAnsi="Arial" w:cs="Arial"/>
          <w:color w:val="252525"/>
          <w:sz w:val="24"/>
          <w:szCs w:val="24"/>
          <w:shd w:val="clear" w:color="auto" w:fill="FFFFFF"/>
        </w:rPr>
        <w:t xml:space="preserve">.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6637E2" w:rsidRPr="001D2D0B" w:rsidRDefault="006637E2"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Sacrifice mice</w:t>
      </w:r>
    </w:p>
    <w:p w:rsidR="00A1368C" w:rsidRPr="0091174E" w:rsidRDefault="00A1368C"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lastRenderedPageBreak/>
        <w:t xml:space="preserve">Mice were sacrificed using isoflurane and cervical </w:t>
      </w:r>
      <w:r w:rsidR="009814FF" w:rsidRPr="0091174E">
        <w:rPr>
          <w:rFonts w:ascii="Arial" w:eastAsia="Times New Roman" w:hAnsi="Arial" w:cs="Arial"/>
          <w:color w:val="000000"/>
          <w:sz w:val="24"/>
          <w:szCs w:val="24"/>
          <w:shd w:val="clear" w:color="auto" w:fill="FFFFFF"/>
        </w:rPr>
        <w:t xml:space="preserve">dislocation. The </w:t>
      </w:r>
      <w:r w:rsidR="00B42A35" w:rsidRPr="0091174E">
        <w:rPr>
          <w:rFonts w:ascii="Arial" w:eastAsia="Times New Roman" w:hAnsi="Arial" w:cs="Arial"/>
          <w:color w:val="000000"/>
          <w:sz w:val="24"/>
          <w:szCs w:val="24"/>
          <w:shd w:val="clear" w:color="auto" w:fill="FFFFFF"/>
        </w:rPr>
        <w:t>tissues were harvested immediately upon sacrifice</w:t>
      </w:r>
      <w:r w:rsidR="00AD0E09" w:rsidRPr="0091174E">
        <w:rPr>
          <w:rFonts w:ascii="Arial" w:eastAsia="Times New Roman" w:hAnsi="Arial" w:cs="Arial"/>
          <w:color w:val="000000"/>
          <w:sz w:val="24"/>
          <w:szCs w:val="24"/>
          <w:shd w:val="clear" w:color="auto" w:fill="FFFFFF"/>
        </w:rPr>
        <w:t>, weighed</w:t>
      </w:r>
      <w:r w:rsidR="00B42A35" w:rsidRPr="0091174E">
        <w:rPr>
          <w:rFonts w:ascii="Arial" w:eastAsia="Times New Roman" w:hAnsi="Arial" w:cs="Arial"/>
          <w:color w:val="000000"/>
          <w:sz w:val="24"/>
          <w:szCs w:val="24"/>
          <w:shd w:val="clear" w:color="auto" w:fill="FFFFFF"/>
        </w:rPr>
        <w:t xml:space="preserve"> and placed in liquid nitrogen. The tissues were then stored at -80 ˚C. </w:t>
      </w:r>
      <w:r w:rsidRPr="0091174E">
        <w:rPr>
          <w:rFonts w:ascii="Arial" w:eastAsia="Times New Roman" w:hAnsi="Arial" w:cs="Arial"/>
          <w:color w:val="000000"/>
          <w:sz w:val="24"/>
          <w:szCs w:val="24"/>
          <w:shd w:val="clear" w:color="auto" w:fill="FFFFFF"/>
        </w:rPr>
        <w:t xml:space="preserve"> </w:t>
      </w:r>
    </w:p>
    <w:p w:rsidR="00986C4C" w:rsidRDefault="00986C4C"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Statistical analysis</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986C4C" w:rsidRDefault="00986C4C" w:rsidP="0091174E">
      <w:pPr>
        <w:spacing w:line="240" w:lineRule="auto"/>
        <w:contextualSpacing/>
        <w:rPr>
          <w:rFonts w:ascii="Arial" w:eastAsia="Times New Roman" w:hAnsi="Arial" w:cs="Arial"/>
          <w:color w:val="FF0000"/>
          <w:sz w:val="21"/>
          <w:szCs w:val="21"/>
          <w:shd w:val="clear" w:color="auto" w:fill="FFFFFF"/>
        </w:rPr>
      </w:pPr>
      <w:r w:rsidRPr="0091174E">
        <w:rPr>
          <w:rFonts w:ascii="Arial" w:eastAsia="Times New Roman" w:hAnsi="Arial" w:cs="Arial"/>
          <w:color w:val="000000"/>
          <w:sz w:val="24"/>
          <w:szCs w:val="24"/>
          <w:shd w:val="clear" w:color="auto" w:fill="FFFFFF"/>
        </w:rPr>
        <w:t xml:space="preserve">Insulin tolerance tests were analyzed using </w:t>
      </w:r>
      <w:r w:rsidRPr="0091174E">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91174E">
        <w:rPr>
          <w:rFonts w:ascii="Arial" w:eastAsia="Times New Roman" w:hAnsi="Arial" w:cs="Arial"/>
          <w:color w:val="FF0000"/>
          <w:sz w:val="21"/>
          <w:szCs w:val="21"/>
          <w:shd w:val="clear" w:color="auto" w:fill="FFFFFF"/>
        </w:rPr>
        <w:t xml:space="preserve"> </w:t>
      </w:r>
    </w:p>
    <w:p w:rsidR="008A7B1D" w:rsidRPr="0091174E" w:rsidRDefault="008A7B1D" w:rsidP="0091174E">
      <w:pPr>
        <w:spacing w:line="240" w:lineRule="auto"/>
        <w:contextualSpacing/>
        <w:rPr>
          <w:rFonts w:ascii="Arial" w:eastAsia="Times New Roman" w:hAnsi="Arial" w:cs="Arial"/>
          <w:color w:val="000000"/>
          <w:sz w:val="24"/>
          <w:szCs w:val="24"/>
          <w:shd w:val="clear" w:color="auto" w:fill="FFFFFF"/>
        </w:rPr>
      </w:pPr>
    </w:p>
    <w:p w:rsidR="00C42D20" w:rsidRPr="001D2D0B" w:rsidRDefault="00D57F86" w:rsidP="0091174E">
      <w:pPr>
        <w:spacing w:line="240" w:lineRule="auto"/>
        <w:contextualSpacing/>
        <w:jc w:val="center"/>
        <w:rPr>
          <w:rFonts w:ascii="Arial" w:eastAsia="Times New Roman" w:hAnsi="Arial" w:cs="Arial"/>
          <w:b/>
          <w:bCs/>
          <w:color w:val="252525"/>
          <w:sz w:val="24"/>
          <w:szCs w:val="24"/>
          <w:shd w:val="clear" w:color="auto" w:fill="FFFFFF"/>
        </w:rPr>
      </w:pPr>
      <w:r w:rsidRPr="001D2D0B">
        <w:rPr>
          <w:rFonts w:ascii="Arial" w:eastAsia="Times New Roman" w:hAnsi="Arial" w:cs="Arial"/>
          <w:b/>
          <w:bCs/>
          <w:color w:val="252525"/>
          <w:sz w:val="24"/>
          <w:szCs w:val="24"/>
          <w:shd w:val="clear" w:color="auto" w:fill="FFFFFF"/>
        </w:rPr>
        <w:t>Results</w:t>
      </w:r>
    </w:p>
    <w:p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6B46F1" w:rsidRPr="008A7B1D" w:rsidRDefault="006B46F1"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Experimental Design</w:t>
      </w:r>
    </w:p>
    <w:p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t>
      </w:r>
      <w:r w:rsidR="00102453" w:rsidRPr="0091174E">
        <w:rPr>
          <w:rFonts w:ascii="Arial" w:eastAsia="Times New Roman" w:hAnsi="Arial" w:cs="Arial"/>
          <w:color w:val="FF0000"/>
          <w:sz w:val="24"/>
          <w:szCs w:val="24"/>
          <w:shd w:val="clear" w:color="auto" w:fill="FFFFFF"/>
        </w:rPr>
        <w:t xml:space="preserve">(n=?) </w:t>
      </w:r>
      <w:r w:rsidR="00EC3F44" w:rsidRPr="0091174E">
        <w:rPr>
          <w:rFonts w:ascii="Arial" w:eastAsia="Times New Roman" w:hAnsi="Arial" w:cs="Arial"/>
          <w:color w:val="000000"/>
          <w:sz w:val="24"/>
          <w:szCs w:val="24"/>
          <w:shd w:val="clear" w:color="auto" w:fill="FFFFFF"/>
        </w:rPr>
        <w:t xml:space="preserve">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tests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rsidR="00FB2617" w:rsidRDefault="00FB2617" w:rsidP="0091174E">
      <w:pPr>
        <w:spacing w:line="240" w:lineRule="auto"/>
        <w:contextualSpacing/>
        <w:jc w:val="center"/>
        <w:rPr>
          <w:rFonts w:ascii="Arial" w:eastAsia="Times New Roman" w:hAnsi="Arial" w:cs="Arial"/>
          <w:bCs/>
          <w:sz w:val="24"/>
          <w:szCs w:val="24"/>
          <w:shd w:val="clear" w:color="auto" w:fill="FFFFFF"/>
        </w:rPr>
      </w:pPr>
    </w:p>
    <w:p w:rsidR="005A2ED9" w:rsidRPr="008A7B1D" w:rsidRDefault="00D1563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AMPK effectively knocked out and confirmed using Western Blots</w:t>
      </w:r>
    </w:p>
    <w:p w:rsidR="00FB2617" w:rsidRPr="0091174E" w:rsidRDefault="00FB2617" w:rsidP="0091174E">
      <w:pPr>
        <w:spacing w:line="240" w:lineRule="auto"/>
        <w:contextualSpacing/>
        <w:jc w:val="center"/>
        <w:rPr>
          <w:rFonts w:ascii="Arial" w:eastAsia="Times New Roman" w:hAnsi="Arial" w:cs="Arial"/>
          <w:bCs/>
          <w:sz w:val="24"/>
          <w:szCs w:val="24"/>
          <w:shd w:val="clear" w:color="auto" w:fill="FFFFFF"/>
        </w:rPr>
      </w:pPr>
    </w:p>
    <w:p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527958" w:rsidRPr="0091174E">
        <w:rPr>
          <w:rFonts w:ascii="Arial" w:eastAsia="Times New Roman" w:hAnsi="Arial" w:cs="Arial"/>
          <w:bCs/>
          <w:sz w:val="24"/>
          <w:szCs w:val="24"/>
          <w:shd w:val="clear" w:color="auto" w:fill="FFFFFF"/>
        </w:rPr>
        <w:t>ed</w:t>
      </w:r>
      <w:r w:rsidR="00775CCF" w:rsidRPr="0091174E">
        <w:rPr>
          <w:rFonts w:ascii="Arial" w:eastAsia="Times New Roman" w:hAnsi="Arial" w:cs="Arial"/>
          <w:bCs/>
          <w:sz w:val="24"/>
          <w:szCs w:val="24"/>
          <w:shd w:val="clear" w:color="auto" w:fill="FFFFFF"/>
        </w:rPr>
        <w:t xml:space="preserve"> </w:t>
      </w:r>
      <w:r w:rsidR="00F53A2A" w:rsidRPr="0091174E">
        <w:rPr>
          <w:rFonts w:ascii="Arial" w:eastAsia="Times New Roman" w:hAnsi="Arial" w:cs="Arial"/>
          <w:bCs/>
          <w:sz w:val="24"/>
          <w:szCs w:val="24"/>
          <w:shd w:val="clear" w:color="auto" w:fill="FFFFFF"/>
        </w:rPr>
        <w:t xml:space="preserve">approximately </w:t>
      </w:r>
      <w:r w:rsidR="0054050F" w:rsidRPr="0091174E">
        <w:rPr>
          <w:rFonts w:ascii="Arial" w:eastAsia="Times New Roman" w:hAnsi="Arial" w:cs="Arial"/>
          <w:bCs/>
          <w:color w:val="FF0000"/>
          <w:sz w:val="24"/>
          <w:szCs w:val="24"/>
          <w:shd w:val="clear" w:color="auto" w:fill="FFFFFF"/>
        </w:rPr>
        <w:t>__</w:t>
      </w:r>
      <w:r w:rsidR="00F53A2A" w:rsidRPr="0091174E">
        <w:rPr>
          <w:rFonts w:ascii="Arial" w:eastAsia="Times New Roman" w:hAnsi="Arial" w:cs="Arial"/>
          <w:bCs/>
          <w:color w:val="FF0000"/>
          <w:sz w:val="24"/>
          <w:szCs w:val="24"/>
          <w:shd w:val="clear" w:color="auto" w:fill="FFFFFF"/>
        </w:rPr>
        <w:t>%</w:t>
      </w:r>
      <w:r w:rsidR="00F53A2A" w:rsidRPr="0091174E">
        <w:rPr>
          <w:rFonts w:ascii="Arial" w:eastAsia="Times New Roman" w:hAnsi="Arial" w:cs="Arial"/>
          <w:bCs/>
          <w:sz w:val="24"/>
          <w:szCs w:val="24"/>
          <w:shd w:val="clear" w:color="auto" w:fill="FFFFFF"/>
        </w:rPr>
        <w:t xml:space="preserve"> of </w:t>
      </w:r>
      <w:r w:rsidR="00775CCF" w:rsidRPr="0091174E">
        <w:rPr>
          <w:rFonts w:ascii="Arial" w:eastAsia="Times New Roman" w:hAnsi="Arial" w:cs="Arial"/>
          <w:bCs/>
          <w:sz w:val="24"/>
          <w:szCs w:val="24"/>
          <w:shd w:val="clear" w:color="auto" w:fill="FFFFFF"/>
        </w:rPr>
        <w:t>males that received AAV-TBG-CRE injections had AMPK effectively knocked out</w:t>
      </w:r>
      <w:r w:rsidR="00BE6057" w:rsidRPr="0091174E">
        <w:rPr>
          <w:rFonts w:ascii="Arial" w:eastAsia="Times New Roman" w:hAnsi="Arial" w:cs="Arial"/>
          <w:bCs/>
          <w:sz w:val="24"/>
          <w:szCs w:val="24"/>
          <w:shd w:val="clear" w:color="auto" w:fill="FFFFFF"/>
        </w:rPr>
        <w:t xml:space="preserve">. We included only the males that </w:t>
      </w:r>
      <w:r w:rsidR="00A04B22" w:rsidRPr="0091174E">
        <w:rPr>
          <w:rFonts w:ascii="Arial" w:eastAsia="Times New Roman" w:hAnsi="Arial" w:cs="Arial"/>
          <w:bCs/>
          <w:sz w:val="24"/>
          <w:szCs w:val="24"/>
          <w:shd w:val="clear" w:color="auto" w:fill="FFFFFF"/>
        </w:rPr>
        <w:t>had</w:t>
      </w:r>
      <w:r w:rsidR="00BE6057" w:rsidRPr="0091174E">
        <w:rPr>
          <w:rFonts w:ascii="Arial" w:eastAsia="Times New Roman" w:hAnsi="Arial" w:cs="Arial"/>
          <w:bCs/>
          <w:sz w:val="24"/>
          <w:szCs w:val="24"/>
          <w:shd w:val="clear" w:color="auto" w:fill="FFFFFF"/>
        </w:rPr>
        <w:t xml:space="preserve"> AMPK knocked out for the remainder of the study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1C4117" w:rsidRPr="0091174E">
        <w:rPr>
          <w:rFonts w:ascii="Arial" w:eastAsia="Times New Roman" w:hAnsi="Arial" w:cs="Arial"/>
          <w:bCs/>
          <w:sz w:val="24"/>
          <w:szCs w:val="24"/>
          <w:shd w:val="clear" w:color="auto" w:fill="FFFFFF"/>
        </w:rPr>
        <w:t>)</w:t>
      </w:r>
      <w:r w:rsidR="00775CCF" w:rsidRPr="0091174E">
        <w:rPr>
          <w:rFonts w:ascii="Arial" w:eastAsia="Times New Roman" w:hAnsi="Arial" w:cs="Arial"/>
          <w:bCs/>
          <w:sz w:val="24"/>
          <w:szCs w:val="24"/>
          <w:shd w:val="clear" w:color="auto" w:fill="FFFFFF"/>
        </w:rPr>
        <w:t>.</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color w:val="FF0000"/>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 xml:space="preserve">1/2 (Figure 2A). Similarly, </w:t>
      </w:r>
      <w:proofErr w:type="spellStart"/>
      <w:r w:rsidR="00B81781" w:rsidRPr="0091174E">
        <w:rPr>
          <w:rFonts w:ascii="Arial" w:eastAsia="Times New Roman" w:hAnsi="Arial" w:cs="Arial"/>
          <w:bCs/>
          <w:color w:val="FF0000"/>
          <w:sz w:val="24"/>
          <w:szCs w:val="24"/>
          <w:shd w:val="clear" w:color="auto" w:fill="FFFFFF"/>
        </w:rPr>
        <w:t>pACC</w:t>
      </w:r>
      <w:proofErr w:type="spellEnd"/>
      <w:r w:rsidR="00B81781" w:rsidRPr="0091174E">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For this reason, we investigated the males for the remainder of the experiments.</w:t>
      </w:r>
      <w:r w:rsidR="00C01136" w:rsidRPr="0091174E">
        <w:rPr>
          <w:rFonts w:ascii="Arial" w:eastAsia="Times New Roman" w:hAnsi="Arial" w:cs="Arial"/>
          <w:bCs/>
          <w:color w:val="FF0000"/>
          <w:sz w:val="24"/>
          <w:szCs w:val="24"/>
          <w:shd w:val="clear" w:color="auto" w:fill="FFFFFF"/>
        </w:rPr>
        <w:t xml:space="preserve"> </w:t>
      </w:r>
    </w:p>
    <w:p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proofErr w:type="spellStart"/>
      <w:r w:rsidRPr="0091174E">
        <w:rPr>
          <w:rFonts w:ascii="Arial" w:eastAsia="Times New Roman" w:hAnsi="Arial" w:cs="Arial"/>
          <w:bCs/>
          <w:sz w:val="24"/>
          <w:szCs w:val="24"/>
          <w:shd w:val="clear" w:color="auto" w:fill="FFFFFF"/>
        </w:rPr>
        <w:t>pACC</w:t>
      </w:r>
      <w:proofErr w:type="spellEnd"/>
      <w:r w:rsidRPr="0091174E">
        <w:rPr>
          <w:rFonts w:ascii="Arial" w:eastAsia="Times New Roman" w:hAnsi="Arial" w:cs="Arial"/>
          <w:bCs/>
          <w:sz w:val="24"/>
          <w:szCs w:val="24"/>
          <w:shd w:val="clear" w:color="auto" w:fill="FFFFFF"/>
        </w:rPr>
        <w:t>,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BE6057" w:rsidRPr="0091174E">
        <w:rPr>
          <w:rFonts w:ascii="Arial" w:eastAsia="Times New Roman" w:hAnsi="Arial" w:cs="Arial"/>
          <w:bCs/>
          <w:sz w:val="24"/>
          <w:szCs w:val="24"/>
          <w:shd w:val="clear" w:color="auto" w:fill="FFFFFF"/>
        </w:rPr>
        <w:t xml:space="preserve">which confirmed the knockout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3A05B9" w:rsidRPr="0091174E">
        <w:rPr>
          <w:rFonts w:ascii="Arial" w:eastAsia="Times New Roman" w:hAnsi="Arial" w:cs="Arial"/>
          <w:bCs/>
          <w:sz w:val="24"/>
          <w:szCs w:val="24"/>
          <w:shd w:val="clear" w:color="auto" w:fill="FFFFFF"/>
        </w:rPr>
        <w:t xml:space="preserve">This also indicates there may also be an increase in lipogenesis in the KO mice. </w:t>
      </w:r>
      <w:proofErr w:type="spellStart"/>
      <w:r w:rsidR="009223E4" w:rsidRPr="0091174E">
        <w:rPr>
          <w:rFonts w:ascii="Arial" w:eastAsia="Times New Roman" w:hAnsi="Arial" w:cs="Arial"/>
          <w:bCs/>
          <w:sz w:val="24"/>
          <w:szCs w:val="24"/>
          <w:shd w:val="clear" w:color="auto" w:fill="FFFFFF"/>
        </w:rPr>
        <w:t>pACC</w:t>
      </w:r>
      <w:proofErr w:type="spellEnd"/>
      <w:r w:rsidR="009223E4" w:rsidRPr="0091174E">
        <w:rPr>
          <w:rFonts w:ascii="Arial" w:eastAsia="Times New Roman" w:hAnsi="Arial" w:cs="Arial"/>
          <w:bCs/>
          <w:sz w:val="24"/>
          <w:szCs w:val="24"/>
          <w:shd w:val="clear" w:color="auto" w:fill="FFFFFF"/>
        </w:rPr>
        <w:t xml:space="preserve">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also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2B)</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in the KO mice</w:t>
      </w:r>
      <w:r w:rsidR="00B81781" w:rsidRPr="0091174E">
        <w:rPr>
          <w:rFonts w:ascii="Arial" w:eastAsia="Times New Roman" w:hAnsi="Arial" w:cs="Arial"/>
          <w:bCs/>
          <w:sz w:val="24"/>
          <w:szCs w:val="24"/>
          <w:shd w:val="clear" w:color="auto" w:fill="FFFFFF"/>
        </w:rPr>
        <w:t xml:space="preserve">. </w:t>
      </w:r>
      <w:r w:rsidR="00A04B22" w:rsidRPr="0091174E">
        <w:rPr>
          <w:rFonts w:ascii="Arial" w:eastAsia="Times New Roman" w:hAnsi="Arial" w:cs="Arial"/>
          <w:bCs/>
          <w:color w:val="FF0000"/>
          <w:sz w:val="24"/>
          <w:szCs w:val="24"/>
          <w:shd w:val="clear" w:color="auto" w:fill="FFFFFF"/>
        </w:rPr>
        <w:t xml:space="preserve">ACLY, another lipogenic gene, </w:t>
      </w:r>
      <w:r w:rsidR="00A23432" w:rsidRPr="0091174E">
        <w:rPr>
          <w:rFonts w:ascii="Arial" w:eastAsia="Times New Roman" w:hAnsi="Arial" w:cs="Arial"/>
          <w:bCs/>
          <w:color w:val="FF0000"/>
          <w:sz w:val="24"/>
          <w:szCs w:val="24"/>
          <w:shd w:val="clear" w:color="auto" w:fill="FFFFFF"/>
        </w:rPr>
        <w:t>was found to _______</w:t>
      </w:r>
      <w:r w:rsidR="006341B2" w:rsidRPr="0091174E">
        <w:rPr>
          <w:rFonts w:ascii="Arial" w:eastAsia="Times New Roman" w:hAnsi="Arial" w:cs="Arial"/>
          <w:bCs/>
          <w:color w:val="FF0000"/>
          <w:sz w:val="24"/>
          <w:szCs w:val="24"/>
          <w:shd w:val="clear" w:color="auto" w:fill="FFFFFF"/>
        </w:rPr>
        <w:t xml:space="preserve"> (Figure 2B)</w:t>
      </w:r>
    </w:p>
    <w:p w:rsidR="009E3F34" w:rsidRPr="0091174E" w:rsidRDefault="007F757D"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w:t>
      </w:r>
      <w:r w:rsidRPr="0091174E">
        <w:rPr>
          <w:rFonts w:ascii="Arial" w:eastAsia="Times New Roman" w:hAnsi="Arial" w:cs="Arial"/>
          <w:bCs/>
          <w:sz w:val="24"/>
          <w:szCs w:val="24"/>
          <w:shd w:val="clear" w:color="auto" w:fill="FFFFFF"/>
        </w:rPr>
        <w:lastRenderedPageBreak/>
        <w:t>pS6K. We found that mTOR signaling was not different between diet or treatment groups (Figure</w:t>
      </w:r>
      <w:r w:rsidR="00EB67BF" w:rsidRPr="0091174E">
        <w:rPr>
          <w:rFonts w:ascii="Arial" w:eastAsia="Times New Roman" w:hAnsi="Arial" w:cs="Arial"/>
          <w:bCs/>
          <w:sz w:val="24"/>
          <w:szCs w:val="24"/>
          <w:shd w:val="clear" w:color="auto" w:fill="FFFFFF"/>
        </w:rPr>
        <w:t xml:space="preserve"> 2B</w:t>
      </w:r>
      <w:r w:rsidRPr="0091174E">
        <w:rPr>
          <w:rFonts w:ascii="Arial" w:eastAsia="Times New Roman" w:hAnsi="Arial" w:cs="Arial"/>
          <w:bCs/>
          <w:sz w:val="24"/>
          <w:szCs w:val="24"/>
          <w:shd w:val="clear" w:color="auto" w:fill="FFFFFF"/>
        </w:rPr>
        <w:t>)</w:t>
      </w:r>
      <w:r w:rsidR="006341B2" w:rsidRPr="0091174E">
        <w:rPr>
          <w:rFonts w:ascii="Arial" w:eastAsia="Times New Roman" w:hAnsi="Arial" w:cs="Arial"/>
          <w:bCs/>
          <w:sz w:val="24"/>
          <w:szCs w:val="24"/>
          <w:shd w:val="clear" w:color="auto" w:fill="FFFFFF"/>
        </w:rPr>
        <w:t>.</w:t>
      </w:r>
    </w:p>
    <w:p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rsidR="00FE3FE7" w:rsidRPr="008A7B1D" w:rsidRDefault="00FE3FE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Ketone Levels Increase on Ketogenic Diet and AMPK had No Effect on Ketone Production</w:t>
      </w:r>
    </w:p>
    <w:p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rsidR="00B53F07" w:rsidRPr="008A7B1D" w:rsidRDefault="00D14CE2"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KO mice on a </w:t>
      </w:r>
      <w:r w:rsidR="00B76578" w:rsidRPr="008A7B1D">
        <w:rPr>
          <w:rFonts w:ascii="Arial" w:eastAsia="Times New Roman" w:hAnsi="Arial" w:cs="Arial"/>
          <w:b/>
          <w:bCs/>
          <w:sz w:val="24"/>
          <w:szCs w:val="24"/>
          <w:shd w:val="clear" w:color="auto" w:fill="FFFFFF"/>
        </w:rPr>
        <w:t>KD</w:t>
      </w:r>
      <w:r w:rsidRPr="008A7B1D">
        <w:rPr>
          <w:rFonts w:ascii="Arial" w:eastAsia="Times New Roman" w:hAnsi="Arial" w:cs="Arial"/>
          <w:b/>
          <w:bCs/>
          <w:sz w:val="24"/>
          <w:szCs w:val="24"/>
          <w:shd w:val="clear" w:color="auto" w:fill="FFFFFF"/>
        </w:rPr>
        <w:t xml:space="preserve"> have more gonadal and liver adipose tissue</w:t>
      </w:r>
    </w:p>
    <w:p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20% in α1α2lox/lox, which was exacerbated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2-fold in α1α2lox/lox + Albcre. This corresponded to a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4</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diet </w:t>
      </w:r>
      <w:r w:rsidR="001B4F84" w:rsidRPr="0091174E">
        <w:rPr>
          <w:rFonts w:ascii="Arial" w:eastAsia="Times New Roman" w:hAnsi="Arial" w:cs="Arial"/>
          <w:bCs/>
          <w:sz w:val="24"/>
          <w:szCs w:val="24"/>
          <w:shd w:val="clear" w:color="auto" w:fill="FFFFFF"/>
        </w:rPr>
        <w:t xml:space="preserve"> (Figure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seen between KO and WT on</w:t>
      </w:r>
      <w:r w:rsidR="00921852" w:rsidRPr="0091174E">
        <w:rPr>
          <w:rFonts w:ascii="Arial" w:eastAsia="Times New Roman" w:hAnsi="Arial" w:cs="Arial"/>
          <w:bCs/>
          <w:sz w:val="24"/>
          <w:szCs w:val="24"/>
          <w:shd w:val="clear" w:color="auto" w:fill="FFFFFF"/>
        </w:rPr>
        <w:t xml:space="preserve">  a control diet. </w:t>
      </w:r>
    </w:p>
    <w:p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w:t>
      </w:r>
      <w:r w:rsidR="003417BC" w:rsidRPr="0091174E">
        <w:rPr>
          <w:rFonts w:ascii="Arial" w:eastAsia="Times New Roman" w:hAnsi="Arial" w:cs="Arial"/>
          <w:bCs/>
          <w:sz w:val="24"/>
          <w:szCs w:val="24"/>
          <w:shd w:val="clear" w:color="auto" w:fill="FFFFFF"/>
        </w:rPr>
        <w:lastRenderedPageBreak/>
        <w:t xml:space="preserve">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rsidR="0091174E" w:rsidRDefault="0091174E" w:rsidP="0091174E">
      <w:pPr>
        <w:spacing w:line="240" w:lineRule="auto"/>
        <w:contextualSpacing/>
        <w:jc w:val="center"/>
        <w:rPr>
          <w:rFonts w:ascii="Arial" w:eastAsia="Times New Roman" w:hAnsi="Arial" w:cs="Arial"/>
          <w:bCs/>
          <w:sz w:val="24"/>
          <w:szCs w:val="24"/>
          <w:shd w:val="clear" w:color="auto" w:fill="FFFFFF"/>
        </w:rPr>
      </w:pPr>
    </w:p>
    <w:p w:rsidR="00DF0723" w:rsidRPr="008A7B1D" w:rsidRDefault="000217A6"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56540" w:rsidRPr="008A7B1D">
        <w:rPr>
          <w:rFonts w:ascii="Arial" w:eastAsia="Times New Roman" w:hAnsi="Arial" w:cs="Arial"/>
          <w:b/>
          <w:bCs/>
          <w:sz w:val="24"/>
          <w:szCs w:val="24"/>
          <w:shd w:val="clear" w:color="auto" w:fill="FFFFFF"/>
        </w:rPr>
        <w:t xml:space="preserve"> </w:t>
      </w:r>
      <w:r w:rsidRPr="008A7B1D">
        <w:rPr>
          <w:rFonts w:ascii="Arial" w:eastAsia="Times New Roman" w:hAnsi="Arial" w:cs="Arial"/>
          <w:b/>
          <w:bCs/>
          <w:sz w:val="24"/>
          <w:szCs w:val="24"/>
          <w:shd w:val="clear" w:color="auto" w:fill="FFFFFF"/>
        </w:rPr>
        <w:t xml:space="preserve">1/2 KO </w:t>
      </w:r>
      <w:r w:rsidR="00BB6FA4" w:rsidRPr="008A7B1D">
        <w:rPr>
          <w:rFonts w:ascii="Arial" w:eastAsia="Times New Roman" w:hAnsi="Arial" w:cs="Arial"/>
          <w:b/>
          <w:bCs/>
          <w:sz w:val="24"/>
          <w:szCs w:val="24"/>
          <w:shd w:val="clear" w:color="auto" w:fill="FFFFFF"/>
        </w:rPr>
        <w:t xml:space="preserve">does not </w:t>
      </w:r>
      <w:r w:rsidR="002F14B8" w:rsidRPr="008A7B1D">
        <w:rPr>
          <w:rFonts w:ascii="Arial" w:eastAsia="Times New Roman" w:hAnsi="Arial" w:cs="Arial"/>
          <w:b/>
          <w:bCs/>
          <w:sz w:val="24"/>
          <w:szCs w:val="24"/>
          <w:shd w:val="clear" w:color="auto" w:fill="FFFFFF"/>
        </w:rPr>
        <w:t>impact insulin sensitivity</w:t>
      </w:r>
      <w:r w:rsidR="00F72D47" w:rsidRPr="008A7B1D">
        <w:rPr>
          <w:rFonts w:ascii="Arial" w:eastAsia="Times New Roman" w:hAnsi="Arial" w:cs="Arial"/>
          <w:b/>
          <w:bCs/>
          <w:sz w:val="24"/>
          <w:szCs w:val="24"/>
          <w:shd w:val="clear" w:color="auto" w:fill="FFFFFF"/>
        </w:rPr>
        <w:t xml:space="preserve"> on a </w:t>
      </w:r>
      <w:r w:rsidR="00396808" w:rsidRPr="008A7B1D">
        <w:rPr>
          <w:rFonts w:ascii="Arial" w:eastAsia="Times New Roman" w:hAnsi="Arial" w:cs="Arial"/>
          <w:b/>
          <w:bCs/>
          <w:sz w:val="24"/>
          <w:szCs w:val="24"/>
          <w:shd w:val="clear" w:color="auto" w:fill="FFFFFF"/>
        </w:rPr>
        <w:t>K</w:t>
      </w:r>
      <w:r w:rsidR="00F72D47" w:rsidRPr="008A7B1D">
        <w:rPr>
          <w:rFonts w:ascii="Arial" w:eastAsia="Times New Roman" w:hAnsi="Arial" w:cs="Arial"/>
          <w:b/>
          <w:bCs/>
          <w:sz w:val="24"/>
          <w:szCs w:val="24"/>
          <w:shd w:val="clear" w:color="auto" w:fill="FFFFFF"/>
        </w:rPr>
        <w:t>etogenic Diet</w:t>
      </w:r>
    </w:p>
    <w:p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rsidR="00927558" w:rsidRPr="0091174E" w:rsidRDefault="0061467E" w:rsidP="0091174E">
      <w:pPr>
        <w:spacing w:line="240" w:lineRule="auto"/>
        <w:ind w:firstLine="720"/>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Despite the increases in liver and gonadal adipose tissue</w:t>
      </w:r>
      <w:r w:rsidR="00CC3409" w:rsidRPr="0091174E">
        <w:rPr>
          <w:rFonts w:ascii="Arial" w:eastAsia="Times New Roman" w:hAnsi="Arial" w:cs="Arial"/>
          <w:bCs/>
          <w:sz w:val="24"/>
          <w:szCs w:val="24"/>
          <w:shd w:val="clear" w:color="auto" w:fill="FFFFFF"/>
        </w:rPr>
        <w:t xml:space="preserve"> in </w:t>
      </w:r>
      <w:r w:rsidR="00B8179F" w:rsidRPr="0091174E">
        <w:rPr>
          <w:rFonts w:ascii="Arial" w:eastAsia="Times New Roman" w:hAnsi="Arial" w:cs="Arial"/>
          <w:bCs/>
          <w:sz w:val="24"/>
          <w:szCs w:val="24"/>
          <w:shd w:val="clear" w:color="auto" w:fill="FFFFFF"/>
        </w:rPr>
        <w:t>KO mice on a ketogenic diet, there were no differences</w:t>
      </w:r>
      <w:r w:rsidR="0008474A"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in fasting blood glucose or insulin sensitivity </w:t>
      </w:r>
      <w:r w:rsidR="0008474A" w:rsidRPr="0091174E">
        <w:rPr>
          <w:rFonts w:ascii="Arial" w:eastAsia="Times New Roman" w:hAnsi="Arial" w:cs="Arial"/>
          <w:bCs/>
          <w:sz w:val="24"/>
          <w:szCs w:val="24"/>
          <w:shd w:val="clear" w:color="auto" w:fill="FFFFFF"/>
        </w:rPr>
        <w:t>between treatment groups</w:t>
      </w:r>
      <w:r w:rsidR="00B8179F"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on a ketogenic diet </w:t>
      </w:r>
      <w:r w:rsidR="0008474A" w:rsidRPr="0091174E">
        <w:rPr>
          <w:rFonts w:ascii="Arial" w:eastAsia="Times New Roman" w:hAnsi="Arial" w:cs="Arial"/>
          <w:bCs/>
          <w:sz w:val="24"/>
          <w:szCs w:val="24"/>
          <w:shd w:val="clear" w:color="auto" w:fill="FFFFFF"/>
        </w:rPr>
        <w:t xml:space="preserve">(Figure 6A). </w:t>
      </w:r>
      <w:r w:rsidR="00FD4E8D" w:rsidRPr="0091174E">
        <w:rPr>
          <w:rFonts w:ascii="Arial" w:eastAsia="Times New Roman" w:hAnsi="Arial" w:cs="Arial"/>
          <w:bCs/>
          <w:sz w:val="24"/>
          <w:szCs w:val="24"/>
          <w:shd w:val="clear" w:color="auto" w:fill="FFFFFF"/>
        </w:rPr>
        <w:t xml:space="preserve">There were </w:t>
      </w:r>
      <w:r w:rsidR="00834546" w:rsidRPr="0091174E">
        <w:rPr>
          <w:rFonts w:ascii="Arial" w:eastAsia="Times New Roman" w:hAnsi="Arial" w:cs="Arial"/>
          <w:bCs/>
          <w:sz w:val="24"/>
          <w:szCs w:val="24"/>
          <w:shd w:val="clear" w:color="auto" w:fill="FFFFFF"/>
        </w:rPr>
        <w:t xml:space="preserve">differences </w:t>
      </w:r>
      <w:r w:rsidR="00072972" w:rsidRPr="0091174E">
        <w:rPr>
          <w:rFonts w:ascii="Arial" w:eastAsia="Times New Roman" w:hAnsi="Arial" w:cs="Arial"/>
          <w:bCs/>
          <w:sz w:val="24"/>
          <w:szCs w:val="24"/>
          <w:shd w:val="clear" w:color="auto" w:fill="FFFFFF"/>
        </w:rPr>
        <w:t xml:space="preserve">in fasting glucose and insulin sensitivity </w:t>
      </w:r>
      <w:r w:rsidR="00153756" w:rsidRPr="0091174E">
        <w:rPr>
          <w:rFonts w:ascii="Arial" w:eastAsia="Times New Roman" w:hAnsi="Arial" w:cs="Arial"/>
          <w:bCs/>
          <w:sz w:val="24"/>
          <w:szCs w:val="24"/>
          <w:shd w:val="clear" w:color="auto" w:fill="FFFFFF"/>
        </w:rPr>
        <w:t xml:space="preserve">between diet groups </w:t>
      </w:r>
      <w:r w:rsidR="00834546" w:rsidRPr="0091174E">
        <w:rPr>
          <w:rFonts w:ascii="Arial" w:eastAsia="Times New Roman" w:hAnsi="Arial" w:cs="Arial"/>
          <w:bCs/>
          <w:sz w:val="24"/>
          <w:szCs w:val="24"/>
          <w:shd w:val="clear" w:color="auto" w:fill="FFFFFF"/>
        </w:rPr>
        <w:t>in that b</w:t>
      </w:r>
      <w:r w:rsidR="00833001" w:rsidRPr="0091174E">
        <w:rPr>
          <w:rFonts w:ascii="Arial" w:eastAsia="Times New Roman" w:hAnsi="Arial" w:cs="Arial"/>
          <w:bCs/>
          <w:sz w:val="24"/>
          <w:szCs w:val="24"/>
          <w:shd w:val="clear" w:color="auto" w:fill="FFFFFF"/>
        </w:rPr>
        <w:t>oth KO and WT ketogenic diet mice had higher glucose level</w:t>
      </w:r>
      <w:r w:rsidR="00DE0177" w:rsidRPr="0091174E">
        <w:rPr>
          <w:rFonts w:ascii="Arial" w:eastAsia="Times New Roman" w:hAnsi="Arial" w:cs="Arial"/>
          <w:bCs/>
          <w:sz w:val="24"/>
          <w:szCs w:val="24"/>
          <w:shd w:val="clear" w:color="auto" w:fill="FFFFFF"/>
        </w:rPr>
        <w:t>s</w:t>
      </w:r>
      <w:r w:rsidR="00CB2FA6" w:rsidRPr="0091174E">
        <w:rPr>
          <w:rFonts w:ascii="Arial" w:eastAsia="Times New Roman" w:hAnsi="Arial" w:cs="Arial"/>
          <w:bCs/>
          <w:sz w:val="24"/>
          <w:szCs w:val="24"/>
          <w:shd w:val="clear" w:color="auto" w:fill="FFFFFF"/>
        </w:rPr>
        <w:t xml:space="preserve"> and</w:t>
      </w:r>
      <w:r w:rsidR="00833001" w:rsidRPr="0091174E">
        <w:rPr>
          <w:rFonts w:ascii="Arial" w:eastAsia="Times New Roman" w:hAnsi="Arial" w:cs="Arial"/>
          <w:bCs/>
          <w:sz w:val="24"/>
          <w:szCs w:val="24"/>
          <w:shd w:val="clear" w:color="auto" w:fill="FFFFFF"/>
        </w:rPr>
        <w:t xml:space="preserve"> a larger drop </w:t>
      </w:r>
      <w:r w:rsidR="00CB2FA6" w:rsidRPr="0091174E">
        <w:rPr>
          <w:rFonts w:ascii="Arial" w:eastAsia="Times New Roman" w:hAnsi="Arial" w:cs="Arial"/>
          <w:bCs/>
          <w:sz w:val="24"/>
          <w:szCs w:val="24"/>
          <w:shd w:val="clear" w:color="auto" w:fill="FFFFFF"/>
        </w:rPr>
        <w:t>with</w:t>
      </w:r>
      <w:r w:rsidR="00833001" w:rsidRPr="0091174E">
        <w:rPr>
          <w:rFonts w:ascii="Arial" w:eastAsia="Times New Roman" w:hAnsi="Arial" w:cs="Arial"/>
          <w:bCs/>
          <w:sz w:val="24"/>
          <w:szCs w:val="24"/>
          <w:shd w:val="clear" w:color="auto" w:fill="FFFFFF"/>
        </w:rPr>
        <w:t xml:space="preserve"> subsequent increase in blood glucose compared to mice fed a control diet</w:t>
      </w:r>
      <w:r w:rsidR="00A16DE1" w:rsidRPr="0091174E">
        <w:rPr>
          <w:rFonts w:ascii="Arial" w:eastAsia="Times New Roman" w:hAnsi="Arial" w:cs="Arial"/>
          <w:bCs/>
          <w:sz w:val="24"/>
          <w:szCs w:val="24"/>
          <w:shd w:val="clear" w:color="auto" w:fill="FFFFFF"/>
        </w:rPr>
        <w:t xml:space="preserve"> (Figure 6A)</w:t>
      </w:r>
      <w:r w:rsidR="00833001" w:rsidRPr="0091174E">
        <w:rPr>
          <w:rFonts w:ascii="Arial" w:eastAsia="Times New Roman" w:hAnsi="Arial" w:cs="Arial"/>
          <w:bCs/>
          <w:sz w:val="24"/>
          <w:szCs w:val="24"/>
          <w:shd w:val="clear" w:color="auto" w:fill="FFFFFF"/>
        </w:rPr>
        <w:t xml:space="preserve">.  </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6217D" w:rsidRDefault="00EE44CC" w:rsidP="0091174E">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 xml:space="preserve">“Previously found, genetic deletion of alpha a1, a2, or b2 isoforms in mice has little effect on liver AMPK activity </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5</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6</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7</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 xml:space="preserve">. </w:t>
      </w:r>
      <w:r w:rsidRPr="0016217D">
        <w:rPr>
          <w:sz w:val="16"/>
          <w:szCs w:val="16"/>
        </w:rPr>
        <w:t xml:space="preserve">By contrast, germline deletion of AMPK </w:t>
      </w:r>
      <w:r w:rsidRPr="0016217D">
        <w:rPr>
          <w:rFonts w:ascii="Adv P 7 DA" w:hAnsi="Adv P 7 DA" w:cs="Adv P 7 DA"/>
          <w:sz w:val="16"/>
          <w:szCs w:val="16"/>
        </w:rPr>
        <w:t>b</w:t>
      </w:r>
      <w:r w:rsidRPr="0016217D">
        <w:rPr>
          <w:sz w:val="16"/>
          <w:szCs w:val="16"/>
        </w:rPr>
        <w:t>1 [65] leads to a large reduction in liver AMPK activity (</w:t>
      </w:r>
      <w:r w:rsidRPr="0016217D">
        <w:rPr>
          <w:rFonts w:ascii="Adv P 4 C 4 E" w:hAnsi="Adv P 4 C 4 E" w:cs="Adv P 4 C 4 E"/>
          <w:sz w:val="16"/>
          <w:szCs w:val="16"/>
        </w:rPr>
        <w:t>_</w:t>
      </w:r>
      <w:r w:rsidRPr="0016217D">
        <w:rPr>
          <w:sz w:val="16"/>
          <w:szCs w:val="16"/>
        </w:rPr>
        <w:t xml:space="preserve">95%), indicating that the </w:t>
      </w:r>
      <w:r w:rsidRPr="0016217D">
        <w:rPr>
          <w:rFonts w:ascii="Adv P 7 DA" w:hAnsi="Adv P 7 DA" w:cs="Adv P 7 DA"/>
          <w:sz w:val="16"/>
          <w:szCs w:val="16"/>
        </w:rPr>
        <w:t>b</w:t>
      </w:r>
      <w:r w:rsidRPr="0016217D">
        <w:rPr>
          <w:sz w:val="16"/>
          <w:szCs w:val="16"/>
        </w:rPr>
        <w:t xml:space="preserve">1 subunit is essential for maintaining the AMPK </w:t>
      </w:r>
      <w:proofErr w:type="spellStart"/>
      <w:r w:rsidRPr="0016217D">
        <w:rPr>
          <w:sz w:val="16"/>
          <w:szCs w:val="16"/>
        </w:rPr>
        <w:t>heterotrimer</w:t>
      </w:r>
      <w:proofErr w:type="spellEnd"/>
      <w:r w:rsidRPr="0016217D">
        <w:rPr>
          <w:sz w:val="16"/>
          <w:szCs w:val="16"/>
        </w:rPr>
        <w:t xml:space="preserve"> in the liver. mice with a liver-speci</w:t>
      </w:r>
      <w:r w:rsidRPr="0016217D">
        <w:rPr>
          <w:rFonts w:ascii="Adv OT 6e 5d 2ec 0+fb" w:hAnsi="Adv OT 6e 5d 2ec 0+fb" w:cs="Adv OT 6e 5d 2ec 0+fb"/>
          <w:sz w:val="16"/>
          <w:szCs w:val="16"/>
        </w:rPr>
        <w:t>fi</w:t>
      </w:r>
      <w:r w:rsidRPr="0016217D">
        <w:rPr>
          <w:sz w:val="16"/>
          <w:szCs w:val="16"/>
        </w:rPr>
        <w:t xml:space="preserve">c knockout of AMPK </w:t>
      </w:r>
      <w:r w:rsidRPr="0016217D">
        <w:rPr>
          <w:rFonts w:ascii="Adv P 7 DA" w:hAnsi="Adv P 7 DA" w:cs="Adv P 7 DA"/>
          <w:sz w:val="16"/>
          <w:szCs w:val="16"/>
        </w:rPr>
        <w:t>a</w:t>
      </w:r>
      <w:r w:rsidRPr="0016217D">
        <w:rPr>
          <w:sz w:val="16"/>
          <w:szCs w:val="16"/>
        </w:rPr>
        <w:t xml:space="preserve">2 were hyperglycemic and had elevated HGP relative to controls </w:t>
      </w:r>
      <w:r w:rsidRPr="0016217D">
        <w:rPr>
          <w:sz w:val="16"/>
          <w:szCs w:val="16"/>
        </w:rPr>
        <w:fldChar w:fldCharType="begin" w:fldLock="1"/>
      </w:r>
      <w:r>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8</w:t>
      </w:r>
      <w:r w:rsidRPr="0016217D">
        <w:rPr>
          <w:sz w:val="16"/>
          <w:szCs w:val="16"/>
        </w:rPr>
        <w:fldChar w:fldCharType="end"/>
      </w:r>
      <w:r w:rsidRPr="0016217D">
        <w:rPr>
          <w:sz w:val="16"/>
          <w:szCs w:val="16"/>
        </w:rPr>
        <w:t xml:space="preserve">. However, mice lacking both AMPK </w:t>
      </w:r>
      <w:r w:rsidRPr="0016217D">
        <w:rPr>
          <w:rFonts w:ascii="Adv P 7 DA" w:hAnsi="Adv P 7 DA" w:cs="Adv P 7 DA"/>
          <w:sz w:val="16"/>
          <w:szCs w:val="16"/>
        </w:rPr>
        <w:t>a</w:t>
      </w:r>
      <w:r w:rsidRPr="0016217D">
        <w:rPr>
          <w:sz w:val="16"/>
          <w:szCs w:val="16"/>
        </w:rPr>
        <w:t xml:space="preserve">1 and </w:t>
      </w:r>
      <w:r w:rsidRPr="0016217D">
        <w:rPr>
          <w:rFonts w:ascii="Adv P 7 DA" w:hAnsi="Adv P 7 DA" w:cs="Adv P 7 DA"/>
          <w:sz w:val="16"/>
          <w:szCs w:val="16"/>
        </w:rPr>
        <w:t>a</w:t>
      </w:r>
      <w:r w:rsidRPr="0016217D">
        <w:rPr>
          <w:sz w:val="16"/>
          <w:szCs w:val="16"/>
        </w:rPr>
        <w:t>2 subunits in the liver (which led to no detectable liver AMPK activity) did not result in hyperglycemia or increases in HGP. In addition, AICAR continued to suppress HGP in liver-speci</w:t>
      </w:r>
      <w:r w:rsidRPr="0016217D">
        <w:rPr>
          <w:rFonts w:ascii="Adv OT 6e 5d 2ec 0+fb" w:hAnsi="Adv OT 6e 5d 2ec 0+fb" w:cs="Adv OT 6e 5d 2ec 0+fb"/>
          <w:sz w:val="16"/>
          <w:szCs w:val="16"/>
        </w:rPr>
        <w:t>fi</w:t>
      </w:r>
      <w:r w:rsidRPr="0016217D">
        <w:rPr>
          <w:sz w:val="16"/>
          <w:szCs w:val="16"/>
        </w:rPr>
        <w:t>c AMPK</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KO mice suggesting that the glucose lowering-effects of AICAR are independent of AMPK </w:t>
      </w:r>
      <w:r w:rsidRPr="0016217D">
        <w:rPr>
          <w:sz w:val="16"/>
          <w:szCs w:val="16"/>
        </w:rPr>
        <w:fldChar w:fldCharType="begin" w:fldLock="1"/>
      </w:r>
      <w:r>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10</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have reduced mitochondrial content, mitochondrial respiration, and oxidative capacity, demonstrating that AMPK is required for maintenance of hepatic of mitochondrial function </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 Importantly, this appears to have functional consequences because, during fasting, a time of heavy ATP demand because of gluconeogenesis, there are large reductions in ATP levels in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xml:space="preserve">. In addition to reductions in mitochondrial content, this impairment in mitochondrial function may also be attributed to defects in mitophagy and mitochondrial </w:t>
      </w:r>
      <w:r w:rsidRPr="0016217D">
        <w:rPr>
          <w:rFonts w:ascii="Adv OT 6e 5d 2ec 0+fb" w:hAnsi="Adv OT 6e 5d 2ec 0+fb" w:cs="Adv OT 6e 5d 2ec 0+fb"/>
          <w:sz w:val="16"/>
          <w:szCs w:val="16"/>
        </w:rPr>
        <w:t>fi</w:t>
      </w:r>
      <w:r w:rsidRPr="0016217D">
        <w:rPr>
          <w:sz w:val="16"/>
          <w:szCs w:val="16"/>
        </w:rPr>
        <w:t xml:space="preserve">ssion. Reductions in liver AMPK activity in AMPK </w:t>
      </w:r>
      <w:r w:rsidRPr="0016217D">
        <w:rPr>
          <w:rFonts w:ascii="Adv P 7 DA" w:hAnsi="Adv P 7 DA" w:cs="Adv P 7 DA"/>
          <w:sz w:val="16"/>
          <w:szCs w:val="16"/>
        </w:rPr>
        <w:t>b</w:t>
      </w:r>
      <w:r w:rsidRPr="0016217D">
        <w:rPr>
          <w:sz w:val="16"/>
          <w:szCs w:val="16"/>
        </w:rPr>
        <w:t xml:space="preserve">1-knockout hepatocytes reduces the phosphorylation of ACC and leads to reductions in FAO and increases in lipogenesis </w:t>
      </w:r>
      <w:r w:rsidRPr="0016217D">
        <w:rPr>
          <w:sz w:val="16"/>
          <w:szCs w:val="16"/>
        </w:rPr>
        <w:fldChar w:fldCharType="begin" w:fldLock="1"/>
      </w:r>
      <w:r>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12</w:t>
      </w:r>
      <w:r w:rsidRPr="0016217D">
        <w:rPr>
          <w:sz w:val="16"/>
          <w:szCs w:val="16"/>
        </w:rPr>
        <w:fldChar w:fldCharType="end"/>
      </w:r>
      <w:r w:rsidRPr="0016217D">
        <w:rPr>
          <w:sz w:val="16"/>
          <w:szCs w:val="16"/>
        </w:rPr>
        <w:t xml:space="preserve">. Overexpression of AMPK </w:t>
      </w:r>
      <w:r w:rsidRPr="0016217D">
        <w:rPr>
          <w:rFonts w:ascii="Adv P 7 DA" w:hAnsi="Adv P 7 DA" w:cs="Adv P 7 DA"/>
          <w:sz w:val="16"/>
          <w:szCs w:val="16"/>
        </w:rPr>
        <w:t>a</w:t>
      </w:r>
      <w:r w:rsidRPr="0016217D">
        <w:rPr>
          <w:sz w:val="16"/>
          <w:szCs w:val="16"/>
        </w:rPr>
        <w:t xml:space="preserve">1 in the liver reduces lipogenic gene expression, liver triglyceride content, and hepatic steatosis in hyperlipidemic, type 2 diabetic rats </w:t>
      </w:r>
      <w:r w:rsidRPr="0016217D">
        <w:rPr>
          <w:rFonts w:ascii="Adv OT 1deab 44 4 I" w:hAnsi="Adv OT 1deab 44 4 I" w:cs="Adv OT 1deab 44 4 I"/>
          <w:sz w:val="16"/>
          <w:szCs w:val="16"/>
        </w:rPr>
        <w:t xml:space="preserve">in vivo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13</w:t>
      </w:r>
      <w:r w:rsidRPr="0016217D">
        <w:rPr>
          <w:rFonts w:ascii="Adv OT 1deab 44 4 I" w:hAnsi="Adv OT 1deab 44 4 I" w:cs="Adv OT 1deab 44 4 I"/>
          <w:sz w:val="16"/>
          <w:szCs w:val="16"/>
        </w:rPr>
        <w:fldChar w:fldCharType="end"/>
      </w:r>
      <w:r w:rsidRPr="0016217D">
        <w:rPr>
          <w:sz w:val="16"/>
          <w:szCs w:val="16"/>
        </w:rPr>
        <w:t>, and reduces triglyceride and intracellular lipid accumulation while increasing CPT1 expression (increasing fatty acid clear-</w:t>
      </w:r>
      <w:proofErr w:type="spellStart"/>
      <w:r w:rsidRPr="0016217D">
        <w:rPr>
          <w:sz w:val="16"/>
          <w:szCs w:val="16"/>
        </w:rPr>
        <w:t>ance</w:t>
      </w:r>
      <w:proofErr w:type="spellEnd"/>
      <w:r w:rsidRPr="0016217D">
        <w:rPr>
          <w:sz w:val="16"/>
          <w:szCs w:val="16"/>
        </w:rPr>
        <w:t xml:space="preserve"> via mitochondrial FAO) when overexpressed in hepatocytes </w:t>
      </w:r>
      <w:r w:rsidRPr="0016217D">
        <w:rPr>
          <w:rFonts w:ascii="Adv OT 1deab 44 4 I" w:hAnsi="Adv OT 1deab 44 4 I" w:cs="Adv OT 1deab 44 4 I"/>
          <w:sz w:val="16"/>
          <w:szCs w:val="16"/>
        </w:rPr>
        <w:t xml:space="preserve">in vitro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14</w:t>
      </w:r>
      <w:r w:rsidRPr="0016217D">
        <w:rPr>
          <w:rFonts w:ascii="Adv OT 1deab 44 4 I" w:hAnsi="Adv OT 1deab 44 4 I" w:cs="Adv OT 1deab 44 4 I"/>
          <w:sz w:val="16"/>
          <w:szCs w:val="16"/>
        </w:rPr>
        <w:fldChar w:fldCharType="end"/>
      </w:r>
      <w:r w:rsidRPr="0016217D">
        <w:rPr>
          <w:rFonts w:ascii="Adv OT 1deab 44 4 I" w:hAnsi="Adv OT 1deab 44 4 I" w:cs="Adv OT 1deab 44 4 I"/>
          <w:sz w:val="16"/>
          <w:szCs w:val="16"/>
        </w:rPr>
        <w:t xml:space="preserve"> “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15</w:t>
      </w:r>
      <w:r w:rsidRPr="0016217D">
        <w:rPr>
          <w:rFonts w:ascii="Adv OT 1deab 44 4 I" w:hAnsi="Adv OT 1deab 44 4 I" w:cs="Adv OT 1deab 44 4 I"/>
          <w:sz w:val="16"/>
          <w:szCs w:val="16"/>
        </w:rPr>
        <w:fldChar w:fldCharType="end"/>
      </w:r>
    </w:p>
    <w:p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91174E">
      <w:pPr>
        <w:widowControl w:val="0"/>
        <w:autoSpaceDE w:val="0"/>
        <w:autoSpaceDN w:val="0"/>
        <w:adjustRightInd w:val="0"/>
        <w:spacing w:line="240" w:lineRule="auto"/>
        <w:ind w:left="640" w:hanging="640"/>
        <w:contextualSpacing/>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lastRenderedPageBreak/>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91174E">
      <w:pPr>
        <w:widowControl w:val="0"/>
        <w:autoSpaceDE w:val="0"/>
        <w:autoSpaceDN w:val="0"/>
        <w:adjustRightInd w:val="0"/>
        <w:spacing w:line="240" w:lineRule="auto"/>
        <w:ind w:left="640" w:hanging="640"/>
        <w:contextualSpacing/>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3E5449" w:rsidRDefault="003E5449" w:rsidP="003E5449">
      <w:pPr>
        <w:spacing w:line="240" w:lineRule="auto"/>
        <w:rPr>
          <w:rFonts w:ascii="Arial" w:eastAsia="Times New Roman" w:hAnsi="Arial" w:cs="Arial"/>
          <w:b/>
          <w:bCs/>
          <w:color w:val="252525"/>
          <w:sz w:val="24"/>
          <w:szCs w:val="24"/>
          <w:shd w:val="clear" w:color="auto" w:fill="FFFFFF"/>
        </w:rPr>
      </w:pPr>
    </w:p>
    <w:p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lastRenderedPageBreak/>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w:t>
      </w:r>
      <w:r w:rsidR="009B6077" w:rsidRPr="003E5449">
        <w:rPr>
          <w:rFonts w:ascii="Arial" w:eastAsia="Times New Roman" w:hAnsi="Arial" w:cs="Arial"/>
          <w:b/>
          <w:bCs/>
          <w:color w:val="252525"/>
          <w:sz w:val="24"/>
          <w:szCs w:val="24"/>
          <w:shd w:val="clear" w:color="auto" w:fill="FFFFFF"/>
        </w:rPr>
        <w:t>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w:t>
      </w:r>
      <w:r w:rsidR="00C449E0" w:rsidRPr="003E5449">
        <w:rPr>
          <w:rFonts w:ascii="Arial" w:eastAsia="Times New Roman" w:hAnsi="Arial" w:cs="Arial"/>
          <w:b/>
          <w:bCs/>
          <w:color w:val="252525"/>
          <w:sz w:val="24"/>
          <w:szCs w:val="24"/>
          <w:shd w:val="clear" w:color="auto" w:fill="FFFFFF"/>
        </w:rPr>
        <w:t xml:space="preserve">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A. </w:t>
      </w:r>
      <w:r w:rsidR="00D864A4" w:rsidRPr="003E5449">
        <w:rPr>
          <w:rFonts w:ascii="Arial" w:eastAsia="Times New Roman" w:hAnsi="Arial" w:cs="Arial"/>
          <w:bCs/>
          <w:color w:val="252525"/>
          <w:sz w:val="24"/>
          <w:szCs w:val="24"/>
          <w:shd w:val="clear" w:color="auto" w:fill="FFFFFF"/>
        </w:rPr>
        <w:t xml:space="preserve">Insulin Tolerance Tests (ITT) was performed in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1/2 KO or WT mice by intraperitoneal insulin</w:t>
      </w:r>
      <w:r w:rsidR="003941B5" w:rsidRPr="003E5449">
        <w:rPr>
          <w:rFonts w:ascii="Arial" w:eastAsia="Times New Roman" w:hAnsi="Arial" w:cs="Arial"/>
          <w:bCs/>
          <w:color w:val="252525"/>
          <w:sz w:val="24"/>
          <w:szCs w:val="24"/>
          <w:shd w:val="clear" w:color="auto" w:fill="FFFFFF"/>
        </w:rPr>
        <w:t xml:space="preserve"> injection</w:t>
      </w:r>
      <w:r w:rsidR="009D5AD0" w:rsidRPr="003E5449">
        <w:rPr>
          <w:rFonts w:ascii="Arial" w:eastAsia="Times New Roman" w:hAnsi="Arial" w:cs="Arial"/>
          <w:bCs/>
          <w:color w:val="252525"/>
          <w:sz w:val="24"/>
          <w:szCs w:val="24"/>
          <w:shd w:val="clear" w:color="auto" w:fill="FFFFFF"/>
        </w:rPr>
        <w:t xml:space="preserve"> </w:t>
      </w:r>
      <w:r w:rsidR="009D5AD0" w:rsidRPr="003E5449">
        <w:rPr>
          <w:rFonts w:ascii="Arial" w:eastAsia="Times New Roman" w:hAnsi="Arial" w:cs="Arial"/>
          <w:bCs/>
          <w:color w:val="FF0000"/>
          <w:sz w:val="24"/>
          <w:szCs w:val="24"/>
          <w:shd w:val="clear" w:color="auto" w:fill="FFFFFF"/>
        </w:rPr>
        <w:t>(n=?)</w:t>
      </w:r>
      <w:r w:rsidR="00D864A4" w:rsidRPr="003E5449">
        <w:rPr>
          <w:rFonts w:ascii="Arial" w:eastAsia="Times New Roman" w:hAnsi="Arial" w:cs="Arial"/>
          <w:bCs/>
          <w:color w:val="252525"/>
          <w:sz w:val="24"/>
          <w:szCs w:val="24"/>
          <w:shd w:val="clear" w:color="auto" w:fill="FFFFFF"/>
        </w:rPr>
        <w:t>. Blood glucose was monitored over the cour</w:t>
      </w:r>
      <w:r w:rsidR="00763996" w:rsidRPr="003E5449">
        <w:rPr>
          <w:rFonts w:ascii="Arial" w:eastAsia="Times New Roman" w:hAnsi="Arial" w:cs="Arial"/>
          <w:bCs/>
          <w:color w:val="252525"/>
          <w:sz w:val="24"/>
          <w:szCs w:val="24"/>
          <w:shd w:val="clear" w:color="auto" w:fill="FFFFFF"/>
        </w:rPr>
        <w:t>se</w:t>
      </w:r>
      <w:r w:rsidR="00D864A4" w:rsidRPr="003E5449">
        <w:rPr>
          <w:rFonts w:ascii="Arial" w:eastAsia="Times New Roman" w:hAnsi="Arial" w:cs="Arial"/>
          <w:bCs/>
          <w:color w:val="252525"/>
          <w:sz w:val="24"/>
          <w:szCs w:val="24"/>
          <w:shd w:val="clear" w:color="auto" w:fill="FFFFFF"/>
        </w:rPr>
        <w:t xml:space="preserve"> of 120 minutes</w:t>
      </w:r>
      <w:r w:rsidR="003941B5" w:rsidRPr="003E5449">
        <w:rPr>
          <w:rFonts w:ascii="Arial" w:eastAsia="Times New Roman" w:hAnsi="Arial" w:cs="Arial"/>
          <w:bCs/>
          <w:color w:val="252525"/>
          <w:sz w:val="24"/>
          <w:szCs w:val="24"/>
          <w:shd w:val="clear" w:color="auto" w:fill="FFFFFF"/>
        </w:rPr>
        <w:t xml:space="preserve"> after in</w:t>
      </w:r>
      <w:bookmarkStart w:id="0" w:name="_GoBack"/>
      <w:bookmarkEnd w:id="0"/>
      <w:r w:rsidR="003941B5" w:rsidRPr="003E5449">
        <w:rPr>
          <w:rFonts w:ascii="Arial" w:eastAsia="Times New Roman" w:hAnsi="Arial" w:cs="Arial"/>
          <w:bCs/>
          <w:color w:val="252525"/>
          <w:sz w:val="24"/>
          <w:szCs w:val="24"/>
          <w:shd w:val="clear" w:color="auto" w:fill="FFFFFF"/>
        </w:rPr>
        <w:t>sulin injection.</w:t>
      </w:r>
    </w:p>
    <w:p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73B60"/>
    <w:rsid w:val="00185DC4"/>
    <w:rsid w:val="001926FE"/>
    <w:rsid w:val="001A7CCE"/>
    <w:rsid w:val="001B4F84"/>
    <w:rsid w:val="001B5214"/>
    <w:rsid w:val="001C2003"/>
    <w:rsid w:val="001C3744"/>
    <w:rsid w:val="001C4117"/>
    <w:rsid w:val="001D2D0B"/>
    <w:rsid w:val="001D5F73"/>
    <w:rsid w:val="001E2AC4"/>
    <w:rsid w:val="002039BE"/>
    <w:rsid w:val="0020446A"/>
    <w:rsid w:val="0021415B"/>
    <w:rsid w:val="002247F6"/>
    <w:rsid w:val="002363E7"/>
    <w:rsid w:val="00241663"/>
    <w:rsid w:val="00241FE3"/>
    <w:rsid w:val="00242BA6"/>
    <w:rsid w:val="0025499C"/>
    <w:rsid w:val="00256CB1"/>
    <w:rsid w:val="00263723"/>
    <w:rsid w:val="00286972"/>
    <w:rsid w:val="00291371"/>
    <w:rsid w:val="00294E88"/>
    <w:rsid w:val="00297F08"/>
    <w:rsid w:val="002A7B0D"/>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941B5"/>
    <w:rsid w:val="00396808"/>
    <w:rsid w:val="003A05B9"/>
    <w:rsid w:val="003A4DDF"/>
    <w:rsid w:val="003C6EDA"/>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E5DF5"/>
    <w:rsid w:val="004F3B09"/>
    <w:rsid w:val="00500924"/>
    <w:rsid w:val="00513B38"/>
    <w:rsid w:val="00514871"/>
    <w:rsid w:val="00516F4A"/>
    <w:rsid w:val="005228A3"/>
    <w:rsid w:val="0052511C"/>
    <w:rsid w:val="00527958"/>
    <w:rsid w:val="00531B20"/>
    <w:rsid w:val="00536801"/>
    <w:rsid w:val="00540094"/>
    <w:rsid w:val="0054050F"/>
    <w:rsid w:val="00544183"/>
    <w:rsid w:val="00553760"/>
    <w:rsid w:val="0055409A"/>
    <w:rsid w:val="005572C7"/>
    <w:rsid w:val="00566767"/>
    <w:rsid w:val="005769E3"/>
    <w:rsid w:val="00577E7C"/>
    <w:rsid w:val="00583115"/>
    <w:rsid w:val="00590131"/>
    <w:rsid w:val="00591E81"/>
    <w:rsid w:val="005A2ED9"/>
    <w:rsid w:val="005B25F5"/>
    <w:rsid w:val="005B3FC4"/>
    <w:rsid w:val="005B4426"/>
    <w:rsid w:val="005C39DF"/>
    <w:rsid w:val="005D0364"/>
    <w:rsid w:val="005E1986"/>
    <w:rsid w:val="005E56B3"/>
    <w:rsid w:val="00605381"/>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90E1E"/>
    <w:rsid w:val="008A2A86"/>
    <w:rsid w:val="008A33CB"/>
    <w:rsid w:val="008A3A9E"/>
    <w:rsid w:val="008A5196"/>
    <w:rsid w:val="008A5B4F"/>
    <w:rsid w:val="008A7B1D"/>
    <w:rsid w:val="008C6261"/>
    <w:rsid w:val="008D02A2"/>
    <w:rsid w:val="008D31E6"/>
    <w:rsid w:val="008D55E7"/>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A03B44"/>
    <w:rsid w:val="00A04B22"/>
    <w:rsid w:val="00A12978"/>
    <w:rsid w:val="00A1368C"/>
    <w:rsid w:val="00A16DE1"/>
    <w:rsid w:val="00A178B0"/>
    <w:rsid w:val="00A231B0"/>
    <w:rsid w:val="00A23432"/>
    <w:rsid w:val="00A260A5"/>
    <w:rsid w:val="00A33F17"/>
    <w:rsid w:val="00A44067"/>
    <w:rsid w:val="00A472B9"/>
    <w:rsid w:val="00A565B1"/>
    <w:rsid w:val="00A67F3B"/>
    <w:rsid w:val="00A728E3"/>
    <w:rsid w:val="00A80041"/>
    <w:rsid w:val="00A81F07"/>
    <w:rsid w:val="00A82049"/>
    <w:rsid w:val="00A842D0"/>
    <w:rsid w:val="00A85004"/>
    <w:rsid w:val="00A97159"/>
    <w:rsid w:val="00AA3B97"/>
    <w:rsid w:val="00AD0E09"/>
    <w:rsid w:val="00AD2F62"/>
    <w:rsid w:val="00AD7353"/>
    <w:rsid w:val="00AE67E0"/>
    <w:rsid w:val="00AF3D31"/>
    <w:rsid w:val="00B0274F"/>
    <w:rsid w:val="00B242DD"/>
    <w:rsid w:val="00B24465"/>
    <w:rsid w:val="00B35BCF"/>
    <w:rsid w:val="00B4242B"/>
    <w:rsid w:val="00B42A35"/>
    <w:rsid w:val="00B47E27"/>
    <w:rsid w:val="00B53907"/>
    <w:rsid w:val="00B53F07"/>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144A"/>
    <w:rsid w:val="00E03A00"/>
    <w:rsid w:val="00E045D3"/>
    <w:rsid w:val="00E05257"/>
    <w:rsid w:val="00E05968"/>
    <w:rsid w:val="00E14A17"/>
    <w:rsid w:val="00E17DE2"/>
    <w:rsid w:val="00E2421E"/>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5FA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85DAB-D60B-C043-B7D8-E3C17DDE3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8</Pages>
  <Words>13170</Words>
  <Characters>75073</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421</cp:revision>
  <dcterms:created xsi:type="dcterms:W3CDTF">2020-05-06T19:29:00Z</dcterms:created>
  <dcterms:modified xsi:type="dcterms:W3CDTF">2020-06-08T18:37:00Z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