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594A47"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 xml:space="preserve">all mice had an approximately 50% reduction in blood glucose after 45 minutes, but mice on a ketogenic diet recovered past their fasting glucose levels.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r w:rsidR="006A677C">
        <w:rPr>
          <w:rFonts w:ascii="Arial" w:eastAsia="Times New Roman" w:hAnsi="Arial" w:cs="Arial"/>
          <w:bCs/>
          <w:sz w:val="24"/>
          <w:szCs w:val="24"/>
          <w:shd w:val="clear" w:color="auto" w:fill="FFFFFF"/>
        </w:rPr>
        <w:t>Our interpretation of these data is that glucose production (</w:t>
      </w:r>
      <w:r w:rsidR="00200614">
        <w:rPr>
          <w:rFonts w:ascii="Arial" w:eastAsia="Times New Roman" w:hAnsi="Arial" w:cs="Arial"/>
          <w:bCs/>
          <w:sz w:val="24"/>
          <w:szCs w:val="24"/>
          <w:shd w:val="clear" w:color="auto" w:fill="FFFFFF"/>
        </w:rPr>
        <w:t xml:space="preserve">either </w:t>
      </w:r>
      <w:r w:rsidR="006A677C">
        <w:rPr>
          <w:rFonts w:ascii="Arial" w:eastAsia="Times New Roman" w:hAnsi="Arial" w:cs="Arial"/>
          <w:bCs/>
          <w:sz w:val="24"/>
          <w:szCs w:val="24"/>
          <w:shd w:val="clear" w:color="auto" w:fill="FFFFFF"/>
        </w:rPr>
        <w:t xml:space="preserve">by gluconeogenesis or glycogenolysis) is </w:t>
      </w:r>
      <w:r w:rsidR="00E40BBB">
        <w:rPr>
          <w:rFonts w:ascii="Arial" w:eastAsia="Times New Roman" w:hAnsi="Arial" w:cs="Arial"/>
          <w:bCs/>
          <w:sz w:val="24"/>
          <w:szCs w:val="24"/>
          <w:shd w:val="clear" w:color="auto" w:fill="FFFFFF"/>
        </w:rPr>
        <w:t>more active</w:t>
      </w:r>
      <w:r w:rsidR="006A677C">
        <w:rPr>
          <w:rFonts w:ascii="Arial" w:eastAsia="Times New Roman" w:hAnsi="Arial" w:cs="Arial"/>
          <w:bCs/>
          <w:sz w:val="24"/>
          <w:szCs w:val="24"/>
          <w:shd w:val="clear" w:color="auto" w:fill="FFFFFF"/>
        </w:rPr>
        <w:t xml:space="preserve"> under KD </w:t>
      </w:r>
      <w:r w:rsidR="00200614">
        <w:rPr>
          <w:rFonts w:ascii="Arial" w:eastAsia="Times New Roman" w:hAnsi="Arial" w:cs="Arial"/>
          <w:bCs/>
          <w:sz w:val="24"/>
          <w:szCs w:val="24"/>
          <w:shd w:val="clear" w:color="auto" w:fill="FFFFFF"/>
        </w:rPr>
        <w:t>feeding, and that this is enhanced by the loss of AMPK signaling</w:t>
      </w:r>
      <w:r w:rsidR="00E40BBB">
        <w:rPr>
          <w:rFonts w:ascii="Arial" w:eastAsia="Times New Roman" w:hAnsi="Arial" w:cs="Arial"/>
          <w:bCs/>
          <w:sz w:val="24"/>
          <w:szCs w:val="24"/>
          <w:shd w:val="clear" w:color="auto" w:fill="FFFFFF"/>
        </w:rPr>
        <w:t xml:space="preserve"> in female mice</w:t>
      </w:r>
      <w:bookmarkStart w:id="0" w:name="_GoBack"/>
      <w:bookmarkEnd w:id="0"/>
      <w:r w:rsidR="00200614">
        <w:rPr>
          <w:rFonts w:ascii="Arial" w:eastAsia="Times New Roman" w:hAnsi="Arial" w:cs="Arial"/>
          <w:bCs/>
          <w:sz w:val="24"/>
          <w:szCs w:val="24"/>
          <w:shd w:val="clear" w:color="auto" w:fill="FFFFFF"/>
        </w:rPr>
        <w:t>.</w:t>
      </w:r>
    </w:p>
    <w:p w:rsidR="00594A47" w:rsidRDefault="00594A47" w:rsidP="0091174E">
      <w:pPr>
        <w:spacing w:line="240" w:lineRule="auto"/>
        <w:ind w:firstLine="720"/>
        <w:jc w:val="left"/>
        <w:rPr>
          <w:rFonts w:ascii="Arial" w:eastAsia="Times New Roman" w:hAnsi="Arial" w:cs="Arial"/>
          <w:bCs/>
          <w:sz w:val="24"/>
          <w:szCs w:val="24"/>
          <w:shd w:val="clear" w:color="auto" w:fill="FFFFFF"/>
        </w:rPr>
      </w:pPr>
    </w:p>
    <w:p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To approximate early-phase insulin sensitivity, we isolated the first 45 minutes of the assay, and calculated the rate of glucose decline for each group.</w:t>
      </w:r>
    </w:p>
    <w:p w:rsidR="003A235D" w:rsidRDefault="003A235D" w:rsidP="0091174E">
      <w:pPr>
        <w:spacing w:line="240" w:lineRule="auto"/>
        <w:ind w:firstLine="720"/>
        <w:jc w:val="left"/>
        <w:rPr>
          <w:rFonts w:ascii="Arial" w:eastAsia="Times New Roman" w:hAnsi="Arial" w:cs="Arial"/>
          <w:bCs/>
          <w:sz w:val="24"/>
          <w:szCs w:val="24"/>
          <w:shd w:val="clear" w:color="auto" w:fill="FFFFFF"/>
        </w:rPr>
      </w:pPr>
    </w:p>
    <w:p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w:t>
      </w:r>
      <w:r w:rsidRPr="001A0C25">
        <w:rPr>
          <w:color w:val="FF0000"/>
          <w:sz w:val="24"/>
          <w:szCs w:val="24"/>
        </w:rPr>
        <w:lastRenderedPageBreak/>
        <w:t xml:space="preserve">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w:t>
      </w:r>
      <w:r w:rsidRPr="00A81F07">
        <w:rPr>
          <w:rFonts w:ascii="Arial" w:hAnsi="Arial" w:cs="Arial"/>
          <w:noProof/>
          <w:sz w:val="24"/>
        </w:rPr>
        <w:lastRenderedPageBreak/>
        <w:t xml:space="preserve">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 xml:space="preserve">6.4 kcal/g; 85% fat, 15% </w:t>
      </w:r>
      <w:r w:rsidR="00500924" w:rsidRPr="00F16807">
        <w:rPr>
          <w:rFonts w:ascii="Arial" w:eastAsia="Times New Roman" w:hAnsi="Arial" w:cs="Arial"/>
          <w:bCs/>
          <w:color w:val="252525"/>
          <w:sz w:val="24"/>
          <w:szCs w:val="24"/>
          <w:shd w:val="clear" w:color="auto" w:fill="FFFFFF"/>
        </w:rPr>
        <w:lastRenderedPageBreak/>
        <w:t>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594A47">
        <w:rPr>
          <w:rFonts w:ascii="Arial" w:eastAsia="Times New Roman" w:hAnsi="Arial" w:cs="Arial"/>
          <w:bCs/>
          <w:color w:val="252525"/>
          <w:sz w:val="24"/>
          <w:szCs w:val="24"/>
          <w:shd w:val="clear" w:color="auto" w:fill="FFFFFF"/>
        </w:rPr>
        <w:t>.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 group</w:t>
      </w:r>
      <w:r w:rsidR="009D5AD0" w:rsidRPr="00594A47">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3CE"/>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2AC4"/>
    <w:rsid w:val="0020061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3111-9D2E-BE44-8C29-1C4DBDE1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13380</Words>
  <Characters>76272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445</cp:revision>
  <dcterms:created xsi:type="dcterms:W3CDTF">2020-05-06T19:29:00Z</dcterms:created>
  <dcterms:modified xsi:type="dcterms:W3CDTF">2021-04-01T14:29:00Z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