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w:t>
      </w:r>
      <w:proofErr w:type="spellStart"/>
      <w:r w:rsidRPr="00081C9D">
        <w:rPr>
          <w:rFonts w:ascii="Arial" w:eastAsia="Times New Roman" w:hAnsi="Arial" w:cs="Arial"/>
          <w:color w:val="000000"/>
          <w:sz w:val="24"/>
          <w:szCs w:val="24"/>
        </w:rPr>
        <w:t>Cousineau</w:t>
      </w:r>
      <w:proofErr w:type="spellEnd"/>
      <w:r w:rsidRPr="00081C9D">
        <w:rPr>
          <w:rFonts w:ascii="Arial" w:eastAsia="Times New Roman" w:hAnsi="Arial" w:cs="Arial"/>
          <w:color w:val="000000"/>
          <w:sz w:val="24"/>
          <w:szCs w:val="24"/>
        </w:rPr>
        <w:t xml:space="preserve">, </w:t>
      </w:r>
      <w:proofErr w:type="spellStart"/>
      <w:r w:rsidRPr="00081C9D">
        <w:rPr>
          <w:rFonts w:ascii="Arial" w:eastAsia="Times New Roman" w:hAnsi="Arial" w:cs="Arial"/>
          <w:color w:val="000000"/>
          <w:sz w:val="24"/>
          <w:szCs w:val="24"/>
        </w:rPr>
        <w:t>JeAnna</w:t>
      </w:r>
      <w:proofErr w:type="spellEnd"/>
      <w:r w:rsidRPr="00081C9D">
        <w:rPr>
          <w:rFonts w:ascii="Arial" w:eastAsia="Times New Roman" w:hAnsi="Arial" w:cs="Arial"/>
          <w:color w:val="000000"/>
          <w:sz w:val="24"/>
          <w:szCs w:val="24"/>
        </w:rPr>
        <w:t xml:space="preserve"> R. Redd, Claire D. Gleason, </w:t>
      </w:r>
      <w:proofErr w:type="spellStart"/>
      <w:r w:rsidRPr="00081C9D">
        <w:rPr>
          <w:rFonts w:ascii="Arial" w:eastAsia="Times New Roman" w:hAnsi="Arial" w:cs="Arial"/>
          <w:color w:val="000000"/>
          <w:sz w:val="24"/>
          <w:szCs w:val="24"/>
        </w:rPr>
        <w:t>Noura</w:t>
      </w:r>
      <w:proofErr w:type="spellEnd"/>
      <w:r w:rsidRPr="00081C9D">
        <w:rPr>
          <w:rFonts w:ascii="Arial" w:eastAsia="Times New Roman" w:hAnsi="Arial" w:cs="Arial"/>
          <w:color w:val="000000"/>
          <w:sz w:val="24"/>
          <w:szCs w:val="24"/>
        </w:rPr>
        <w:t xml:space="preserve"> El </w:t>
      </w:r>
      <w:proofErr w:type="spellStart"/>
      <w:r w:rsidRPr="00081C9D">
        <w:rPr>
          <w:rFonts w:ascii="Arial" w:eastAsia="Times New Roman" w:hAnsi="Arial" w:cs="Arial"/>
          <w:color w:val="000000"/>
          <w:sz w:val="24"/>
          <w:szCs w:val="24"/>
        </w:rPr>
        <w:t>Habbal</w:t>
      </w:r>
      <w:proofErr w:type="spellEnd"/>
      <w:r w:rsidRPr="00081C9D">
        <w:rPr>
          <w:rFonts w:ascii="Arial" w:eastAsia="Times New Roman" w:hAnsi="Arial" w:cs="Arial"/>
          <w:color w:val="000000"/>
          <w:sz w:val="24"/>
          <w:szCs w:val="24"/>
        </w:rPr>
        <w:t xml:space="preserve">, Molly ? </w:t>
      </w:r>
      <w:proofErr w:type="spellStart"/>
      <w:r w:rsidRPr="00081C9D">
        <w:rPr>
          <w:rFonts w:ascii="Arial" w:eastAsia="Times New Roman" w:hAnsi="Arial" w:cs="Arial"/>
          <w:color w:val="000000"/>
          <w:sz w:val="24"/>
          <w:szCs w:val="24"/>
        </w:rPr>
        <w:t>Mulcahy</w:t>
      </w:r>
      <w:proofErr w:type="spellEnd"/>
      <w:r w:rsidRPr="00081C9D">
        <w:rPr>
          <w:rFonts w:ascii="Arial" w:eastAsia="Times New Roman" w:hAnsi="Arial" w:cs="Arial"/>
          <w:color w:val="000000"/>
          <w:sz w:val="24"/>
          <w:szCs w:val="24"/>
        </w:rPr>
        <w:t xml:space="preserve">,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w:t>
      </w:r>
      <w:proofErr w:type="spellStart"/>
      <w:r w:rsidR="0086639D" w:rsidRPr="00081C9D">
        <w:rPr>
          <w:rFonts w:ascii="Arial" w:eastAsia="Times New Roman" w:hAnsi="Arial" w:cs="Arial"/>
          <w:bCs/>
          <w:color w:val="252525"/>
          <w:sz w:val="24"/>
          <w:szCs w:val="24"/>
          <w:shd w:val="clear" w:color="auto" w:fill="FFFFFF"/>
        </w:rPr>
        <w:t>floxed</w:t>
      </w:r>
      <w:proofErr w:type="spellEnd"/>
      <w:r w:rsidR="0086639D" w:rsidRPr="00081C9D">
        <w:rPr>
          <w:rFonts w:ascii="Arial" w:eastAsia="Times New Roman" w:hAnsi="Arial" w:cs="Arial"/>
          <w:bCs/>
          <w:color w:val="252525"/>
          <w:sz w:val="24"/>
          <w:szCs w:val="24"/>
          <w:shd w:val="clear" w:color="auto" w:fill="FFFFFF"/>
        </w:rPr>
        <w:t xml:space="preserve">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 xml:space="preserve">AAV8-TBG.PI.eGFP.WPRE. </w:t>
      </w:r>
      <w:proofErr w:type="spellStart"/>
      <w:r w:rsidR="00870106" w:rsidRPr="00081C9D">
        <w:rPr>
          <w:rFonts w:ascii="Arial" w:hAnsi="Arial" w:cs="Arial"/>
          <w:color w:val="000000"/>
          <w:sz w:val="24"/>
          <w:szCs w:val="24"/>
          <w:shd w:val="clear" w:color="auto" w:fill="FFFFFF"/>
        </w:rPr>
        <w:t>bGH</w:t>
      </w:r>
      <w:proofErr w:type="spellEnd"/>
      <w:r w:rsidR="00077072" w:rsidRPr="00081C9D">
        <w:rPr>
          <w:rFonts w:ascii="Arial" w:eastAsia="Times New Roman" w:hAnsi="Arial" w:cs="Arial"/>
          <w:color w:val="000000"/>
          <w:sz w:val="24"/>
          <w:szCs w:val="24"/>
          <w:shd w:val="clear" w:color="auto" w:fill="FFFFFF"/>
        </w:rPr>
        <w:t xml:space="preserve">) or </w:t>
      </w:r>
      <w:proofErr w:type="spellStart"/>
      <w:r w:rsidR="00077072" w:rsidRPr="00081C9D">
        <w:rPr>
          <w:rFonts w:ascii="Arial" w:eastAsia="Times New Roman" w:hAnsi="Arial" w:cs="Arial"/>
          <w:color w:val="000000"/>
          <w:sz w:val="24"/>
          <w:szCs w:val="24"/>
          <w:shd w:val="clear" w:color="auto" w:fill="FFFFFF"/>
        </w:rPr>
        <w:t>C</w:t>
      </w:r>
      <w:r w:rsidR="00FD3879" w:rsidRPr="00081C9D">
        <w:rPr>
          <w:rFonts w:ascii="Arial" w:eastAsia="Times New Roman" w:hAnsi="Arial" w:cs="Arial"/>
          <w:color w:val="000000"/>
          <w:sz w:val="24"/>
          <w:szCs w:val="24"/>
          <w:shd w:val="clear" w:color="auto" w:fill="FFFFFF"/>
        </w:rPr>
        <w:t>re</w:t>
      </w:r>
      <w:proofErr w:type="spellEnd"/>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proofErr w:type="spellStart"/>
      <w:r w:rsidRPr="00081C9D">
        <w:rPr>
          <w:rFonts w:ascii="Arial" w:eastAsia="Times New Roman" w:hAnsi="Arial" w:cs="Arial"/>
          <w:color w:val="252525"/>
          <w:sz w:val="24"/>
          <w:szCs w:val="24"/>
          <w:shd w:val="clear" w:color="auto" w:fill="FFFFFF"/>
        </w:rPr>
        <w:t>eppendorf</w:t>
      </w:r>
      <w:proofErr w:type="spellEnd"/>
      <w:r w:rsidRPr="00081C9D">
        <w:rPr>
          <w:rFonts w:ascii="Arial" w:eastAsia="Times New Roman" w:hAnsi="Arial" w:cs="Arial"/>
          <w:color w:val="252525"/>
          <w:sz w:val="24"/>
          <w:szCs w:val="24"/>
          <w:shd w:val="clear" w:color="auto" w:fill="FFFFFF"/>
        </w:rPr>
        <w:t xml:space="preserve"> tube in liquid nitrogen to freeze. Frozen tissue samples were cut using dry ice to 20-50 mg of tissue per sample. 20 </w:t>
      </w:r>
      <w:proofErr w:type="spellStart"/>
      <w:r w:rsidRPr="00081C9D">
        <w:rPr>
          <w:rFonts w:ascii="Arial" w:eastAsia="Times New Roman" w:hAnsi="Arial" w:cs="Arial"/>
          <w:color w:val="252525"/>
          <w:sz w:val="24"/>
          <w:szCs w:val="24"/>
          <w:shd w:val="clear" w:color="auto" w:fill="FFFFFF"/>
        </w:rPr>
        <w:t>uL</w:t>
      </w:r>
      <w:proofErr w:type="spellEnd"/>
      <w:r w:rsidRPr="00081C9D">
        <w:rPr>
          <w:rFonts w:ascii="Arial" w:eastAsia="Times New Roman" w:hAnsi="Arial" w:cs="Arial"/>
          <w:color w:val="252525"/>
          <w:sz w:val="24"/>
          <w:szCs w:val="24"/>
          <w:shd w:val="clear" w:color="auto" w:fill="FFFFFF"/>
        </w:rPr>
        <w:t xml:space="preserve">/mg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w:t>
      </w:r>
      <w:proofErr w:type="spellStart"/>
      <w:r w:rsidRPr="00081C9D">
        <w:rPr>
          <w:rFonts w:ascii="Arial" w:eastAsia="Times New Roman" w:hAnsi="Arial" w:cs="Arial"/>
          <w:color w:val="252525"/>
          <w:sz w:val="24"/>
          <w:szCs w:val="24"/>
          <w:shd w:val="clear" w:color="auto" w:fill="FFFFFF"/>
        </w:rPr>
        <w:t>Lyser</w:t>
      </w:r>
      <w:proofErr w:type="spellEnd"/>
      <w:r w:rsidRPr="00081C9D">
        <w:rPr>
          <w:rFonts w:ascii="Arial" w:eastAsia="Times New Roman" w:hAnsi="Arial" w:cs="Arial"/>
          <w:color w:val="252525"/>
          <w:sz w:val="24"/>
          <w:szCs w:val="24"/>
          <w:shd w:val="clear" w:color="auto" w:fill="FFFFFF"/>
        </w:rPr>
        <w:t xml:space="preserve">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w:t>
      </w:r>
      <w:proofErr w:type="spellStart"/>
      <w:r w:rsidR="003E3F5F" w:rsidRPr="00081C9D">
        <w:rPr>
          <w:rFonts w:ascii="Arial" w:eastAsia="Times New Roman" w:hAnsi="Arial" w:cs="Arial"/>
          <w:color w:val="252525"/>
          <w:sz w:val="24"/>
          <w:szCs w:val="24"/>
        </w:rPr>
        <w:t>uL</w:t>
      </w:r>
      <w:proofErr w:type="spellEnd"/>
      <w:r w:rsidR="003E3F5F" w:rsidRPr="00081C9D">
        <w:rPr>
          <w:rFonts w:ascii="Arial" w:eastAsia="Times New Roman" w:hAnsi="Arial" w:cs="Arial"/>
          <w:color w:val="252525"/>
          <w:sz w:val="24"/>
          <w:szCs w:val="24"/>
        </w:rPr>
        <w:t xml:space="preserve">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proofErr w:type="spellStart"/>
      <w:r w:rsidR="00FE69D0" w:rsidRPr="00081C9D">
        <w:rPr>
          <w:rFonts w:ascii="Arial" w:eastAsia="Times New Roman" w:hAnsi="Arial" w:cs="Arial"/>
          <w:color w:val="252525"/>
          <w:sz w:val="24"/>
          <w:szCs w:val="24"/>
        </w:rPr>
        <w:t>ThermoFisher</w:t>
      </w:r>
      <w:proofErr w:type="spellEnd"/>
      <w:r w:rsidR="00FE69D0" w:rsidRPr="00081C9D">
        <w:rPr>
          <w:rFonts w:ascii="Arial" w:eastAsia="Times New Roman" w:hAnsi="Arial" w:cs="Arial"/>
          <w:color w:val="252525"/>
          <w:sz w:val="24"/>
          <w:szCs w:val="24"/>
        </w:rPr>
        <w:t xml:space="preserve"> Scientific </w:t>
      </w:r>
      <w:proofErr w:type="spellStart"/>
      <w:r w:rsidR="00D75AAA" w:rsidRPr="00081C9D">
        <w:rPr>
          <w:rFonts w:ascii="Arial" w:eastAsia="Times New Roman" w:hAnsi="Arial" w:cs="Arial"/>
          <w:color w:val="252525"/>
          <w:sz w:val="24"/>
          <w:szCs w:val="24"/>
        </w:rPr>
        <w:t>NuPAGE</w:t>
      </w:r>
      <w:proofErr w:type="spellEnd"/>
      <w:r w:rsidR="00D75AAA" w:rsidRPr="00081C9D">
        <w:rPr>
          <w:rFonts w:ascii="Arial" w:eastAsia="Times New Roman" w:hAnsi="Arial" w:cs="Arial"/>
          <w:color w:val="252525"/>
          <w:sz w:val="24"/>
          <w:szCs w:val="24"/>
        </w:rPr>
        <w:t xml:space="preserv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w:t>
      </w:r>
      <w:proofErr w:type="spellStart"/>
      <w:r w:rsidR="00C12504" w:rsidRPr="00081C9D">
        <w:rPr>
          <w:rFonts w:ascii="Arial" w:eastAsia="Times New Roman" w:hAnsi="Arial" w:cs="Arial"/>
          <w:color w:val="252525"/>
          <w:sz w:val="24"/>
          <w:szCs w:val="24"/>
        </w:rPr>
        <w:t>uL</w:t>
      </w:r>
      <w:proofErr w:type="spellEnd"/>
      <w:r w:rsidR="00C12504" w:rsidRPr="00081C9D">
        <w:rPr>
          <w:rFonts w:ascii="Arial" w:eastAsia="Times New Roman" w:hAnsi="Arial" w:cs="Arial"/>
          <w:color w:val="252525"/>
          <w:sz w:val="24"/>
          <w:szCs w:val="24"/>
        </w:rPr>
        <w:t xml:space="preserve">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 xml:space="preserve">10 </w:t>
      </w:r>
      <w:proofErr w:type="spellStart"/>
      <w:r w:rsidR="00854154" w:rsidRPr="00081C9D">
        <w:rPr>
          <w:rFonts w:ascii="Arial" w:eastAsia="Times New Roman" w:hAnsi="Arial" w:cs="Arial"/>
          <w:color w:val="000000"/>
          <w:sz w:val="24"/>
          <w:szCs w:val="24"/>
          <w:shd w:val="clear" w:color="auto" w:fill="FFFFFF"/>
        </w:rPr>
        <w:t>uL</w:t>
      </w:r>
      <w:proofErr w:type="spellEnd"/>
      <w:r w:rsidR="00854154" w:rsidRPr="00081C9D">
        <w:rPr>
          <w:rFonts w:ascii="Arial" w:eastAsia="Times New Roman" w:hAnsi="Arial" w:cs="Arial"/>
          <w:color w:val="000000"/>
          <w:sz w:val="24"/>
          <w:szCs w:val="24"/>
          <w:shd w:val="clear" w:color="auto" w:fill="FFFFFF"/>
        </w:rPr>
        <w:t xml:space="preserve">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 xml:space="preserve">were: total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w:t>
      </w:r>
      <w:proofErr w:type="spellStart"/>
      <w:r w:rsidR="00BC0D30" w:rsidRPr="00BC0D30">
        <w:rPr>
          <w:rFonts w:ascii="Arial" w:eastAsia="Times New Roman" w:hAnsi="Arial" w:cs="Arial"/>
          <w:color w:val="FF0000"/>
          <w:sz w:val="24"/>
          <w:szCs w:val="24"/>
          <w:shd w:val="clear" w:color="auto" w:fill="FFFFFF"/>
        </w:rPr>
        <w:t>AMPKalpha</w:t>
      </w:r>
      <w:proofErr w:type="spellEnd"/>
      <w:r w:rsidR="00BC0D30" w:rsidRPr="00BC0D30">
        <w:rPr>
          <w:rFonts w:ascii="Arial" w:eastAsia="Times New Roman" w:hAnsi="Arial" w:cs="Arial"/>
          <w:color w:val="FF0000"/>
          <w:sz w:val="24"/>
          <w:szCs w:val="24"/>
          <w:shd w:val="clear" w:color="auto" w:fill="FFFFFF"/>
        </w:rPr>
        <w:t xml:space="preserve">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A81F07"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 xml:space="preserve">4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control sample and 1 </w:t>
      </w:r>
      <w:proofErr w:type="spellStart"/>
      <w:r w:rsidR="00B65AA3" w:rsidRPr="0013608F">
        <w:rPr>
          <w:rFonts w:ascii="Arial" w:eastAsia="Times New Roman" w:hAnsi="Arial" w:cs="Arial"/>
          <w:color w:val="000000"/>
          <w:sz w:val="24"/>
          <w:szCs w:val="24"/>
          <w:shd w:val="clear" w:color="auto" w:fill="FFFFFF"/>
        </w:rPr>
        <w:t>uL</w:t>
      </w:r>
      <w:proofErr w:type="spellEnd"/>
      <w:r w:rsidR="00B65AA3" w:rsidRPr="0013608F">
        <w:rPr>
          <w:rFonts w:ascii="Arial" w:eastAsia="Times New Roman" w:hAnsi="Arial" w:cs="Arial"/>
          <w:color w:val="000000"/>
          <w:sz w:val="24"/>
          <w:szCs w:val="24"/>
          <w:shd w:val="clear" w:color="auto" w:fill="FFFFFF"/>
        </w:rPr>
        <w:t xml:space="preserve">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R1 was added to each well and incubated for 5 minutes at 37˚C. Next, 90 </w:t>
      </w:r>
      <w:proofErr w:type="spellStart"/>
      <w:r w:rsidR="00B65AA3" w:rsidRPr="0013608F">
        <w:rPr>
          <w:rFonts w:ascii="Arial" w:eastAsia="Times New Roman" w:hAnsi="Arial" w:cs="Arial"/>
          <w:color w:val="252525"/>
          <w:sz w:val="24"/>
          <w:szCs w:val="24"/>
          <w:shd w:val="clear" w:color="auto" w:fill="FFFFFF"/>
        </w:rPr>
        <w:t>uL</w:t>
      </w:r>
      <w:proofErr w:type="spellEnd"/>
      <w:r w:rsidR="00B65AA3" w:rsidRPr="0013608F">
        <w:rPr>
          <w:rFonts w:ascii="Arial" w:eastAsia="Times New Roman" w:hAnsi="Arial" w:cs="Arial"/>
          <w:color w:val="252525"/>
          <w:sz w:val="24"/>
          <w:szCs w:val="24"/>
          <w:shd w:val="clear" w:color="auto" w:fill="FFFFFF"/>
        </w:rPr>
        <w:t xml:space="preserve"> of R2 were added to each well and then placed in the plate reader at 37˚C. </w:t>
      </w:r>
    </w:p>
    <w:p w:rsidR="00A81F07" w:rsidRDefault="00A81F07" w:rsidP="00A81F07">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Food Intake</w:t>
      </w:r>
    </w:p>
    <w:p w:rsidR="00A81F07" w:rsidRPr="0013608F" w:rsidRDefault="00256CB1" w:rsidP="00A81F07">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CD and KD was placed in shallow jars with </w:t>
      </w:r>
      <w:r w:rsidR="006F4F34">
        <w:rPr>
          <w:rFonts w:ascii="Arial" w:eastAsia="Times New Roman" w:hAnsi="Arial" w:cs="Arial"/>
          <w:color w:val="000000"/>
          <w:sz w:val="24"/>
          <w:szCs w:val="24"/>
          <w:shd w:val="clear" w:color="auto" w:fill="FFFFFF"/>
        </w:rPr>
        <w:t>holes in the lid allowing for ad libitum food access. The lid was essential to prevent the food from spilling out of the jar</w:t>
      </w:r>
      <w:r w:rsidR="00C42403">
        <w:rPr>
          <w:rFonts w:ascii="Arial" w:eastAsia="Times New Roman" w:hAnsi="Arial" w:cs="Arial"/>
          <w:color w:val="000000"/>
          <w:sz w:val="24"/>
          <w:szCs w:val="24"/>
          <w:shd w:val="clear" w:color="auto" w:fill="FFFFFF"/>
        </w:rPr>
        <w:t xml:space="preserve"> and for accurate food measurements</w:t>
      </w:r>
      <w:r w:rsidR="006F4F34">
        <w:rPr>
          <w:rFonts w:ascii="Arial" w:eastAsia="Times New Roman" w:hAnsi="Arial" w:cs="Arial"/>
          <w:color w:val="000000"/>
          <w:sz w:val="24"/>
          <w:szCs w:val="24"/>
          <w:shd w:val="clear" w:color="auto" w:fill="FFFFFF"/>
        </w:rPr>
        <w:t>. Jars with food were weighed and refilled every other day</w:t>
      </w:r>
      <w:r w:rsidR="00B0274F">
        <w:rPr>
          <w:rFonts w:ascii="Arial" w:eastAsia="Times New Roman" w:hAnsi="Arial" w:cs="Arial"/>
          <w:color w:val="000000"/>
          <w:sz w:val="24"/>
          <w:szCs w:val="24"/>
          <w:shd w:val="clear" w:color="auto" w:fill="FFFFFF"/>
        </w:rPr>
        <w:t xml:space="preserve">.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w:t>
      </w:r>
      <w:r w:rsidR="00D86C4E">
        <w:rPr>
          <w:rFonts w:ascii="Arial" w:eastAsia="Times New Roman" w:hAnsi="Arial" w:cs="Arial"/>
          <w:color w:val="000000"/>
          <w:sz w:val="24"/>
          <w:szCs w:val="24"/>
          <w:shd w:val="clear" w:color="auto" w:fill="FFFFFF"/>
        </w:rPr>
        <w:t xml:space="preserve"> </w:t>
      </w:r>
      <w:r w:rsidR="00D86C4E">
        <w:rPr>
          <w:rFonts w:ascii="Arial" w:eastAsia="Times New Roman" w:hAnsi="Arial" w:cs="Arial"/>
          <w:color w:val="000000"/>
          <w:sz w:val="24"/>
          <w:szCs w:val="24"/>
          <w:shd w:val="clear" w:color="auto" w:fill="FFFFFF"/>
        </w:rPr>
        <w:t>Echo MRI 1100</w:t>
      </w:r>
      <w:r>
        <w:rPr>
          <w:rFonts w:ascii="Arial" w:eastAsia="Times New Roman" w:hAnsi="Arial" w:cs="Arial"/>
          <w:color w:val="000000"/>
          <w:sz w:val="24"/>
          <w:szCs w:val="24"/>
          <w:shd w:val="clear" w:color="auto" w:fill="FFFFFF"/>
        </w:rPr>
        <w:t xml:space="preserve">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766A1"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0766A1" w:rsidRDefault="000766A1" w:rsidP="000766A1">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Liver Histology</w:t>
      </w:r>
    </w:p>
    <w:p w:rsidR="000766A1" w:rsidRPr="00081C9D" w:rsidRDefault="009E0845" w:rsidP="009E0845">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Triglyceride Assay</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proofErr w:type="spellStart"/>
      <w:r w:rsidR="00450914" w:rsidRPr="00986C4C">
        <w:rPr>
          <w:rFonts w:ascii="Arial" w:eastAsia="Times New Roman" w:hAnsi="Arial" w:cs="Arial"/>
          <w:color w:val="252525"/>
          <w:sz w:val="24"/>
          <w:szCs w:val="24"/>
          <w:shd w:val="clear" w:color="auto" w:fill="FFFFFF"/>
        </w:rPr>
        <w:t>interperitoneal</w:t>
      </w:r>
      <w:proofErr w:type="spellEnd"/>
      <w:r w:rsidR="00450914" w:rsidRPr="00986C4C">
        <w:rPr>
          <w:rFonts w:ascii="Arial" w:eastAsia="Times New Roman" w:hAnsi="Arial" w:cs="Arial"/>
          <w:color w:val="252525"/>
          <w:sz w:val="24"/>
          <w:szCs w:val="24"/>
          <w:shd w:val="clear" w:color="auto" w:fill="FFFFFF"/>
        </w:rPr>
        <w:t xml:space="preserve">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lastRenderedPageBreak/>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sidR="00B42A35">
        <w:rPr>
          <w:rFonts w:ascii="Arial" w:eastAsia="Times New Roman" w:hAnsi="Arial" w:cs="Arial"/>
          <w:color w:val="000000"/>
          <w:sz w:val="24"/>
          <w:szCs w:val="24"/>
          <w:shd w:val="clear" w:color="auto" w:fill="FFFFFF"/>
        </w:rPr>
        <w:t>tissues were harvested immediately upon sacrifice</w:t>
      </w:r>
      <w:r w:rsidR="00AD0E09">
        <w:rPr>
          <w:rFonts w:ascii="Arial" w:eastAsia="Times New Roman" w:hAnsi="Arial" w:cs="Arial"/>
          <w:color w:val="000000"/>
          <w:sz w:val="24"/>
          <w:szCs w:val="24"/>
          <w:shd w:val="clear" w:color="auto" w:fill="FFFFFF"/>
        </w:rPr>
        <w:t>, weighed</w:t>
      </w:r>
      <w:r w:rsidR="00B42A35">
        <w:rPr>
          <w:rFonts w:ascii="Arial" w:eastAsia="Times New Roman" w:hAnsi="Arial" w:cs="Arial"/>
          <w:color w:val="000000"/>
          <w:sz w:val="24"/>
          <w:szCs w:val="24"/>
          <w:shd w:val="clear" w:color="auto" w:fill="FFFFFF"/>
        </w:rPr>
        <w:t xml:space="preserve"> and placed in liquid nitrogen. The tissues were then stored at -80 ˚C.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w:t>
      </w:r>
      <w:r w:rsidR="00FA578B">
        <w:rPr>
          <w:rFonts w:ascii="Arial" w:eastAsia="Times New Roman" w:hAnsi="Arial" w:cs="Arial"/>
          <w:color w:val="000000"/>
          <w:sz w:val="24"/>
          <w:szCs w:val="24"/>
          <w:shd w:val="clear" w:color="auto" w:fill="FFFFFF"/>
        </w:rPr>
        <w:t xml:space="preserve">controls and knockouts, respectively. </w:t>
      </w:r>
      <w:r w:rsidR="007A25BB" w:rsidRPr="00081C9D">
        <w:rPr>
          <w:rFonts w:ascii="Arial" w:eastAsia="Times New Roman" w:hAnsi="Arial" w:cs="Arial"/>
          <w:color w:val="000000"/>
          <w:sz w:val="24"/>
          <w:szCs w:val="24"/>
          <w:shd w:val="clear" w:color="auto" w:fill="FFFFFF"/>
        </w:rPr>
        <w:t xml:space="preserve">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FA578B">
        <w:rPr>
          <w:rFonts w:ascii="Arial" w:eastAsia="Times New Roman" w:hAnsi="Arial" w:cs="Arial"/>
          <w:bCs/>
          <w:color w:val="252525"/>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FA578B">
        <w:rPr>
          <w:rFonts w:ascii="Arial" w:eastAsia="Times New Roman" w:hAnsi="Arial" w:cs="Arial"/>
          <w:bCs/>
          <w:color w:val="252525"/>
          <w:sz w:val="24"/>
          <w:szCs w:val="24"/>
          <w:shd w:val="clear" w:color="auto" w:fill="FFFFFF"/>
        </w:rPr>
        <w:t xml:space="preserve"> and </w:t>
      </w:r>
      <w:r w:rsidR="00751C67" w:rsidRPr="00081C9D">
        <w:rPr>
          <w:rFonts w:ascii="Arial" w:eastAsia="Times New Roman" w:hAnsi="Arial" w:cs="Arial"/>
          <w:bCs/>
          <w:color w:val="252525"/>
          <w:sz w:val="24"/>
          <w:szCs w:val="24"/>
          <w:shd w:val="clear" w:color="auto" w:fill="FFFFFF"/>
        </w:rPr>
        <w:t>tissues were collected.</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p>
    <w:p w:rsidR="00A04B22" w:rsidRPr="00EA4ADA" w:rsidRDefault="005B4426" w:rsidP="00EA4ADA">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Similarly, </w:t>
      </w:r>
      <w:proofErr w:type="spellStart"/>
      <w:r w:rsidR="00B81781" w:rsidRPr="00EA4ADA">
        <w:rPr>
          <w:rFonts w:ascii="Arial" w:eastAsia="Times New Roman" w:hAnsi="Arial" w:cs="Arial"/>
          <w:bCs/>
          <w:color w:val="FF0000"/>
          <w:sz w:val="24"/>
          <w:szCs w:val="24"/>
          <w:shd w:val="clear" w:color="auto" w:fill="FFFFFF"/>
        </w:rPr>
        <w:t>pACC</w:t>
      </w:r>
      <w:proofErr w:type="spellEnd"/>
      <w:r w:rsidR="00B81781" w:rsidRPr="00EA4ADA">
        <w:rPr>
          <w:rFonts w:ascii="Arial" w:eastAsia="Times New Roman" w:hAnsi="Arial" w:cs="Arial"/>
          <w:bCs/>
          <w:color w:val="FF0000"/>
          <w:sz w:val="24"/>
          <w:szCs w:val="24"/>
          <w:shd w:val="clear" w:color="auto" w:fill="FFFFFF"/>
        </w:rPr>
        <w:t xml:space="preserve"> was not down regulated in the females that received the CRE injections (Figure 2A).</w:t>
      </w:r>
      <w:r w:rsidR="00B81781" w:rsidRPr="00EA4ADA">
        <w:rPr>
          <w:rFonts w:ascii="Arial" w:eastAsia="Times New Roman" w:hAnsi="Arial" w:cs="Arial"/>
          <w:bCs/>
          <w:sz w:val="24"/>
          <w:szCs w:val="24"/>
          <w:shd w:val="clear" w:color="auto" w:fill="FFFFFF"/>
        </w:rPr>
        <w:t xml:space="preserve"> </w:t>
      </w:r>
      <w:r w:rsidR="00B81781" w:rsidRPr="00EA4ADA">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091C01" w:rsidP="00B81781">
      <w:pPr>
        <w:pStyle w:val="ListParagraph"/>
        <w:numPr>
          <w:ilvl w:val="1"/>
          <w:numId w:val="3"/>
        </w:numPr>
        <w:rPr>
          <w:rFonts w:ascii="Arial" w:eastAsia="Times New Roman" w:hAnsi="Arial" w:cs="Arial"/>
          <w:bCs/>
          <w:sz w:val="24"/>
          <w:szCs w:val="24"/>
          <w:shd w:val="clear" w:color="auto" w:fill="FFFFFF"/>
        </w:rPr>
      </w:pPr>
      <w:proofErr w:type="spellStart"/>
      <w:r w:rsidRPr="00B81781">
        <w:rPr>
          <w:rFonts w:ascii="Arial" w:eastAsia="Times New Roman" w:hAnsi="Arial" w:cs="Arial"/>
          <w:bCs/>
          <w:sz w:val="24"/>
          <w:szCs w:val="24"/>
          <w:shd w:val="clear" w:color="auto" w:fill="FFFFFF"/>
        </w:rPr>
        <w:t>pACC</w:t>
      </w:r>
      <w:proofErr w:type="spellEnd"/>
      <w:r w:rsidRPr="00B81781">
        <w:rPr>
          <w:rFonts w:ascii="Arial" w:eastAsia="Times New Roman" w:hAnsi="Arial" w:cs="Arial"/>
          <w:bCs/>
          <w:sz w:val="24"/>
          <w:szCs w:val="24"/>
          <w:shd w:val="clear" w:color="auto" w:fill="FFFFFF"/>
        </w:rPr>
        <w:t>,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3A05B9">
        <w:rPr>
          <w:rFonts w:ascii="Arial" w:eastAsia="Times New Roman" w:hAnsi="Arial" w:cs="Arial"/>
          <w:bCs/>
          <w:sz w:val="24"/>
          <w:szCs w:val="24"/>
          <w:shd w:val="clear" w:color="auto" w:fill="FFFFFF"/>
        </w:rPr>
        <w:t xml:space="preserve">This also indicates there may also be an increase in </w:t>
      </w:r>
      <w:r w:rsidR="003A05B9">
        <w:rPr>
          <w:rFonts w:ascii="Arial" w:eastAsia="Times New Roman" w:hAnsi="Arial" w:cs="Arial"/>
          <w:bCs/>
          <w:sz w:val="24"/>
          <w:szCs w:val="24"/>
          <w:shd w:val="clear" w:color="auto" w:fill="FFFFFF"/>
        </w:rPr>
        <w:lastRenderedPageBreak/>
        <w:t xml:space="preserve">lipogenesis in the KO mice. </w:t>
      </w:r>
      <w:proofErr w:type="spellStart"/>
      <w:r w:rsidR="009223E4" w:rsidRPr="00B81781">
        <w:rPr>
          <w:rFonts w:ascii="Arial" w:eastAsia="Times New Roman" w:hAnsi="Arial" w:cs="Arial"/>
          <w:bCs/>
          <w:sz w:val="24"/>
          <w:szCs w:val="24"/>
          <w:shd w:val="clear" w:color="auto" w:fill="FFFFFF"/>
        </w:rPr>
        <w:t>pACC</w:t>
      </w:r>
      <w:proofErr w:type="spellEnd"/>
      <w:r w:rsidR="009223E4" w:rsidRPr="00B81781">
        <w:rPr>
          <w:rFonts w:ascii="Arial" w:eastAsia="Times New Roman" w:hAnsi="Arial" w:cs="Arial"/>
          <w:bCs/>
          <w:sz w:val="24"/>
          <w:szCs w:val="24"/>
          <w:shd w:val="clear" w:color="auto" w:fill="FFFFFF"/>
        </w:rPr>
        <w:t xml:space="preserve"> was also reduced on a ketogenic diet relative to the control diet</w:t>
      </w:r>
      <w:r w:rsidR="00B81781" w:rsidRPr="00B81781">
        <w:rPr>
          <w:rFonts w:ascii="Arial" w:eastAsia="Times New Roman" w:hAnsi="Arial" w:cs="Arial"/>
          <w:bCs/>
          <w:sz w:val="24"/>
          <w:szCs w:val="24"/>
          <w:shd w:val="clear" w:color="auto" w:fill="FFFFFF"/>
        </w:rPr>
        <w:t xml:space="preserve"> for both treatment groups (Figure 2A).</w:t>
      </w:r>
      <w:r w:rsidR="003A05B9">
        <w:rPr>
          <w:rFonts w:ascii="Arial" w:eastAsia="Times New Roman" w:hAnsi="Arial" w:cs="Arial"/>
          <w:bCs/>
          <w:sz w:val="24"/>
          <w:szCs w:val="24"/>
          <w:shd w:val="clear" w:color="auto" w:fill="FFFFFF"/>
        </w:rPr>
        <w:t xml:space="preserve"> This also indicates there may be an increase in lipogenesis on the ketogenic diet.</w:t>
      </w:r>
      <w:r w:rsidR="00B81781"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w:t>
      </w:r>
      <w:r w:rsidR="009C500E">
        <w:rPr>
          <w:rFonts w:ascii="Arial" w:eastAsia="Times New Roman" w:hAnsi="Arial" w:cs="Arial"/>
          <w:bCs/>
          <w:sz w:val="24"/>
          <w:szCs w:val="24"/>
          <w:shd w:val="clear" w:color="auto" w:fill="FFFFFF"/>
        </w:rPr>
        <w:t xml:space="preserve"> suggesting FAS was not driving any</w:t>
      </w:r>
      <w:r w:rsidR="009223E4" w:rsidRPr="00B81781">
        <w:rPr>
          <w:rFonts w:ascii="Arial" w:eastAsia="Times New Roman" w:hAnsi="Arial" w:cs="Arial"/>
          <w:bCs/>
          <w:sz w:val="24"/>
          <w:szCs w:val="24"/>
          <w:shd w:val="clear" w:color="auto" w:fill="FFFFFF"/>
        </w:rPr>
        <w:t xml:space="preserve"> observed changes in the KO mice</w:t>
      </w:r>
      <w:r w:rsidR="00B81781"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was found to _______</w:t>
      </w:r>
      <w:r w:rsidR="006341B2">
        <w:rPr>
          <w:rFonts w:ascii="Arial" w:eastAsia="Times New Roman" w:hAnsi="Arial" w:cs="Arial"/>
          <w:bCs/>
          <w:color w:val="FF0000"/>
          <w:sz w:val="24"/>
          <w:szCs w:val="24"/>
          <w:shd w:val="clear" w:color="auto" w:fill="FFFFFF"/>
        </w:rPr>
        <w:t xml:space="preserve"> (Figure 2B)</w:t>
      </w:r>
    </w:p>
    <w:p w:rsidR="009E3F34"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t xml:space="preserve">Because of the known role of AMPK in regulating mTOR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we observed downstream targets of mTOR such as total S6, pS6, total S6K and pS6K. 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6341B2">
        <w:rPr>
          <w:rFonts w:ascii="Arial" w:eastAsia="Times New Roman" w:hAnsi="Arial" w:cs="Arial"/>
          <w:bCs/>
          <w:sz w:val="24"/>
          <w:szCs w:val="24"/>
          <w:shd w:val="clear" w:color="auto" w:fill="FFFFFF"/>
        </w:rPr>
        <w:t>.</w:t>
      </w:r>
    </w:p>
    <w:p w:rsidR="009E3F34" w:rsidRDefault="009E3F34" w:rsidP="009E3F34">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Overexpression of AMPK in the liver has been shown to increase beta-oxidation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eviouslyFormattedCitation":"&lt;sup&gt;3&lt;/sup&gt;"},"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so we next investigated changes in beta-oxidation genes.</w:t>
      </w:r>
      <w:r w:rsidR="00B81781" w:rsidRPr="00B81781">
        <w:rPr>
          <w:rFonts w:ascii="Arial" w:eastAsia="Times New Roman" w:hAnsi="Arial" w:cs="Arial"/>
          <w:bCs/>
          <w:sz w:val="24"/>
          <w:szCs w:val="24"/>
          <w:shd w:val="clear" w:color="auto" w:fill="FFFFFF"/>
        </w:rPr>
        <w:t xml:space="preserve"> </w:t>
      </w:r>
    </w:p>
    <w:p w:rsidR="00140695" w:rsidRPr="009E3F34" w:rsidRDefault="009223E4" w:rsidP="009E3F34">
      <w:pPr>
        <w:pStyle w:val="ListParagraph"/>
        <w:numPr>
          <w:ilvl w:val="1"/>
          <w:numId w:val="3"/>
        </w:numPr>
        <w:rPr>
          <w:rFonts w:ascii="Arial" w:eastAsia="Times New Roman" w:hAnsi="Arial" w:cs="Arial"/>
          <w:bCs/>
          <w:sz w:val="24"/>
          <w:szCs w:val="24"/>
          <w:shd w:val="clear" w:color="auto" w:fill="FFFFFF"/>
        </w:rPr>
      </w:pPr>
      <w:r w:rsidRPr="009E3F34">
        <w:rPr>
          <w:rFonts w:ascii="Arial" w:eastAsia="Times New Roman" w:hAnsi="Arial" w:cs="Arial"/>
          <w:bCs/>
          <w:color w:val="FF0000"/>
          <w:sz w:val="24"/>
          <w:szCs w:val="24"/>
          <w:shd w:val="clear" w:color="auto" w:fill="FFFFFF"/>
        </w:rPr>
        <w:t xml:space="preserve">(Need to look at these) </w:t>
      </w:r>
      <w:r w:rsidR="00974199" w:rsidRPr="009E3F34">
        <w:rPr>
          <w:rFonts w:ascii="Arial" w:eastAsia="Times New Roman" w:hAnsi="Arial" w:cs="Arial"/>
          <w:bCs/>
          <w:sz w:val="24"/>
          <w:szCs w:val="24"/>
          <w:shd w:val="clear" w:color="auto" w:fill="FFFFFF"/>
        </w:rPr>
        <w:t xml:space="preserve">The </w:t>
      </w:r>
      <w:r w:rsidR="00140695" w:rsidRPr="009E3F34">
        <w:rPr>
          <w:rFonts w:ascii="Arial" w:eastAsia="Times New Roman" w:hAnsi="Arial" w:cs="Arial"/>
          <w:bCs/>
          <w:sz w:val="24"/>
          <w:szCs w:val="24"/>
          <w:shd w:val="clear" w:color="auto" w:fill="FFFFFF"/>
        </w:rPr>
        <w:t>beta-oxidation</w:t>
      </w:r>
      <w:r w:rsidR="00E321E1" w:rsidRPr="009E3F34">
        <w:rPr>
          <w:rFonts w:ascii="Arial" w:eastAsia="Times New Roman" w:hAnsi="Arial" w:cs="Arial"/>
          <w:bCs/>
          <w:sz w:val="24"/>
          <w:szCs w:val="24"/>
          <w:shd w:val="clear" w:color="auto" w:fill="FFFFFF"/>
        </w:rPr>
        <w:t xml:space="preserve"> genes</w:t>
      </w:r>
      <w:r w:rsidR="00140695" w:rsidRPr="009E3F34">
        <w:rPr>
          <w:rFonts w:ascii="Arial" w:eastAsia="Times New Roman" w:hAnsi="Arial" w:cs="Arial"/>
          <w:bCs/>
          <w:sz w:val="24"/>
          <w:szCs w:val="24"/>
          <w:shd w:val="clear" w:color="auto" w:fill="FFFFFF"/>
        </w:rPr>
        <w:t>,</w:t>
      </w:r>
      <w:r w:rsidR="00E321E1" w:rsidRPr="009E3F34">
        <w:rPr>
          <w:rFonts w:ascii="Arial" w:eastAsia="Times New Roman" w:hAnsi="Arial" w:cs="Arial"/>
          <w:bCs/>
          <w:sz w:val="24"/>
          <w:szCs w:val="24"/>
          <w:shd w:val="clear" w:color="auto" w:fill="FFFFFF"/>
        </w:rPr>
        <w:t xml:space="preserve"> </w:t>
      </w:r>
      <w:r w:rsidR="00140695" w:rsidRPr="009E3F34">
        <w:rPr>
          <w:rFonts w:ascii="Arial" w:eastAsia="Times New Roman" w:hAnsi="Arial" w:cs="Arial"/>
          <w:bCs/>
          <w:sz w:val="24"/>
          <w:szCs w:val="24"/>
          <w:shd w:val="clear" w:color="auto" w:fill="FFFFFF"/>
        </w:rPr>
        <w:t>CPT1, MCAD and ACA</w:t>
      </w:r>
      <w:r w:rsidR="00974199" w:rsidRPr="009E3F34">
        <w:rPr>
          <w:rFonts w:ascii="Arial" w:eastAsia="Times New Roman" w:hAnsi="Arial" w:cs="Arial"/>
          <w:bCs/>
          <w:sz w:val="24"/>
          <w:szCs w:val="24"/>
          <w:shd w:val="clear" w:color="auto" w:fill="FFFFFF"/>
        </w:rPr>
        <w:t>D were found to _______</w:t>
      </w:r>
      <w:r w:rsidR="009E3F34">
        <w:rPr>
          <w:rFonts w:ascii="Arial" w:eastAsia="Times New Roman" w:hAnsi="Arial" w:cs="Arial"/>
          <w:bCs/>
          <w:sz w:val="24"/>
          <w:szCs w:val="24"/>
          <w:shd w:val="clear" w:color="auto" w:fill="FFFFFF"/>
        </w:rPr>
        <w:t xml:space="preserve"> (Figure 2C)</w:t>
      </w:r>
    </w:p>
    <w:p w:rsidR="00140695"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found that sip7a1 _________</w:t>
      </w:r>
      <w:r w:rsidR="009E3F34">
        <w:rPr>
          <w:rFonts w:ascii="Arial" w:eastAsia="Times New Roman" w:hAnsi="Arial" w:cs="Arial"/>
          <w:bCs/>
          <w:sz w:val="24"/>
          <w:szCs w:val="24"/>
          <w:shd w:val="clear" w:color="auto" w:fill="FFFFFF"/>
        </w:rPr>
        <w:t xml:space="preserve"> (Figure 2C?)</w:t>
      </w:r>
    </w:p>
    <w:p w:rsidR="009E3F34" w:rsidRPr="008A3A9E" w:rsidRDefault="009E3F34" w:rsidP="008A3A9E">
      <w:pPr>
        <w:pStyle w:val="ListParagraph"/>
        <w:numPr>
          <w:ilvl w:val="1"/>
          <w:numId w:val="3"/>
        </w:numPr>
        <w:jc w:val="left"/>
        <w:rPr>
          <w:rFonts w:ascii="Arial" w:eastAsia="Times New Roman" w:hAnsi="Arial" w:cs="Arial"/>
          <w:bCs/>
          <w:sz w:val="24"/>
          <w:szCs w:val="24"/>
          <w:shd w:val="clear" w:color="auto" w:fill="FFFFFF"/>
        </w:rPr>
      </w:pP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(citation).</w:t>
      </w:r>
      <w:r w:rsidR="00A81F07">
        <w:rPr>
          <w:rFonts w:ascii="Arial" w:eastAsia="Times New Roman" w:hAnsi="Arial" w:cs="Arial"/>
          <w:bCs/>
          <w:sz w:val="24"/>
          <w:szCs w:val="24"/>
          <w:shd w:val="clear" w:color="auto" w:fill="FFFFFF"/>
        </w:rPr>
        <w:t xml:space="preserve"> Additionally, others have shown that overexpression of AMPK in the liver leads to increases in ketone production</w:t>
      </w:r>
      <w:r w:rsidR="00A81F07">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ADDIN CSL_CITATION {"citationItems":[{"id":"ITEM-1","itemData":{"DOI":"10.2337/diabetes.54.5.1331","ISSN":"00121797","abstract":"AMP-activated protein kinase (AMPK) is a major therapeutic target for the treatment of diabetes. We investigated the effect of a short-term overexpression of AMPK specifically in the liver by adenovirus-mediated transfer of a gene encoding a constitutively active form of AMPKα2 (AMPKα2-CA). Hepatic AMPKα2-CA expression significantly decreased blood glucose levels and gluconeogenic gene expression. Hepatic expression of AMPKα2-CA in streptozotocin-induced and ob/ob diabetic mice abolished hyperglycemia and decreased gluconeogenic gene expression. In normal mouse liver, AMPKα2-CA considerably decreased the refeeding-induced transcriptional activation of genes encoding proteins involved in glycolysis and lipogenesis and their upstream regulators, SREBP-1 (sterol regulatory element-binding protein-1) and ChREBP (carbohydrate response element-binding protein). This resulted in decreases in hepatic glycogen synthesis and circulating lipid levels. Surprisingly, despite the inhibition of hepatic lipogenesis, expression of AMPKα2-CA led to fatty liver due to the accumulation of lipids released from adipose tissue. The relative scarcity of glucose due to AMPKα2-CA expression led to an increase in hepatic fatty acid oxidation and ketone bodies production as an alternative source of energy for peripheral tissues. Thus, short-term AMPK activation in the liver reduces blood glucose levels and results in a switch from glucose to fatty acid utilization to supply energy needs. © 2005 by the American Diabetes Association.","author":[{"dropping-particle":"","family":"Foretz","given":"Marc","non-dropping-particle":"","parse-names":false,"suffix":""},{"dropping-particle":"","family":"Ancellin","given":"Nicolas","non-dropping-particle":"","parse-names":false,"suffix":""},{"dropping-particle":"","family":"Andreelli","given":"Fabrizio","non-dropping-particle":"","parse-names":false,"suffix":""},{"dropping-particle":"","family":"Saintillan","given":"Yannick","non-dropping-particle":"","parse-names":false,"suffix":""},{"dropping-particle":"","family":"Grondin","given":"Pascal","non-dropping-particle":"","parse-names":false,"suffix":""},{"dropping-particle":"","family":"Kahn","given":"Axel","non-dropping-particle":"","parse-names":false,"suffix":""},{"dropping-particle":"","family":"Thorens","given":"Bernard","non-dropping-particle":"","parse-names":false,"suffix":""},{"dropping-particle":"","family":"Vaulont","given":"Sophie","non-dropping-particle":"","parse-names":false,"suffix":""},{"dropping-particle":"","family":"Viollet","given":"Benoît","non-dropping-particle":"","parse-names":false,"suffix":""}],"container-title":"Diabetes","id":"ITEM-1","issue":"5","issued":{"date-parts":[["2005","5","1"]]},"page":"1331-1339","publisher":"American Diabetes Association","title":"Short-term overexpression of a constitutively active form of AMP-activated protein kinase in the liver leads to mild hypoglycemia and fatty liver","type":"article-journal","volume":"54"},"uris":["http://www.mendeley.com/documents/?uuid=eaf62b6b-a0ad-32c5-9708-d02d14f74a74"]}],"mendeley":{"formattedCitation":"&lt;sup&gt;3&lt;/sup&gt;","plainTextFormattedCitation":"3"},"properties":{"noteIndex":0},"schema":"https://github.com/citation-style-language/schema/raw/master/csl-citation.json"}</w:instrText>
      </w:r>
      <w:r w:rsidR="00A81F07">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3</w:t>
      </w:r>
      <w:r w:rsidR="00A81F07">
        <w:rPr>
          <w:rFonts w:ascii="Arial" w:eastAsia="Times New Roman" w:hAnsi="Arial" w:cs="Arial"/>
          <w:bCs/>
          <w:sz w:val="24"/>
          <w:szCs w:val="24"/>
          <w:shd w:val="clear" w:color="auto" w:fill="FFFFFF"/>
        </w:rPr>
        <w:fldChar w:fldCharType="end"/>
      </w:r>
      <w:r w:rsidR="00A81F07">
        <w:rPr>
          <w:rFonts w:ascii="Arial" w:eastAsia="Times New Roman" w:hAnsi="Arial" w:cs="Arial"/>
          <w:bCs/>
          <w:sz w:val="24"/>
          <w:szCs w:val="24"/>
          <w:shd w:val="clear" w:color="auto" w:fill="FFFFFF"/>
        </w:rPr>
        <w:t xml:space="preserve">. </w:t>
      </w:r>
      <w:r w:rsidR="007E6BDC">
        <w:rPr>
          <w:rFonts w:ascii="Arial" w:eastAsia="Times New Roman" w:hAnsi="Arial" w:cs="Arial"/>
          <w:bCs/>
          <w:sz w:val="24"/>
          <w:szCs w:val="24"/>
          <w:shd w:val="clear" w:color="auto" w:fill="FFFFFF"/>
        </w:rPr>
        <w:t>Our data shows</w:t>
      </w:r>
      <w:r w:rsidR="009B72AA">
        <w:rPr>
          <w:rFonts w:ascii="Arial" w:eastAsia="Times New Roman" w:hAnsi="Arial" w:cs="Arial"/>
          <w:bCs/>
          <w:sz w:val="24"/>
          <w:szCs w:val="24"/>
          <w:shd w:val="clear" w:color="auto" w:fill="FFFFFF"/>
        </w:rPr>
        <w:t xml:space="preserve">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D14CE2"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KO mice on a ketogenic diet have more gonadal and liver adipose tissue </w:t>
      </w:r>
    </w:p>
    <w:p w:rsidR="005228A3" w:rsidRDefault="00B770A3" w:rsidP="00CF7E7A">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A81F07">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20% in α1α2lox/lox, which was exacerbated by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2-fold in α1α2lox/lox + Albcre. This corresponded to a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A81F07">
        <w:rPr>
          <w:rFonts w:ascii="Cambria Math" w:eastAsia="Times New Roman" w:hAnsi="Cambria Math" w:cs="Cambria Math"/>
          <w:bCs/>
          <w:sz w:val="24"/>
          <w:szCs w:val="24"/>
          <w:shd w:val="clear" w:color="auto" w:fill="FFFFFF"/>
        </w:rPr>
        <w:instrText>∼</w:instrText>
      </w:r>
      <w:r w:rsidR="00A81F07">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00A81F07" w:rsidRPr="00A81F07">
        <w:rPr>
          <w:rFonts w:ascii="Arial" w:eastAsia="Times New Roman" w:hAnsi="Arial" w:cs="Arial"/>
          <w:bCs/>
          <w:noProof/>
          <w:sz w:val="24"/>
          <w:szCs w:val="24"/>
          <w:shd w:val="clear" w:color="auto" w:fill="FFFFFF"/>
          <w:vertAlign w:val="superscript"/>
        </w:rPr>
        <w:t>4</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w:t>
      </w:r>
      <w:r w:rsidR="00D3376A">
        <w:rPr>
          <w:rFonts w:ascii="Arial" w:eastAsia="Times New Roman" w:hAnsi="Arial" w:cs="Arial"/>
          <w:bCs/>
          <w:sz w:val="24"/>
          <w:szCs w:val="24"/>
          <w:shd w:val="clear" w:color="auto" w:fill="FFFFFF"/>
        </w:rPr>
        <w:t xml:space="preserve"> which was due to an increase in fat mass (Figure 4B)</w:t>
      </w:r>
      <w:r w:rsidR="00242BA6">
        <w:rPr>
          <w:rFonts w:ascii="Arial" w:eastAsia="Times New Roman" w:hAnsi="Arial" w:cs="Arial"/>
          <w:bCs/>
          <w:sz w:val="24"/>
          <w:szCs w:val="24"/>
          <w:shd w:val="clear" w:color="auto" w:fill="FFFFFF"/>
        </w:rPr>
        <w:t>.</w:t>
      </w:r>
      <w:r w:rsidR="00D477FA">
        <w:rPr>
          <w:rFonts w:ascii="Arial" w:eastAsia="Times New Roman" w:hAnsi="Arial" w:cs="Arial"/>
          <w:bCs/>
          <w:sz w:val="24"/>
          <w:szCs w:val="24"/>
          <w:shd w:val="clear" w:color="auto" w:fill="FFFFFF"/>
        </w:rPr>
        <w:t xml:space="preserve"> There were no differences </w:t>
      </w:r>
      <w:r w:rsidR="00DC3AA4">
        <w:rPr>
          <w:rFonts w:ascii="Arial" w:eastAsia="Times New Roman" w:hAnsi="Arial" w:cs="Arial"/>
          <w:bCs/>
          <w:sz w:val="24"/>
          <w:szCs w:val="24"/>
          <w:shd w:val="clear" w:color="auto" w:fill="FFFFFF"/>
        </w:rPr>
        <w:t xml:space="preserve">in fat mass between KO and WT mice on a ketogenic diet </w:t>
      </w:r>
      <w:r w:rsidR="00DC3AA4">
        <w:rPr>
          <w:rFonts w:ascii="Arial" w:eastAsia="Times New Roman" w:hAnsi="Arial" w:cs="Arial"/>
          <w:bCs/>
          <w:sz w:val="24"/>
          <w:szCs w:val="24"/>
          <w:shd w:val="clear" w:color="auto" w:fill="FFFFFF"/>
        </w:rPr>
        <w:lastRenderedPageBreak/>
        <w:t xml:space="preserve">(Figure 4B). </w:t>
      </w:r>
      <w:r w:rsidR="00CF7E7A">
        <w:rPr>
          <w:rFonts w:ascii="Arial" w:eastAsia="Times New Roman" w:hAnsi="Arial" w:cs="Arial"/>
          <w:bCs/>
          <w:sz w:val="24"/>
          <w:szCs w:val="24"/>
          <w:shd w:val="clear" w:color="auto" w:fill="FFFFFF"/>
        </w:rPr>
        <w:t xml:space="preserve">Consistent with no </w:t>
      </w:r>
      <w:r w:rsidR="00BE7B84">
        <w:rPr>
          <w:rFonts w:ascii="Arial" w:eastAsia="Times New Roman" w:hAnsi="Arial" w:cs="Arial"/>
          <w:bCs/>
          <w:sz w:val="24"/>
          <w:szCs w:val="24"/>
          <w:shd w:val="clear" w:color="auto" w:fill="FFFFFF"/>
        </w:rPr>
        <w:t xml:space="preserve">observed </w:t>
      </w:r>
      <w:r w:rsidR="00CF7E7A">
        <w:rPr>
          <w:rFonts w:ascii="Arial" w:eastAsia="Times New Roman" w:hAnsi="Arial" w:cs="Arial"/>
          <w:bCs/>
          <w:sz w:val="24"/>
          <w:szCs w:val="24"/>
          <w:shd w:val="clear" w:color="auto" w:fill="FFFFFF"/>
        </w:rPr>
        <w:t>changes in lean mass between groups, the</w:t>
      </w:r>
      <w:r w:rsidR="00CF7E7A" w:rsidRPr="00CF7E7A">
        <w:rPr>
          <w:rFonts w:ascii="Arial" w:eastAsia="Times New Roman" w:hAnsi="Arial" w:cs="Arial"/>
          <w:bCs/>
          <w:sz w:val="24"/>
          <w:szCs w:val="24"/>
          <w:shd w:val="clear" w:color="auto" w:fill="FFFFFF"/>
        </w:rPr>
        <w:t xml:space="preserve"> gastrocn</w:t>
      </w:r>
      <w:r w:rsidR="00CF7E7A">
        <w:rPr>
          <w:rFonts w:ascii="Arial" w:eastAsia="Times New Roman" w:hAnsi="Arial" w:cs="Arial"/>
          <w:bCs/>
          <w:sz w:val="24"/>
          <w:szCs w:val="24"/>
          <w:shd w:val="clear" w:color="auto" w:fill="FFFFFF"/>
        </w:rPr>
        <w:t>emius</w:t>
      </w:r>
      <w:r w:rsidR="00CF7E7A" w:rsidRPr="00CF7E7A">
        <w:rPr>
          <w:rFonts w:ascii="Arial" w:eastAsia="Times New Roman" w:hAnsi="Arial" w:cs="Arial"/>
          <w:bCs/>
          <w:sz w:val="24"/>
          <w:szCs w:val="24"/>
          <w:shd w:val="clear" w:color="auto" w:fill="FFFFFF"/>
        </w:rPr>
        <w:t xml:space="preserve"> </w:t>
      </w:r>
      <w:r w:rsidR="00CF7E7A">
        <w:rPr>
          <w:rFonts w:ascii="Arial" w:eastAsia="Times New Roman" w:hAnsi="Arial" w:cs="Arial"/>
          <w:bCs/>
          <w:sz w:val="24"/>
          <w:szCs w:val="24"/>
          <w:shd w:val="clear" w:color="auto" w:fill="FFFFFF"/>
        </w:rPr>
        <w:t xml:space="preserve">and quadriceps </w:t>
      </w:r>
      <w:r w:rsidR="00CF7E7A" w:rsidRPr="00CF7E7A">
        <w:rPr>
          <w:rFonts w:ascii="Arial" w:eastAsia="Times New Roman" w:hAnsi="Arial" w:cs="Arial"/>
          <w:bCs/>
          <w:sz w:val="24"/>
          <w:szCs w:val="24"/>
          <w:shd w:val="clear" w:color="auto" w:fill="FFFFFF"/>
        </w:rPr>
        <w:t>weight</w:t>
      </w:r>
      <w:r w:rsidR="00CF7E7A">
        <w:rPr>
          <w:rFonts w:ascii="Arial" w:eastAsia="Times New Roman" w:hAnsi="Arial" w:cs="Arial"/>
          <w:bCs/>
          <w:sz w:val="24"/>
          <w:szCs w:val="24"/>
          <w:shd w:val="clear" w:color="auto" w:fill="FFFFFF"/>
        </w:rPr>
        <w:t xml:space="preserve">s were the same </w:t>
      </w:r>
      <w:r w:rsidR="00CF7E7A" w:rsidRPr="00CF7E7A">
        <w:rPr>
          <w:rFonts w:ascii="Arial" w:eastAsia="Times New Roman" w:hAnsi="Arial" w:cs="Arial"/>
          <w:bCs/>
          <w:sz w:val="24"/>
          <w:szCs w:val="24"/>
          <w:shd w:val="clear" w:color="auto" w:fill="FFFFFF"/>
        </w:rPr>
        <w:t>between KO and WT mice on both diet groups</w:t>
      </w:r>
      <w:r w:rsidR="0010399F">
        <w:rPr>
          <w:rFonts w:ascii="Arial" w:eastAsia="Times New Roman" w:hAnsi="Arial" w:cs="Arial"/>
          <w:bCs/>
          <w:sz w:val="24"/>
          <w:szCs w:val="24"/>
          <w:shd w:val="clear" w:color="auto" w:fill="FFFFFF"/>
        </w:rPr>
        <w:t xml:space="preserve"> at the time of sacrifice</w:t>
      </w:r>
      <w:r w:rsidR="00CF7E7A" w:rsidRPr="00CF7E7A">
        <w:rPr>
          <w:rFonts w:ascii="Arial" w:eastAsia="Times New Roman" w:hAnsi="Arial" w:cs="Arial"/>
          <w:bCs/>
          <w:sz w:val="24"/>
          <w:szCs w:val="24"/>
          <w:shd w:val="clear" w:color="auto" w:fill="FFFFFF"/>
        </w:rPr>
        <w:t xml:space="preserve"> (Figure 4</w:t>
      </w:r>
      <w:r w:rsidR="008827DB">
        <w:rPr>
          <w:rFonts w:ascii="Arial" w:eastAsia="Times New Roman" w:hAnsi="Arial" w:cs="Arial"/>
          <w:bCs/>
          <w:sz w:val="24"/>
          <w:szCs w:val="24"/>
          <w:shd w:val="clear" w:color="auto" w:fill="FFFFFF"/>
        </w:rPr>
        <w:t>D</w:t>
      </w:r>
      <w:r w:rsidR="00BB5030">
        <w:rPr>
          <w:rFonts w:ascii="Arial" w:eastAsia="Times New Roman" w:hAnsi="Arial" w:cs="Arial"/>
          <w:bCs/>
          <w:sz w:val="24"/>
          <w:szCs w:val="24"/>
          <w:shd w:val="clear" w:color="auto" w:fill="FFFFFF"/>
        </w:rPr>
        <w:t>,E</w:t>
      </w:r>
      <w:r w:rsidR="00CF7E7A" w:rsidRPr="00CF7E7A">
        <w:rPr>
          <w:rFonts w:ascii="Arial" w:eastAsia="Times New Roman" w:hAnsi="Arial" w:cs="Arial"/>
          <w:bCs/>
          <w:sz w:val="24"/>
          <w:szCs w:val="24"/>
          <w:shd w:val="clear" w:color="auto" w:fill="FFFFFF"/>
        </w:rPr>
        <w:t xml:space="preserve">). </w:t>
      </w:r>
      <w:r w:rsidR="00485623">
        <w:rPr>
          <w:rFonts w:ascii="Arial" w:eastAsia="Times New Roman" w:hAnsi="Arial" w:cs="Arial"/>
          <w:bCs/>
          <w:sz w:val="24"/>
          <w:szCs w:val="24"/>
          <w:shd w:val="clear" w:color="auto" w:fill="FFFFFF"/>
        </w:rPr>
        <w:t xml:space="preserve">Consistent with the change in </w:t>
      </w:r>
      <w:r w:rsidR="00E72929">
        <w:rPr>
          <w:rFonts w:ascii="Arial" w:eastAsia="Times New Roman" w:hAnsi="Arial" w:cs="Arial"/>
          <w:bCs/>
          <w:sz w:val="24"/>
          <w:szCs w:val="24"/>
          <w:shd w:val="clear" w:color="auto" w:fill="FFFFFF"/>
        </w:rPr>
        <w:t>f</w:t>
      </w:r>
      <w:r w:rsidR="00485623">
        <w:rPr>
          <w:rFonts w:ascii="Arial" w:eastAsia="Times New Roman" w:hAnsi="Arial" w:cs="Arial"/>
          <w:bCs/>
          <w:sz w:val="24"/>
          <w:szCs w:val="24"/>
          <w:shd w:val="clear" w:color="auto" w:fill="FFFFFF"/>
        </w:rPr>
        <w:t xml:space="preserve">at </w:t>
      </w:r>
      <w:r w:rsidR="00E72929">
        <w:rPr>
          <w:rFonts w:ascii="Arial" w:eastAsia="Times New Roman" w:hAnsi="Arial" w:cs="Arial"/>
          <w:bCs/>
          <w:sz w:val="24"/>
          <w:szCs w:val="24"/>
          <w:shd w:val="clear" w:color="auto" w:fill="FFFFFF"/>
        </w:rPr>
        <w:t>m</w:t>
      </w:r>
      <w:r w:rsidR="00485623">
        <w:rPr>
          <w:rFonts w:ascii="Arial" w:eastAsia="Times New Roman" w:hAnsi="Arial" w:cs="Arial"/>
          <w:bCs/>
          <w:sz w:val="24"/>
          <w:szCs w:val="24"/>
          <w:shd w:val="clear" w:color="auto" w:fill="FFFFFF"/>
        </w:rPr>
        <w:t>ass over four week, i</w:t>
      </w:r>
      <w:r w:rsidR="00785905">
        <w:rPr>
          <w:rFonts w:ascii="Arial" w:eastAsia="Times New Roman" w:hAnsi="Arial" w:cs="Arial"/>
          <w:bCs/>
          <w:sz w:val="24"/>
          <w:szCs w:val="24"/>
          <w:shd w:val="clear" w:color="auto" w:fill="FFFFFF"/>
        </w:rPr>
        <w:t xml:space="preserve">nguinal adipose tissue </w:t>
      </w:r>
      <w:r w:rsidR="00485623">
        <w:rPr>
          <w:rFonts w:ascii="Arial" w:eastAsia="Times New Roman" w:hAnsi="Arial" w:cs="Arial"/>
          <w:bCs/>
          <w:sz w:val="24"/>
          <w:szCs w:val="24"/>
          <w:shd w:val="clear" w:color="auto" w:fill="FFFFFF"/>
        </w:rPr>
        <w:t xml:space="preserve">weight at the time was sacrifice </w:t>
      </w:r>
      <w:r w:rsidR="00785905">
        <w:rPr>
          <w:rFonts w:ascii="Arial" w:eastAsia="Times New Roman" w:hAnsi="Arial" w:cs="Arial"/>
          <w:bCs/>
          <w:sz w:val="24"/>
          <w:szCs w:val="24"/>
          <w:shd w:val="clear" w:color="auto" w:fill="FFFFFF"/>
        </w:rPr>
        <w:t xml:space="preserve">was higher </w:t>
      </w:r>
      <w:r w:rsidR="00485623">
        <w:rPr>
          <w:rFonts w:ascii="Arial" w:eastAsia="Times New Roman" w:hAnsi="Arial" w:cs="Arial"/>
          <w:bCs/>
          <w:sz w:val="24"/>
          <w:szCs w:val="24"/>
          <w:shd w:val="clear" w:color="auto" w:fill="FFFFFF"/>
        </w:rPr>
        <w:t>in those on a</w:t>
      </w:r>
      <w:r w:rsidR="00785905">
        <w:rPr>
          <w:rFonts w:ascii="Arial" w:eastAsia="Times New Roman" w:hAnsi="Arial" w:cs="Arial"/>
          <w:bCs/>
          <w:sz w:val="24"/>
          <w:szCs w:val="24"/>
          <w:shd w:val="clear" w:color="auto" w:fill="FFFFFF"/>
        </w:rPr>
        <w:t xml:space="preserve"> ketogenic diet, but again not different between treatment groups</w:t>
      </w:r>
      <w:r w:rsidR="00485623">
        <w:rPr>
          <w:rFonts w:ascii="Arial" w:eastAsia="Times New Roman" w:hAnsi="Arial" w:cs="Arial"/>
          <w:bCs/>
          <w:sz w:val="24"/>
          <w:szCs w:val="24"/>
          <w:shd w:val="clear" w:color="auto" w:fill="FFFFFF"/>
        </w:rPr>
        <w:t xml:space="preserve"> (Figure </w:t>
      </w:r>
      <w:r w:rsidR="001B4F84">
        <w:rPr>
          <w:rFonts w:ascii="Arial" w:eastAsia="Times New Roman" w:hAnsi="Arial" w:cs="Arial"/>
          <w:bCs/>
          <w:sz w:val="24"/>
          <w:szCs w:val="24"/>
          <w:shd w:val="clear" w:color="auto" w:fill="FFFFFF"/>
        </w:rPr>
        <w:t>4</w:t>
      </w:r>
      <w:r w:rsidR="00485623">
        <w:rPr>
          <w:rFonts w:ascii="Arial" w:eastAsia="Times New Roman" w:hAnsi="Arial" w:cs="Arial"/>
          <w:bCs/>
          <w:sz w:val="24"/>
          <w:szCs w:val="24"/>
          <w:shd w:val="clear" w:color="auto" w:fill="FFFFFF"/>
        </w:rPr>
        <w:t>F). Gonadal adipose tissues</w:t>
      </w:r>
      <w:r w:rsidR="00767AF7">
        <w:rPr>
          <w:rFonts w:ascii="Arial" w:eastAsia="Times New Roman" w:hAnsi="Arial" w:cs="Arial"/>
          <w:bCs/>
          <w:sz w:val="24"/>
          <w:szCs w:val="24"/>
          <w:shd w:val="clear" w:color="auto" w:fill="FFFFFF"/>
        </w:rPr>
        <w:t xml:space="preserve"> (GWAT)</w:t>
      </w:r>
      <w:r w:rsidR="00485623">
        <w:rPr>
          <w:rFonts w:ascii="Arial" w:eastAsia="Times New Roman" w:hAnsi="Arial" w:cs="Arial"/>
          <w:bCs/>
          <w:sz w:val="24"/>
          <w:szCs w:val="24"/>
          <w:shd w:val="clear" w:color="auto" w:fill="FFFFFF"/>
        </w:rPr>
        <w:t>, however,</w:t>
      </w:r>
      <w:r w:rsidR="001B4F84">
        <w:rPr>
          <w:rFonts w:ascii="Arial" w:eastAsia="Times New Roman" w:hAnsi="Arial" w:cs="Arial"/>
          <w:bCs/>
          <w:sz w:val="24"/>
          <w:szCs w:val="24"/>
          <w:shd w:val="clear" w:color="auto" w:fill="FFFFFF"/>
        </w:rPr>
        <w:t xml:space="preserve"> did show a treatment difference </w:t>
      </w:r>
      <w:r w:rsidR="00F87C40">
        <w:rPr>
          <w:rFonts w:ascii="Arial" w:eastAsia="Times New Roman" w:hAnsi="Arial" w:cs="Arial"/>
          <w:bCs/>
          <w:sz w:val="24"/>
          <w:szCs w:val="24"/>
          <w:shd w:val="clear" w:color="auto" w:fill="FFFFFF"/>
        </w:rPr>
        <w:t xml:space="preserve">with KO males </w:t>
      </w:r>
      <w:r w:rsidR="00BE2303">
        <w:rPr>
          <w:rFonts w:ascii="Arial" w:eastAsia="Times New Roman" w:hAnsi="Arial" w:cs="Arial"/>
          <w:bCs/>
          <w:sz w:val="24"/>
          <w:szCs w:val="24"/>
          <w:shd w:val="clear" w:color="auto" w:fill="FFFFFF"/>
        </w:rPr>
        <w:t>having</w:t>
      </w:r>
      <w:r w:rsidR="00F87C40">
        <w:rPr>
          <w:rFonts w:ascii="Arial" w:eastAsia="Times New Roman" w:hAnsi="Arial" w:cs="Arial"/>
          <w:bCs/>
          <w:sz w:val="24"/>
          <w:szCs w:val="24"/>
          <w:shd w:val="clear" w:color="auto" w:fill="FFFFFF"/>
        </w:rPr>
        <w:t xml:space="preserve"> an increase in GWAT compared to WT males on a ketogenic diet </w:t>
      </w:r>
      <w:r w:rsidR="001B4F84">
        <w:rPr>
          <w:rFonts w:ascii="Arial" w:eastAsia="Times New Roman" w:hAnsi="Arial" w:cs="Arial"/>
          <w:bCs/>
          <w:sz w:val="24"/>
          <w:szCs w:val="24"/>
          <w:shd w:val="clear" w:color="auto" w:fill="FFFFFF"/>
        </w:rPr>
        <w:t xml:space="preserve"> (Figure 4G). </w:t>
      </w:r>
      <w:r w:rsidR="00921852">
        <w:rPr>
          <w:rFonts w:ascii="Arial" w:eastAsia="Times New Roman" w:hAnsi="Arial" w:cs="Arial"/>
          <w:bCs/>
          <w:sz w:val="24"/>
          <w:szCs w:val="24"/>
          <w:shd w:val="clear" w:color="auto" w:fill="FFFFFF"/>
        </w:rPr>
        <w:t xml:space="preserve">This difference was not </w:t>
      </w:r>
      <w:r w:rsidR="0016027B">
        <w:rPr>
          <w:rFonts w:ascii="Arial" w:eastAsia="Times New Roman" w:hAnsi="Arial" w:cs="Arial"/>
          <w:bCs/>
          <w:sz w:val="24"/>
          <w:szCs w:val="24"/>
          <w:shd w:val="clear" w:color="auto" w:fill="FFFFFF"/>
        </w:rPr>
        <w:t>seen between KO and WT on</w:t>
      </w:r>
      <w:r w:rsidR="00921852">
        <w:rPr>
          <w:rFonts w:ascii="Arial" w:eastAsia="Times New Roman" w:hAnsi="Arial" w:cs="Arial"/>
          <w:bCs/>
          <w:sz w:val="24"/>
          <w:szCs w:val="24"/>
          <w:shd w:val="clear" w:color="auto" w:fill="FFFFFF"/>
        </w:rPr>
        <w:t xml:space="preserve">  a control diet. </w:t>
      </w:r>
    </w:p>
    <w:p w:rsidR="00FD3697" w:rsidRPr="00CF7E7A" w:rsidRDefault="00FD3697" w:rsidP="00FD3697">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Consistent with the observed differences </w:t>
      </w:r>
      <w:r w:rsidR="00110E14">
        <w:rPr>
          <w:rFonts w:ascii="Arial" w:eastAsia="Times New Roman" w:hAnsi="Arial" w:cs="Arial"/>
          <w:bCs/>
          <w:sz w:val="24"/>
          <w:szCs w:val="24"/>
          <w:shd w:val="clear" w:color="auto" w:fill="FFFFFF"/>
        </w:rPr>
        <w:t xml:space="preserve">in GWAT </w:t>
      </w:r>
      <w:r>
        <w:rPr>
          <w:rFonts w:ascii="Arial" w:eastAsia="Times New Roman" w:hAnsi="Arial" w:cs="Arial"/>
          <w:bCs/>
          <w:sz w:val="24"/>
          <w:szCs w:val="24"/>
          <w:shd w:val="clear" w:color="auto" w:fill="FFFFFF"/>
        </w:rPr>
        <w:t xml:space="preserve">between KO and WT mice on a ketogenic diet, </w:t>
      </w:r>
      <w:r w:rsidR="00110E14">
        <w:rPr>
          <w:rFonts w:ascii="Arial" w:eastAsia="Times New Roman" w:hAnsi="Arial" w:cs="Arial"/>
          <w:bCs/>
          <w:sz w:val="24"/>
          <w:szCs w:val="24"/>
          <w:shd w:val="clear" w:color="auto" w:fill="FFFFFF"/>
        </w:rPr>
        <w:t>KO mice on a ketogenic diet appeared to have increased liver fat accumulation compared to WT on a ketogenic diet</w:t>
      </w:r>
      <w:r w:rsidR="000073E2">
        <w:rPr>
          <w:rFonts w:ascii="Arial" w:eastAsia="Times New Roman" w:hAnsi="Arial" w:cs="Arial"/>
          <w:bCs/>
          <w:sz w:val="24"/>
          <w:szCs w:val="24"/>
          <w:shd w:val="clear" w:color="auto" w:fill="FFFFFF"/>
        </w:rPr>
        <w:t xml:space="preserve"> (Figure 5A). </w:t>
      </w:r>
      <w:r w:rsidR="00146AFE">
        <w:rPr>
          <w:rFonts w:ascii="Arial" w:eastAsia="Times New Roman" w:hAnsi="Arial" w:cs="Arial"/>
          <w:bCs/>
          <w:sz w:val="24"/>
          <w:szCs w:val="24"/>
          <w:shd w:val="clear" w:color="auto" w:fill="FFFFFF"/>
        </w:rPr>
        <w:t xml:space="preserve">Additionally, the observed increases in fat mass on a ketogenic diet were also seen in the male livers </w:t>
      </w:r>
      <w:r w:rsidR="0052511C">
        <w:rPr>
          <w:rFonts w:ascii="Arial" w:eastAsia="Times New Roman" w:hAnsi="Arial" w:cs="Arial"/>
          <w:bCs/>
          <w:sz w:val="24"/>
          <w:szCs w:val="24"/>
          <w:shd w:val="clear" w:color="auto" w:fill="FFFFFF"/>
        </w:rPr>
        <w:t>on a ketogenic diet relative to the control diet (Figure 5</w:t>
      </w:r>
      <w:r w:rsidR="003417BC">
        <w:rPr>
          <w:rFonts w:ascii="Arial" w:eastAsia="Times New Roman" w:hAnsi="Arial" w:cs="Arial"/>
          <w:bCs/>
          <w:sz w:val="24"/>
          <w:szCs w:val="24"/>
          <w:shd w:val="clear" w:color="auto" w:fill="FFFFFF"/>
        </w:rPr>
        <w:t>A</w:t>
      </w:r>
      <w:r w:rsidR="0052511C">
        <w:rPr>
          <w:rFonts w:ascii="Arial" w:eastAsia="Times New Roman" w:hAnsi="Arial" w:cs="Arial"/>
          <w:bCs/>
          <w:sz w:val="24"/>
          <w:szCs w:val="24"/>
          <w:shd w:val="clear" w:color="auto" w:fill="FFFFFF"/>
        </w:rPr>
        <w:t xml:space="preserve">). </w:t>
      </w:r>
      <w:r w:rsidR="003417BC">
        <w:rPr>
          <w:rFonts w:ascii="Arial" w:eastAsia="Times New Roman" w:hAnsi="Arial" w:cs="Arial"/>
          <w:bCs/>
          <w:sz w:val="24"/>
          <w:szCs w:val="24"/>
          <w:shd w:val="clear" w:color="auto" w:fill="FFFFFF"/>
        </w:rPr>
        <w:t xml:space="preserve">There were no differences in liver fat mass seen between treatment groups on a control diet (Figure 5A). </w:t>
      </w:r>
      <w:r w:rsidR="00A728E3" w:rsidRPr="00BE7B84">
        <w:rPr>
          <w:rFonts w:ascii="Arial" w:eastAsia="Times New Roman" w:hAnsi="Arial" w:cs="Arial"/>
          <w:bCs/>
          <w:color w:val="FF0000"/>
          <w:sz w:val="24"/>
          <w:szCs w:val="24"/>
          <w:shd w:val="clear" w:color="auto" w:fill="FFFFFF"/>
        </w:rPr>
        <w:t xml:space="preserve">Need to quantify liver TGs and put that here (Figure 5B). </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927558" w:rsidRPr="00833001" w:rsidRDefault="0061467E" w:rsidP="00833001">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Despite the increases in liver and gonadal adipose tissue</w:t>
      </w:r>
      <w:r w:rsidR="00CC3409">
        <w:rPr>
          <w:rFonts w:ascii="Arial" w:eastAsia="Times New Roman" w:hAnsi="Arial" w:cs="Arial"/>
          <w:bCs/>
          <w:sz w:val="24"/>
          <w:szCs w:val="24"/>
          <w:shd w:val="clear" w:color="auto" w:fill="FFFFFF"/>
        </w:rPr>
        <w:t xml:space="preserve"> in </w:t>
      </w:r>
      <w:r w:rsidR="00B8179F">
        <w:rPr>
          <w:rFonts w:ascii="Arial" w:eastAsia="Times New Roman" w:hAnsi="Arial" w:cs="Arial"/>
          <w:bCs/>
          <w:sz w:val="24"/>
          <w:szCs w:val="24"/>
          <w:shd w:val="clear" w:color="auto" w:fill="FFFFFF"/>
        </w:rPr>
        <w:t>KO mice on a ketogenic diet, there were no differences</w:t>
      </w:r>
      <w:r w:rsidR="0008474A">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in fasting blood glucose or insulin sensitivity </w:t>
      </w:r>
      <w:r w:rsidR="0008474A">
        <w:rPr>
          <w:rFonts w:ascii="Arial" w:eastAsia="Times New Roman" w:hAnsi="Arial" w:cs="Arial"/>
          <w:bCs/>
          <w:sz w:val="24"/>
          <w:szCs w:val="24"/>
          <w:shd w:val="clear" w:color="auto" w:fill="FFFFFF"/>
        </w:rPr>
        <w:t>between treatment groups</w:t>
      </w:r>
      <w:r w:rsidR="00B8179F">
        <w:rPr>
          <w:rFonts w:ascii="Arial" w:eastAsia="Times New Roman" w:hAnsi="Arial" w:cs="Arial"/>
          <w:bCs/>
          <w:sz w:val="24"/>
          <w:szCs w:val="24"/>
          <w:shd w:val="clear" w:color="auto" w:fill="FFFFFF"/>
        </w:rPr>
        <w:t xml:space="preserve"> </w:t>
      </w:r>
      <w:r w:rsidR="004F3B09">
        <w:rPr>
          <w:rFonts w:ascii="Arial" w:eastAsia="Times New Roman" w:hAnsi="Arial" w:cs="Arial"/>
          <w:bCs/>
          <w:sz w:val="24"/>
          <w:szCs w:val="24"/>
          <w:shd w:val="clear" w:color="auto" w:fill="FFFFFF"/>
        </w:rPr>
        <w:t xml:space="preserve">on a ketogenic diet </w:t>
      </w:r>
      <w:r w:rsidR="0008474A">
        <w:rPr>
          <w:rFonts w:ascii="Arial" w:eastAsia="Times New Roman" w:hAnsi="Arial" w:cs="Arial"/>
          <w:bCs/>
          <w:sz w:val="24"/>
          <w:szCs w:val="24"/>
          <w:shd w:val="clear" w:color="auto" w:fill="FFFFFF"/>
        </w:rPr>
        <w:t xml:space="preserve">(Figure 6A). </w:t>
      </w:r>
      <w:r w:rsidR="00FD4E8D">
        <w:rPr>
          <w:rFonts w:ascii="Arial" w:eastAsia="Times New Roman" w:hAnsi="Arial" w:cs="Arial"/>
          <w:bCs/>
          <w:sz w:val="24"/>
          <w:szCs w:val="24"/>
          <w:shd w:val="clear" w:color="auto" w:fill="FFFFFF"/>
        </w:rPr>
        <w:t xml:space="preserve">There were </w:t>
      </w:r>
      <w:r w:rsidR="00834546">
        <w:rPr>
          <w:rFonts w:ascii="Arial" w:eastAsia="Times New Roman" w:hAnsi="Arial" w:cs="Arial"/>
          <w:bCs/>
          <w:sz w:val="24"/>
          <w:szCs w:val="24"/>
          <w:shd w:val="clear" w:color="auto" w:fill="FFFFFF"/>
        </w:rPr>
        <w:t xml:space="preserve">differences </w:t>
      </w:r>
      <w:r w:rsidR="00072972">
        <w:rPr>
          <w:rFonts w:ascii="Arial" w:eastAsia="Times New Roman" w:hAnsi="Arial" w:cs="Arial"/>
          <w:bCs/>
          <w:sz w:val="24"/>
          <w:szCs w:val="24"/>
          <w:shd w:val="clear" w:color="auto" w:fill="FFFFFF"/>
        </w:rPr>
        <w:t xml:space="preserve">in fasting glucose and insulin sensitivity </w:t>
      </w:r>
      <w:r w:rsidR="00153756">
        <w:rPr>
          <w:rFonts w:ascii="Arial" w:eastAsia="Times New Roman" w:hAnsi="Arial" w:cs="Arial"/>
          <w:bCs/>
          <w:sz w:val="24"/>
          <w:szCs w:val="24"/>
          <w:shd w:val="clear" w:color="auto" w:fill="FFFFFF"/>
        </w:rPr>
        <w:t xml:space="preserve">between diet groups </w:t>
      </w:r>
      <w:r w:rsidR="00834546">
        <w:rPr>
          <w:rFonts w:ascii="Arial" w:eastAsia="Times New Roman" w:hAnsi="Arial" w:cs="Arial"/>
          <w:bCs/>
          <w:sz w:val="24"/>
          <w:szCs w:val="24"/>
          <w:shd w:val="clear" w:color="auto" w:fill="FFFFFF"/>
        </w:rPr>
        <w:t>in that b</w:t>
      </w:r>
      <w:r w:rsidR="00833001">
        <w:rPr>
          <w:rFonts w:ascii="Arial" w:eastAsia="Times New Roman" w:hAnsi="Arial" w:cs="Arial"/>
          <w:bCs/>
          <w:sz w:val="24"/>
          <w:szCs w:val="24"/>
          <w:shd w:val="clear" w:color="auto" w:fill="FFFFFF"/>
        </w:rPr>
        <w:t xml:space="preserve">oth KO and WT ketogenic diet mice </w:t>
      </w:r>
      <w:r w:rsidR="00833001" w:rsidRPr="00D92143">
        <w:rPr>
          <w:rFonts w:ascii="Arial" w:eastAsia="Times New Roman" w:hAnsi="Arial" w:cs="Arial"/>
          <w:bCs/>
          <w:sz w:val="24"/>
          <w:szCs w:val="24"/>
          <w:shd w:val="clear" w:color="auto" w:fill="FFFFFF"/>
        </w:rPr>
        <w:t>ha</w:t>
      </w:r>
      <w:r w:rsidR="00833001">
        <w:rPr>
          <w:rFonts w:ascii="Arial" w:eastAsia="Times New Roman" w:hAnsi="Arial" w:cs="Arial"/>
          <w:bCs/>
          <w:sz w:val="24"/>
          <w:szCs w:val="24"/>
          <w:shd w:val="clear" w:color="auto" w:fill="FFFFFF"/>
        </w:rPr>
        <w:t>d</w:t>
      </w:r>
      <w:r w:rsidR="00833001" w:rsidRPr="00D92143">
        <w:rPr>
          <w:rFonts w:ascii="Arial" w:eastAsia="Times New Roman" w:hAnsi="Arial" w:cs="Arial"/>
          <w:bCs/>
          <w:sz w:val="24"/>
          <w:szCs w:val="24"/>
          <w:shd w:val="clear" w:color="auto" w:fill="FFFFFF"/>
        </w:rPr>
        <w:t xml:space="preserve"> higher glucose level</w:t>
      </w:r>
      <w:r w:rsidR="00DE0177">
        <w:rPr>
          <w:rFonts w:ascii="Arial" w:eastAsia="Times New Roman" w:hAnsi="Arial" w:cs="Arial"/>
          <w:bCs/>
          <w:sz w:val="24"/>
          <w:szCs w:val="24"/>
          <w:shd w:val="clear" w:color="auto" w:fill="FFFFFF"/>
        </w:rPr>
        <w:t>s</w:t>
      </w:r>
      <w:r w:rsidR="00CB2FA6">
        <w:rPr>
          <w:rFonts w:ascii="Arial" w:eastAsia="Times New Roman" w:hAnsi="Arial" w:cs="Arial"/>
          <w:bCs/>
          <w:sz w:val="24"/>
          <w:szCs w:val="24"/>
          <w:shd w:val="clear" w:color="auto" w:fill="FFFFFF"/>
        </w:rPr>
        <w:t xml:space="preserve"> and</w:t>
      </w:r>
      <w:r w:rsidR="00833001">
        <w:rPr>
          <w:rFonts w:ascii="Arial" w:eastAsia="Times New Roman" w:hAnsi="Arial" w:cs="Arial"/>
          <w:bCs/>
          <w:sz w:val="24"/>
          <w:szCs w:val="24"/>
          <w:shd w:val="clear" w:color="auto" w:fill="FFFFFF"/>
        </w:rPr>
        <w:t xml:space="preserve"> a larger drop </w:t>
      </w:r>
      <w:r w:rsidR="00CB2FA6">
        <w:rPr>
          <w:rFonts w:ascii="Arial" w:eastAsia="Times New Roman" w:hAnsi="Arial" w:cs="Arial"/>
          <w:bCs/>
          <w:sz w:val="24"/>
          <w:szCs w:val="24"/>
          <w:shd w:val="clear" w:color="auto" w:fill="FFFFFF"/>
        </w:rPr>
        <w:t>with</w:t>
      </w:r>
      <w:r w:rsidR="00833001">
        <w:rPr>
          <w:rFonts w:ascii="Arial" w:eastAsia="Times New Roman" w:hAnsi="Arial" w:cs="Arial"/>
          <w:bCs/>
          <w:sz w:val="24"/>
          <w:szCs w:val="24"/>
          <w:shd w:val="clear" w:color="auto" w:fill="FFFFFF"/>
        </w:rPr>
        <w:t xml:space="preserve"> subsequent increase in blood glucose compared to mice fed a control diet</w:t>
      </w:r>
      <w:r w:rsidR="00A16DE1">
        <w:rPr>
          <w:rFonts w:ascii="Arial" w:eastAsia="Times New Roman" w:hAnsi="Arial" w:cs="Arial"/>
          <w:bCs/>
          <w:sz w:val="24"/>
          <w:szCs w:val="24"/>
          <w:shd w:val="clear" w:color="auto" w:fill="FFFFFF"/>
        </w:rPr>
        <w:t xml:space="preserve"> (Figure 6A)</w:t>
      </w:r>
      <w:r w:rsidR="00833001">
        <w:rPr>
          <w:rFonts w:ascii="Arial" w:eastAsia="Times New Roman" w:hAnsi="Arial" w:cs="Arial"/>
          <w:bCs/>
          <w:sz w:val="24"/>
          <w:szCs w:val="24"/>
          <w:shd w:val="clear" w:color="auto" w:fill="FFFFFF"/>
        </w:rPr>
        <w:t xml:space="preserve">.  </w:t>
      </w:r>
    </w:p>
    <w:p w:rsidR="00C42D20"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EE44CC" w:rsidRPr="0016217D" w:rsidRDefault="00EE44CC" w:rsidP="00EE44CC">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 xml:space="preserve">“Previously found, genetic deletion of alpha a1, a2, or b2 isoforms in mice has little effect on liver AMPK activity </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5&lt;/sup&gt;","plainTextFormattedCitation":"5","previouslyFormattedCitation":"&lt;sup&gt;5&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5</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6&lt;/sup&gt;","plainTextFormattedCitation":"6","previouslyFormattedCitation":"&lt;sup&gt;6&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6</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w:t>
      </w:r>
      <w:r w:rsidRPr="0016217D">
        <w:rPr>
          <w:rFonts w:ascii="Times New Roman" w:eastAsia="Times New Roman" w:hAnsi="Times New Roman" w:cs="Times New Roman"/>
          <w:sz w:val="16"/>
          <w:szCs w:val="16"/>
        </w:rPr>
        <w:fldChar w:fldCharType="begin" w:fldLock="1"/>
      </w:r>
      <w:r>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7&lt;/sup&gt;","plainTextFormattedCitation":"7","previouslyFormattedCitation":"&lt;sup&gt;7&lt;/sup&gt;"},"properties":{"noteIndex":0},"schema":"https://github.com/citation-style-language/schema/raw/master/csl-citation.json"}</w:instrText>
      </w:r>
      <w:r w:rsidRPr="0016217D">
        <w:rPr>
          <w:rFonts w:ascii="Times New Roman" w:eastAsia="Times New Roman" w:hAnsi="Times New Roman" w:cs="Times New Roman"/>
          <w:sz w:val="16"/>
          <w:szCs w:val="16"/>
        </w:rPr>
        <w:fldChar w:fldCharType="separate"/>
      </w:r>
      <w:r w:rsidRPr="00A81F07">
        <w:rPr>
          <w:rFonts w:ascii="Times New Roman" w:eastAsia="Times New Roman" w:hAnsi="Times New Roman" w:cs="Times New Roman"/>
          <w:noProof/>
          <w:sz w:val="16"/>
          <w:szCs w:val="16"/>
          <w:vertAlign w:val="superscript"/>
        </w:rPr>
        <w:t>7</w:t>
      </w:r>
      <w:r w:rsidRPr="0016217D">
        <w:rPr>
          <w:rFonts w:ascii="Times New Roman" w:eastAsia="Times New Roman" w:hAnsi="Times New Roman" w:cs="Times New Roman"/>
          <w:sz w:val="16"/>
          <w:szCs w:val="16"/>
        </w:rPr>
        <w:fldChar w:fldCharType="end"/>
      </w:r>
      <w:r w:rsidRPr="0016217D">
        <w:rPr>
          <w:rFonts w:ascii="Times New Roman" w:eastAsia="Times New Roman" w:hAnsi="Times New Roman" w:cs="Times New Roman"/>
          <w:sz w:val="16"/>
          <w:szCs w:val="16"/>
        </w:rPr>
        <w:t xml:space="preserve">. </w:t>
      </w:r>
      <w:r w:rsidRPr="0016217D">
        <w:rPr>
          <w:sz w:val="16"/>
          <w:szCs w:val="16"/>
        </w:rPr>
        <w:t xml:space="preserve">By contrast, germline deletion of AMPK </w:t>
      </w:r>
      <w:r w:rsidRPr="0016217D">
        <w:rPr>
          <w:rFonts w:ascii="Adv P 7 DA" w:hAnsi="Adv P 7 DA" w:cs="Adv P 7 DA"/>
          <w:sz w:val="16"/>
          <w:szCs w:val="16"/>
        </w:rPr>
        <w:t>b</w:t>
      </w:r>
      <w:r w:rsidRPr="0016217D">
        <w:rPr>
          <w:sz w:val="16"/>
          <w:szCs w:val="16"/>
        </w:rPr>
        <w:t>1 [65] leads to a large reduction in liver AMPK activity (</w:t>
      </w:r>
      <w:r w:rsidRPr="0016217D">
        <w:rPr>
          <w:rFonts w:ascii="Adv P 4 C 4 E" w:hAnsi="Adv P 4 C 4 E" w:cs="Adv P 4 C 4 E"/>
          <w:sz w:val="16"/>
          <w:szCs w:val="16"/>
        </w:rPr>
        <w:t>_</w:t>
      </w:r>
      <w:r w:rsidRPr="0016217D">
        <w:rPr>
          <w:sz w:val="16"/>
          <w:szCs w:val="16"/>
        </w:rPr>
        <w:t xml:space="preserve">95%), indicating that the </w:t>
      </w:r>
      <w:r w:rsidRPr="0016217D">
        <w:rPr>
          <w:rFonts w:ascii="Adv P 7 DA" w:hAnsi="Adv P 7 DA" w:cs="Adv P 7 DA"/>
          <w:sz w:val="16"/>
          <w:szCs w:val="16"/>
        </w:rPr>
        <w:t>b</w:t>
      </w:r>
      <w:r w:rsidRPr="0016217D">
        <w:rPr>
          <w:sz w:val="16"/>
          <w:szCs w:val="16"/>
        </w:rPr>
        <w:t xml:space="preserve">1 subunit is essential for maintaining the AMPK </w:t>
      </w:r>
      <w:proofErr w:type="spellStart"/>
      <w:r w:rsidRPr="0016217D">
        <w:rPr>
          <w:sz w:val="16"/>
          <w:szCs w:val="16"/>
        </w:rPr>
        <w:t>heterotrimer</w:t>
      </w:r>
      <w:proofErr w:type="spellEnd"/>
      <w:r w:rsidRPr="0016217D">
        <w:rPr>
          <w:sz w:val="16"/>
          <w:szCs w:val="16"/>
        </w:rPr>
        <w:t xml:space="preserve"> in the liver. mice with a liver-speci</w:t>
      </w:r>
      <w:r w:rsidRPr="0016217D">
        <w:rPr>
          <w:rFonts w:ascii="Adv OT 6e 5d 2ec 0+fb" w:hAnsi="Adv OT 6e 5d 2ec 0+fb" w:cs="Adv OT 6e 5d 2ec 0+fb"/>
          <w:sz w:val="16"/>
          <w:szCs w:val="16"/>
        </w:rPr>
        <w:t>fi</w:t>
      </w:r>
      <w:r w:rsidRPr="0016217D">
        <w:rPr>
          <w:sz w:val="16"/>
          <w:szCs w:val="16"/>
        </w:rPr>
        <w:t xml:space="preserve">c knockout of AMPK </w:t>
      </w:r>
      <w:r w:rsidRPr="0016217D">
        <w:rPr>
          <w:rFonts w:ascii="Adv P 7 DA" w:hAnsi="Adv P 7 DA" w:cs="Adv P 7 DA"/>
          <w:sz w:val="16"/>
          <w:szCs w:val="16"/>
        </w:rPr>
        <w:t>a</w:t>
      </w:r>
      <w:r w:rsidRPr="0016217D">
        <w:rPr>
          <w:sz w:val="16"/>
          <w:szCs w:val="16"/>
        </w:rPr>
        <w:t xml:space="preserve">2 were hyperglycemic and had elevated HGP relative to controls </w:t>
      </w:r>
      <w:r w:rsidRPr="0016217D">
        <w:rPr>
          <w:sz w:val="16"/>
          <w:szCs w:val="16"/>
        </w:rPr>
        <w:fldChar w:fldCharType="begin" w:fldLock="1"/>
      </w:r>
      <w:r>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8</w:t>
      </w:r>
      <w:r w:rsidRPr="0016217D">
        <w:rPr>
          <w:sz w:val="16"/>
          <w:szCs w:val="16"/>
        </w:rPr>
        <w:fldChar w:fldCharType="end"/>
      </w:r>
      <w:r w:rsidRPr="0016217D">
        <w:rPr>
          <w:sz w:val="16"/>
          <w:szCs w:val="16"/>
        </w:rPr>
        <w:t xml:space="preserve">. However, mice lacking both AMPK </w:t>
      </w:r>
      <w:r w:rsidRPr="0016217D">
        <w:rPr>
          <w:rFonts w:ascii="Adv P 7 DA" w:hAnsi="Adv P 7 DA" w:cs="Adv P 7 DA"/>
          <w:sz w:val="16"/>
          <w:szCs w:val="16"/>
        </w:rPr>
        <w:t>a</w:t>
      </w:r>
      <w:r w:rsidRPr="0016217D">
        <w:rPr>
          <w:sz w:val="16"/>
          <w:szCs w:val="16"/>
        </w:rPr>
        <w:t xml:space="preserve">1 and </w:t>
      </w:r>
      <w:r w:rsidRPr="0016217D">
        <w:rPr>
          <w:rFonts w:ascii="Adv P 7 DA" w:hAnsi="Adv P 7 DA" w:cs="Adv P 7 DA"/>
          <w:sz w:val="16"/>
          <w:szCs w:val="16"/>
        </w:rPr>
        <w:t>a</w:t>
      </w:r>
      <w:r w:rsidRPr="0016217D">
        <w:rPr>
          <w:sz w:val="16"/>
          <w:szCs w:val="16"/>
        </w:rPr>
        <w:t>2 subunits in the liver (which led to no detectable liver AMPK activity) did not result in hyperglycemia or increases in HGP. In addition, AICAR continued to suppress HGP in liver-speci</w:t>
      </w:r>
      <w:r w:rsidRPr="0016217D">
        <w:rPr>
          <w:rFonts w:ascii="Adv OT 6e 5d 2ec 0+fb" w:hAnsi="Adv OT 6e 5d 2ec 0+fb" w:cs="Adv OT 6e 5d 2ec 0+fb"/>
          <w:sz w:val="16"/>
          <w:szCs w:val="16"/>
        </w:rPr>
        <w:t>fi</w:t>
      </w:r>
      <w:r w:rsidRPr="0016217D">
        <w:rPr>
          <w:sz w:val="16"/>
          <w:szCs w:val="16"/>
        </w:rPr>
        <w:t>c AMPK</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KO mice suggesting that the glucose lowering-effects of AICAR are independent of AMPK </w:t>
      </w:r>
      <w:r w:rsidRPr="0016217D">
        <w:rPr>
          <w:sz w:val="16"/>
          <w:szCs w:val="16"/>
        </w:rPr>
        <w:fldChar w:fldCharType="begin" w:fldLock="1"/>
      </w:r>
      <w:r>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10</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have reduced mitochondrial content, mitochondrial respiration, and oxidative capacity, demonstrating that AMPK is required for maintenance of hepatic of mitochondrial function </w:t>
      </w:r>
      <w:r w:rsidRPr="0016217D">
        <w:rPr>
          <w:sz w:val="16"/>
          <w:szCs w:val="16"/>
        </w:rPr>
        <w:fldChar w:fldCharType="begin" w:fldLock="1"/>
      </w:r>
      <w:r>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Pr>
          <w:rFonts w:ascii="Cambria Math" w:hAnsi="Cambria Math" w:cs="Cambria Math"/>
          <w:sz w:val="16"/>
          <w:szCs w:val="16"/>
        </w:rPr>
        <w:instrText>∼</w:instrText>
      </w:r>
      <w:r>
        <w:rPr>
          <w:sz w:val="16"/>
          <w:szCs w:val="16"/>
        </w:rPr>
        <w:instrText xml:space="preserve">20% in α1α2lox/lox, which was exacerbated by </w:instrText>
      </w:r>
      <w:r>
        <w:rPr>
          <w:rFonts w:ascii="Cambria Math" w:hAnsi="Cambria Math" w:cs="Cambria Math"/>
          <w:sz w:val="16"/>
          <w:szCs w:val="16"/>
        </w:rPr>
        <w:instrText>∼</w:instrText>
      </w:r>
      <w:r>
        <w:rPr>
          <w:sz w:val="16"/>
          <w:szCs w:val="16"/>
        </w:rPr>
        <w:instrText xml:space="preserve">2-fold in α1α2lox/lox + Albcre. This corresponded to a </w:instrText>
      </w:r>
      <w:r>
        <w:rPr>
          <w:rFonts w:ascii="Cambria Math" w:hAnsi="Cambria Math" w:cs="Cambria Math"/>
          <w:sz w:val="16"/>
          <w:szCs w:val="16"/>
        </w:rPr>
        <w:instrText>∼</w:instrText>
      </w:r>
      <w:r>
        <w:rPr>
          <w:sz w:val="16"/>
          <w:szCs w:val="16"/>
        </w:rPr>
        <w:instrText xml:space="preserve">6-fold rise in AMP/ATP in α1α2lox/lox + Albcre. Consistent with the effects on adenine nucleotides, maximal mitochondrial respiration was </w:instrText>
      </w:r>
      <w:r>
        <w:rPr>
          <w:rFonts w:ascii="Cambria Math" w:hAnsi="Cambria Math" w:cs="Cambria Math"/>
          <w:sz w:val="16"/>
          <w:szCs w:val="16"/>
        </w:rPr>
        <w:instrText>∼</w:instrText>
      </w:r>
      <w:r>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4&lt;/sup&gt;","plainTextFormattedCitation":"4","previouslyFormattedCitation":"&lt;sup&gt;4&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4</w:t>
      </w:r>
      <w:r w:rsidRPr="0016217D">
        <w:rPr>
          <w:sz w:val="16"/>
          <w:szCs w:val="16"/>
        </w:rPr>
        <w:fldChar w:fldCharType="end"/>
      </w:r>
      <w:r w:rsidRPr="0016217D">
        <w:rPr>
          <w:sz w:val="16"/>
          <w:szCs w:val="16"/>
        </w:rPr>
        <w:t>. Importantly, this appears to have functional consequences because, during fasting, a time of heavy ATP demand because of gluconeogenesis, there are large reductions in ATP levels in liver-speci</w:t>
      </w:r>
      <w:r w:rsidRPr="0016217D">
        <w:rPr>
          <w:rFonts w:ascii="Adv OT 6e 5d 2ec 0+fb" w:hAnsi="Adv OT 6e 5d 2ec 0+fb" w:cs="Adv OT 6e 5d 2ec 0+fb"/>
          <w:sz w:val="16"/>
          <w:szCs w:val="16"/>
        </w:rPr>
        <w:t>fi</w:t>
      </w:r>
      <w:r w:rsidRPr="0016217D">
        <w:rPr>
          <w:sz w:val="16"/>
          <w:szCs w:val="16"/>
        </w:rPr>
        <w:t xml:space="preserve">c AMPK </w:t>
      </w:r>
      <w:r w:rsidRPr="0016217D">
        <w:rPr>
          <w:rFonts w:ascii="Adv P 7 DA" w:hAnsi="Adv P 7 DA" w:cs="Adv P 7 DA"/>
          <w:sz w:val="16"/>
          <w:szCs w:val="16"/>
        </w:rPr>
        <w:t>a</w:t>
      </w:r>
      <w:r w:rsidRPr="0016217D">
        <w:rPr>
          <w:sz w:val="16"/>
          <w:szCs w:val="16"/>
        </w:rPr>
        <w:t>1</w:t>
      </w:r>
      <w:r w:rsidRPr="0016217D">
        <w:rPr>
          <w:rFonts w:ascii="Adv P 7 DA" w:hAnsi="Adv P 7 DA" w:cs="Adv P 7 DA"/>
          <w:sz w:val="16"/>
          <w:szCs w:val="16"/>
        </w:rPr>
        <w:t>a</w:t>
      </w:r>
      <w:r w:rsidRPr="0016217D">
        <w:rPr>
          <w:sz w:val="16"/>
          <w:szCs w:val="16"/>
        </w:rPr>
        <w:t xml:space="preserve">2 null mice </w:t>
      </w:r>
      <w:r w:rsidRPr="0016217D">
        <w:rPr>
          <w:sz w:val="16"/>
          <w:szCs w:val="16"/>
        </w:rPr>
        <w:fldChar w:fldCharType="begin" w:fldLock="1"/>
      </w:r>
      <w:r>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11&lt;/sup&gt;","plainTextFormattedCitation":"11","previouslyFormattedCitation":"&lt;sup&gt;11&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11</w:t>
      </w:r>
      <w:r w:rsidRPr="0016217D">
        <w:rPr>
          <w:sz w:val="16"/>
          <w:szCs w:val="16"/>
        </w:rPr>
        <w:fldChar w:fldCharType="end"/>
      </w:r>
      <w:r w:rsidRPr="0016217D">
        <w:rPr>
          <w:sz w:val="16"/>
          <w:szCs w:val="16"/>
        </w:rPr>
        <w:t xml:space="preserve">. In addition to reductions in mitochondrial content, this impairment in mitochondrial function may also be attributed to defects in mitophagy and mitochondrial </w:t>
      </w:r>
      <w:r w:rsidRPr="0016217D">
        <w:rPr>
          <w:rFonts w:ascii="Adv OT 6e 5d 2ec 0+fb" w:hAnsi="Adv OT 6e 5d 2ec 0+fb" w:cs="Adv OT 6e 5d 2ec 0+fb"/>
          <w:sz w:val="16"/>
          <w:szCs w:val="16"/>
        </w:rPr>
        <w:t>fi</w:t>
      </w:r>
      <w:r w:rsidRPr="0016217D">
        <w:rPr>
          <w:sz w:val="16"/>
          <w:szCs w:val="16"/>
        </w:rPr>
        <w:t xml:space="preserve">ssion. Reductions in liver AMPK activity in AMPK </w:t>
      </w:r>
      <w:r w:rsidRPr="0016217D">
        <w:rPr>
          <w:rFonts w:ascii="Adv P 7 DA" w:hAnsi="Adv P 7 DA" w:cs="Adv P 7 DA"/>
          <w:sz w:val="16"/>
          <w:szCs w:val="16"/>
        </w:rPr>
        <w:t>b</w:t>
      </w:r>
      <w:r w:rsidRPr="0016217D">
        <w:rPr>
          <w:sz w:val="16"/>
          <w:szCs w:val="16"/>
        </w:rPr>
        <w:t xml:space="preserve">1-knockout hepatocytes reduces the phosphorylation of ACC and leads to reductions in FAO and increases in lipogenesis </w:t>
      </w:r>
      <w:r w:rsidRPr="0016217D">
        <w:rPr>
          <w:sz w:val="16"/>
          <w:szCs w:val="16"/>
        </w:rPr>
        <w:fldChar w:fldCharType="begin" w:fldLock="1"/>
      </w:r>
      <w:r>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12&lt;/sup&gt;","plainTextFormattedCitation":"12","previouslyFormattedCitation":"&lt;sup&gt;12&lt;/sup&gt;"},"properties":{"noteIndex":0},"schema":"https://github.com/citation-style-language/schema/raw/master/csl-citation.json"}</w:instrText>
      </w:r>
      <w:r w:rsidRPr="0016217D">
        <w:rPr>
          <w:sz w:val="16"/>
          <w:szCs w:val="16"/>
        </w:rPr>
        <w:fldChar w:fldCharType="separate"/>
      </w:r>
      <w:r w:rsidRPr="00A81F07">
        <w:rPr>
          <w:noProof/>
          <w:sz w:val="16"/>
          <w:szCs w:val="16"/>
          <w:vertAlign w:val="superscript"/>
        </w:rPr>
        <w:t>12</w:t>
      </w:r>
      <w:r w:rsidRPr="0016217D">
        <w:rPr>
          <w:sz w:val="16"/>
          <w:szCs w:val="16"/>
        </w:rPr>
        <w:fldChar w:fldCharType="end"/>
      </w:r>
      <w:r w:rsidRPr="0016217D">
        <w:rPr>
          <w:sz w:val="16"/>
          <w:szCs w:val="16"/>
        </w:rPr>
        <w:t xml:space="preserve">. Overexpression of AMPK </w:t>
      </w:r>
      <w:r w:rsidRPr="0016217D">
        <w:rPr>
          <w:rFonts w:ascii="Adv P 7 DA" w:hAnsi="Adv P 7 DA" w:cs="Adv P 7 DA"/>
          <w:sz w:val="16"/>
          <w:szCs w:val="16"/>
        </w:rPr>
        <w:t>a</w:t>
      </w:r>
      <w:r w:rsidRPr="0016217D">
        <w:rPr>
          <w:sz w:val="16"/>
          <w:szCs w:val="16"/>
        </w:rPr>
        <w:t xml:space="preserve">1 in the liver reduces lipogenic gene expression, liver triglyceride content, and hepatic steatosis in hyperlipidemic, type 2 diabetic rats </w:t>
      </w:r>
      <w:r w:rsidRPr="0016217D">
        <w:rPr>
          <w:rFonts w:ascii="Adv OT 1deab 44 4 I" w:hAnsi="Adv OT 1deab 44 4 I" w:cs="Adv OT 1deab 44 4 I"/>
          <w:sz w:val="16"/>
          <w:szCs w:val="16"/>
        </w:rPr>
        <w:t xml:space="preserve">in vivo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13&lt;/sup&gt;","plainTextFormattedCitation":"13","previouslyFormattedCitation":"&lt;sup&gt;13&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13</w:t>
      </w:r>
      <w:r w:rsidRPr="0016217D">
        <w:rPr>
          <w:rFonts w:ascii="Adv OT 1deab 44 4 I" w:hAnsi="Adv OT 1deab 44 4 I" w:cs="Adv OT 1deab 44 4 I"/>
          <w:sz w:val="16"/>
          <w:szCs w:val="16"/>
        </w:rPr>
        <w:fldChar w:fldCharType="end"/>
      </w:r>
      <w:r w:rsidRPr="0016217D">
        <w:rPr>
          <w:sz w:val="16"/>
          <w:szCs w:val="16"/>
        </w:rPr>
        <w:t>, and reduces triglyceride and intracellular lipid accumulation while increasing CPT1 expression (increasing fatty acid clear-</w:t>
      </w:r>
      <w:proofErr w:type="spellStart"/>
      <w:r w:rsidRPr="0016217D">
        <w:rPr>
          <w:sz w:val="16"/>
          <w:szCs w:val="16"/>
        </w:rPr>
        <w:t>ance</w:t>
      </w:r>
      <w:proofErr w:type="spellEnd"/>
      <w:r w:rsidRPr="0016217D">
        <w:rPr>
          <w:sz w:val="16"/>
          <w:szCs w:val="16"/>
        </w:rPr>
        <w:t xml:space="preserve"> via mitochondrial FAO) when overexpressed in hepatocytes </w:t>
      </w:r>
      <w:r w:rsidRPr="0016217D">
        <w:rPr>
          <w:rFonts w:ascii="Adv OT 1deab 44 4 I" w:hAnsi="Adv OT 1deab 44 4 I" w:cs="Adv OT 1deab 44 4 I"/>
          <w:sz w:val="16"/>
          <w:szCs w:val="16"/>
        </w:rPr>
        <w:t xml:space="preserve">in vitro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14&lt;/sup&gt;","plainTextFormattedCitation":"14","previouslyFormattedCitation":"&lt;sup&gt;14&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14</w:t>
      </w:r>
      <w:r w:rsidRPr="0016217D">
        <w:rPr>
          <w:rFonts w:ascii="Adv OT 1deab 44 4 I" w:hAnsi="Adv OT 1deab 44 4 I" w:cs="Adv OT 1deab 44 4 I"/>
          <w:sz w:val="16"/>
          <w:szCs w:val="16"/>
        </w:rPr>
        <w:fldChar w:fldCharType="end"/>
      </w:r>
      <w:r w:rsidRPr="0016217D">
        <w:rPr>
          <w:rFonts w:ascii="Adv OT 1deab 44 4 I" w:hAnsi="Adv OT 1deab 44 4 I" w:cs="Adv OT 1deab 44 4 I"/>
          <w:sz w:val="16"/>
          <w:szCs w:val="16"/>
        </w:rPr>
        <w:t xml:space="preserve"> “ </w:t>
      </w:r>
      <w:r w:rsidRPr="0016217D">
        <w:rPr>
          <w:rFonts w:ascii="Adv OT 1deab 44 4 I" w:hAnsi="Adv OT 1deab 44 4 I" w:cs="Adv OT 1deab 44 4 I"/>
          <w:sz w:val="16"/>
          <w:szCs w:val="16"/>
        </w:rPr>
        <w:fldChar w:fldCharType="begin" w:fldLock="1"/>
      </w:r>
      <w:r>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15&lt;/sup&gt;","plainTextFormattedCitation":"15","previouslyFormattedCitation":"&lt;sup&gt;15&lt;/sup&gt;"},"properties":{"noteIndex":0},"schema":"https://github.com/citation-style-language/schema/raw/master/csl-citation.json"}</w:instrText>
      </w:r>
      <w:r w:rsidRPr="0016217D">
        <w:rPr>
          <w:rFonts w:ascii="Adv OT 1deab 44 4 I" w:hAnsi="Adv OT 1deab 44 4 I" w:cs="Adv OT 1deab 44 4 I"/>
          <w:sz w:val="16"/>
          <w:szCs w:val="16"/>
        </w:rPr>
        <w:fldChar w:fldCharType="separate"/>
      </w:r>
      <w:r w:rsidRPr="00A81F07">
        <w:rPr>
          <w:rFonts w:ascii="Adv OT 1deab 44 4 I" w:hAnsi="Adv OT 1deab 44 4 I" w:cs="Adv OT 1deab 44 4 I"/>
          <w:noProof/>
          <w:sz w:val="16"/>
          <w:szCs w:val="16"/>
          <w:vertAlign w:val="superscript"/>
        </w:rPr>
        <w:t>15</w:t>
      </w:r>
      <w:r w:rsidRPr="0016217D">
        <w:rPr>
          <w:rFonts w:ascii="Adv OT 1deab 44 4 I" w:hAnsi="Adv OT 1deab 44 4 I" w:cs="Adv OT 1deab 44 4 I"/>
          <w:sz w:val="16"/>
          <w:szCs w:val="16"/>
        </w:rPr>
        <w:fldChar w:fldCharType="end"/>
      </w:r>
    </w:p>
    <w:p w:rsidR="00EE44CC" w:rsidRPr="00081C9D" w:rsidRDefault="00EE44CC" w:rsidP="00D57F86">
      <w:pPr>
        <w:rPr>
          <w:rFonts w:ascii="Arial" w:eastAsia="Times New Roman" w:hAnsi="Arial" w:cs="Arial"/>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A81F07" w:rsidRPr="00A81F07" w:rsidRDefault="00BC34B8" w:rsidP="00A81F07">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A81F07" w:rsidRPr="00A81F07">
        <w:rPr>
          <w:rFonts w:ascii="Arial" w:hAnsi="Arial" w:cs="Arial"/>
          <w:noProof/>
          <w:sz w:val="24"/>
        </w:rPr>
        <w:t xml:space="preserve">1. </w:t>
      </w:r>
      <w:r w:rsidR="00A81F07" w:rsidRPr="00A81F07">
        <w:rPr>
          <w:rFonts w:ascii="Arial" w:hAnsi="Arial" w:cs="Arial"/>
          <w:noProof/>
          <w:sz w:val="24"/>
        </w:rPr>
        <w:tab/>
        <w:t xml:space="preserve">Nakada D, Saunders TL, Morrison SJ. Lkb1 regulates cell cycle and energy metabolism in haematopoietic stem cells. </w:t>
      </w:r>
      <w:r w:rsidR="00A81F07" w:rsidRPr="00A81F07">
        <w:rPr>
          <w:rFonts w:ascii="Arial" w:hAnsi="Arial" w:cs="Arial"/>
          <w:i/>
          <w:iCs/>
          <w:noProof/>
          <w:sz w:val="24"/>
        </w:rPr>
        <w:t>Nature</w:t>
      </w:r>
      <w:r w:rsidR="00A81F07" w:rsidRPr="00A81F07">
        <w:rPr>
          <w:rFonts w:ascii="Arial" w:hAnsi="Arial" w:cs="Arial"/>
          <w:noProof/>
          <w:sz w:val="24"/>
        </w:rPr>
        <w:t>. 2010;468(7324):653-658. doi:10.1038/nature09571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2. </w:t>
      </w:r>
      <w:r w:rsidRPr="00A81F07">
        <w:rPr>
          <w:rFonts w:ascii="Arial" w:hAnsi="Arial" w:cs="Arial"/>
          <w:noProof/>
          <w:sz w:val="24"/>
        </w:rPr>
        <w:tab/>
        <w:t xml:space="preserve">Kazyken D, Magnuson B, Bodur C, et al. AMPK directly activates mTORC2 to promote cell survival during acute energetic stress. </w:t>
      </w:r>
      <w:r w:rsidRPr="00A81F07">
        <w:rPr>
          <w:rFonts w:ascii="Arial" w:hAnsi="Arial" w:cs="Arial"/>
          <w:i/>
          <w:iCs/>
          <w:noProof/>
          <w:sz w:val="24"/>
        </w:rPr>
        <w:t>Sci Signal</w:t>
      </w:r>
      <w:r w:rsidRPr="00A81F07">
        <w:rPr>
          <w:rFonts w:ascii="Arial" w:hAnsi="Arial" w:cs="Arial"/>
          <w:noProof/>
          <w:sz w:val="24"/>
        </w:rPr>
        <w:t>. 2019;12(585). doi:10.1126/scisignal.aav3249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3. </w:t>
      </w:r>
      <w:r w:rsidRPr="00A81F07">
        <w:rPr>
          <w:rFonts w:ascii="Arial" w:hAnsi="Arial" w:cs="Arial"/>
          <w:noProof/>
          <w:sz w:val="24"/>
        </w:rPr>
        <w:tab/>
        <w:t xml:space="preserve">Foretz M, Ancellin N, Andreelli F, et al. Short-term overexpression of a constitutively active form of AMP-activated protein kinase in the liver leads to mild hypoglycemia and fatty liver. </w:t>
      </w:r>
      <w:r w:rsidRPr="00A81F07">
        <w:rPr>
          <w:rFonts w:ascii="Arial" w:hAnsi="Arial" w:cs="Arial"/>
          <w:i/>
          <w:iCs/>
          <w:noProof/>
          <w:sz w:val="24"/>
        </w:rPr>
        <w:t>Diabetes</w:t>
      </w:r>
      <w:r w:rsidRPr="00A81F07">
        <w:rPr>
          <w:rFonts w:ascii="Arial" w:hAnsi="Arial" w:cs="Arial"/>
          <w:noProof/>
          <w:sz w:val="24"/>
        </w:rPr>
        <w:t>. 2005;54(5):1331-1339. doi:10.2337/diabetes.54.5.1331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4. </w:t>
      </w:r>
      <w:r w:rsidRPr="00A81F07">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A81F07">
        <w:rPr>
          <w:rFonts w:ascii="Arial" w:hAnsi="Arial" w:cs="Arial"/>
          <w:i/>
          <w:iCs/>
          <w:noProof/>
          <w:sz w:val="24"/>
        </w:rPr>
        <w:t>J Biol Chem</w:t>
      </w:r>
      <w:r w:rsidRPr="00A81F07">
        <w:rPr>
          <w:rFonts w:ascii="Arial" w:hAnsi="Arial" w:cs="Arial"/>
          <w:noProof/>
          <w:sz w:val="24"/>
        </w:rPr>
        <w:t>. 2014;289(9):5950-5959. doi:10.1074/jbc.M113.528232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5. </w:t>
      </w:r>
      <w:r w:rsidRPr="00A81F07">
        <w:rPr>
          <w:rFonts w:ascii="Arial" w:hAnsi="Arial" w:cs="Arial"/>
          <w:noProof/>
          <w:sz w:val="24"/>
        </w:rPr>
        <w:tab/>
        <w:t xml:space="preserve">Viollet B, Andreelli F, Jørgensen SB, et al. The AMP-activated protein kinase α2 catalytic subunit controls whole-body insulin sensitivity. </w:t>
      </w:r>
      <w:r w:rsidRPr="00A81F07">
        <w:rPr>
          <w:rFonts w:ascii="Arial" w:hAnsi="Arial" w:cs="Arial"/>
          <w:i/>
          <w:iCs/>
          <w:noProof/>
          <w:sz w:val="24"/>
        </w:rPr>
        <w:t>J Clin Invest</w:t>
      </w:r>
      <w:r w:rsidRPr="00A81F07">
        <w:rPr>
          <w:rFonts w:ascii="Arial" w:hAnsi="Arial" w:cs="Arial"/>
          <w:noProof/>
          <w:sz w:val="24"/>
        </w:rPr>
        <w:t>. 2003;111(1):91-98. doi:10.1172/JCI16567</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6. </w:t>
      </w:r>
      <w:r w:rsidRPr="00A81F07">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A81F07">
        <w:rPr>
          <w:rFonts w:ascii="Arial" w:hAnsi="Arial" w:cs="Arial"/>
          <w:i/>
          <w:iCs/>
          <w:noProof/>
          <w:sz w:val="24"/>
        </w:rPr>
        <w:t>J Biol Chem</w:t>
      </w:r>
      <w:r w:rsidRPr="00A81F07">
        <w:rPr>
          <w:rFonts w:ascii="Arial" w:hAnsi="Arial" w:cs="Arial"/>
          <w:noProof/>
          <w:sz w:val="24"/>
        </w:rPr>
        <w:t>. 2004;279(2):1070-1079. doi:10.1074/jbc.M306205200</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7. </w:t>
      </w:r>
      <w:r w:rsidRPr="00A81F07">
        <w:rPr>
          <w:rFonts w:ascii="Arial" w:hAnsi="Arial" w:cs="Arial"/>
          <w:noProof/>
          <w:sz w:val="24"/>
        </w:rPr>
        <w:tab/>
        <w:t xml:space="preserve">Steinberg GR, O’Neill HM, Dzamko NL, et al. Whole body deletion of AMP-activated protein kinase β2 reduces muscle AMPK activity and exercise capacity. </w:t>
      </w:r>
      <w:r w:rsidRPr="00A81F07">
        <w:rPr>
          <w:rFonts w:ascii="Arial" w:hAnsi="Arial" w:cs="Arial"/>
          <w:i/>
          <w:iCs/>
          <w:noProof/>
          <w:sz w:val="24"/>
        </w:rPr>
        <w:t>J Biol Chem</w:t>
      </w:r>
      <w:r w:rsidRPr="00A81F07">
        <w:rPr>
          <w:rFonts w:ascii="Arial" w:hAnsi="Arial" w:cs="Arial"/>
          <w:noProof/>
          <w:sz w:val="24"/>
        </w:rPr>
        <w:t>. 2010;285(48):37198-37209. doi:10.1074/jbc.M110.102434</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8. </w:t>
      </w:r>
      <w:r w:rsidRPr="00A81F07">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A81F07">
        <w:rPr>
          <w:rFonts w:ascii="Arial" w:hAnsi="Arial" w:cs="Arial"/>
          <w:i/>
          <w:iCs/>
          <w:noProof/>
          <w:sz w:val="24"/>
        </w:rPr>
        <w:t>Endocrinology</w:t>
      </w:r>
      <w:r w:rsidRPr="00A81F07">
        <w:rPr>
          <w:rFonts w:ascii="Arial" w:hAnsi="Arial" w:cs="Arial"/>
          <w:noProof/>
          <w:sz w:val="24"/>
        </w:rPr>
        <w:t>. 2006;147(5):2432-2441. doi:10.1210/en.2005-0898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9. </w:t>
      </w:r>
      <w:r w:rsidRPr="00A81F07">
        <w:rPr>
          <w:rFonts w:ascii="Arial" w:hAnsi="Arial" w:cs="Arial"/>
          <w:noProof/>
          <w:sz w:val="24"/>
        </w:rPr>
        <w:tab/>
        <w:t xml:space="preserve">Foretz M, Hébrard S, Leclerc J, et al. Metformin inhibits hepatic gluconeogenesis in mice independently of the LKB1/AMPK pathway via a decrease in hepatic energy state. </w:t>
      </w:r>
      <w:r w:rsidRPr="00A81F07">
        <w:rPr>
          <w:rFonts w:ascii="Arial" w:hAnsi="Arial" w:cs="Arial"/>
          <w:i/>
          <w:iCs/>
          <w:noProof/>
          <w:sz w:val="24"/>
        </w:rPr>
        <w:t>J Clin Invest</w:t>
      </w:r>
      <w:r w:rsidRPr="00A81F07">
        <w:rPr>
          <w:rFonts w:ascii="Arial" w:hAnsi="Arial" w:cs="Arial"/>
          <w:noProof/>
          <w:sz w:val="24"/>
        </w:rPr>
        <w:t>. 2010;120(7):2355-2369. doi:10.1172/JCI40671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10. </w:t>
      </w:r>
      <w:r w:rsidRPr="00A81F07">
        <w:rPr>
          <w:rFonts w:ascii="Arial" w:hAnsi="Arial" w:cs="Arial"/>
          <w:noProof/>
          <w:sz w:val="24"/>
        </w:rPr>
        <w:tab/>
        <w:t xml:space="preserve">Miller RA, Chu Q, Xie J, Foretz M, Viollet B, Birnbaum MJ. Biguanides suppress hepatic glucagon signalling by decreasing production of cyclic AMP. </w:t>
      </w:r>
      <w:r w:rsidRPr="00A81F07">
        <w:rPr>
          <w:rFonts w:ascii="Arial" w:hAnsi="Arial" w:cs="Arial"/>
          <w:i/>
          <w:iCs/>
          <w:noProof/>
          <w:sz w:val="24"/>
        </w:rPr>
        <w:t>Nature</w:t>
      </w:r>
      <w:r w:rsidRPr="00A81F07">
        <w:rPr>
          <w:rFonts w:ascii="Arial" w:hAnsi="Arial" w:cs="Arial"/>
          <w:noProof/>
          <w:sz w:val="24"/>
        </w:rPr>
        <w:t>. 2013;494(7436):256-260. doi:10.1038/nature11808</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11. </w:t>
      </w:r>
      <w:r w:rsidRPr="00A81F07">
        <w:rPr>
          <w:rFonts w:ascii="Arial" w:hAnsi="Arial" w:cs="Arial"/>
          <w:noProof/>
          <w:sz w:val="24"/>
        </w:rPr>
        <w:tab/>
        <w:t xml:space="preserve">Hasenour CM, Ridley DE, James FD, et al. Liver AMP-activated protein kinase is </w:t>
      </w:r>
      <w:r w:rsidRPr="00A81F07">
        <w:rPr>
          <w:rFonts w:ascii="Arial" w:hAnsi="Arial" w:cs="Arial"/>
          <w:noProof/>
          <w:sz w:val="24"/>
        </w:rPr>
        <w:lastRenderedPageBreak/>
        <w:t xml:space="preserve">unnecessary for gluconeogenesis but protects energy state during nutrient deprivation. </w:t>
      </w:r>
      <w:r w:rsidRPr="00A81F07">
        <w:rPr>
          <w:rFonts w:ascii="Arial" w:hAnsi="Arial" w:cs="Arial"/>
          <w:i/>
          <w:iCs/>
          <w:noProof/>
          <w:sz w:val="24"/>
        </w:rPr>
        <w:t>PLoS One</w:t>
      </w:r>
      <w:r w:rsidRPr="00A81F07">
        <w:rPr>
          <w:rFonts w:ascii="Arial" w:hAnsi="Arial" w:cs="Arial"/>
          <w:noProof/>
          <w:sz w:val="24"/>
        </w:rPr>
        <w:t>. 2017;12(1). doi:10.1371/journal.pone.0170382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12. </w:t>
      </w:r>
      <w:r w:rsidRPr="00A81F07">
        <w:rPr>
          <w:rFonts w:ascii="Arial" w:hAnsi="Arial" w:cs="Arial"/>
          <w:noProof/>
          <w:sz w:val="24"/>
        </w:rPr>
        <w:tab/>
        <w:t xml:space="preserve">Dzamko N, van Denderen BJW, Hevener AL, et al. AMPK β1 deletion reduces appetite, preventing obesity and hepatic insulin resistance. </w:t>
      </w:r>
      <w:r w:rsidRPr="00A81F07">
        <w:rPr>
          <w:rFonts w:ascii="Arial" w:hAnsi="Arial" w:cs="Arial"/>
          <w:i/>
          <w:iCs/>
          <w:noProof/>
          <w:sz w:val="24"/>
        </w:rPr>
        <w:t>J Biol Chem</w:t>
      </w:r>
      <w:r w:rsidRPr="00A81F07">
        <w:rPr>
          <w:rFonts w:ascii="Arial" w:hAnsi="Arial" w:cs="Arial"/>
          <w:noProof/>
          <w:sz w:val="24"/>
        </w:rPr>
        <w:t>. 2010;285(1):115-122. doi:10.1074/jbc.M109.056762</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13. </w:t>
      </w:r>
      <w:r w:rsidRPr="00A81F07">
        <w:rPr>
          <w:rFonts w:ascii="Arial" w:hAnsi="Arial" w:cs="Arial"/>
          <w:noProof/>
          <w:sz w:val="24"/>
        </w:rPr>
        <w:tab/>
        <w:t xml:space="preserve">Seo E, Park EJ, Joe Y, et al. Overexpression of AMPKα1 ameliorates fatty liver in hyperlipidemic diabetic rats. </w:t>
      </w:r>
      <w:r w:rsidRPr="00A81F07">
        <w:rPr>
          <w:rFonts w:ascii="Arial" w:hAnsi="Arial" w:cs="Arial"/>
          <w:i/>
          <w:iCs/>
          <w:noProof/>
          <w:sz w:val="24"/>
        </w:rPr>
        <w:t>Korean J Physiol Pharmacol</w:t>
      </w:r>
      <w:r w:rsidRPr="00A81F07">
        <w:rPr>
          <w:rFonts w:ascii="Arial" w:hAnsi="Arial" w:cs="Arial"/>
          <w:noProof/>
          <w:sz w:val="24"/>
        </w:rPr>
        <w:t>. 2009;13(6):449-454. doi:10.4196/kjpp.2009.13.6.449</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14. </w:t>
      </w:r>
      <w:r w:rsidRPr="00A81F07">
        <w:rPr>
          <w:rFonts w:ascii="Arial" w:hAnsi="Arial" w:cs="Arial"/>
          <w:noProof/>
          <w:sz w:val="24"/>
        </w:rPr>
        <w:tab/>
        <w:t xml:space="preserve">Zhang HA, Yang XY, Xiao YF. AMPKα1 overexpression alleviates the hepatocyte model of nonalcoholic fatty liver disease via inactivating p38MAPK pathway. </w:t>
      </w:r>
      <w:r w:rsidRPr="00A81F07">
        <w:rPr>
          <w:rFonts w:ascii="Arial" w:hAnsi="Arial" w:cs="Arial"/>
          <w:i/>
          <w:iCs/>
          <w:noProof/>
          <w:sz w:val="24"/>
        </w:rPr>
        <w:t>Biochem Biophys Res Commun</w:t>
      </w:r>
      <w:r w:rsidRPr="00A81F07">
        <w:rPr>
          <w:rFonts w:ascii="Arial" w:hAnsi="Arial" w:cs="Arial"/>
          <w:noProof/>
          <w:sz w:val="24"/>
        </w:rPr>
        <w:t>. 2016;474(2):364-370. doi:10.1016/j.bbrc.2016.04.111</w:t>
      </w:r>
    </w:p>
    <w:p w:rsidR="00A81F07" w:rsidRPr="00A81F07" w:rsidRDefault="00A81F07" w:rsidP="00A81F07">
      <w:pPr>
        <w:widowControl w:val="0"/>
        <w:autoSpaceDE w:val="0"/>
        <w:autoSpaceDN w:val="0"/>
        <w:adjustRightInd w:val="0"/>
        <w:spacing w:line="240" w:lineRule="auto"/>
        <w:ind w:left="640" w:hanging="640"/>
        <w:rPr>
          <w:rFonts w:ascii="Arial" w:hAnsi="Arial" w:cs="Arial"/>
          <w:noProof/>
          <w:sz w:val="24"/>
        </w:rPr>
      </w:pPr>
      <w:r w:rsidRPr="00A81F07">
        <w:rPr>
          <w:rFonts w:ascii="Arial" w:hAnsi="Arial" w:cs="Arial"/>
          <w:noProof/>
          <w:sz w:val="24"/>
        </w:rPr>
        <w:t xml:space="preserve">15. </w:t>
      </w:r>
      <w:r w:rsidRPr="00A81F07">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A81F07">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lastRenderedPageBreak/>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811BA7" w:rsidRPr="00811BA7" w:rsidRDefault="00DF144A" w:rsidP="00811BA7">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811BA7">
        <w:rPr>
          <w:rFonts w:ascii="Arial" w:eastAsia="Times New Roman" w:hAnsi="Arial" w:cs="Arial"/>
          <w:bCs/>
          <w:color w:val="252525"/>
          <w:sz w:val="24"/>
          <w:szCs w:val="24"/>
          <w:shd w:val="clear" w:color="auto" w:fill="FFFFFF"/>
        </w:rPr>
        <w:t xml:space="preserve">Liver-AMPK Knockout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w:t>
      </w:r>
      <w:proofErr w:type="spellStart"/>
      <w:r w:rsidR="00811BA7" w:rsidRPr="008F148B">
        <w:rPr>
          <w:rFonts w:ascii="Arial" w:eastAsia="Times New Roman" w:hAnsi="Arial" w:cs="Arial"/>
          <w:bCs/>
          <w:color w:val="252525"/>
          <w:sz w:val="24"/>
          <w:szCs w:val="24"/>
          <w:shd w:val="clear" w:color="auto" w:fill="FFFFFF"/>
        </w:rPr>
        <w:t>lox</w:t>
      </w:r>
      <w:r w:rsidR="00811BA7">
        <w:rPr>
          <w:rFonts w:ascii="Arial" w:eastAsia="Times New Roman" w:hAnsi="Arial" w:cs="Arial"/>
          <w:bCs/>
          <w:color w:val="252525"/>
          <w:sz w:val="24"/>
          <w:szCs w:val="24"/>
          <w:shd w:val="clear" w:color="auto" w:fill="FFFFFF"/>
        </w:rPr>
        <w:t>+</w:t>
      </w:r>
      <w:r w:rsidR="00811BA7" w:rsidRPr="008F148B">
        <w:rPr>
          <w:rFonts w:ascii="Arial" w:eastAsia="Times New Roman" w:hAnsi="Arial" w:cs="Arial"/>
          <w:bCs/>
          <w:color w:val="252525"/>
          <w:sz w:val="24"/>
          <w:szCs w:val="24"/>
          <w:shd w:val="clear" w:color="auto" w:fill="FFFFFF"/>
        </w:rPr>
        <w:t>Albcre</w:t>
      </w:r>
      <w:proofErr w:type="spellEnd"/>
      <w:r w:rsidR="00811BA7" w:rsidRPr="008F148B">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 xml:space="preserve">mice on a ketogenic diet have more gonadal and liver adiposity but exhibit no other changes in body composition compared to wild type </w:t>
      </w:r>
      <w:r w:rsidR="00811BA7" w:rsidRPr="008F148B">
        <w:rPr>
          <w:rFonts w:ascii="Arial" w:eastAsia="Times New Roman" w:hAnsi="Arial" w:cs="Arial"/>
          <w:bCs/>
          <w:color w:val="252525"/>
          <w:sz w:val="24"/>
          <w:szCs w:val="24"/>
          <w:shd w:val="clear" w:color="auto" w:fill="FFFFFF"/>
        </w:rPr>
        <w:t>(</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1</w:t>
      </w:r>
      <w:r w:rsidR="00811BA7">
        <w:rPr>
          <w:rFonts w:ascii="Segoe UI Symbol" w:eastAsia="Times New Roman" w:hAnsi="Segoe UI Symbol" w:cs="Segoe UI Symbol"/>
          <w:bCs/>
          <w:color w:val="252525"/>
          <w:sz w:val="24"/>
          <w:szCs w:val="24"/>
          <w:shd w:val="clear" w:color="auto" w:fill="FFFFFF"/>
        </w:rPr>
        <w:t>a</w:t>
      </w:r>
      <w:r w:rsidR="00811BA7" w:rsidRPr="008F148B">
        <w:rPr>
          <w:rFonts w:ascii="Arial" w:eastAsia="Times New Roman" w:hAnsi="Arial" w:cs="Arial"/>
          <w:bCs/>
          <w:color w:val="252525"/>
          <w:sz w:val="24"/>
          <w:szCs w:val="24"/>
          <w:shd w:val="clear" w:color="auto" w:fill="FFFFFF"/>
        </w:rPr>
        <w:t>2lox/lox)</w:t>
      </w:r>
      <w:r w:rsidR="00811BA7">
        <w:rPr>
          <w:rFonts w:ascii="Arial" w:eastAsia="Times New Roman" w:hAnsi="Arial" w:cs="Arial"/>
          <w:bCs/>
          <w:color w:val="252525"/>
          <w:sz w:val="24"/>
          <w:szCs w:val="24"/>
          <w:shd w:val="clear" w:color="auto" w:fill="FFFFFF"/>
        </w:rPr>
        <w:t xml:space="preserve"> mice.</w:t>
      </w:r>
      <w:r w:rsidR="00811BA7" w:rsidRPr="008F148B">
        <w:rPr>
          <w:rFonts w:ascii="Arial" w:eastAsia="Times New Roman" w:hAnsi="Arial" w:cs="Arial"/>
          <w:bCs/>
          <w:color w:val="252525"/>
          <w:sz w:val="24"/>
          <w:szCs w:val="24"/>
          <w:shd w:val="clear" w:color="auto" w:fill="FFFFFF"/>
        </w:rPr>
        <w:t xml:space="preserve"> </w:t>
      </w:r>
    </w:p>
    <w:p w:rsidR="00EF633F" w:rsidRDefault="00B56108" w:rsidP="00E14A17">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E14A17">
        <w:rPr>
          <w:rFonts w:ascii="Arial" w:eastAsia="Times New Roman" w:hAnsi="Arial" w:cs="Arial"/>
          <w:bCs/>
          <w:color w:val="252525"/>
          <w:sz w:val="24"/>
          <w:szCs w:val="24"/>
          <w:shd w:val="clear" w:color="auto" w:fill="FFFFFF"/>
        </w:rPr>
        <w:t>)</w:t>
      </w:r>
      <w:r>
        <w:rPr>
          <w:rFonts w:ascii="Arial" w:eastAsia="Times New Roman" w:hAnsi="Arial" w:cs="Arial"/>
          <w:bCs/>
          <w:color w:val="252525"/>
          <w:sz w:val="24"/>
          <w:szCs w:val="24"/>
          <w:shd w:val="clear" w:color="auto" w:fill="FFFFFF"/>
        </w:rPr>
        <w:t xml:space="preserve"> </w:t>
      </w:r>
      <w:r w:rsidR="00811BA7">
        <w:rPr>
          <w:rFonts w:ascii="Arial" w:eastAsia="Times New Roman" w:hAnsi="Arial" w:cs="Arial"/>
          <w:bCs/>
          <w:color w:val="252525"/>
          <w:sz w:val="24"/>
          <w:szCs w:val="24"/>
          <w:shd w:val="clear" w:color="auto" w:fill="FFFFFF"/>
        </w:rPr>
        <w:t>Changes in b</w:t>
      </w:r>
      <w:r>
        <w:rPr>
          <w:rFonts w:ascii="Arial" w:eastAsia="Times New Roman" w:hAnsi="Arial" w:cs="Arial"/>
          <w:bCs/>
          <w:color w:val="252525"/>
          <w:sz w:val="24"/>
          <w:szCs w:val="24"/>
          <w:shd w:val="clear" w:color="auto" w:fill="FFFFFF"/>
        </w:rPr>
        <w:t xml:space="preserve">ody </w:t>
      </w:r>
      <w:r w:rsidR="00811BA7">
        <w:rPr>
          <w:rFonts w:ascii="Arial" w:eastAsia="Times New Roman" w:hAnsi="Arial" w:cs="Arial"/>
          <w:bCs/>
          <w:color w:val="252525"/>
          <w:sz w:val="24"/>
          <w:szCs w:val="24"/>
          <w:shd w:val="clear" w:color="auto" w:fill="FFFFFF"/>
        </w:rPr>
        <w:t>w</w:t>
      </w:r>
      <w:r>
        <w:rPr>
          <w:rFonts w:ascii="Arial" w:eastAsia="Times New Roman" w:hAnsi="Arial" w:cs="Arial"/>
          <w:bCs/>
          <w:color w:val="252525"/>
          <w:sz w:val="24"/>
          <w:szCs w:val="24"/>
          <w:shd w:val="clear" w:color="auto" w:fill="FFFFFF"/>
        </w:rPr>
        <w:t>eight</w:t>
      </w:r>
      <w:r w:rsidR="00EA02F9">
        <w:rPr>
          <w:rFonts w:ascii="Arial" w:eastAsia="Times New Roman" w:hAnsi="Arial" w:cs="Arial"/>
          <w:bCs/>
          <w:color w:val="252525"/>
          <w:sz w:val="24"/>
          <w:szCs w:val="24"/>
          <w:shd w:val="clear" w:color="auto" w:fill="FFFFFF"/>
        </w:rPr>
        <w:t xml:space="preserve"> </w:t>
      </w:r>
      <w:r w:rsidR="00A231B0">
        <w:rPr>
          <w:rFonts w:ascii="Arial" w:eastAsia="Times New Roman" w:hAnsi="Arial" w:cs="Arial"/>
          <w:bCs/>
          <w:color w:val="252525"/>
          <w:sz w:val="24"/>
          <w:szCs w:val="24"/>
          <w:shd w:val="clear" w:color="auto" w:fill="FFFFFF"/>
        </w:rPr>
        <w:t xml:space="preserve">of KO and WT </w:t>
      </w:r>
      <w:r w:rsidR="00EA02F9">
        <w:rPr>
          <w:rFonts w:ascii="Arial" w:eastAsia="Times New Roman" w:hAnsi="Arial" w:cs="Arial"/>
          <w:bCs/>
          <w:color w:val="252525"/>
          <w:sz w:val="24"/>
          <w:szCs w:val="24"/>
          <w:shd w:val="clear" w:color="auto" w:fill="FFFFFF"/>
        </w:rPr>
        <w:t xml:space="preserve">male and female mice on a </w:t>
      </w:r>
      <w:r w:rsidR="00E14A17">
        <w:rPr>
          <w:rFonts w:ascii="Arial" w:eastAsia="Times New Roman" w:hAnsi="Arial" w:cs="Arial"/>
          <w:bCs/>
          <w:color w:val="252525"/>
          <w:sz w:val="24"/>
          <w:szCs w:val="24"/>
          <w:shd w:val="clear" w:color="auto" w:fill="FFFFFF"/>
        </w:rPr>
        <w:t>KD</w:t>
      </w:r>
      <w:r w:rsidR="00EA02F9">
        <w:rPr>
          <w:rFonts w:ascii="Arial" w:eastAsia="Times New Roman" w:hAnsi="Arial" w:cs="Arial"/>
          <w:bCs/>
          <w:color w:val="252525"/>
          <w:sz w:val="24"/>
          <w:szCs w:val="24"/>
          <w:shd w:val="clear" w:color="auto" w:fill="FFFFFF"/>
        </w:rPr>
        <w:t xml:space="preserve"> and </w:t>
      </w:r>
      <w:r w:rsidR="00E14A17">
        <w:rPr>
          <w:rFonts w:ascii="Arial" w:eastAsia="Times New Roman" w:hAnsi="Arial" w:cs="Arial"/>
          <w:bCs/>
          <w:color w:val="252525"/>
          <w:sz w:val="24"/>
          <w:szCs w:val="24"/>
          <w:shd w:val="clear" w:color="auto" w:fill="FFFFFF"/>
        </w:rPr>
        <w:t>CD</w:t>
      </w:r>
      <w:r w:rsidR="00EA02F9">
        <w:rPr>
          <w:rFonts w:ascii="Arial" w:eastAsia="Times New Roman" w:hAnsi="Arial" w:cs="Arial"/>
          <w:bCs/>
          <w:color w:val="252525"/>
          <w:sz w:val="24"/>
          <w:szCs w:val="24"/>
          <w:shd w:val="clear" w:color="auto" w:fill="FFFFFF"/>
        </w:rPr>
        <w:t xml:space="preserve"> from the time of injection (-2 weeks) to the time of sacrifice (4 weeks).</w:t>
      </w:r>
      <w:r w:rsidR="00AE67E0">
        <w:rPr>
          <w:rFonts w:ascii="Arial" w:eastAsia="Times New Roman" w:hAnsi="Arial" w:cs="Arial"/>
          <w:bCs/>
          <w:color w:val="252525"/>
          <w:sz w:val="24"/>
          <w:szCs w:val="24"/>
          <w:shd w:val="clear" w:color="auto" w:fill="FFFFFF"/>
        </w:rPr>
        <w:t xml:space="preserve"> At week 0 mice were started on either the ketogenic or control matched diet. </w:t>
      </w:r>
      <w:r w:rsidRPr="00E14A17">
        <w:rPr>
          <w:rFonts w:ascii="Arial" w:eastAsia="Times New Roman" w:hAnsi="Arial" w:cs="Arial"/>
          <w:bCs/>
          <w:color w:val="252525"/>
          <w:sz w:val="24"/>
          <w:szCs w:val="24"/>
          <w:shd w:val="clear" w:color="auto" w:fill="FFFFFF"/>
        </w:rPr>
        <w:t>B</w:t>
      </w:r>
      <w:r w:rsidR="00E14A17">
        <w:rPr>
          <w:rFonts w:ascii="Arial" w:eastAsia="Times New Roman" w:hAnsi="Arial" w:cs="Arial"/>
          <w:bCs/>
          <w:color w:val="252525"/>
          <w:sz w:val="24"/>
          <w:szCs w:val="24"/>
          <w:shd w:val="clear" w:color="auto" w:fill="FFFFFF"/>
        </w:rPr>
        <w:t>)</w:t>
      </w:r>
      <w:r w:rsidRPr="00E14A17">
        <w:rPr>
          <w:rFonts w:ascii="Arial" w:eastAsia="Times New Roman" w:hAnsi="Arial" w:cs="Arial"/>
          <w:bCs/>
          <w:color w:val="252525"/>
          <w:sz w:val="24"/>
          <w:szCs w:val="24"/>
          <w:shd w:val="clear" w:color="auto" w:fill="FFFFFF"/>
        </w:rPr>
        <w:t xml:space="preserve"> </w:t>
      </w:r>
      <w:r w:rsidR="00A231B0" w:rsidRPr="00E14A17">
        <w:rPr>
          <w:rFonts w:ascii="Arial" w:eastAsia="Times New Roman" w:hAnsi="Arial" w:cs="Arial"/>
          <w:bCs/>
          <w:color w:val="252525"/>
          <w:sz w:val="24"/>
          <w:szCs w:val="24"/>
          <w:shd w:val="clear" w:color="auto" w:fill="FFFFFF"/>
        </w:rPr>
        <w:t>Changes in f</w:t>
      </w:r>
      <w:r w:rsidRPr="00E14A17">
        <w:rPr>
          <w:rFonts w:ascii="Arial" w:eastAsia="Times New Roman" w:hAnsi="Arial" w:cs="Arial"/>
          <w:bCs/>
          <w:color w:val="252525"/>
          <w:sz w:val="24"/>
          <w:szCs w:val="24"/>
          <w:shd w:val="clear" w:color="auto" w:fill="FFFFFF"/>
        </w:rPr>
        <w:t xml:space="preserve">at </w:t>
      </w:r>
      <w:r w:rsidR="00A231B0" w:rsidRPr="00E14A17">
        <w:rPr>
          <w:rFonts w:ascii="Arial" w:eastAsia="Times New Roman" w:hAnsi="Arial" w:cs="Arial"/>
          <w:bCs/>
          <w:color w:val="252525"/>
          <w:sz w:val="24"/>
          <w:szCs w:val="24"/>
          <w:shd w:val="clear" w:color="auto" w:fill="FFFFFF"/>
        </w:rPr>
        <w:t>m</w:t>
      </w:r>
      <w:r w:rsidRPr="00E14A17">
        <w:rPr>
          <w:rFonts w:ascii="Arial" w:eastAsia="Times New Roman" w:hAnsi="Arial" w:cs="Arial"/>
          <w:bCs/>
          <w:color w:val="252525"/>
          <w:sz w:val="24"/>
          <w:szCs w:val="24"/>
          <w:shd w:val="clear" w:color="auto" w:fill="FFFFFF"/>
        </w:rPr>
        <w:t>ass</w:t>
      </w:r>
      <w:r w:rsidR="009A5BF6" w:rsidRPr="00E14A17">
        <w:rPr>
          <w:rFonts w:ascii="Arial" w:eastAsia="Times New Roman" w:hAnsi="Arial" w:cs="Arial"/>
          <w:bCs/>
          <w:color w:val="252525"/>
          <w:sz w:val="24"/>
          <w:szCs w:val="24"/>
          <w:shd w:val="clear" w:color="auto" w:fill="FFFFFF"/>
        </w:rPr>
        <w:t xml:space="preserve"> </w:t>
      </w:r>
      <w:r w:rsidR="009A5BF6" w:rsidRPr="00E14A17">
        <w:rPr>
          <w:rFonts w:ascii="Arial" w:eastAsia="Times New Roman" w:hAnsi="Arial" w:cs="Arial"/>
          <w:bCs/>
          <w:color w:val="252525"/>
          <w:sz w:val="24"/>
          <w:szCs w:val="24"/>
          <w:shd w:val="clear" w:color="auto" w:fill="FFFFFF"/>
        </w:rPr>
        <w:t xml:space="preserve">of KO and WT male and female mice on a </w:t>
      </w:r>
      <w:r w:rsidR="009A5BF6" w:rsidRPr="00E14A17">
        <w:rPr>
          <w:rFonts w:ascii="Arial" w:eastAsia="Times New Roman" w:hAnsi="Arial" w:cs="Arial"/>
          <w:bCs/>
          <w:color w:val="252525"/>
          <w:sz w:val="24"/>
          <w:szCs w:val="24"/>
          <w:shd w:val="clear" w:color="auto" w:fill="FFFFFF"/>
        </w:rPr>
        <w:t xml:space="preserve">KD or CD. Fat mass was measured weekly in vivo using </w:t>
      </w:r>
      <w:proofErr w:type="spellStart"/>
      <w:r w:rsidR="009A5BF6" w:rsidRPr="00E14A17">
        <w:rPr>
          <w:rFonts w:ascii="Arial" w:eastAsia="Times New Roman" w:hAnsi="Arial" w:cs="Arial"/>
          <w:color w:val="000000"/>
          <w:sz w:val="24"/>
          <w:szCs w:val="24"/>
          <w:shd w:val="clear" w:color="auto" w:fill="FFFFFF"/>
        </w:rPr>
        <w:t>using</w:t>
      </w:r>
      <w:proofErr w:type="spellEnd"/>
      <w:r w:rsidR="009A5BF6" w:rsidRPr="00E14A17">
        <w:rPr>
          <w:rFonts w:ascii="Arial" w:eastAsia="Times New Roman" w:hAnsi="Arial" w:cs="Arial"/>
          <w:color w:val="000000"/>
          <w:sz w:val="24"/>
          <w:szCs w:val="24"/>
          <w:shd w:val="clear" w:color="auto" w:fill="FFFFFF"/>
        </w:rPr>
        <w:t xml:space="preserve"> Echo MRI 1100</w:t>
      </w:r>
      <w:r w:rsidR="009A5BF6" w:rsidRPr="00E14A17">
        <w:rPr>
          <w:rFonts w:ascii="Arial" w:eastAsia="Times New Roman" w:hAnsi="Arial" w:cs="Arial"/>
          <w:color w:val="000000"/>
          <w:sz w:val="24"/>
          <w:szCs w:val="24"/>
          <w:shd w:val="clear" w:color="auto" w:fill="FFFFFF"/>
        </w:rPr>
        <w:t xml:space="preserve">. </w:t>
      </w:r>
      <w:r w:rsidRPr="00E14A17">
        <w:rPr>
          <w:rFonts w:ascii="Arial" w:eastAsia="Times New Roman" w:hAnsi="Arial" w:cs="Arial"/>
          <w:bCs/>
          <w:color w:val="252525"/>
          <w:sz w:val="24"/>
          <w:szCs w:val="24"/>
          <w:shd w:val="clear" w:color="auto" w:fill="FFFFFF"/>
        </w:rPr>
        <w:t>C</w:t>
      </w:r>
      <w:r w:rsidR="00E14A17">
        <w:rPr>
          <w:rFonts w:ascii="Arial" w:eastAsia="Times New Roman" w:hAnsi="Arial" w:cs="Arial"/>
          <w:bCs/>
          <w:color w:val="252525"/>
          <w:sz w:val="24"/>
          <w:szCs w:val="24"/>
          <w:shd w:val="clear" w:color="auto" w:fill="FFFFFF"/>
        </w:rPr>
        <w:t>)</w:t>
      </w:r>
      <w:r w:rsidRPr="00E14A17">
        <w:rPr>
          <w:rFonts w:ascii="Arial" w:eastAsia="Times New Roman" w:hAnsi="Arial" w:cs="Arial"/>
          <w:bCs/>
          <w:color w:val="252525"/>
          <w:sz w:val="24"/>
          <w:szCs w:val="24"/>
          <w:shd w:val="clear" w:color="auto" w:fill="FFFFFF"/>
        </w:rPr>
        <w:t xml:space="preserve"> </w:t>
      </w:r>
      <w:r w:rsidR="006B07C6" w:rsidRPr="00E14A17">
        <w:rPr>
          <w:rFonts w:ascii="Arial" w:eastAsia="Times New Roman" w:hAnsi="Arial" w:cs="Arial"/>
          <w:bCs/>
          <w:color w:val="252525"/>
          <w:sz w:val="24"/>
          <w:szCs w:val="24"/>
          <w:shd w:val="clear" w:color="auto" w:fill="FFFFFF"/>
        </w:rPr>
        <w:t xml:space="preserve">Changes in </w:t>
      </w:r>
      <w:r w:rsidR="006B07C6" w:rsidRPr="00E14A17">
        <w:rPr>
          <w:rFonts w:ascii="Arial" w:eastAsia="Times New Roman" w:hAnsi="Arial" w:cs="Arial"/>
          <w:bCs/>
          <w:color w:val="252525"/>
          <w:sz w:val="24"/>
          <w:szCs w:val="24"/>
          <w:shd w:val="clear" w:color="auto" w:fill="FFFFFF"/>
        </w:rPr>
        <w:t>lean</w:t>
      </w:r>
      <w:r w:rsidR="006B07C6" w:rsidRPr="00E14A17">
        <w:rPr>
          <w:rFonts w:ascii="Arial" w:eastAsia="Times New Roman" w:hAnsi="Arial" w:cs="Arial"/>
          <w:bCs/>
          <w:color w:val="252525"/>
          <w:sz w:val="24"/>
          <w:szCs w:val="24"/>
          <w:shd w:val="clear" w:color="auto" w:fill="FFFFFF"/>
        </w:rPr>
        <w:t xml:space="preserve"> mass of KO and WT male and female mice on a KD or CD</w:t>
      </w:r>
      <w:r w:rsidR="006B07C6" w:rsidRPr="00E14A17">
        <w:rPr>
          <w:rFonts w:ascii="Arial" w:eastAsia="Times New Roman" w:hAnsi="Arial" w:cs="Arial"/>
          <w:bCs/>
          <w:color w:val="252525"/>
          <w:sz w:val="24"/>
          <w:szCs w:val="24"/>
          <w:shd w:val="clear" w:color="auto" w:fill="FFFFFF"/>
        </w:rPr>
        <w:t xml:space="preserve"> measured in vivo weekly using</w:t>
      </w:r>
      <w:r w:rsidR="006B07C6" w:rsidRPr="00E14A17">
        <w:rPr>
          <w:rFonts w:ascii="Arial" w:eastAsia="Times New Roman" w:hAnsi="Arial" w:cs="Arial"/>
          <w:color w:val="000000"/>
          <w:sz w:val="24"/>
          <w:szCs w:val="24"/>
          <w:shd w:val="clear" w:color="auto" w:fill="FFFFFF"/>
        </w:rPr>
        <w:t xml:space="preserve"> </w:t>
      </w:r>
      <w:r w:rsidR="006B07C6" w:rsidRPr="00E14A17">
        <w:rPr>
          <w:rFonts w:ascii="Arial" w:eastAsia="Times New Roman" w:hAnsi="Arial" w:cs="Arial"/>
          <w:color w:val="000000"/>
          <w:sz w:val="24"/>
          <w:szCs w:val="24"/>
          <w:shd w:val="clear" w:color="auto" w:fill="FFFFFF"/>
        </w:rPr>
        <w:t>Echo MRI 1100</w:t>
      </w:r>
      <w:r w:rsidR="006B07C6" w:rsidRPr="00E14A17">
        <w:rPr>
          <w:rFonts w:ascii="Arial" w:eastAsia="Times New Roman" w:hAnsi="Arial" w:cs="Arial"/>
          <w:bCs/>
          <w:color w:val="252525"/>
          <w:sz w:val="24"/>
          <w:szCs w:val="24"/>
          <w:shd w:val="clear" w:color="auto" w:fill="FFFFFF"/>
        </w:rPr>
        <w:t xml:space="preserve">. </w:t>
      </w:r>
    </w:p>
    <w:p w:rsidR="00BB5030" w:rsidRPr="00E14A17" w:rsidRDefault="00BB5030" w:rsidP="00E14A17">
      <w:pPr>
        <w:pStyle w:val="ListParagraph"/>
        <w:numPr>
          <w:ilvl w:val="1"/>
          <w:numId w:val="4"/>
        </w:numPr>
        <w:rPr>
          <w:rFonts w:ascii="Arial" w:eastAsia="Times New Roman" w:hAnsi="Arial" w:cs="Arial"/>
          <w:bCs/>
          <w:color w:val="252525"/>
          <w:sz w:val="24"/>
          <w:szCs w:val="24"/>
          <w:shd w:val="clear" w:color="auto" w:fill="FFFFFF"/>
        </w:rPr>
      </w:pPr>
      <w:r w:rsidRPr="00E14A17">
        <w:rPr>
          <w:rFonts w:ascii="Arial" w:eastAsia="Times New Roman" w:hAnsi="Arial" w:cs="Arial"/>
          <w:bCs/>
          <w:color w:val="252525"/>
          <w:sz w:val="24"/>
          <w:szCs w:val="24"/>
          <w:shd w:val="clear" w:color="auto" w:fill="FFFFFF"/>
        </w:rPr>
        <w:t>D.</w:t>
      </w:r>
      <w:r w:rsidR="00E14A17">
        <w:rPr>
          <w:rFonts w:ascii="Arial" w:eastAsia="Times New Roman" w:hAnsi="Arial" w:cs="Arial"/>
          <w:bCs/>
          <w:color w:val="252525"/>
          <w:sz w:val="24"/>
          <w:szCs w:val="24"/>
          <w:shd w:val="clear" w:color="auto" w:fill="FFFFFF"/>
        </w:rPr>
        <w:t>)</w:t>
      </w:r>
      <w:r w:rsidRPr="00E14A17">
        <w:rPr>
          <w:rFonts w:ascii="Arial" w:eastAsia="Times New Roman" w:hAnsi="Arial" w:cs="Arial"/>
          <w:bCs/>
          <w:color w:val="252525"/>
          <w:sz w:val="24"/>
          <w:szCs w:val="24"/>
          <w:shd w:val="clear" w:color="auto" w:fill="FFFFFF"/>
        </w:rPr>
        <w:t xml:space="preserve"> </w:t>
      </w:r>
      <w:r w:rsidR="005D0364" w:rsidRPr="00E14A17">
        <w:rPr>
          <w:rFonts w:ascii="Arial" w:eastAsia="Times New Roman" w:hAnsi="Arial" w:cs="Arial"/>
          <w:bCs/>
          <w:color w:val="252525"/>
          <w:sz w:val="24"/>
          <w:szCs w:val="24"/>
          <w:shd w:val="clear" w:color="auto" w:fill="FFFFFF"/>
        </w:rPr>
        <w:t>Gastroc</w:t>
      </w:r>
      <w:r w:rsidR="00713547">
        <w:rPr>
          <w:rFonts w:ascii="Arial" w:eastAsia="Times New Roman" w:hAnsi="Arial" w:cs="Arial"/>
          <w:bCs/>
          <w:color w:val="252525"/>
          <w:sz w:val="24"/>
          <w:szCs w:val="24"/>
          <w:shd w:val="clear" w:color="auto" w:fill="FFFFFF"/>
        </w:rPr>
        <w:t xml:space="preserve">nemius weight of </w:t>
      </w:r>
      <w:r w:rsidR="00713547">
        <w:rPr>
          <w:rFonts w:ascii="Arial" w:eastAsia="Times New Roman" w:hAnsi="Arial" w:cs="Arial"/>
          <w:bCs/>
          <w:color w:val="252525"/>
          <w:sz w:val="24"/>
          <w:szCs w:val="24"/>
          <w:shd w:val="clear" w:color="auto" w:fill="FFFFFF"/>
        </w:rPr>
        <w:t>KO and WT male and female mice on a KD and CD</w:t>
      </w:r>
      <w:r w:rsidR="00713547">
        <w:rPr>
          <w:rFonts w:ascii="Arial" w:eastAsia="Times New Roman" w:hAnsi="Arial" w:cs="Arial"/>
          <w:bCs/>
          <w:color w:val="252525"/>
          <w:sz w:val="24"/>
          <w:szCs w:val="24"/>
          <w:shd w:val="clear" w:color="auto" w:fill="FFFFFF"/>
        </w:rPr>
        <w:t xml:space="preserve"> at the time of sacrifice (week 4). </w:t>
      </w:r>
    </w:p>
    <w:p w:rsidR="005D0364" w:rsidRDefault="005D0364" w:rsidP="00811BA7">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E. Quad</w:t>
      </w:r>
      <w:bookmarkStart w:id="0" w:name="_GoBack"/>
      <w:bookmarkEnd w:id="0"/>
    </w:p>
    <w:p w:rsidR="00811BA7" w:rsidRPr="00811BA7" w:rsidRDefault="00811BA7" w:rsidP="00811BA7">
      <w:pPr>
        <w:pStyle w:val="ListParagraph"/>
        <w:ind w:left="1440"/>
        <w:rPr>
          <w:rFonts w:ascii="Arial" w:eastAsia="Times New Roman" w:hAnsi="Arial" w:cs="Arial"/>
          <w:bCs/>
          <w:color w:val="252525"/>
          <w:sz w:val="24"/>
          <w:szCs w:val="24"/>
          <w:shd w:val="clear" w:color="auto" w:fill="FFFFFF"/>
        </w:rPr>
      </w:pPr>
    </w:p>
    <w:p w:rsidR="005E56B3"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5. </w:t>
      </w:r>
      <w:r w:rsidR="004C38D3">
        <w:rPr>
          <w:rFonts w:ascii="Arial" w:eastAsia="Times New Roman" w:hAnsi="Arial" w:cs="Arial"/>
          <w:bCs/>
          <w:color w:val="252525"/>
          <w:sz w:val="24"/>
          <w:szCs w:val="24"/>
          <w:shd w:val="clear" w:color="auto" w:fill="FFFFFF"/>
        </w:rPr>
        <w:t xml:space="preserve">Liver fat changes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A. Histology </w:t>
      </w:r>
    </w:p>
    <w:p w:rsidR="004C38D3" w:rsidRDefault="004C38D3"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TGs</w:t>
      </w:r>
    </w:p>
    <w:p w:rsidR="004C38D3" w:rsidRDefault="004C38D3" w:rsidP="004C38D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6</w:t>
      </w:r>
      <w:r w:rsidR="004C46F6">
        <w:rPr>
          <w:rFonts w:ascii="Arial" w:eastAsia="Times New Roman" w:hAnsi="Arial" w:cs="Arial"/>
          <w:bCs/>
          <w:color w:val="252525"/>
          <w:sz w:val="24"/>
          <w:szCs w:val="24"/>
          <w:shd w:val="clear" w:color="auto" w:fill="FFFFFF"/>
        </w:rPr>
        <w:t>. ITT</w:t>
      </w:r>
    </w:p>
    <w:p w:rsidR="004C38D3" w:rsidRPr="00081C9D" w:rsidRDefault="004C46F6" w:rsidP="004C38D3">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4F3B09">
        <w:rPr>
          <w:rFonts w:ascii="Arial" w:eastAsia="Times New Roman" w:hAnsi="Arial" w:cs="Arial"/>
          <w:bCs/>
          <w:color w:val="252525"/>
          <w:sz w:val="24"/>
          <w:szCs w:val="24"/>
          <w:shd w:val="clear" w:color="auto" w:fill="FFFFFF"/>
        </w:rPr>
        <w:t xml:space="preserve">. </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Calibri"/>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Calibri"/>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073E2"/>
    <w:rsid w:val="000125BB"/>
    <w:rsid w:val="00012E63"/>
    <w:rsid w:val="000217A6"/>
    <w:rsid w:val="000243BD"/>
    <w:rsid w:val="0002533F"/>
    <w:rsid w:val="0003354F"/>
    <w:rsid w:val="00044F0D"/>
    <w:rsid w:val="0007263F"/>
    <w:rsid w:val="00072972"/>
    <w:rsid w:val="000766A1"/>
    <w:rsid w:val="000769AA"/>
    <w:rsid w:val="00077072"/>
    <w:rsid w:val="00081C9D"/>
    <w:rsid w:val="0008474A"/>
    <w:rsid w:val="00086C38"/>
    <w:rsid w:val="00090AF3"/>
    <w:rsid w:val="00091C01"/>
    <w:rsid w:val="00096B75"/>
    <w:rsid w:val="000A4F24"/>
    <w:rsid w:val="000B6B1A"/>
    <w:rsid w:val="000C06E4"/>
    <w:rsid w:val="000C7114"/>
    <w:rsid w:val="000D1C70"/>
    <w:rsid w:val="000D33C2"/>
    <w:rsid w:val="000D7218"/>
    <w:rsid w:val="000E22D4"/>
    <w:rsid w:val="000E2C46"/>
    <w:rsid w:val="001001E2"/>
    <w:rsid w:val="00101E97"/>
    <w:rsid w:val="0010399F"/>
    <w:rsid w:val="00107C65"/>
    <w:rsid w:val="001107E7"/>
    <w:rsid w:val="00110E14"/>
    <w:rsid w:val="001122D0"/>
    <w:rsid w:val="00124B57"/>
    <w:rsid w:val="001338A1"/>
    <w:rsid w:val="0013608F"/>
    <w:rsid w:val="00140695"/>
    <w:rsid w:val="00143D60"/>
    <w:rsid w:val="00146AFE"/>
    <w:rsid w:val="00153756"/>
    <w:rsid w:val="00155C21"/>
    <w:rsid w:val="0016027B"/>
    <w:rsid w:val="0016217D"/>
    <w:rsid w:val="00162C3D"/>
    <w:rsid w:val="00173B60"/>
    <w:rsid w:val="00185DC4"/>
    <w:rsid w:val="001A7CCE"/>
    <w:rsid w:val="001B4F84"/>
    <w:rsid w:val="001C2003"/>
    <w:rsid w:val="001C3744"/>
    <w:rsid w:val="001C4117"/>
    <w:rsid w:val="001D5F73"/>
    <w:rsid w:val="001E2AC4"/>
    <w:rsid w:val="002039BE"/>
    <w:rsid w:val="0020446A"/>
    <w:rsid w:val="0021415B"/>
    <w:rsid w:val="002247F6"/>
    <w:rsid w:val="002363E7"/>
    <w:rsid w:val="00241FE3"/>
    <w:rsid w:val="00242BA6"/>
    <w:rsid w:val="00256CB1"/>
    <w:rsid w:val="00291371"/>
    <w:rsid w:val="00294E88"/>
    <w:rsid w:val="00297F08"/>
    <w:rsid w:val="002A7B0D"/>
    <w:rsid w:val="002C3162"/>
    <w:rsid w:val="002C543A"/>
    <w:rsid w:val="002F0AFB"/>
    <w:rsid w:val="002F14B8"/>
    <w:rsid w:val="002F2BD5"/>
    <w:rsid w:val="002F5553"/>
    <w:rsid w:val="00323E7C"/>
    <w:rsid w:val="003417BC"/>
    <w:rsid w:val="003503AB"/>
    <w:rsid w:val="00353148"/>
    <w:rsid w:val="00356EEE"/>
    <w:rsid w:val="00360505"/>
    <w:rsid w:val="00373210"/>
    <w:rsid w:val="0038062F"/>
    <w:rsid w:val="003835C6"/>
    <w:rsid w:val="00396808"/>
    <w:rsid w:val="003A05B9"/>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5623"/>
    <w:rsid w:val="00486B18"/>
    <w:rsid w:val="00487286"/>
    <w:rsid w:val="004903C3"/>
    <w:rsid w:val="004939E6"/>
    <w:rsid w:val="004966FA"/>
    <w:rsid w:val="004A1E83"/>
    <w:rsid w:val="004C38D3"/>
    <w:rsid w:val="004C46F6"/>
    <w:rsid w:val="004D080E"/>
    <w:rsid w:val="004E5DF5"/>
    <w:rsid w:val="004F3B09"/>
    <w:rsid w:val="00513B38"/>
    <w:rsid w:val="00514871"/>
    <w:rsid w:val="00516F4A"/>
    <w:rsid w:val="005228A3"/>
    <w:rsid w:val="0052511C"/>
    <w:rsid w:val="00527958"/>
    <w:rsid w:val="00531B20"/>
    <w:rsid w:val="00536801"/>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D0364"/>
    <w:rsid w:val="005E1986"/>
    <w:rsid w:val="005E56B3"/>
    <w:rsid w:val="00605381"/>
    <w:rsid w:val="0061467E"/>
    <w:rsid w:val="00623EF1"/>
    <w:rsid w:val="006333A8"/>
    <w:rsid w:val="006341B2"/>
    <w:rsid w:val="006349D1"/>
    <w:rsid w:val="00650AC7"/>
    <w:rsid w:val="006523A6"/>
    <w:rsid w:val="00652AFF"/>
    <w:rsid w:val="006538A7"/>
    <w:rsid w:val="0065623E"/>
    <w:rsid w:val="006637E2"/>
    <w:rsid w:val="00667B90"/>
    <w:rsid w:val="00671F8E"/>
    <w:rsid w:val="0067350B"/>
    <w:rsid w:val="0069556F"/>
    <w:rsid w:val="006A399B"/>
    <w:rsid w:val="006B07C6"/>
    <w:rsid w:val="006B12FE"/>
    <w:rsid w:val="006B46F1"/>
    <w:rsid w:val="006C329F"/>
    <w:rsid w:val="006D4153"/>
    <w:rsid w:val="006D4402"/>
    <w:rsid w:val="006E4D96"/>
    <w:rsid w:val="006E7F9A"/>
    <w:rsid w:val="006F4F34"/>
    <w:rsid w:val="00700D6E"/>
    <w:rsid w:val="0070707F"/>
    <w:rsid w:val="00713547"/>
    <w:rsid w:val="00713A20"/>
    <w:rsid w:val="007204F4"/>
    <w:rsid w:val="00721138"/>
    <w:rsid w:val="007215A1"/>
    <w:rsid w:val="0072729E"/>
    <w:rsid w:val="0074110F"/>
    <w:rsid w:val="007418F7"/>
    <w:rsid w:val="00751C67"/>
    <w:rsid w:val="0076090A"/>
    <w:rsid w:val="00767AF7"/>
    <w:rsid w:val="00775CCF"/>
    <w:rsid w:val="00780EFC"/>
    <w:rsid w:val="00785905"/>
    <w:rsid w:val="00791E62"/>
    <w:rsid w:val="0079352E"/>
    <w:rsid w:val="00794D34"/>
    <w:rsid w:val="007A25BB"/>
    <w:rsid w:val="007C1191"/>
    <w:rsid w:val="007C42A7"/>
    <w:rsid w:val="007E6BDC"/>
    <w:rsid w:val="007F757D"/>
    <w:rsid w:val="0080440A"/>
    <w:rsid w:val="00805B4A"/>
    <w:rsid w:val="00811BA7"/>
    <w:rsid w:val="00811C77"/>
    <w:rsid w:val="00816EAE"/>
    <w:rsid w:val="00832399"/>
    <w:rsid w:val="00833001"/>
    <w:rsid w:val="00834546"/>
    <w:rsid w:val="00854154"/>
    <w:rsid w:val="00856746"/>
    <w:rsid w:val="0086639D"/>
    <w:rsid w:val="00870106"/>
    <w:rsid w:val="00870582"/>
    <w:rsid w:val="008827DB"/>
    <w:rsid w:val="00882AFD"/>
    <w:rsid w:val="00890E1E"/>
    <w:rsid w:val="008A2A86"/>
    <w:rsid w:val="008A33CB"/>
    <w:rsid w:val="008A3A9E"/>
    <w:rsid w:val="008A5B4F"/>
    <w:rsid w:val="008D02A2"/>
    <w:rsid w:val="008D55E7"/>
    <w:rsid w:val="008F148B"/>
    <w:rsid w:val="008F4740"/>
    <w:rsid w:val="00904B08"/>
    <w:rsid w:val="00921852"/>
    <w:rsid w:val="009223E4"/>
    <w:rsid w:val="00924CD8"/>
    <w:rsid w:val="00927558"/>
    <w:rsid w:val="00953BEC"/>
    <w:rsid w:val="00955013"/>
    <w:rsid w:val="00955293"/>
    <w:rsid w:val="00961C21"/>
    <w:rsid w:val="00972A36"/>
    <w:rsid w:val="00973BF3"/>
    <w:rsid w:val="00974199"/>
    <w:rsid w:val="00977199"/>
    <w:rsid w:val="00977529"/>
    <w:rsid w:val="009814FF"/>
    <w:rsid w:val="00986C4C"/>
    <w:rsid w:val="009A5BF6"/>
    <w:rsid w:val="009B5809"/>
    <w:rsid w:val="009B72AA"/>
    <w:rsid w:val="009C1D03"/>
    <w:rsid w:val="009C500E"/>
    <w:rsid w:val="009D7A95"/>
    <w:rsid w:val="009E0845"/>
    <w:rsid w:val="009E3F34"/>
    <w:rsid w:val="009E7C30"/>
    <w:rsid w:val="009F33C1"/>
    <w:rsid w:val="00A03B44"/>
    <w:rsid w:val="00A04B22"/>
    <w:rsid w:val="00A12978"/>
    <w:rsid w:val="00A1368C"/>
    <w:rsid w:val="00A16DE1"/>
    <w:rsid w:val="00A178B0"/>
    <w:rsid w:val="00A231B0"/>
    <w:rsid w:val="00A23432"/>
    <w:rsid w:val="00A260A5"/>
    <w:rsid w:val="00A33F17"/>
    <w:rsid w:val="00A44067"/>
    <w:rsid w:val="00A472B9"/>
    <w:rsid w:val="00A67F3B"/>
    <w:rsid w:val="00A728E3"/>
    <w:rsid w:val="00A81F07"/>
    <w:rsid w:val="00A82049"/>
    <w:rsid w:val="00A842D0"/>
    <w:rsid w:val="00AA3B97"/>
    <w:rsid w:val="00AD0E09"/>
    <w:rsid w:val="00AD2F62"/>
    <w:rsid w:val="00AE67E0"/>
    <w:rsid w:val="00B0274F"/>
    <w:rsid w:val="00B242DD"/>
    <w:rsid w:val="00B24465"/>
    <w:rsid w:val="00B35BCF"/>
    <w:rsid w:val="00B42A35"/>
    <w:rsid w:val="00B53907"/>
    <w:rsid w:val="00B53F07"/>
    <w:rsid w:val="00B56108"/>
    <w:rsid w:val="00B65AA3"/>
    <w:rsid w:val="00B76A05"/>
    <w:rsid w:val="00B770A3"/>
    <w:rsid w:val="00B81781"/>
    <w:rsid w:val="00B8179F"/>
    <w:rsid w:val="00B826DB"/>
    <w:rsid w:val="00B968E2"/>
    <w:rsid w:val="00B9762B"/>
    <w:rsid w:val="00BA0A38"/>
    <w:rsid w:val="00BA7875"/>
    <w:rsid w:val="00BB0DCA"/>
    <w:rsid w:val="00BB4402"/>
    <w:rsid w:val="00BB5030"/>
    <w:rsid w:val="00BB6FA4"/>
    <w:rsid w:val="00BC0D30"/>
    <w:rsid w:val="00BC34B8"/>
    <w:rsid w:val="00BD0E53"/>
    <w:rsid w:val="00BD714E"/>
    <w:rsid w:val="00BE2303"/>
    <w:rsid w:val="00BE4076"/>
    <w:rsid w:val="00BE6057"/>
    <w:rsid w:val="00BE7B84"/>
    <w:rsid w:val="00BF5AB0"/>
    <w:rsid w:val="00C00473"/>
    <w:rsid w:val="00C077BB"/>
    <w:rsid w:val="00C12504"/>
    <w:rsid w:val="00C36CEE"/>
    <w:rsid w:val="00C42403"/>
    <w:rsid w:val="00C42D20"/>
    <w:rsid w:val="00C759DA"/>
    <w:rsid w:val="00C77779"/>
    <w:rsid w:val="00C87256"/>
    <w:rsid w:val="00CB2FA6"/>
    <w:rsid w:val="00CC3409"/>
    <w:rsid w:val="00CD749F"/>
    <w:rsid w:val="00CE2582"/>
    <w:rsid w:val="00CF4BA0"/>
    <w:rsid w:val="00CF7E7A"/>
    <w:rsid w:val="00D03402"/>
    <w:rsid w:val="00D1389B"/>
    <w:rsid w:val="00D14CE2"/>
    <w:rsid w:val="00D15637"/>
    <w:rsid w:val="00D3376A"/>
    <w:rsid w:val="00D37D8D"/>
    <w:rsid w:val="00D4568B"/>
    <w:rsid w:val="00D477FA"/>
    <w:rsid w:val="00D54710"/>
    <w:rsid w:val="00D57F86"/>
    <w:rsid w:val="00D6081C"/>
    <w:rsid w:val="00D65458"/>
    <w:rsid w:val="00D75AAA"/>
    <w:rsid w:val="00D76474"/>
    <w:rsid w:val="00D76931"/>
    <w:rsid w:val="00D85F9A"/>
    <w:rsid w:val="00D86C4E"/>
    <w:rsid w:val="00D91231"/>
    <w:rsid w:val="00D92143"/>
    <w:rsid w:val="00D93722"/>
    <w:rsid w:val="00D94063"/>
    <w:rsid w:val="00DA3811"/>
    <w:rsid w:val="00DA4D7F"/>
    <w:rsid w:val="00DA4E23"/>
    <w:rsid w:val="00DB67D0"/>
    <w:rsid w:val="00DB78B8"/>
    <w:rsid w:val="00DC3AA4"/>
    <w:rsid w:val="00DD4FBF"/>
    <w:rsid w:val="00DE0177"/>
    <w:rsid w:val="00DE60AB"/>
    <w:rsid w:val="00DF0439"/>
    <w:rsid w:val="00DF0723"/>
    <w:rsid w:val="00DF144A"/>
    <w:rsid w:val="00E03A00"/>
    <w:rsid w:val="00E05257"/>
    <w:rsid w:val="00E05968"/>
    <w:rsid w:val="00E14A17"/>
    <w:rsid w:val="00E17DE2"/>
    <w:rsid w:val="00E30211"/>
    <w:rsid w:val="00E321E1"/>
    <w:rsid w:val="00E504BF"/>
    <w:rsid w:val="00E6491D"/>
    <w:rsid w:val="00E662F3"/>
    <w:rsid w:val="00E72929"/>
    <w:rsid w:val="00E828A8"/>
    <w:rsid w:val="00EA02F9"/>
    <w:rsid w:val="00EA2C86"/>
    <w:rsid w:val="00EA30B7"/>
    <w:rsid w:val="00EA39BD"/>
    <w:rsid w:val="00EA4ADA"/>
    <w:rsid w:val="00EB67BF"/>
    <w:rsid w:val="00EB75AD"/>
    <w:rsid w:val="00EC3D9F"/>
    <w:rsid w:val="00EC3F44"/>
    <w:rsid w:val="00ED700A"/>
    <w:rsid w:val="00EE3B86"/>
    <w:rsid w:val="00EE44CC"/>
    <w:rsid w:val="00EF633F"/>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87C40"/>
    <w:rsid w:val="00F93BE7"/>
    <w:rsid w:val="00FA268B"/>
    <w:rsid w:val="00FA3373"/>
    <w:rsid w:val="00FA578B"/>
    <w:rsid w:val="00FA737E"/>
    <w:rsid w:val="00FB4F43"/>
    <w:rsid w:val="00FB7448"/>
    <w:rsid w:val="00FD02B0"/>
    <w:rsid w:val="00FD3697"/>
    <w:rsid w:val="00FD3879"/>
    <w:rsid w:val="00FD4E8D"/>
    <w:rsid w:val="00FE3FE7"/>
    <w:rsid w:val="00FE69D0"/>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F2A6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6F7A39-E8DE-664A-BBD8-9D38FD83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TotalTime>
  <Pages>9</Pages>
  <Words>12864</Words>
  <Characters>73327</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359</cp:revision>
  <dcterms:created xsi:type="dcterms:W3CDTF">2020-05-06T19:29:00Z</dcterms:created>
  <dcterms:modified xsi:type="dcterms:W3CDTF">2020-05-28T16:56:00Z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