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927558" w:rsidRPr="0091174E" w:rsidRDefault="00182ED9"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increased fasting glucose after KD feeding (p=0.002)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bookmarkStart w:id="0" w:name="_GoBack"/>
      <w:bookmarkEnd w:id="0"/>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irrespective of diet.  T</w:t>
      </w:r>
      <w:r>
        <w:rPr>
          <w:rFonts w:ascii="Arial" w:eastAsia="Times New Roman" w:hAnsi="Arial" w:cs="Arial"/>
          <w:bCs/>
          <w:sz w:val="24"/>
          <w:szCs w:val="24"/>
          <w:shd w:val="clear" w:color="auto" w:fill="FFFFFF"/>
        </w:rPr>
        <w:t>here was no significant effect of AMPK knockout</w:t>
      </w:r>
      <w:r w:rsidR="001A4525">
        <w:rPr>
          <w:rFonts w:ascii="Arial" w:eastAsia="Times New Roman" w:hAnsi="Arial" w:cs="Arial"/>
          <w:bCs/>
          <w:sz w:val="24"/>
          <w:szCs w:val="24"/>
          <w:shd w:val="clear" w:color="auto" w:fill="FFFFFF"/>
        </w:rPr>
        <w:t xml:space="preserve"> for male or female mice</w:t>
      </w:r>
      <w:r>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w:t>
      </w:r>
      <w:r w:rsidR="00A81F07" w:rsidRPr="00A81F07">
        <w:rPr>
          <w:rFonts w:ascii="Arial" w:hAnsi="Arial" w:cs="Arial"/>
          <w:noProof/>
          <w:sz w:val="24"/>
        </w:rPr>
        <w:lastRenderedPageBreak/>
        <w:t xml:space="preserve">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 xml:space="preserve">Day EA, Ford RJ, Steinberg GR. Feature Review AMPK as a Therapeutic Target </w:t>
      </w:r>
      <w:r w:rsidRPr="00A81F07">
        <w:rPr>
          <w:rFonts w:ascii="Arial" w:hAnsi="Arial" w:cs="Arial"/>
          <w:noProof/>
          <w:sz w:val="24"/>
        </w:rPr>
        <w:lastRenderedPageBreak/>
        <w:t>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lastRenderedPageBreak/>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2E9E"/>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C1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98A5D-AC4D-1747-B1A3-2FB0F9B0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13232</Words>
  <Characters>75425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434</cp:revision>
  <dcterms:created xsi:type="dcterms:W3CDTF">2020-05-06T19:29:00Z</dcterms:created>
  <dcterms:modified xsi:type="dcterms:W3CDTF">2021-04-01T14:00:00Z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