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A842D0" w:rsidRDefault="00DD4FBF" w:rsidP="00A842D0">
      <w:pPr>
        <w:pStyle w:val="ListParagraph"/>
        <w:numPr>
          <w:ilvl w:val="1"/>
          <w:numId w:val="2"/>
        </w:numPr>
        <w:rPr>
          <w:rFonts w:ascii="Arial" w:eastAsia="Times New Roman" w:hAnsi="Arial" w:cs="Arial"/>
          <w:color w:val="000000"/>
          <w:sz w:val="24"/>
          <w:szCs w:val="24"/>
          <w:shd w:val="clear" w:color="auto" w:fill="FFFFFF"/>
        </w:rPr>
      </w:pPr>
      <w:r w:rsidRPr="009F33C1">
        <w:rPr>
          <w:rFonts w:ascii="Arial" w:eastAsia="Times New Roman" w:hAnsi="Arial" w:cs="Arial"/>
          <w:color w:val="000000"/>
          <w:sz w:val="24"/>
          <w:szCs w:val="24"/>
          <w:shd w:val="clear" w:color="auto" w:fill="FFFFFF"/>
        </w:rPr>
        <w:t xml:space="preserve">Mice were fasted for 6 </w:t>
      </w:r>
      <w:r w:rsidRPr="00A842D0">
        <w:rPr>
          <w:rFonts w:ascii="Arial" w:eastAsia="Times New Roman" w:hAnsi="Arial" w:cs="Arial"/>
          <w:color w:val="000000"/>
          <w:sz w:val="24"/>
          <w:szCs w:val="24"/>
          <w:shd w:val="clear" w:color="auto" w:fill="FFFFFF"/>
        </w:rPr>
        <w:t xml:space="preserve">hours </w:t>
      </w:r>
      <w:r w:rsidR="00955293" w:rsidRPr="00A842D0">
        <w:rPr>
          <w:rFonts w:ascii="Arial" w:eastAsia="Times New Roman" w:hAnsi="Arial" w:cs="Arial"/>
          <w:color w:val="000000"/>
          <w:sz w:val="24"/>
          <w:szCs w:val="24"/>
          <w:shd w:val="clear" w:color="auto" w:fill="FFFFFF"/>
        </w:rPr>
        <w:t xml:space="preserve">and then injected with </w:t>
      </w:r>
      <w:r w:rsidR="00955293" w:rsidRPr="00A842D0">
        <w:rPr>
          <w:rFonts w:ascii="Arial" w:eastAsia="Times New Roman" w:hAnsi="Arial" w:cs="Arial"/>
          <w:color w:val="FF0000"/>
          <w:sz w:val="24"/>
          <w:szCs w:val="24"/>
          <w:shd w:val="clear" w:color="auto" w:fill="FFFFFF"/>
        </w:rPr>
        <w:t xml:space="preserve">0.75 </w:t>
      </w:r>
      <w:r w:rsidR="00F016EF" w:rsidRPr="00A842D0">
        <w:rPr>
          <w:rFonts w:ascii="Arial" w:eastAsia="Times New Roman" w:hAnsi="Arial" w:cs="Arial"/>
          <w:color w:val="FF0000"/>
          <w:sz w:val="24"/>
          <w:szCs w:val="24"/>
          <w:shd w:val="clear" w:color="auto" w:fill="FFFFFF"/>
        </w:rPr>
        <w:t>U/kg of lean body mass</w:t>
      </w:r>
      <w:r w:rsidR="00955293" w:rsidRPr="00A842D0">
        <w:rPr>
          <w:rFonts w:ascii="Arial" w:eastAsia="Times New Roman" w:hAnsi="Arial" w:cs="Arial"/>
          <w:color w:val="FF0000"/>
          <w:sz w:val="24"/>
          <w:szCs w:val="24"/>
          <w:shd w:val="clear" w:color="auto" w:fill="FFFFFF"/>
        </w:rPr>
        <w:t xml:space="preserve"> </w:t>
      </w:r>
      <w:r w:rsidR="00F016EF" w:rsidRPr="00A842D0">
        <w:rPr>
          <w:rFonts w:ascii="Arial" w:eastAsia="Times New Roman" w:hAnsi="Arial" w:cs="Arial"/>
          <w:color w:val="FF0000"/>
          <w:sz w:val="24"/>
          <w:szCs w:val="24"/>
          <w:shd w:val="clear" w:color="auto" w:fill="FFFFFF"/>
        </w:rPr>
        <w:t xml:space="preserve">of </w:t>
      </w:r>
      <w:r w:rsidR="00F016EF" w:rsidRPr="00A842D0">
        <w:rPr>
          <w:rFonts w:ascii="Arial" w:eastAsia="Times New Roman" w:hAnsi="Arial" w:cs="Arial"/>
          <w:sz w:val="24"/>
          <w:szCs w:val="24"/>
          <w:shd w:val="clear" w:color="auto" w:fill="FFFFFF"/>
        </w:rPr>
        <w:t>i</w:t>
      </w:r>
      <w:r w:rsidR="00955293" w:rsidRPr="00A842D0">
        <w:rPr>
          <w:rFonts w:ascii="Arial" w:eastAsia="Times New Roman" w:hAnsi="Arial" w:cs="Arial"/>
          <w:sz w:val="24"/>
          <w:szCs w:val="24"/>
          <w:shd w:val="clear" w:color="auto" w:fill="FFFFFF"/>
        </w:rPr>
        <w:t>nsulin</w:t>
      </w:r>
      <w:r w:rsidR="00450914" w:rsidRPr="00A842D0">
        <w:rPr>
          <w:rFonts w:ascii="Arial" w:eastAsia="Times New Roman" w:hAnsi="Arial" w:cs="Arial"/>
          <w:sz w:val="24"/>
          <w:szCs w:val="24"/>
          <w:shd w:val="clear" w:color="auto" w:fill="FFFFFF"/>
        </w:rPr>
        <w:t xml:space="preserve"> into the </w:t>
      </w:r>
      <w:proofErr w:type="spellStart"/>
      <w:r w:rsidR="00450914" w:rsidRPr="00A842D0">
        <w:rPr>
          <w:rFonts w:ascii="Arial" w:eastAsia="Times New Roman" w:hAnsi="Arial" w:cs="Arial"/>
          <w:color w:val="252525"/>
          <w:sz w:val="24"/>
          <w:szCs w:val="24"/>
          <w:shd w:val="clear" w:color="auto" w:fill="FFFFFF"/>
        </w:rPr>
        <w:t>interperitoneal</w:t>
      </w:r>
      <w:proofErr w:type="spellEnd"/>
      <w:r w:rsidR="00450914" w:rsidRPr="00A842D0">
        <w:rPr>
          <w:rFonts w:ascii="Arial" w:eastAsia="Times New Roman" w:hAnsi="Arial" w:cs="Arial"/>
          <w:color w:val="252525"/>
          <w:sz w:val="24"/>
          <w:szCs w:val="24"/>
          <w:shd w:val="clear" w:color="auto" w:fill="FFFFFF"/>
        </w:rPr>
        <w:t xml:space="preserve"> cavity. </w:t>
      </w:r>
      <w:r w:rsidR="001C3744" w:rsidRPr="00A842D0">
        <w:rPr>
          <w:rFonts w:ascii="Arial" w:eastAsia="Times New Roman" w:hAnsi="Arial" w:cs="Arial"/>
          <w:color w:val="252525"/>
          <w:sz w:val="24"/>
          <w:szCs w:val="24"/>
          <w:shd w:val="clear" w:color="auto" w:fill="FFFFFF"/>
        </w:rPr>
        <w:t xml:space="preserve">Blood </w:t>
      </w:r>
      <w:r w:rsidR="00F016EF" w:rsidRPr="00A842D0">
        <w:rPr>
          <w:rFonts w:ascii="Arial" w:eastAsia="Times New Roman" w:hAnsi="Arial" w:cs="Arial"/>
          <w:color w:val="252525"/>
          <w:sz w:val="24"/>
          <w:szCs w:val="24"/>
          <w:shd w:val="clear" w:color="auto" w:fill="FFFFFF"/>
        </w:rPr>
        <w:t>glucose was</w:t>
      </w:r>
      <w:r w:rsidR="00D85F9A" w:rsidRPr="00A842D0">
        <w:rPr>
          <w:rFonts w:ascii="Arial" w:eastAsia="Times New Roman" w:hAnsi="Arial" w:cs="Arial"/>
          <w:color w:val="252525"/>
          <w:sz w:val="24"/>
          <w:szCs w:val="24"/>
          <w:shd w:val="clear" w:color="auto" w:fill="FFFFFF"/>
        </w:rPr>
        <w:t xml:space="preserve"> measured</w:t>
      </w:r>
      <w:r w:rsidR="00F016EF" w:rsidRPr="00A842D0">
        <w:rPr>
          <w:rFonts w:ascii="Arial" w:eastAsia="Times New Roman" w:hAnsi="Arial" w:cs="Arial"/>
          <w:color w:val="252525"/>
          <w:sz w:val="24"/>
          <w:szCs w:val="24"/>
          <w:shd w:val="clear" w:color="auto" w:fill="FFFFFF"/>
        </w:rPr>
        <w:t xml:space="preserve"> </w:t>
      </w:r>
      <w:r w:rsidR="00D85F9A" w:rsidRPr="00A842D0">
        <w:rPr>
          <w:rFonts w:ascii="Arial" w:eastAsia="Times New Roman" w:hAnsi="Arial" w:cs="Arial"/>
          <w:color w:val="252525"/>
          <w:sz w:val="24"/>
          <w:szCs w:val="24"/>
          <w:shd w:val="clear" w:color="auto" w:fill="FFFFFF"/>
        </w:rPr>
        <w:t xml:space="preserve">using </w:t>
      </w:r>
      <w:r w:rsidR="00F016EF" w:rsidRPr="00A842D0">
        <w:rPr>
          <w:rFonts w:ascii="Arial" w:eastAsia="Times New Roman" w:hAnsi="Arial" w:cs="Arial"/>
          <w:color w:val="252525"/>
          <w:sz w:val="24"/>
          <w:szCs w:val="24"/>
          <w:shd w:val="clear" w:color="auto" w:fill="FFFFFF"/>
        </w:rPr>
        <w:t>the</w:t>
      </w:r>
      <w:r w:rsidR="001C3744" w:rsidRPr="00A842D0">
        <w:rPr>
          <w:rFonts w:ascii="Arial" w:eastAsia="Times New Roman" w:hAnsi="Arial" w:cs="Arial"/>
          <w:color w:val="252525"/>
          <w:sz w:val="24"/>
          <w:szCs w:val="24"/>
          <w:shd w:val="clear" w:color="auto" w:fill="FFFFFF"/>
        </w:rPr>
        <w:t xml:space="preserve"> tail vein at time 0, 15, 30, 45, 60, 75, 90, 105 and 120 m</w:t>
      </w:r>
      <w:bookmarkStart w:id="0" w:name="_GoBack"/>
      <w:bookmarkEnd w:id="0"/>
      <w:r w:rsidR="001C3744" w:rsidRPr="00A842D0">
        <w:rPr>
          <w:rFonts w:ascii="Arial" w:eastAsia="Times New Roman" w:hAnsi="Arial" w:cs="Arial"/>
          <w:color w:val="252525"/>
          <w:sz w:val="24"/>
          <w:szCs w:val="24"/>
          <w:shd w:val="clear" w:color="auto" w:fill="FFFFFF"/>
        </w:rPr>
        <w:t xml:space="preserve">inutes after injection. </w:t>
      </w:r>
      <w:r w:rsidR="00A842D0" w:rsidRPr="00A842D0">
        <w:rPr>
          <w:rFonts w:ascii="Arial" w:eastAsia="Times New Roman" w:hAnsi="Arial" w:cs="Arial"/>
          <w:color w:val="FF0000"/>
          <w:sz w:val="24"/>
          <w:szCs w:val="24"/>
          <w:shd w:val="clear" w:color="auto" w:fill="FFFFFF"/>
        </w:rPr>
        <w:t>We use a</w:t>
      </w:r>
      <w:r w:rsidR="009F33C1" w:rsidRPr="00A842D0">
        <w:rPr>
          <w:rFonts w:ascii="Arial" w:eastAsia="Times New Roman" w:hAnsi="Arial" w:cs="Arial"/>
          <w:color w:val="FF0000"/>
          <w:sz w:val="24"/>
          <w:szCs w:val="24"/>
          <w:shd w:val="clear" w:color="auto" w:fill="FFFFFF"/>
        </w:rPr>
        <w:t xml:space="preserve"> mixed linear model </w:t>
      </w:r>
      <w:r w:rsidR="00A842D0" w:rsidRPr="00A842D0">
        <w:rPr>
          <w:rFonts w:ascii="Arial" w:eastAsia="Times New Roman" w:hAnsi="Arial" w:cs="Arial"/>
          <w:color w:val="FF0000"/>
          <w:sz w:val="24"/>
          <w:szCs w:val="24"/>
          <w:shd w:val="clear" w:color="auto" w:fill="FFFFFF"/>
        </w:rPr>
        <w:t>using the time points as ordinate values to test for an interaction of the treatment/genotype.</w:t>
      </w:r>
      <w:r w:rsidR="00A842D0" w:rsidRPr="00A842D0">
        <w:rPr>
          <w:rFonts w:ascii="Arial" w:eastAsia="Times New Roman" w:hAnsi="Arial" w:cs="Arial"/>
          <w:color w:val="FF0000"/>
          <w:sz w:val="21"/>
          <w:szCs w:val="21"/>
          <w:shd w:val="clear" w:color="auto" w:fill="FFFFFF"/>
        </w:rPr>
        <w:t xml:space="preserve"> </w:t>
      </w:r>
    </w:p>
    <w:p w:rsidR="00A842D0" w:rsidRPr="00A842D0" w:rsidRDefault="00A842D0" w:rsidP="001C3744">
      <w:pPr>
        <w:pStyle w:val="ListParagraph"/>
        <w:numPr>
          <w:ilvl w:val="1"/>
          <w:numId w:val="2"/>
        </w:numPr>
        <w:rPr>
          <w:rFonts w:ascii="Arial" w:eastAsia="Times New Roman" w:hAnsi="Arial" w:cs="Arial"/>
          <w:color w:val="000000"/>
          <w:sz w:val="24"/>
          <w:szCs w:val="24"/>
          <w:shd w:val="clear" w:color="auto" w:fill="FFFFFF"/>
        </w:rPr>
      </w:pP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w:t>
      </w:r>
      <w:r w:rsidRPr="00081C9D">
        <w:rPr>
          <w:rFonts w:ascii="Arial" w:eastAsia="Times New Roman" w:hAnsi="Arial" w:cs="Arial"/>
          <w:bCs/>
          <w:color w:val="252525"/>
          <w:sz w:val="24"/>
          <w:szCs w:val="24"/>
          <w:shd w:val="clear" w:color="auto" w:fill="FFFFFF"/>
        </w:rPr>
        <w:lastRenderedPageBreak/>
        <w:t xml:space="preserve">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lastRenderedPageBreak/>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73B60"/>
    <w:rsid w:val="00185DC4"/>
    <w:rsid w:val="001C3744"/>
    <w:rsid w:val="001C4117"/>
    <w:rsid w:val="001D5F73"/>
    <w:rsid w:val="002039BE"/>
    <w:rsid w:val="0020446A"/>
    <w:rsid w:val="0021415B"/>
    <w:rsid w:val="002247F6"/>
    <w:rsid w:val="002363E7"/>
    <w:rsid w:val="00241FE3"/>
    <w:rsid w:val="00291371"/>
    <w:rsid w:val="00294E88"/>
    <w:rsid w:val="002A7B0D"/>
    <w:rsid w:val="002C543A"/>
    <w:rsid w:val="002F2BD5"/>
    <w:rsid w:val="00323E7C"/>
    <w:rsid w:val="003503AB"/>
    <w:rsid w:val="00353148"/>
    <w:rsid w:val="00360505"/>
    <w:rsid w:val="00373210"/>
    <w:rsid w:val="0038062F"/>
    <w:rsid w:val="003835C6"/>
    <w:rsid w:val="003A4DDF"/>
    <w:rsid w:val="003C6EDA"/>
    <w:rsid w:val="003E3F5F"/>
    <w:rsid w:val="003F280D"/>
    <w:rsid w:val="00400A98"/>
    <w:rsid w:val="004013A7"/>
    <w:rsid w:val="00404111"/>
    <w:rsid w:val="00413D07"/>
    <w:rsid w:val="0043310C"/>
    <w:rsid w:val="00433984"/>
    <w:rsid w:val="00434C3A"/>
    <w:rsid w:val="00436B6D"/>
    <w:rsid w:val="00441516"/>
    <w:rsid w:val="00444758"/>
    <w:rsid w:val="00450914"/>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B25F5"/>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4D96"/>
    <w:rsid w:val="006E7F9A"/>
    <w:rsid w:val="00700D6E"/>
    <w:rsid w:val="00713A20"/>
    <w:rsid w:val="007204F4"/>
    <w:rsid w:val="00721138"/>
    <w:rsid w:val="007215A1"/>
    <w:rsid w:val="0072729E"/>
    <w:rsid w:val="0074110F"/>
    <w:rsid w:val="00751C67"/>
    <w:rsid w:val="0076090A"/>
    <w:rsid w:val="00775CCF"/>
    <w:rsid w:val="00791E62"/>
    <w:rsid w:val="007A25BB"/>
    <w:rsid w:val="007C1191"/>
    <w:rsid w:val="007C42A7"/>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B5809"/>
    <w:rsid w:val="009C1D03"/>
    <w:rsid w:val="009F33C1"/>
    <w:rsid w:val="00A03B44"/>
    <w:rsid w:val="00A12978"/>
    <w:rsid w:val="00A178B0"/>
    <w:rsid w:val="00A260A5"/>
    <w:rsid w:val="00A33F17"/>
    <w:rsid w:val="00A472B9"/>
    <w:rsid w:val="00A82049"/>
    <w:rsid w:val="00A842D0"/>
    <w:rsid w:val="00AD2F62"/>
    <w:rsid w:val="00B24465"/>
    <w:rsid w:val="00B35BCF"/>
    <w:rsid w:val="00B65AA3"/>
    <w:rsid w:val="00B76A05"/>
    <w:rsid w:val="00B826DB"/>
    <w:rsid w:val="00B9762B"/>
    <w:rsid w:val="00BA7875"/>
    <w:rsid w:val="00BB0DCA"/>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E03A00"/>
    <w:rsid w:val="00E05257"/>
    <w:rsid w:val="00E17DE2"/>
    <w:rsid w:val="00E30211"/>
    <w:rsid w:val="00E504BF"/>
    <w:rsid w:val="00E662F3"/>
    <w:rsid w:val="00E828A8"/>
    <w:rsid w:val="00EA2C86"/>
    <w:rsid w:val="00EA30B7"/>
    <w:rsid w:val="00EA39BD"/>
    <w:rsid w:val="00EC3F44"/>
    <w:rsid w:val="00ED700A"/>
    <w:rsid w:val="00EF7D21"/>
    <w:rsid w:val="00F016EF"/>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5F3C-990A-9742-BE48-4492F691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189</cp:revision>
  <dcterms:created xsi:type="dcterms:W3CDTF">2020-05-06T19:29:00Z</dcterms:created>
  <dcterms:modified xsi:type="dcterms:W3CDTF">2020-05-18T14:33:00Z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