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Cousineau, JeAnna R. Redd, Claire D. Gleason, Noura El Habbal, Molly </w:t>
      </w:r>
      <w:r w:rsidR="00547F68">
        <w:rPr>
          <w:rFonts w:ascii="Arial" w:eastAsia="Times New Roman" w:hAnsi="Arial" w:cs="Arial"/>
          <w:color w:val="000000"/>
          <w:sz w:val="24"/>
          <w:szCs w:val="24"/>
        </w:rPr>
        <w:t>E.</w:t>
      </w:r>
      <w:bookmarkStart w:id="0" w:name="_GoBack"/>
      <w:bookmarkEnd w:id="0"/>
      <w:r w:rsidRPr="00081C9D">
        <w:rPr>
          <w:rFonts w:ascii="Arial" w:eastAsia="Times New Roman" w:hAnsi="Arial" w:cs="Arial"/>
          <w:color w:val="000000"/>
          <w:sz w:val="24"/>
          <w:szCs w:val="24"/>
        </w:rPr>
        <w:t xml:space="preserve"> Mulcahy,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floxed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r w:rsidR="00870106" w:rsidRPr="0091174E">
        <w:rPr>
          <w:rFonts w:ascii="Arial" w:hAnsi="Arial" w:cs="Arial"/>
          <w:color w:val="000000"/>
          <w:sz w:val="24"/>
          <w:szCs w:val="24"/>
          <w:shd w:val="clear" w:color="auto" w:fill="FFFFFF"/>
        </w:rPr>
        <w:t>AAV8-TBG.PI.eGFP.WPRE. bGH</w:t>
      </w:r>
      <w:r w:rsidR="00077072" w:rsidRPr="0091174E">
        <w:rPr>
          <w:rFonts w:ascii="Arial" w:eastAsia="Times New Roman" w:hAnsi="Arial" w:cs="Arial"/>
          <w:color w:val="000000"/>
          <w:sz w:val="24"/>
          <w:szCs w:val="24"/>
          <w:shd w:val="clear" w:color="auto" w:fill="FFFFFF"/>
        </w:rPr>
        <w:t>) or C</w:t>
      </w:r>
      <w:r w:rsidR="00FD3879" w:rsidRPr="0091174E">
        <w:rPr>
          <w:rFonts w:ascii="Arial" w:eastAsia="Times New Roman" w:hAnsi="Arial" w:cs="Arial"/>
          <w:color w:val="000000"/>
          <w:sz w:val="24"/>
          <w:szCs w:val="24"/>
          <w:shd w:val="clear" w:color="auto" w:fill="FFFFFF"/>
        </w:rPr>
        <w:t>re</w:t>
      </w:r>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r w:rsidR="0076090A" w:rsidRPr="0091174E">
        <w:rPr>
          <w:rFonts w:ascii="Arial" w:hAnsi="Arial" w:cs="Arial"/>
          <w:color w:val="000000"/>
          <w:sz w:val="24"/>
          <w:szCs w:val="24"/>
          <w:shd w:val="clear" w:color="auto" w:fill="FFFFFF"/>
        </w:rPr>
        <w:t>AAV8.TBG.PPI.Cre.rBG</w:t>
      </w:r>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uL/mg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Lyser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uL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uL of </w:t>
      </w:r>
      <w:r w:rsidR="00FE69D0" w:rsidRPr="0091174E">
        <w:rPr>
          <w:rFonts w:ascii="Arial" w:eastAsia="Times New Roman" w:hAnsi="Arial" w:cs="Arial"/>
          <w:color w:val="252525"/>
          <w:sz w:val="24"/>
          <w:szCs w:val="24"/>
        </w:rPr>
        <w:t xml:space="preserve">ThermoFisher Scientific </w:t>
      </w:r>
      <w:r w:rsidR="00D75AAA" w:rsidRPr="0091174E">
        <w:rPr>
          <w:rFonts w:ascii="Arial" w:eastAsia="Times New Roman" w:hAnsi="Arial" w:cs="Arial"/>
          <w:color w:val="252525"/>
          <w:sz w:val="24"/>
          <w:szCs w:val="24"/>
        </w:rPr>
        <w:t xml:space="preserve">NuPAGE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uL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10 uL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were: total AMPKalpha, AMPKalpha phosphorylated at Thr172, total ACC, ACC phosphorylated at Ser79, total FAS, total S6, 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w:t>
      </w:r>
      <w:r w:rsidR="006D4402" w:rsidRPr="0091174E">
        <w:rPr>
          <w:rFonts w:ascii="Arial" w:eastAsia="Times New Roman" w:hAnsi="Arial" w:cs="Arial"/>
          <w:color w:val="FF0000"/>
          <w:sz w:val="24"/>
          <w:szCs w:val="24"/>
          <w:shd w:val="clear" w:color="auto" w:fill="FFFFFF"/>
        </w:rPr>
        <w:lastRenderedPageBreak/>
        <w:t xml:space="preserve">(All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4 uL of each control sample and 1 uL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uL of R1 was added to each well and incubated for 5 minutes at 37˚C. Next, 90 uL of R2 were added to each well and then placed in the plate reader at 37˚C. </w:t>
      </w:r>
    </w:p>
    <w:p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cryosections were stained with </w:t>
      </w:r>
      <w:r w:rsidRPr="0091174E">
        <w:rPr>
          <w:rFonts w:ascii="Arial" w:eastAsia="Times New Roman" w:hAnsi="Arial" w:cs="Arial"/>
          <w:color w:val="FF0000"/>
          <w:sz w:val="24"/>
          <w:szCs w:val="24"/>
          <w:shd w:val="clear" w:color="auto" w:fill="FFFFFF"/>
        </w:rPr>
        <w:t xml:space="preserve">__??__ according to </w:t>
      </w:r>
      <w:r w:rsidR="00BA7DB7" w:rsidRPr="0091174E">
        <w:rPr>
          <w:rFonts w:ascii="Arial" w:eastAsia="Times New Roman" w:hAnsi="Arial" w:cs="Arial"/>
          <w:color w:val="FF0000"/>
          <w:sz w:val="24"/>
          <w:szCs w:val="24"/>
          <w:shd w:val="clear" w:color="auto" w:fill="FFFFFF"/>
        </w:rPr>
        <w:t>manufacture’s</w:t>
      </w:r>
      <w:r w:rsidRPr="0091174E">
        <w:rPr>
          <w:rFonts w:ascii="Arial" w:eastAsia="Times New Roman" w:hAnsi="Arial" w:cs="Arial"/>
          <w:color w:val="FF0000"/>
          <w:sz w:val="24"/>
          <w:szCs w:val="24"/>
          <w:shd w:val="clear" w:color="auto" w:fill="FFFFFF"/>
        </w:rPr>
        <w:t xml:space="preserve">? protocol.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tests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rsidR="00FB2617" w:rsidRDefault="00FB2617" w:rsidP="0091174E">
      <w:pPr>
        <w:spacing w:line="240" w:lineRule="auto"/>
        <w:contextualSpacing/>
        <w:jc w:val="center"/>
        <w:rPr>
          <w:rFonts w:ascii="Arial" w:eastAsia="Times New Roman" w:hAnsi="Arial" w:cs="Arial"/>
          <w:bCs/>
          <w:sz w:val="24"/>
          <w:szCs w:val="24"/>
          <w:shd w:val="clear" w:color="auto" w:fill="FFFFFF"/>
        </w:rPr>
      </w:pPr>
    </w:p>
    <w:p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Similarly, pACC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pACC,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r w:rsidR="009223E4" w:rsidRPr="0091174E">
        <w:rPr>
          <w:rFonts w:ascii="Arial" w:eastAsia="Times New Roman" w:hAnsi="Arial" w:cs="Arial"/>
          <w:bCs/>
          <w:sz w:val="24"/>
          <w:szCs w:val="24"/>
          <w:shd w:val="clear" w:color="auto" w:fill="FFFFFF"/>
        </w:rPr>
        <w:t xml:space="preserve">pACC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r w:rsidR="00DF0822" w:rsidRPr="00DF0822">
        <w:rPr>
          <w:rFonts w:ascii="Arial" w:eastAsia="Times New Roman" w:hAnsi="Arial" w:cs="Arial"/>
          <w:bCs/>
          <w:color w:val="FF0000"/>
          <w:sz w:val="24"/>
          <w:szCs w:val="24"/>
          <w:shd w:val="clear" w:color="auto" w:fill="FFFFFF"/>
        </w:rPr>
        <w:t>pACC…..(Figure 2A)</w:t>
      </w:r>
    </w:p>
    <w:p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diet </w:t>
      </w:r>
      <w:r w:rsidR="001B4F84" w:rsidRPr="0091174E">
        <w:rPr>
          <w:rFonts w:ascii="Arial" w:eastAsia="Times New Roman" w:hAnsi="Arial" w:cs="Arial"/>
          <w:bCs/>
          <w:sz w:val="24"/>
          <w:szCs w:val="24"/>
          <w:shd w:val="clear" w:color="auto" w:fill="FFFFFF"/>
        </w:rPr>
        <w:t xml:space="preserve"> (Figure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seen between KO and WT on</w:t>
      </w:r>
      <w:r w:rsidR="00921852" w:rsidRPr="0091174E">
        <w:rPr>
          <w:rFonts w:ascii="Arial" w:eastAsia="Times New Roman" w:hAnsi="Arial" w:cs="Arial"/>
          <w:bCs/>
          <w:sz w:val="24"/>
          <w:szCs w:val="24"/>
          <w:shd w:val="clear" w:color="auto" w:fill="FFFFFF"/>
        </w:rPr>
        <w:t xml:space="preserve">  a control diet. </w:t>
      </w:r>
    </w:p>
    <w:p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rsidR="0091174E" w:rsidRDefault="0091174E" w:rsidP="0091174E">
      <w:pPr>
        <w:spacing w:line="240" w:lineRule="auto"/>
        <w:contextualSpacing/>
        <w:jc w:val="center"/>
        <w:rPr>
          <w:rFonts w:ascii="Arial" w:eastAsia="Times New Roman" w:hAnsi="Arial" w:cs="Arial"/>
          <w:bCs/>
          <w:sz w:val="24"/>
          <w:szCs w:val="24"/>
          <w:shd w:val="clear" w:color="auto" w:fill="FFFFFF"/>
        </w:rPr>
      </w:pPr>
    </w:p>
    <w:p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rsidR="00927558" w:rsidRPr="0091174E" w:rsidRDefault="0061467E" w:rsidP="0091174E">
      <w:pPr>
        <w:spacing w:line="240" w:lineRule="auto"/>
        <w:ind w:firstLine="720"/>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1 subunit is essential for maintaining the AMPK heterotrimer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2 subunits in the liver (which led to no detectable liver AMPK activity) did not result in hyperglycemia or increases in HGP. In addition, AICAR continued to 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Importantly, this appears to have functional consequences because, during fasting, a time 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xml:space="preserve">, and reduces triglyceride and intracellular lipid accumulation while increasing CPT1 expression (increasing fatty acid clear-ance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xml:space="preserve">. 2019;12(585). </w:t>
      </w:r>
      <w:r w:rsidRPr="00A81F07">
        <w:rPr>
          <w:rFonts w:ascii="Arial" w:hAnsi="Arial" w:cs="Arial"/>
          <w:noProof/>
          <w:sz w:val="24"/>
        </w:rPr>
        <w:lastRenderedPageBreak/>
        <w:t>doi:10.1126/scisignal.aav3249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3E5449" w:rsidRDefault="003E5449" w:rsidP="003E5449">
      <w:pPr>
        <w:spacing w:line="240" w:lineRule="auto"/>
        <w:rPr>
          <w:rFonts w:ascii="Arial" w:eastAsia="Times New Roman" w:hAnsi="Arial" w:cs="Arial"/>
          <w:b/>
          <w:bCs/>
          <w:color w:val="252525"/>
          <w:sz w:val="24"/>
          <w:szCs w:val="24"/>
          <w:shd w:val="clear" w:color="auto" w:fill="FFFFFF"/>
        </w:rPr>
      </w:pPr>
    </w:p>
    <w:p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r w:rsidR="009A5BF6" w:rsidRPr="00EB1BA1">
        <w:rPr>
          <w:rFonts w:ascii="Arial" w:eastAsia="Times New Roman" w:hAnsi="Arial" w:cs="Arial"/>
          <w:color w:val="000000"/>
          <w:sz w:val="24"/>
          <w:szCs w:val="24"/>
          <w:shd w:val="clear" w:color="auto" w:fill="FFFFFF"/>
        </w:rPr>
        <w:t xml:space="preserve">using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lastRenderedPageBreak/>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A. </w:t>
      </w:r>
      <w:r w:rsidR="00D864A4" w:rsidRPr="003E5449">
        <w:rPr>
          <w:rFonts w:ascii="Arial" w:eastAsia="Times New Roman" w:hAnsi="Arial" w:cs="Arial"/>
          <w:bCs/>
          <w:color w:val="252525"/>
          <w:sz w:val="24"/>
          <w:szCs w:val="24"/>
          <w:shd w:val="clear" w:color="auto" w:fill="FFFFFF"/>
        </w:rPr>
        <w:t xml:space="preserve">Insulin Tolerance Tests (ITT) was performed in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1/2 KO or WT mice by intraperitoneal insulin</w:t>
      </w:r>
      <w:r w:rsidR="003941B5" w:rsidRPr="003E5449">
        <w:rPr>
          <w:rFonts w:ascii="Arial" w:eastAsia="Times New Roman" w:hAnsi="Arial" w:cs="Arial"/>
          <w:bCs/>
          <w:color w:val="252525"/>
          <w:sz w:val="24"/>
          <w:szCs w:val="24"/>
          <w:shd w:val="clear" w:color="auto" w:fill="FFFFFF"/>
        </w:rPr>
        <w:t xml:space="preserve"> injection</w:t>
      </w:r>
      <w:r w:rsidR="009D5AD0" w:rsidRPr="003E5449">
        <w:rPr>
          <w:rFonts w:ascii="Arial" w:eastAsia="Times New Roman" w:hAnsi="Arial" w:cs="Arial"/>
          <w:bCs/>
          <w:color w:val="252525"/>
          <w:sz w:val="24"/>
          <w:szCs w:val="24"/>
          <w:shd w:val="clear" w:color="auto" w:fill="FFFFFF"/>
        </w:rPr>
        <w:t xml:space="preserve"> </w:t>
      </w:r>
      <w:r w:rsidR="009D5AD0" w:rsidRPr="003E5449">
        <w:rPr>
          <w:rFonts w:ascii="Arial" w:eastAsia="Times New Roman" w:hAnsi="Arial" w:cs="Arial"/>
          <w:bCs/>
          <w:color w:val="FF0000"/>
          <w:sz w:val="24"/>
          <w:szCs w:val="24"/>
          <w:shd w:val="clear" w:color="auto" w:fill="FFFFFF"/>
        </w:rPr>
        <w:t>(n=?)</w:t>
      </w:r>
      <w:r w:rsidR="00D864A4" w:rsidRPr="003E5449">
        <w:rPr>
          <w:rFonts w:ascii="Arial" w:eastAsia="Times New Roman" w:hAnsi="Arial" w:cs="Arial"/>
          <w:bCs/>
          <w:color w:val="252525"/>
          <w:sz w:val="24"/>
          <w:szCs w:val="24"/>
          <w:shd w:val="clear" w:color="auto" w:fill="FFFFFF"/>
        </w:rPr>
        <w:t>. Blood glucose was monitored over the cour</w:t>
      </w:r>
      <w:r w:rsidR="00763996" w:rsidRPr="003E5449">
        <w:rPr>
          <w:rFonts w:ascii="Arial" w:eastAsia="Times New Roman" w:hAnsi="Arial" w:cs="Arial"/>
          <w:bCs/>
          <w:color w:val="252525"/>
          <w:sz w:val="24"/>
          <w:szCs w:val="24"/>
          <w:shd w:val="clear" w:color="auto" w:fill="FFFFFF"/>
        </w:rPr>
        <w:t>se</w:t>
      </w:r>
      <w:r w:rsidR="00D864A4" w:rsidRPr="003E5449">
        <w:rPr>
          <w:rFonts w:ascii="Arial" w:eastAsia="Times New Roman" w:hAnsi="Arial" w:cs="Arial"/>
          <w:bCs/>
          <w:color w:val="252525"/>
          <w:sz w:val="24"/>
          <w:szCs w:val="24"/>
          <w:shd w:val="clear" w:color="auto" w:fill="FFFFFF"/>
        </w:rPr>
        <w:t xml:space="preserve"> of 120 minutes</w:t>
      </w:r>
      <w:r w:rsidR="003941B5" w:rsidRPr="003E5449">
        <w:rPr>
          <w:rFonts w:ascii="Arial" w:eastAsia="Times New Roman" w:hAnsi="Arial" w:cs="Arial"/>
          <w:bCs/>
          <w:color w:val="252525"/>
          <w:sz w:val="24"/>
          <w:szCs w:val="24"/>
          <w:shd w:val="clear" w:color="auto" w:fill="FFFFFF"/>
        </w:rPr>
        <w:t xml:space="preserve"> after insulin injection.</w:t>
      </w:r>
    </w:p>
    <w:p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647DD"/>
    <w:rsid w:val="00173B60"/>
    <w:rsid w:val="00173D26"/>
    <w:rsid w:val="00185DC4"/>
    <w:rsid w:val="001926FE"/>
    <w:rsid w:val="001A0C25"/>
    <w:rsid w:val="001A7CCE"/>
    <w:rsid w:val="001B4F84"/>
    <w:rsid w:val="001B5214"/>
    <w:rsid w:val="001C2003"/>
    <w:rsid w:val="001C3744"/>
    <w:rsid w:val="001C4117"/>
    <w:rsid w:val="001D2D0B"/>
    <w:rsid w:val="001D5F73"/>
    <w:rsid w:val="001E2AC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4DDF"/>
    <w:rsid w:val="003C6EDA"/>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00924"/>
    <w:rsid w:val="00513B38"/>
    <w:rsid w:val="00514871"/>
    <w:rsid w:val="00516F4A"/>
    <w:rsid w:val="005228A3"/>
    <w:rsid w:val="0052511C"/>
    <w:rsid w:val="00527958"/>
    <w:rsid w:val="00531B20"/>
    <w:rsid w:val="00536801"/>
    <w:rsid w:val="00540094"/>
    <w:rsid w:val="0054050F"/>
    <w:rsid w:val="00544183"/>
    <w:rsid w:val="00547F68"/>
    <w:rsid w:val="00553760"/>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2E9E"/>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A3B97"/>
    <w:rsid w:val="00AD0E09"/>
    <w:rsid w:val="00AD2F62"/>
    <w:rsid w:val="00AD7353"/>
    <w:rsid w:val="00AE67E0"/>
    <w:rsid w:val="00AF3D31"/>
    <w:rsid w:val="00B0274F"/>
    <w:rsid w:val="00B242DD"/>
    <w:rsid w:val="00B24465"/>
    <w:rsid w:val="00B35BCF"/>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EE5B"/>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A90F4-B5AB-C94D-9777-C27694D0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13179</Words>
  <Characters>75123</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431</cp:revision>
  <dcterms:created xsi:type="dcterms:W3CDTF">2020-05-06T19:29:00Z</dcterms:created>
  <dcterms:modified xsi:type="dcterms:W3CDTF">2020-07-28T14:10:00Z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