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Katherine E. Kistler, Cody M.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Cousineau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JeAnna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R. Redd, Claire D. Gleason,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Noura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El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Habbal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Molly ?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Mulcahy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Detrick Snyder, </w:t>
      </w:r>
      <w:r w:rsidR="00A472B9">
        <w:rPr>
          <w:rFonts w:ascii="Arial" w:eastAsia="Times New Roman" w:hAnsi="Arial" w:cs="Arial"/>
          <w:color w:val="000000"/>
          <w:sz w:val="24"/>
          <w:szCs w:val="24"/>
        </w:rPr>
        <w:t xml:space="preserve">Ken Inoki, 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>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F772BB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</w:p>
    <w:p w:rsidR="006B46F1" w:rsidRDefault="00A82049" w:rsidP="00487286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4"/>
          <w:szCs w:val="24"/>
        </w:rPr>
        <w:t>Mice (C5</w:t>
      </w:r>
      <w:r w:rsidR="00EA39BD">
        <w:rPr>
          <w:rFonts w:ascii="Arial" w:eastAsia="Times New Roman" w:hAnsi="Arial" w:cs="Arial"/>
          <w:color w:val="2E2E2E"/>
          <w:sz w:val="24"/>
          <w:szCs w:val="24"/>
        </w:rPr>
        <w:t xml:space="preserve">7BL6) were housed under controlled temperature and lighting (12-hour light/12-hour dark cycle) with access to water and normal chow </w:t>
      </w:r>
      <w:r w:rsidR="00EA39B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(Lab Diet; 2.91 kcal/g; 5% fat, 24% protein, 2.7% sucrose, 32% starch)</w:t>
      </w:r>
      <w:r w:rsidR="00EA39BD">
        <w:rPr>
          <w:rFonts w:ascii="Arial" w:eastAsia="Times New Roman" w:hAnsi="Arial" w:cs="Arial"/>
          <w:color w:val="2E2E2E"/>
          <w:sz w:val="24"/>
          <w:szCs w:val="24"/>
        </w:rPr>
        <w:t xml:space="preserve">. </w:t>
      </w:r>
      <w:r w:rsidR="00EA39BD" w:rsidRPr="004A1E83">
        <w:rPr>
          <w:rFonts w:ascii="Arial" w:eastAsia="Times New Roman" w:hAnsi="Arial" w:cs="Arial"/>
          <w:color w:val="FF0000"/>
          <w:sz w:val="24"/>
          <w:szCs w:val="24"/>
        </w:rPr>
        <w:t xml:space="preserve">Animal use was in compliance with the Institute of Laboratory Animal Research </w:t>
      </w:r>
      <w:r w:rsidR="00EA39BD" w:rsidRPr="004A1E83">
        <w:rPr>
          <w:rFonts w:ascii="Arial" w:eastAsia="Times New Roman" w:hAnsi="Arial" w:cs="Arial"/>
          <w:b/>
          <w:i/>
          <w:color w:val="FF0000"/>
          <w:sz w:val="24"/>
          <w:szCs w:val="24"/>
        </w:rPr>
        <w:t xml:space="preserve">Guide for the Care and Use of Laboratory Animals </w:t>
      </w:r>
      <w:r w:rsidR="00EA39BD" w:rsidRPr="004A1E83">
        <w:rPr>
          <w:rFonts w:ascii="Arial" w:eastAsia="Times New Roman" w:hAnsi="Arial" w:cs="Arial"/>
          <w:color w:val="FF0000"/>
          <w:sz w:val="24"/>
          <w:szCs w:val="24"/>
        </w:rPr>
        <w:t xml:space="preserve">and approved by the </w:t>
      </w:r>
      <w:r w:rsidR="004A1E83" w:rsidRPr="004A1E83">
        <w:rPr>
          <w:rFonts w:ascii="Arial" w:eastAsia="Times New Roman" w:hAnsi="Arial" w:cs="Arial"/>
          <w:color w:val="FF0000"/>
          <w:sz w:val="24"/>
          <w:szCs w:val="24"/>
        </w:rPr>
        <w:t>University</w:t>
      </w:r>
      <w:r w:rsidR="00EA39BD" w:rsidRPr="004A1E83">
        <w:rPr>
          <w:rFonts w:ascii="Arial" w:eastAsia="Times New Roman" w:hAnsi="Arial" w:cs="Arial"/>
          <w:color w:val="FF0000"/>
          <w:sz w:val="24"/>
          <w:szCs w:val="24"/>
        </w:rPr>
        <w:t xml:space="preserve"> Committee on Use and </w:t>
      </w:r>
      <w:r w:rsidR="004A1E83" w:rsidRPr="004A1E83">
        <w:rPr>
          <w:rFonts w:ascii="Arial" w:eastAsia="Times New Roman" w:hAnsi="Arial" w:cs="Arial"/>
          <w:color w:val="FF0000"/>
          <w:sz w:val="24"/>
          <w:szCs w:val="24"/>
        </w:rPr>
        <w:t xml:space="preserve">Care of Animals </w:t>
      </w:r>
      <w:proofErr w:type="spellStart"/>
      <w:r w:rsidR="004A1E83" w:rsidRPr="004A1E83">
        <w:rPr>
          <w:rFonts w:ascii="Arial" w:eastAsia="Times New Roman" w:hAnsi="Arial" w:cs="Arial"/>
          <w:color w:val="FF0000"/>
          <w:sz w:val="24"/>
          <w:szCs w:val="24"/>
        </w:rPr>
        <w:t>a</w:t>
      </w:r>
      <w:proofErr w:type="spellEnd"/>
      <w:r w:rsidR="004A1E83" w:rsidRPr="004A1E83">
        <w:rPr>
          <w:rFonts w:ascii="Arial" w:eastAsia="Times New Roman" w:hAnsi="Arial" w:cs="Arial"/>
          <w:color w:val="FF0000"/>
          <w:sz w:val="24"/>
          <w:szCs w:val="24"/>
        </w:rPr>
        <w:t xml:space="preserve"> the </w:t>
      </w:r>
      <w:proofErr w:type="spellStart"/>
      <w:r w:rsidR="004A1E83" w:rsidRPr="004A1E83">
        <w:rPr>
          <w:rFonts w:ascii="Arial" w:eastAsia="Times New Roman" w:hAnsi="Arial" w:cs="Arial"/>
          <w:color w:val="FF0000"/>
          <w:sz w:val="24"/>
          <w:szCs w:val="24"/>
        </w:rPr>
        <w:t>Unveristy</w:t>
      </w:r>
      <w:proofErr w:type="spellEnd"/>
      <w:r w:rsidR="004A1E83" w:rsidRPr="004A1E83">
        <w:rPr>
          <w:rFonts w:ascii="Arial" w:eastAsia="Times New Roman" w:hAnsi="Arial" w:cs="Arial"/>
          <w:color w:val="FF0000"/>
          <w:sz w:val="24"/>
          <w:szCs w:val="24"/>
        </w:rPr>
        <w:t xml:space="preserve"> of Michigan. </w:t>
      </w:r>
      <w:r w:rsidR="004A1E83">
        <w:rPr>
          <w:rFonts w:ascii="Arial" w:eastAsia="Times New Roman" w:hAnsi="Arial" w:cs="Arial"/>
          <w:color w:val="2E2E2E"/>
          <w:sz w:val="24"/>
          <w:szCs w:val="24"/>
        </w:rPr>
        <w:t>Mice that</w:t>
      </w:r>
      <w:r w:rsidR="0086639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harbored homozygous, </w:t>
      </w:r>
      <w:proofErr w:type="spellStart"/>
      <w:r w:rsidR="0086639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floxed</w:t>
      </w:r>
      <w:proofErr w:type="spellEnd"/>
      <w:r w:rsidR="0086639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alleles for both AMPK a1 and a2</w:t>
      </w:r>
      <w:r w:rsidR="0086639D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</w:t>
      </w:r>
      <w:r w:rsidR="0048728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generated by S. Morrison </w:t>
      </w:r>
      <w:r w:rsidR="00487286" w:rsidRPr="00A82049">
        <w:rPr>
          <w:color w:val="000000"/>
          <w:shd w:val="clear" w:color="auto" w:fill="FFFFFF"/>
        </w:rPr>
        <w:t>(UT Southwestern Medical Center</w:t>
      </w:r>
      <w:r w:rsidR="00487286">
        <w:rPr>
          <w:color w:val="000000"/>
          <w:shd w:val="clear" w:color="auto" w:fill="FFFFFF"/>
        </w:rPr>
        <w:t>) as described (</w:t>
      </w:r>
      <w:bookmarkStart w:id="0" w:name="_GoBack"/>
      <w:bookmarkEnd w:id="0"/>
      <w:r w:rsidR="00487286">
        <w:rPr>
          <w:color w:val="000000"/>
          <w:shd w:val="clear" w:color="auto" w:fill="FFFFFF"/>
        </w:rPr>
        <w:t xml:space="preserve">) </w:t>
      </w:r>
      <w:r w:rsidR="00D03402">
        <w:rPr>
          <w:color w:val="000000"/>
          <w:shd w:val="clear" w:color="auto" w:fill="FFFFFF"/>
        </w:rPr>
        <w:t xml:space="preserve">and shared by K. Inoki (University of Michigan Medical School). 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To produce liver-specific 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</w:t>
      </w:r>
      <w:r w:rsidR="00FD3879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1/2 knockout mice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>,</w:t>
      </w:r>
      <w:r w:rsidR="0086639D">
        <w:rPr>
          <w:rFonts w:ascii="Arial" w:eastAsia="Times New Roman" w:hAnsi="Arial" w:cs="Arial"/>
          <w:color w:val="2E2E2E"/>
          <w:sz w:val="24"/>
          <w:szCs w:val="24"/>
        </w:rPr>
        <w:t xml:space="preserve"> at 70 days old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 </w:t>
      </w:r>
      <w:r w:rsidR="0086639D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these mice were</w:t>
      </w:r>
      <w:r w:rsidR="0072729E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21415B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with adeno-associated virus expressing either GFP (</w:t>
      </w:r>
      <w:r w:rsidR="00870106" w:rsidRPr="00A82049">
        <w:rPr>
          <w:color w:val="000000"/>
          <w:shd w:val="clear" w:color="auto" w:fill="FFFFFF"/>
        </w:rPr>
        <w:t xml:space="preserve">AAV8-TBG.PI.eGFP.WPRE. </w:t>
      </w:r>
      <w:proofErr w:type="spellStart"/>
      <w:r w:rsidR="00870106" w:rsidRPr="00A82049">
        <w:rPr>
          <w:color w:val="000000"/>
          <w:shd w:val="clear" w:color="auto" w:fill="FFFFFF"/>
        </w:rPr>
        <w:t>bGH</w:t>
      </w:r>
      <w:proofErr w:type="spellEnd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) or </w:t>
      </w:r>
      <w:proofErr w:type="spellStart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</w:t>
      </w:r>
      <w:r w:rsidR="00FD387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</w:t>
      </w:r>
      <w:proofErr w:type="spellEnd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="00870106" w:rsidRPr="00A82049">
        <w:rPr>
          <w:color w:val="000000"/>
          <w:shd w:val="clear" w:color="auto" w:fill="FFFFFF"/>
        </w:rPr>
        <w:t>AAV8.TBG.PPI.Cre.rBG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) recombinase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 a liver-</w:t>
      </w:r>
      <w:r w:rsidR="00F772BB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specific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TBG promoter </w:t>
      </w:r>
      <w:r w:rsidR="00B9762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r w:rsidR="00B9762B" w:rsidRPr="00A82049">
        <w:rPr>
          <w:color w:val="000000"/>
          <w:shd w:val="clear" w:color="auto" w:fill="FFFFFF"/>
        </w:rPr>
        <w:t>1.5 × 10 to 10 plaque-forming units per mouse</w:t>
      </w:r>
      <w:r w:rsidR="00B9762B">
        <w:rPr>
          <w:color w:val="000000"/>
          <w:shd w:val="clear" w:color="auto" w:fill="FFFFFF"/>
        </w:rPr>
        <w:t>)</w:t>
      </w:r>
      <w:r w:rsidR="008F4740">
        <w:rPr>
          <w:color w:val="000000"/>
          <w:shd w:val="clear" w:color="auto" w:fill="FFFFFF"/>
        </w:rPr>
        <w:t xml:space="preserve">. </w:t>
      </w:r>
    </w:p>
    <w:p w:rsidR="00FD3879" w:rsidRDefault="00FD3879" w:rsidP="00FD3879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A82049">
        <w:rPr>
          <w:color w:val="000000"/>
          <w:shd w:val="clear" w:color="auto" w:fill="FFFFFF"/>
        </w:rPr>
        <w:t xml:space="preserve">AAV-GFP (AAV8-TBG.PI.eGFP.WPRE. </w:t>
      </w:r>
      <w:proofErr w:type="spellStart"/>
      <w:r w:rsidRPr="00A82049">
        <w:rPr>
          <w:color w:val="000000"/>
          <w:shd w:val="clear" w:color="auto" w:fill="FFFFFF"/>
        </w:rPr>
        <w:t>bGH</w:t>
      </w:r>
      <w:proofErr w:type="spellEnd"/>
      <w:r w:rsidRPr="00A82049">
        <w:rPr>
          <w:color w:val="000000"/>
          <w:shd w:val="clear" w:color="auto" w:fill="FFFFFF"/>
        </w:rPr>
        <w:t>) or AAV-</w:t>
      </w:r>
      <w:proofErr w:type="spellStart"/>
      <w:r w:rsidRPr="00A82049">
        <w:rPr>
          <w:color w:val="000000"/>
          <w:shd w:val="clear" w:color="auto" w:fill="FFFFFF"/>
        </w:rPr>
        <w:t>Cre</w:t>
      </w:r>
      <w:proofErr w:type="spellEnd"/>
      <w:r w:rsidRPr="00A82049">
        <w:rPr>
          <w:color w:val="000000"/>
          <w:shd w:val="clear" w:color="auto" w:fill="FFFFFF"/>
        </w:rPr>
        <w:t xml:space="preserve"> (AAV8.TBG.PPI.Cre.rBG) (1.5 × 10 to 10 plaque-forming units per mouse) (Penn Vector Core).</w:t>
      </w:r>
      <w:r w:rsidRPr="00A82049">
        <w:rPr>
          <w:rStyle w:val="apple-converted-space"/>
          <w:color w:val="000000"/>
          <w:shd w:val="clear" w:color="auto" w:fill="FFFFFF"/>
        </w:rPr>
        <w:t> </w:t>
      </w:r>
    </w:p>
    <w:p w:rsidR="00A82049" w:rsidRDefault="00A82049" w:rsidP="00A82049">
      <w:pPr>
        <w:pStyle w:val="ListParagraph"/>
        <w:numPr>
          <w:ilvl w:val="0"/>
          <w:numId w:val="2"/>
        </w:numPr>
      </w:pPr>
      <w:r>
        <w:rPr>
          <w:color w:val="000000"/>
          <w:shd w:val="clear" w:color="auto" w:fill="FFFFFF"/>
        </w:rPr>
        <w:t>“</w:t>
      </w:r>
      <w:r w:rsidRPr="00A82049">
        <w:rPr>
          <w:color w:val="000000"/>
          <w:shd w:val="clear" w:color="auto" w:fill="FFFFFF"/>
        </w:rPr>
        <w:t>Mice (C57BL6) were housed in a specific pathogen-free facility with a 12-hour light/12-hour dark cycle and given free access to food and water. All animal use was in compliance with the Institute of Laboratory Animal Research</w:t>
      </w:r>
      <w:r w:rsidRPr="00A82049">
        <w:rPr>
          <w:rStyle w:val="apple-converted-space"/>
          <w:color w:val="000000"/>
          <w:shd w:val="clear" w:color="auto" w:fill="FFFFFF"/>
        </w:rPr>
        <w:t> </w:t>
      </w:r>
      <w:r w:rsidRPr="00A82049">
        <w:rPr>
          <w:rStyle w:val="Emphasis"/>
          <w:color w:val="000000"/>
        </w:rPr>
        <w:t>Guide for the Care and Use of Laboratory Animals</w:t>
      </w:r>
      <w:r w:rsidRPr="00A82049">
        <w:rPr>
          <w:rStyle w:val="apple-converted-space"/>
          <w:color w:val="000000"/>
          <w:shd w:val="clear" w:color="auto" w:fill="FFFFFF"/>
        </w:rPr>
        <w:t> </w:t>
      </w:r>
      <w:r w:rsidRPr="00A82049">
        <w:rPr>
          <w:color w:val="000000"/>
          <w:shd w:val="clear" w:color="auto" w:fill="FFFFFF"/>
        </w:rPr>
        <w:t xml:space="preserve">and approved by the University Committee on Use and Care of Animals at the University of Michigan. Mice bearing </w:t>
      </w:r>
      <w:proofErr w:type="spellStart"/>
      <w:r w:rsidRPr="00A82049">
        <w:rPr>
          <w:color w:val="000000"/>
          <w:shd w:val="clear" w:color="auto" w:fill="FFFFFF"/>
        </w:rPr>
        <w:t>floxed</w:t>
      </w:r>
      <w:proofErr w:type="spellEnd"/>
      <w:r w:rsidRPr="00A82049">
        <w:rPr>
          <w:color w:val="000000"/>
          <w:shd w:val="clear" w:color="auto" w:fill="FFFFFF"/>
        </w:rPr>
        <w:t xml:space="preserve"> AMPKα1 and AMPKα2 (</w:t>
      </w:r>
      <w:r w:rsidRPr="00A82049">
        <w:rPr>
          <w:rStyle w:val="Emphasis"/>
          <w:color w:val="000000"/>
        </w:rPr>
        <w:t>AMPK</w:t>
      </w:r>
      <w:r w:rsidRPr="00A82049">
        <w:rPr>
          <w:color w:val="000000"/>
          <w:shd w:val="clear" w:color="auto" w:fill="FFFFFF"/>
        </w:rPr>
        <w:t>α</w:t>
      </w:r>
      <w:r w:rsidRPr="00A82049">
        <w:rPr>
          <w:rStyle w:val="apple-converted-space"/>
          <w:color w:val="000000"/>
          <w:shd w:val="clear" w:color="auto" w:fill="FFFFFF"/>
        </w:rPr>
        <w:t> </w:t>
      </w:r>
      <w:r w:rsidRPr="00A82049">
        <w:rPr>
          <w:rStyle w:val="Emphasis"/>
          <w:color w:val="000000"/>
        </w:rPr>
        <w:t>f/f</w:t>
      </w:r>
      <w:r w:rsidRPr="00A82049">
        <w:rPr>
          <w:color w:val="000000"/>
          <w:shd w:val="clear" w:color="auto" w:fill="FFFFFF"/>
        </w:rPr>
        <w:t>), generated by S. Morrison (UT Southwestern Medical Center) as described (</w:t>
      </w:r>
      <w:hyperlink r:id="rId6" w:anchor="R56" w:history="1">
        <w:r w:rsidRPr="00A82049">
          <w:rPr>
            <w:rStyle w:val="Hyperlink"/>
            <w:color w:val="642A8F"/>
          </w:rPr>
          <w:t>56</w:t>
        </w:r>
      </w:hyperlink>
      <w:r w:rsidRPr="00A82049">
        <w:rPr>
          <w:color w:val="000000"/>
          <w:shd w:val="clear" w:color="auto" w:fill="FFFFFF"/>
        </w:rPr>
        <w:t xml:space="preserve">) and shared by K. Inoki (University of Michigan Medical School), were injected through the tail vein with AAV-GFP (AAV8-TBG.PI.eGFP.WPRE. </w:t>
      </w:r>
      <w:proofErr w:type="spellStart"/>
      <w:r w:rsidRPr="00A82049">
        <w:rPr>
          <w:color w:val="000000"/>
          <w:shd w:val="clear" w:color="auto" w:fill="FFFFFF"/>
        </w:rPr>
        <w:t>bGH</w:t>
      </w:r>
      <w:proofErr w:type="spellEnd"/>
      <w:r w:rsidRPr="00A82049">
        <w:rPr>
          <w:color w:val="000000"/>
          <w:shd w:val="clear" w:color="auto" w:fill="FFFFFF"/>
        </w:rPr>
        <w:t>) or AAV-</w:t>
      </w:r>
      <w:proofErr w:type="spellStart"/>
      <w:r w:rsidRPr="00A82049">
        <w:rPr>
          <w:color w:val="000000"/>
          <w:shd w:val="clear" w:color="auto" w:fill="FFFFFF"/>
        </w:rPr>
        <w:t>Cre</w:t>
      </w:r>
      <w:proofErr w:type="spellEnd"/>
      <w:r w:rsidRPr="00A82049">
        <w:rPr>
          <w:color w:val="000000"/>
          <w:shd w:val="clear" w:color="auto" w:fill="FFFFFF"/>
        </w:rPr>
        <w:t xml:space="preserve"> (AAV8.TBG.PPI.Cre.rBG) (1.5 × 10 to 10 plaque-forming units per mouse) (Penn Vector Core).</w:t>
      </w:r>
      <w:r w:rsidRPr="00A82049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</w:rPr>
        <w:t>“</w:t>
      </w:r>
    </w:p>
    <w:p w:rsidR="00A82049" w:rsidRDefault="00A82049" w:rsidP="009B580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EA2C86" w:rsidRDefault="00EA2C86" w:rsidP="00EA2C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Animals</w:t>
      </w:r>
    </w:p>
    <w:p w:rsidR="00EC3F44" w:rsidRPr="00A472B9" w:rsidRDefault="00EA2C86" w:rsidP="00A472B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Control and KO mice were born in the animal facility and studied at 70 days of age. Animals were housed under control temperature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(21C)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and lighting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[12-h light (0700-1900 h), 12 h dark (1900h to 077 h]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free access to water and normal chow diet (Lab Diet; 2.91 kcal/g; 5% fat, 24% protein, 2.7% sucrose, 32% starch). </w:t>
      </w:r>
      <w:r w:rsidR="00B35BC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All procedures were performed in accordance </w:t>
      </w:r>
      <w:r w:rsidR="00B35BC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 xml:space="preserve">with the principles and guidelines established by the </w:t>
      </w:r>
      <w:r w:rsidR="00B35BC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_________?</w:t>
      </w:r>
      <w:r w:rsidR="00E504B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74110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(</w:t>
      </w:r>
      <w:proofErr w:type="spellStart"/>
      <w:r w:rsidR="00F52A3B" w:rsidRPr="00472769">
        <w:rPr>
          <w:rFonts w:ascii="Times New Roman" w:hAnsi="Times New Roman" w:cs="Times New Roman"/>
          <w:color w:val="FF0000"/>
        </w:rPr>
        <w:t>Andreelli</w:t>
      </w:r>
      <w:proofErr w:type="spellEnd"/>
      <w:r w:rsidR="00F52A3B" w:rsidRPr="00472769">
        <w:rPr>
          <w:rFonts w:ascii="Times New Roman" w:hAnsi="Times New Roman" w:cs="Times New Roman"/>
          <w:color w:val="FF0000"/>
        </w:rPr>
        <w:t xml:space="preserve"> et al. 2006 </w:t>
      </w:r>
      <w:r w:rsidR="0074110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- 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Liver Adenosine Monophosphate-Activated Kinase-_2</w:t>
      </w:r>
      <w:r w:rsidR="00472769">
        <w:rPr>
          <w:rFonts w:ascii="Arial" w:hAnsi="Arial" w:cs="Arial"/>
          <w:color w:val="FF0000"/>
          <w:sz w:val="24"/>
          <w:szCs w:val="24"/>
        </w:rPr>
        <w:t>…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)</w:t>
      </w:r>
    </w:p>
    <w:p w:rsidR="00484D62" w:rsidRDefault="000D721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Making Liver lysates</w:t>
      </w:r>
    </w:p>
    <w:p w:rsidR="00700D6E" w:rsidRPr="00E05257" w:rsidRDefault="00BB0DCA" w:rsidP="00E05257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After harvesting liver fr</w:t>
      </w:r>
      <w:r w:rsidR="004447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 mice, livers were placed in an </w:t>
      </w:r>
      <w:proofErr w:type="spellStart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eppendorf</w:t>
      </w:r>
      <w:proofErr w:type="spellEnd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tube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in liquid nitrogen to freeze. Frozen tissue samples were cut using dry ice to 20-50 mg of tissue per sample. 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20 </w:t>
      </w:r>
      <w:proofErr w:type="spellStart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uL</w:t>
      </w:r>
      <w:proofErr w:type="spellEnd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/mg of RIPA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buffer </w:t>
      </w:r>
      <w:r w:rsidR="006333A8" w:rsidRPr="006333A8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(from where?) 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was added to each sample and they were h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omogenize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d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using Qiagen Tissue </w:t>
      </w:r>
      <w:proofErr w:type="spellStart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Lyser</w:t>
      </w:r>
      <w:proofErr w:type="spellEnd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(3 min at 25Hz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). </w:t>
      </w:r>
      <w:r w:rsidR="00700D6E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Samples were </w:t>
      </w:r>
      <w:r w:rsidR="00700D6E">
        <w:rPr>
          <w:rFonts w:ascii="Arial" w:eastAsia="Times New Roman" w:hAnsi="Arial" w:cs="Arial"/>
          <w:color w:val="252525"/>
          <w:sz w:val="21"/>
          <w:szCs w:val="21"/>
        </w:rPr>
        <w:t>c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>entrifuge</w:t>
      </w:r>
      <w:r w:rsidR="00700D6E">
        <w:rPr>
          <w:rFonts w:ascii="Arial" w:eastAsia="Times New Roman" w:hAnsi="Arial" w:cs="Arial"/>
          <w:color w:val="252525"/>
          <w:sz w:val="21"/>
          <w:szCs w:val="21"/>
        </w:rPr>
        <w:t>d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 xml:space="preserve"> at 1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>4,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>000 RPM at 4C for 10 min</w:t>
      </w:r>
      <w:r w:rsidR="0020446A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r w:rsidR="003E3F5F">
        <w:rPr>
          <w:rFonts w:ascii="Arial" w:eastAsia="Times New Roman" w:hAnsi="Arial" w:cs="Arial"/>
          <w:color w:val="252525"/>
          <w:sz w:val="21"/>
          <w:szCs w:val="21"/>
        </w:rPr>
        <w:t xml:space="preserve">160 </w:t>
      </w:r>
      <w:proofErr w:type="spellStart"/>
      <w:r w:rsidR="003E3F5F">
        <w:rPr>
          <w:rFonts w:ascii="Arial" w:eastAsia="Times New Roman" w:hAnsi="Arial" w:cs="Arial"/>
          <w:color w:val="252525"/>
          <w:sz w:val="21"/>
          <w:szCs w:val="21"/>
        </w:rPr>
        <w:t>uL</w:t>
      </w:r>
      <w:proofErr w:type="spellEnd"/>
      <w:r w:rsidR="003E3F5F">
        <w:rPr>
          <w:rFonts w:ascii="Arial" w:eastAsia="Times New Roman" w:hAnsi="Arial" w:cs="Arial"/>
          <w:color w:val="252525"/>
          <w:sz w:val="21"/>
          <w:szCs w:val="21"/>
        </w:rPr>
        <w:t xml:space="preserve"> of </w:t>
      </w:r>
      <w:r w:rsidR="00D37D8D">
        <w:rPr>
          <w:rFonts w:ascii="Arial" w:eastAsia="Times New Roman" w:hAnsi="Arial" w:cs="Arial"/>
          <w:color w:val="252525"/>
          <w:sz w:val="21"/>
          <w:szCs w:val="21"/>
        </w:rPr>
        <w:t>supernatant</w:t>
      </w:r>
      <w:r w:rsidR="0020446A">
        <w:rPr>
          <w:rFonts w:ascii="Arial" w:eastAsia="Times New Roman" w:hAnsi="Arial" w:cs="Arial"/>
          <w:color w:val="252525"/>
          <w:sz w:val="21"/>
          <w:szCs w:val="21"/>
        </w:rPr>
        <w:t xml:space="preserve"> was removed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and 40 </w:t>
      </w:r>
      <w:proofErr w:type="spellStart"/>
      <w:r w:rsidR="00C12504">
        <w:rPr>
          <w:rFonts w:ascii="Arial" w:eastAsia="Times New Roman" w:hAnsi="Arial" w:cs="Arial"/>
          <w:color w:val="252525"/>
          <w:sz w:val="21"/>
          <w:szCs w:val="21"/>
        </w:rPr>
        <w:t>uL</w:t>
      </w:r>
      <w:proofErr w:type="spellEnd"/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 of </w:t>
      </w:r>
      <w:proofErr w:type="spellStart"/>
      <w:r w:rsidR="00FE69D0">
        <w:rPr>
          <w:rFonts w:ascii="Arial" w:eastAsia="Times New Roman" w:hAnsi="Arial" w:cs="Arial"/>
          <w:color w:val="252525"/>
          <w:sz w:val="21"/>
          <w:szCs w:val="21"/>
        </w:rPr>
        <w:t>ThermoFisher</w:t>
      </w:r>
      <w:proofErr w:type="spellEnd"/>
      <w:r w:rsidR="00FE69D0">
        <w:rPr>
          <w:rFonts w:ascii="Arial" w:eastAsia="Times New Roman" w:hAnsi="Arial" w:cs="Arial"/>
          <w:color w:val="252525"/>
          <w:sz w:val="21"/>
          <w:szCs w:val="21"/>
        </w:rPr>
        <w:t xml:space="preserve"> Scientific </w:t>
      </w:r>
      <w:proofErr w:type="spellStart"/>
      <w:r w:rsidR="00D75AAA">
        <w:rPr>
          <w:rFonts w:ascii="Arial" w:eastAsia="Times New Roman" w:hAnsi="Arial" w:cs="Arial"/>
          <w:color w:val="252525"/>
          <w:sz w:val="21"/>
          <w:szCs w:val="21"/>
        </w:rPr>
        <w:t>NuPAGE</w:t>
      </w:r>
      <w:proofErr w:type="spellEnd"/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 sample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>reducing agent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 (10x)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and 200 </w:t>
      </w:r>
      <w:proofErr w:type="spellStart"/>
      <w:r w:rsidR="00C12504">
        <w:rPr>
          <w:rFonts w:ascii="Arial" w:eastAsia="Times New Roman" w:hAnsi="Arial" w:cs="Arial"/>
          <w:color w:val="252525"/>
          <w:sz w:val="21"/>
          <w:szCs w:val="21"/>
        </w:rPr>
        <w:t>uL</w:t>
      </w:r>
      <w:proofErr w:type="spellEnd"/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 of </w:t>
      </w:r>
      <w:r w:rsidR="00FE69D0">
        <w:rPr>
          <w:rFonts w:ascii="Arial" w:eastAsia="Times New Roman" w:hAnsi="Arial" w:cs="Arial"/>
          <w:color w:val="252525"/>
          <w:sz w:val="21"/>
          <w:szCs w:val="21"/>
        </w:rPr>
        <w:t xml:space="preserve">Fisher Scientific 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Tris-Glycine SDS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sample buffer 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(2X)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>w</w:t>
      </w:r>
      <w:r w:rsidR="006333A8">
        <w:rPr>
          <w:rFonts w:ascii="Arial" w:eastAsia="Times New Roman" w:hAnsi="Arial" w:cs="Arial"/>
          <w:color w:val="252525"/>
          <w:sz w:val="21"/>
          <w:szCs w:val="21"/>
        </w:rPr>
        <w:t>ere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 added. </w:t>
      </w:r>
      <w:r w:rsidR="00A33F17">
        <w:rPr>
          <w:rFonts w:ascii="Arial" w:eastAsia="Times New Roman" w:hAnsi="Arial" w:cs="Arial"/>
          <w:color w:val="252525"/>
          <w:sz w:val="21"/>
          <w:szCs w:val="21"/>
        </w:rPr>
        <w:t>Samples were h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>eat</w:t>
      </w:r>
      <w:r w:rsidR="00A33F17">
        <w:rPr>
          <w:rFonts w:ascii="Arial" w:eastAsia="Times New Roman" w:hAnsi="Arial" w:cs="Arial"/>
          <w:color w:val="252525"/>
          <w:sz w:val="21"/>
          <w:szCs w:val="21"/>
        </w:rPr>
        <w:t>ed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 xml:space="preserve"> with loading buffer at 85</w:t>
      </w:r>
      <w:r w:rsidR="003F280D">
        <w:rPr>
          <w:rFonts w:ascii="Arial" w:eastAsia="Times New Roman" w:hAnsi="Arial" w:cs="Arial"/>
          <w:color w:val="252525"/>
          <w:sz w:val="21"/>
          <w:szCs w:val="21"/>
        </w:rPr>
        <w:t>C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 xml:space="preserve"> for 2 mins</w:t>
      </w:r>
      <w:r w:rsidR="00DB67D0">
        <w:rPr>
          <w:rFonts w:ascii="Arial" w:eastAsia="Times New Roman" w:hAnsi="Arial" w:cs="Arial"/>
          <w:color w:val="252525"/>
          <w:sz w:val="21"/>
          <w:szCs w:val="21"/>
        </w:rPr>
        <w:t xml:space="preserve"> and then snap frozen </w:t>
      </w:r>
      <w:r w:rsidR="00400A98">
        <w:rPr>
          <w:rFonts w:ascii="Arial" w:eastAsia="Times New Roman" w:hAnsi="Arial" w:cs="Arial"/>
          <w:color w:val="252525"/>
          <w:sz w:val="21"/>
          <w:szCs w:val="21"/>
        </w:rPr>
        <w:t>to</w:t>
      </w:r>
      <w:r w:rsidR="00DB67D0">
        <w:rPr>
          <w:rFonts w:ascii="Arial" w:eastAsia="Times New Roman" w:hAnsi="Arial" w:cs="Arial"/>
          <w:color w:val="252525"/>
          <w:sz w:val="21"/>
          <w:szCs w:val="21"/>
        </w:rPr>
        <w:t xml:space="preserve"> -80</w:t>
      </w:r>
      <w:r w:rsidR="003F280D">
        <w:rPr>
          <w:rFonts w:ascii="Arial" w:eastAsia="Times New Roman" w:hAnsi="Arial" w:cs="Arial"/>
          <w:color w:val="252525"/>
          <w:sz w:val="21"/>
          <w:szCs w:val="21"/>
        </w:rPr>
        <w:t>˚ F.</w:t>
      </w:r>
      <w:r w:rsidR="00E05257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0D7218" w:rsidRDefault="000D7218" w:rsidP="000D7218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Western Blots</w:t>
      </w:r>
    </w:p>
    <w:p w:rsidR="00652AFF" w:rsidRPr="00CF4BA0" w:rsidRDefault="00E05257" w:rsidP="00CF4BA0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Liver lysate samples were boiled for 3 minutes at 85˚C using a heating block.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10 </w:t>
      </w:r>
      <w:proofErr w:type="spellStart"/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uL</w:t>
      </w:r>
      <w:proofErr w:type="spellEnd"/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of 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ampl</w:t>
      </w:r>
      <w:r w:rsidR="00C8725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es were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placed in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B76A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Fisher Scientific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15 well, 4-12% Tris-glycine, 1.0 MM mini protein gel in 1x SDS running buffer</w:t>
      </w:r>
      <w:r w:rsidR="00854154" w:rsidRPr="0085415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 at 125 Volts until samples and ladder reach the bottom of the gel</w:t>
      </w:r>
      <w:r w:rsidR="0085415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D75AA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Protein was transferred to nitrocellulose paper from the gel u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sing a Bio-Rad Transfer Apparatus in 1X transfer buffer diluted with </w:t>
      </w:r>
      <w:r w:rsidR="005572C7" w:rsidRP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10X with water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</w:t>
      </w:r>
      <w:r w:rsidR="005572C7" w:rsidRP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20% methanol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Transfer occurred overnight at 35V. Nitrocellulose paper was stained for total protein using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LI-COR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Revert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Total Protein Stain for 5 minutes</w:t>
      </w:r>
      <w:r w:rsidR="00961C21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rinsed twice </w:t>
      </w:r>
      <w:r w:rsidR="00044F0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in </w:t>
      </w:r>
      <w:r w:rsidR="0003354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LI-COR </w:t>
      </w:r>
      <w:r w:rsidR="00961C21" w:rsidRPr="00961C21">
        <w:rPr>
          <w:rFonts w:ascii="Arial" w:eastAsia="Times New Roman" w:hAnsi="Arial" w:cs="Arial"/>
          <w:color w:val="252525"/>
          <w:sz w:val="21"/>
          <w:szCs w:val="21"/>
        </w:rPr>
        <w:t>revert wash solution</w:t>
      </w:r>
      <w:r w:rsidR="00C77779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>The blot was scanned for total protein using the L</w:t>
      </w:r>
      <w:r w:rsidR="002C543A">
        <w:rPr>
          <w:rFonts w:ascii="Arial" w:eastAsia="Times New Roman" w:hAnsi="Arial" w:cs="Arial"/>
          <w:color w:val="252525"/>
          <w:sz w:val="21"/>
          <w:szCs w:val="21"/>
        </w:rPr>
        <w:t>I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>-C</w:t>
      </w:r>
      <w:r w:rsidR="002C543A">
        <w:rPr>
          <w:rFonts w:ascii="Arial" w:eastAsia="Times New Roman" w:hAnsi="Arial" w:cs="Arial"/>
          <w:color w:val="252525"/>
          <w:sz w:val="21"/>
          <w:szCs w:val="21"/>
        </w:rPr>
        <w:t>OR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2247F6" w:rsidRPr="002247F6">
        <w:rPr>
          <w:rFonts w:ascii="Arial" w:eastAsia="Times New Roman" w:hAnsi="Arial" w:cs="Arial"/>
          <w:color w:val="FF0000"/>
          <w:sz w:val="21"/>
          <w:szCs w:val="21"/>
        </w:rPr>
        <w:t>(model?)</w:t>
      </w:r>
      <w:r w:rsidR="009C1D03">
        <w:rPr>
          <w:rFonts w:ascii="Arial" w:eastAsia="Times New Roman" w:hAnsi="Arial" w:cs="Arial"/>
          <w:sz w:val="21"/>
          <w:szCs w:val="21"/>
        </w:rPr>
        <w:t xml:space="preserve">.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N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itrocellulose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was then rinsed 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in </w:t>
      </w:r>
      <w:r w:rsidR="002C543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LI-COR 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revert reversal solution for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5 minutes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then rinsed </w:t>
      </w:r>
      <w:r w:rsidR="00652AFF" w:rsidRP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in 2% BSA (2g BSA in 100ml TBST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)</w:t>
      </w:r>
      <w:r w:rsidR="00436B6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for 1 hour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2A7B0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The blots were incubated in primary antibody </w:t>
      </w:r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(list of </w:t>
      </w:r>
      <w:proofErr w:type="spellStart"/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anibodies</w:t>
      </w:r>
      <w:proofErr w:type="spellEnd"/>
      <w:r w:rsidR="00454811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and dilutions</w:t>
      </w:r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?)</w:t>
      </w:r>
      <w:r w:rsid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2A7B0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for greater than 1 hour and washed every 5 minutes for 15 minutes using TBST. </w:t>
      </w:r>
      <w:r w:rsidR="0045481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Blots were incubated with </w:t>
      </w:r>
      <w:r w:rsidR="00434C3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10,000x </w:t>
      </w:r>
      <w:r w:rsidR="0029137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secondary antibody </w:t>
      </w:r>
      <w:r w:rsidR="00434C3A" w:rsidRPr="00434C3A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(list both of them)</w:t>
      </w:r>
      <w:r w:rsidR="00434C3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for 45 minutes</w:t>
      </w:r>
      <w:r w:rsidR="0060538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 washed every 5 minutes for 15 minutes with TBST </w:t>
      </w:r>
      <w:r w:rsidR="00C759D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and rinsed with double distilled water. </w:t>
      </w:r>
      <w:r w:rsidR="00953BE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Blots were scanned using LI-COR </w:t>
      </w:r>
      <w:r w:rsidR="00953BEC" w:rsidRPr="00373210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(model) </w:t>
      </w:r>
      <w:r w:rsidR="00953BE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and normalized using total revert stain. </w:t>
      </w:r>
    </w:p>
    <w:p w:rsidR="009C1D03" w:rsidRPr="00F71DF9" w:rsidRDefault="009C1D03" w:rsidP="009C1D03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5572C7" w:rsidRPr="00D75AAA" w:rsidRDefault="005572C7" w:rsidP="00D75AA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E05257" w:rsidRDefault="00E05257" w:rsidP="00E05257">
      <w:pPr>
        <w:pStyle w:val="Heading1"/>
        <w:textAlignment w:val="baseline"/>
        <w:rPr>
          <w:rFonts w:ascii="Helvetica" w:hAnsi="Helvetica"/>
          <w:color w:val="2B2B2B"/>
        </w:rPr>
      </w:pPr>
      <w:r>
        <w:rPr>
          <w:rFonts w:ascii="Helvetica" w:hAnsi="Helvetica"/>
          <w:color w:val="2B2B2B"/>
        </w:rPr>
        <w:t>Invitrogen™ </w:t>
      </w:r>
      <w:proofErr w:type="spellStart"/>
      <w:r>
        <w:rPr>
          <w:rFonts w:ascii="Helvetica" w:hAnsi="Helvetica"/>
          <w:color w:val="2B2B2B"/>
        </w:rPr>
        <w:t>Novex</w:t>
      </w:r>
      <w:proofErr w:type="spellEnd"/>
      <w:r>
        <w:rPr>
          <w:rFonts w:ascii="Helvetica" w:hAnsi="Helvetica"/>
          <w:color w:val="2B2B2B"/>
        </w:rPr>
        <w:t xml:space="preserve">™ </w:t>
      </w:r>
      <w:proofErr w:type="spellStart"/>
      <w:r>
        <w:rPr>
          <w:rFonts w:ascii="Helvetica" w:hAnsi="Helvetica"/>
          <w:color w:val="2B2B2B"/>
        </w:rPr>
        <w:t>WedgeWell</w:t>
      </w:r>
      <w:proofErr w:type="spellEnd"/>
      <w:r>
        <w:rPr>
          <w:rFonts w:ascii="Helvetica" w:hAnsi="Helvetica"/>
          <w:color w:val="2B2B2B"/>
        </w:rPr>
        <w:t>™ 4 to 12%, Tris-Glycine, 1.0 mm, Mini Protein Gel, 15-well</w:t>
      </w:r>
    </w:p>
    <w:p w:rsidR="00E05257" w:rsidRPr="00700D6E" w:rsidRDefault="00E05257" w:rsidP="00E05257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700D6E" w:rsidRPr="00BB0DCA" w:rsidRDefault="00700D6E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Pr="00BB0DCA" w:rsidRDefault="00BB0DCA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Pr="00BB0DCA" w:rsidRDefault="00BB0DCA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Default="00BB0DCA" w:rsidP="0072113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904B08" w:rsidRDefault="00904B0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Body composition measurements using MRI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Retro-orbital bleeding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Ketone body analysis</w:t>
      </w:r>
    </w:p>
    <w:p w:rsidR="007204F4" w:rsidRDefault="00441516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Insulin tolerance test</w:t>
      </w:r>
      <w:r w:rsidR="007204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</w:p>
    <w:p w:rsidR="006637E2" w:rsidRPr="00C36CEE" w:rsidRDefault="006637E2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Sacrifice mice</w:t>
      </w:r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6B46F1" w:rsidRDefault="006B46F1" w:rsidP="006B46F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Experimental Design </w:t>
      </w:r>
    </w:p>
    <w:p w:rsidR="00751C67" w:rsidRDefault="007A25BB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ice were raised on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chow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diet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Lab Diet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; 2.91 kcal/g; 5% fat, 24% protein, 2.7% sucrose, 32% starch)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At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70 day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old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mice were injected with either </w:t>
      </w:r>
      <w:r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AAV-TBG-GFP or AAV-TBG-CRE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produce liver-specific knockouts and controls. The mice continued to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consume 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chow for two weeks post injection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at which point they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were placed on either a ketogenic 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(KD) (6.4 kcal/g; 85% fat, 15% protein, 0% sucrose, 0% starch)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or matched control diet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(CD) (3.8 kcal/g; 10% fat, 15 protein, 0% sucrose, 75% starch)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One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week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later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blood samples were taken</w:t>
      </w:r>
      <w:r w:rsidR="00B2446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using </w:t>
      </w:r>
      <w:r w:rsidR="00671F8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retro-orbital bleeding</w:t>
      </w:r>
      <w:r w:rsidR="00650AC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u w:val="single"/>
          <w:shd w:val="clear" w:color="auto" w:fill="FFFFFF"/>
        </w:rPr>
        <w:t>ketone bodies were analyzed (do I include that here?)</w:t>
      </w:r>
      <w:r w:rsidR="00751C6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.</w:t>
      </w:r>
      <w:r w:rsidR="006637E2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 xml:space="preserve"> </w:t>
      </w:r>
      <w:r w:rsidR="006637E2" w:rsidRPr="006637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Another week later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insulin tolerance tests was performed. </w:t>
      </w:r>
      <w:r w:rsidR="006637E2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Two weeks later mice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sacrificed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tissues were collected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583115" w:rsidRPr="00583115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ketone bodies were analyzed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.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Body composition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(weight, fat mass and lean mass)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D6545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and food intake 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was measured weekly from the start 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of injections until sacrifice.</w:t>
      </w:r>
    </w:p>
    <w:p w:rsidR="00E30211" w:rsidRDefault="00D15637" w:rsidP="00E3021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AMPK effectively knocked out and confirmed using Western Blots</w:t>
      </w:r>
    </w:p>
    <w:p w:rsidR="00775CCF" w:rsidRDefault="00775CCF" w:rsidP="00173B60">
      <w:pPr>
        <w:pStyle w:val="ListParagraph"/>
        <w:numPr>
          <w:ilvl w:val="1"/>
          <w:numId w:val="3"/>
        </w:numPr>
        <w:jc w:val="left"/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Western Blots of liver lysates shows that males that received </w:t>
      </w:r>
      <w:r w:rsidRPr="00775CCF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AAV-TBG-CRE injections on either diet had AMPK effectively knocked out in both diet groups</w:t>
      </w:r>
      <w:r w:rsidR="001C4117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(Figure 2)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.</w:t>
      </w:r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pACC</w:t>
      </w:r>
      <w:proofErr w:type="spellEnd"/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, a downstream target of AMPK</w:t>
      </w:r>
      <w:r w:rsidR="00F2685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,</w:t>
      </w:r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was </w:t>
      </w:r>
      <w:r w:rsidR="00F2685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also reduced in males that received </w:t>
      </w:r>
      <w:r w:rsidR="00F26850" w:rsidRPr="00775CCF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AAV-TBG-CRE injections</w:t>
      </w:r>
      <w:r w:rsidR="001C4117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(Figure 20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. Surprisingly, </w:t>
      </w:r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females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that received the 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received </w:t>
      </w:r>
      <w:r w:rsidR="00173B60" w:rsidRPr="00775CCF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AAV-TBG-CRE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injections did not show 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 efficient knockout of AMPK</w:t>
      </w:r>
      <w:r w:rsidR="001C4117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(Figure 2)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.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Similarly, </w:t>
      </w:r>
      <w:proofErr w:type="spellStart"/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pACC</w:t>
      </w:r>
      <w:proofErr w:type="spellEnd"/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was 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not </w:t>
      </w:r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down regulated in the 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females that received the CRE injections</w:t>
      </w:r>
      <w:r w:rsidR="007215A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(Figure 2)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. </w:t>
      </w:r>
      <w:r w:rsidR="007215A1" w:rsidRPr="007215A1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 xml:space="preserve">For this reason, we investigated the males for the remainder of the experiments. </w:t>
      </w:r>
    </w:p>
    <w:p w:rsidR="001122D0" w:rsidRPr="00173B60" w:rsidRDefault="00462F7F" w:rsidP="001122D0">
      <w:pPr>
        <w:pStyle w:val="ListParagraph"/>
        <w:numPr>
          <w:ilvl w:val="0"/>
          <w:numId w:val="3"/>
        </w:numPr>
        <w:jc w:val="left"/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Other targets</w:t>
      </w:r>
    </w:p>
    <w:p w:rsidR="00544183" w:rsidRPr="00E828A8" w:rsidRDefault="00544183" w:rsidP="00E828A8">
      <w:p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E828A8" w:rsidRPr="00E828A8" w:rsidRDefault="00E828A8" w:rsidP="00E828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E828A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lastRenderedPageBreak/>
        <w:t xml:space="preserve">Figure 1. Experimental Design. </w:t>
      </w:r>
    </w:p>
    <w:p w:rsidR="00E828A8" w:rsidRDefault="00E828A8" w:rsidP="00E828A8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</w:pPr>
      <w:r w:rsidRPr="00E30211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Insert Figure 1 from illustrator?</w:t>
      </w:r>
    </w:p>
    <w:p w:rsidR="00E828A8" w:rsidRDefault="00E828A8" w:rsidP="00E828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 2. Western Blots</w:t>
      </w:r>
    </w:p>
    <w:p w:rsidR="00E828A8" w:rsidRPr="00544183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</w:pPr>
      <w:r w:rsidRPr="00544183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***Figure not from illustrator**</w:t>
      </w:r>
    </w:p>
    <w:p w:rsidR="00E828A8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 w:rsidRPr="00544183">
        <w:rPr>
          <w:rFonts w:ascii="Arial" w:eastAsia="Times New Roman" w:hAnsi="Arial" w:cs="Arial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BAEDB6B" wp14:editId="2E247A54">
            <wp:extent cx="3082247" cy="1553133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93B2182-9751-0A48-841B-12AA33B29C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93B2182-9751-0A48-841B-12AA33B29C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095" cy="15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A8" w:rsidRPr="00E828A8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3B5"/>
    <w:multiLevelType w:val="multilevel"/>
    <w:tmpl w:val="2F14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B0B30"/>
    <w:multiLevelType w:val="multilevel"/>
    <w:tmpl w:val="C35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1738C"/>
    <w:multiLevelType w:val="hybridMultilevel"/>
    <w:tmpl w:val="0BF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96516"/>
    <w:multiLevelType w:val="hybridMultilevel"/>
    <w:tmpl w:val="850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113AA"/>
    <w:multiLevelType w:val="multilevel"/>
    <w:tmpl w:val="0F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43BD"/>
    <w:rsid w:val="0002533F"/>
    <w:rsid w:val="0003354F"/>
    <w:rsid w:val="00044F0D"/>
    <w:rsid w:val="00077072"/>
    <w:rsid w:val="00091C01"/>
    <w:rsid w:val="00096B75"/>
    <w:rsid w:val="000C06E4"/>
    <w:rsid w:val="000C7114"/>
    <w:rsid w:val="000D33C2"/>
    <w:rsid w:val="000D7218"/>
    <w:rsid w:val="001107E7"/>
    <w:rsid w:val="001122D0"/>
    <w:rsid w:val="001338A1"/>
    <w:rsid w:val="00143D60"/>
    <w:rsid w:val="00173B60"/>
    <w:rsid w:val="00185DC4"/>
    <w:rsid w:val="001C4117"/>
    <w:rsid w:val="0020446A"/>
    <w:rsid w:val="0021415B"/>
    <w:rsid w:val="002247F6"/>
    <w:rsid w:val="00241FE3"/>
    <w:rsid w:val="00291371"/>
    <w:rsid w:val="00294E88"/>
    <w:rsid w:val="002A7B0D"/>
    <w:rsid w:val="002C543A"/>
    <w:rsid w:val="002F2BD5"/>
    <w:rsid w:val="00323E7C"/>
    <w:rsid w:val="003503AB"/>
    <w:rsid w:val="00360505"/>
    <w:rsid w:val="00373210"/>
    <w:rsid w:val="0038062F"/>
    <w:rsid w:val="003835C6"/>
    <w:rsid w:val="003C6EDA"/>
    <w:rsid w:val="003E3F5F"/>
    <w:rsid w:val="003F280D"/>
    <w:rsid w:val="00400A98"/>
    <w:rsid w:val="004013A7"/>
    <w:rsid w:val="00433984"/>
    <w:rsid w:val="00434C3A"/>
    <w:rsid w:val="00436B6D"/>
    <w:rsid w:val="00441516"/>
    <w:rsid w:val="00444758"/>
    <w:rsid w:val="00454811"/>
    <w:rsid w:val="00462F7F"/>
    <w:rsid w:val="00472769"/>
    <w:rsid w:val="004753DC"/>
    <w:rsid w:val="00484D62"/>
    <w:rsid w:val="00486B18"/>
    <w:rsid w:val="00487286"/>
    <w:rsid w:val="004903C3"/>
    <w:rsid w:val="004A1E83"/>
    <w:rsid w:val="004D080E"/>
    <w:rsid w:val="00514871"/>
    <w:rsid w:val="00544183"/>
    <w:rsid w:val="0055409A"/>
    <w:rsid w:val="005572C7"/>
    <w:rsid w:val="00583115"/>
    <w:rsid w:val="00591E81"/>
    <w:rsid w:val="005E1986"/>
    <w:rsid w:val="00605381"/>
    <w:rsid w:val="00623EF1"/>
    <w:rsid w:val="006333A8"/>
    <w:rsid w:val="006349D1"/>
    <w:rsid w:val="00650AC7"/>
    <w:rsid w:val="00652AFF"/>
    <w:rsid w:val="006538A7"/>
    <w:rsid w:val="006637E2"/>
    <w:rsid w:val="00671F8E"/>
    <w:rsid w:val="006B12FE"/>
    <w:rsid w:val="006B46F1"/>
    <w:rsid w:val="006C329F"/>
    <w:rsid w:val="006E7F9A"/>
    <w:rsid w:val="00700D6E"/>
    <w:rsid w:val="007204F4"/>
    <w:rsid w:val="00721138"/>
    <w:rsid w:val="007215A1"/>
    <w:rsid w:val="0072729E"/>
    <w:rsid w:val="0074110F"/>
    <w:rsid w:val="00751C67"/>
    <w:rsid w:val="00775CCF"/>
    <w:rsid w:val="00791E62"/>
    <w:rsid w:val="007A25BB"/>
    <w:rsid w:val="00805B4A"/>
    <w:rsid w:val="00854154"/>
    <w:rsid w:val="0086639D"/>
    <w:rsid w:val="00870106"/>
    <w:rsid w:val="008A5B4F"/>
    <w:rsid w:val="008F4740"/>
    <w:rsid w:val="00904B08"/>
    <w:rsid w:val="00953BEC"/>
    <w:rsid w:val="00961C21"/>
    <w:rsid w:val="00972A36"/>
    <w:rsid w:val="009B5809"/>
    <w:rsid w:val="009C1D03"/>
    <w:rsid w:val="00A178B0"/>
    <w:rsid w:val="00A260A5"/>
    <w:rsid w:val="00A33F17"/>
    <w:rsid w:val="00A472B9"/>
    <w:rsid w:val="00A82049"/>
    <w:rsid w:val="00AD2F62"/>
    <w:rsid w:val="00B24465"/>
    <w:rsid w:val="00B35BCF"/>
    <w:rsid w:val="00B76A05"/>
    <w:rsid w:val="00B9762B"/>
    <w:rsid w:val="00BA7875"/>
    <w:rsid w:val="00BB0DCA"/>
    <w:rsid w:val="00C077BB"/>
    <w:rsid w:val="00C12504"/>
    <w:rsid w:val="00C36CEE"/>
    <w:rsid w:val="00C42D20"/>
    <w:rsid w:val="00C759DA"/>
    <w:rsid w:val="00C77779"/>
    <w:rsid w:val="00C87256"/>
    <w:rsid w:val="00CF4BA0"/>
    <w:rsid w:val="00D03402"/>
    <w:rsid w:val="00D1389B"/>
    <w:rsid w:val="00D15637"/>
    <w:rsid w:val="00D37D8D"/>
    <w:rsid w:val="00D4568B"/>
    <w:rsid w:val="00D57F86"/>
    <w:rsid w:val="00D6081C"/>
    <w:rsid w:val="00D65458"/>
    <w:rsid w:val="00D75AAA"/>
    <w:rsid w:val="00D76931"/>
    <w:rsid w:val="00DB67D0"/>
    <w:rsid w:val="00E03A00"/>
    <w:rsid w:val="00E05257"/>
    <w:rsid w:val="00E17DE2"/>
    <w:rsid w:val="00E30211"/>
    <w:rsid w:val="00E504BF"/>
    <w:rsid w:val="00E828A8"/>
    <w:rsid w:val="00EA2C86"/>
    <w:rsid w:val="00EA30B7"/>
    <w:rsid w:val="00EA39BD"/>
    <w:rsid w:val="00EC3F44"/>
    <w:rsid w:val="00ED700A"/>
    <w:rsid w:val="00EF7D21"/>
    <w:rsid w:val="00F26850"/>
    <w:rsid w:val="00F34494"/>
    <w:rsid w:val="00F52A3B"/>
    <w:rsid w:val="00F61E53"/>
    <w:rsid w:val="00F6326C"/>
    <w:rsid w:val="00F71DF9"/>
    <w:rsid w:val="00F772BB"/>
    <w:rsid w:val="00FD02B0"/>
    <w:rsid w:val="00FD3879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684B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  <w:style w:type="character" w:customStyle="1" w:styleId="apple-converted-space">
    <w:name w:val="apple-converted-space"/>
    <w:basedOn w:val="DefaultParagraphFont"/>
    <w:rsid w:val="006349D1"/>
  </w:style>
  <w:style w:type="character" w:styleId="Hyperlink">
    <w:name w:val="Hyperlink"/>
    <w:basedOn w:val="DefaultParagraphFont"/>
    <w:uiPriority w:val="99"/>
    <w:semiHidden/>
    <w:unhideWhenUsed/>
    <w:rsid w:val="0063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mc/articles/PMC693524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DEDE18-144E-2744-AC45-6834772C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135</cp:revision>
  <dcterms:created xsi:type="dcterms:W3CDTF">2020-05-06T19:29:00Z</dcterms:created>
  <dcterms:modified xsi:type="dcterms:W3CDTF">2020-05-13T17:45:00Z</dcterms:modified>
</cp:coreProperties>
</file>