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61B7F3C5" w:rsidR="00DF51A6" w:rsidRDefault="00124B3B"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4/15</w:t>
      </w:r>
      <w:r w:rsidR="00DF51A6">
        <w:rPr>
          <w:rFonts w:ascii="Arial" w:eastAsia="MS PMincho" w:hAnsi="Arial" w:cs="Arial"/>
          <w:b/>
          <w:bCs/>
          <w:color w:val="000000" w:themeColor="text1"/>
          <w:sz w:val="22"/>
          <w:szCs w:val="22"/>
        </w:rPr>
        <w:t xml:space="preserve">/21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40C195E2" w:rsidR="00212CBF" w:rsidRPr="00EF5551" w:rsidRDefault="0019645D" w:rsidP="00785932">
      <w:pPr>
        <w:rPr>
          <w:rFonts w:ascii="Arial" w:hAnsi="Arial" w:cs="Arial"/>
          <w:color w:val="000000" w:themeColor="text1"/>
          <w:sz w:val="22"/>
          <w:szCs w:val="22"/>
        </w:rPr>
      </w:pPr>
      <w:r>
        <w:rPr>
          <w:rFonts w:ascii="Arial" w:hAnsi="Arial" w:cs="Arial"/>
          <w:color w:val="000000" w:themeColor="text1"/>
          <w:sz w:val="22"/>
          <w:szCs w:val="22"/>
        </w:rPr>
        <w:t>Activation of</w:t>
      </w:r>
      <w:r w:rsidR="00877D08">
        <w:rPr>
          <w:rFonts w:ascii="Arial" w:hAnsi="Arial" w:cs="Arial"/>
          <w:color w:val="000000" w:themeColor="text1"/>
          <w:sz w:val="22"/>
          <w:szCs w:val="22"/>
        </w:rPr>
        <w:t xml:space="preserve"> adipocyte mTORC1 </w:t>
      </w:r>
      <w:r>
        <w:rPr>
          <w:rFonts w:ascii="Arial" w:hAnsi="Arial" w:cs="Arial"/>
          <w:color w:val="000000" w:themeColor="text1"/>
          <w:sz w:val="22"/>
          <w:szCs w:val="22"/>
        </w:rPr>
        <w:t>increases milk fat in a mouse model of lactation</w:t>
      </w:r>
      <w:r w:rsidR="00877D08">
        <w:rPr>
          <w:rFonts w:ascii="Arial" w:hAnsi="Arial" w:cs="Arial"/>
          <w:color w:val="000000" w:themeColor="text1"/>
          <w:sz w:val="22"/>
          <w:szCs w:val="22"/>
        </w:rPr>
        <w: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43528738"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ins w:id="0" w:author="Dave Bridges" w:date="2021-04-28T13:58:00Z">
        <w:r w:rsidR="008623C4">
          <w:rPr>
            <w:rFonts w:ascii="Arial" w:eastAsiaTheme="minorEastAsia" w:hAnsi="Arial" w:cs="Arial"/>
            <w:bCs/>
            <w:color w:val="000000" w:themeColor="text1"/>
            <w:sz w:val="22"/>
            <w:szCs w:val="22"/>
          </w:rPr>
          <w:t xml:space="preserve"> </w:t>
        </w:r>
      </w:ins>
      <w:proofErr w:type="spellStart"/>
      <w:ins w:id="1" w:author="Dave Bridges" w:date="2021-04-28T14:00:00Z">
        <w:r w:rsidR="008623C4">
          <w:rPr>
            <w:rFonts w:ascii="Arial" w:eastAsiaTheme="minorEastAsia" w:hAnsi="Arial" w:cs="Arial"/>
            <w:bCs/>
            <w:color w:val="000000" w:themeColor="text1"/>
            <w:sz w:val="22"/>
            <w:szCs w:val="22"/>
          </w:rPr>
          <w:t>Mita</w:t>
        </w:r>
        <w:proofErr w:type="spellEnd"/>
        <w:r w:rsidR="008623C4">
          <w:rPr>
            <w:rFonts w:ascii="Arial" w:eastAsiaTheme="minorEastAsia" w:hAnsi="Arial" w:cs="Arial"/>
            <w:bCs/>
            <w:color w:val="000000" w:themeColor="text1"/>
            <w:sz w:val="22"/>
            <w:szCs w:val="22"/>
          </w:rPr>
          <w:t xml:space="preserve"> Varghese</w:t>
        </w:r>
        <w:r w:rsidR="008623C4">
          <w:rPr>
            <w:rFonts w:ascii="Arial" w:eastAsiaTheme="minorEastAsia" w:hAnsi="Arial" w:cs="Arial"/>
            <w:bCs/>
            <w:color w:val="000000" w:themeColor="text1"/>
            <w:sz w:val="22"/>
            <w:szCs w:val="22"/>
            <w:vertAlign w:val="superscript"/>
          </w:rPr>
          <w:t>2</w:t>
        </w:r>
        <w:r w:rsidR="008623C4">
          <w:rPr>
            <w:rFonts w:ascii="Arial" w:eastAsiaTheme="minorEastAsia" w:hAnsi="Arial" w:cs="Arial"/>
            <w:bCs/>
            <w:color w:val="000000" w:themeColor="text1"/>
            <w:sz w:val="22"/>
            <w:szCs w:val="22"/>
          </w:rPr>
          <w:t xml:space="preserve">, </w:t>
        </w:r>
      </w:ins>
      <w:proofErr w:type="spellStart"/>
      <w:ins w:id="2" w:author="Dave Bridges" w:date="2021-04-28T13:58:00Z">
        <w:r w:rsidR="008623C4">
          <w:rPr>
            <w:rFonts w:ascii="Arial" w:eastAsiaTheme="minorEastAsia" w:hAnsi="Arial" w:cs="Arial"/>
            <w:bCs/>
            <w:color w:val="000000" w:themeColor="text1"/>
            <w:sz w:val="22"/>
            <w:szCs w:val="22"/>
          </w:rPr>
          <w:t>Kanakadurga</w:t>
        </w:r>
        <w:proofErr w:type="spellEnd"/>
        <w:r w:rsidR="008623C4">
          <w:rPr>
            <w:rFonts w:ascii="Arial" w:eastAsiaTheme="minorEastAsia" w:hAnsi="Arial" w:cs="Arial"/>
            <w:bCs/>
            <w:color w:val="000000" w:themeColor="text1"/>
            <w:sz w:val="22"/>
            <w:szCs w:val="22"/>
          </w:rPr>
          <w:t xml:space="preserve"> S</w:t>
        </w:r>
      </w:ins>
      <w:ins w:id="3" w:author="Dave Bridges" w:date="2021-04-28T13:59:00Z">
        <w:r w:rsidR="008623C4">
          <w:rPr>
            <w:rFonts w:ascii="Arial" w:eastAsiaTheme="minorEastAsia" w:hAnsi="Arial" w:cs="Arial"/>
            <w:bCs/>
            <w:color w:val="000000" w:themeColor="text1"/>
            <w:sz w:val="22"/>
            <w:szCs w:val="22"/>
          </w:rPr>
          <w:t>inger</w:t>
        </w:r>
      </w:ins>
      <w:ins w:id="4" w:author="Dave Bridges" w:date="2021-04-28T14:00:00Z">
        <w:r w:rsidR="008623C4">
          <w:rPr>
            <w:rFonts w:ascii="Arial" w:eastAsiaTheme="minorEastAsia" w:hAnsi="Arial" w:cs="Arial"/>
            <w:bCs/>
            <w:color w:val="000000" w:themeColor="text1"/>
            <w:sz w:val="22"/>
            <w:szCs w:val="22"/>
            <w:vertAlign w:val="superscript"/>
          </w:rPr>
          <w:t>2</w:t>
        </w:r>
      </w:ins>
      <w:ins w:id="5" w:author="Dave Bridges" w:date="2021-04-28T13:59:00Z">
        <w:r w:rsidR="008623C4">
          <w:rPr>
            <w:rFonts w:ascii="Arial" w:eastAsiaTheme="minorEastAsia" w:hAnsi="Arial" w:cs="Arial"/>
            <w:bCs/>
            <w:color w:val="000000" w:themeColor="text1"/>
            <w:sz w:val="22"/>
            <w:szCs w:val="22"/>
          </w:rPr>
          <w:t>,</w:t>
        </w:r>
      </w:ins>
      <w:r w:rsidRPr="00EF5551">
        <w:rPr>
          <w:rFonts w:ascii="Arial" w:eastAsiaTheme="minorEastAsia" w:hAnsi="Arial" w:cs="Arial"/>
          <w:bCs/>
          <w:color w:val="000000" w:themeColor="text1"/>
          <w:sz w:val="22"/>
          <w:szCs w:val="22"/>
        </w:rPr>
        <w:t xml:space="preserve">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6FCC254D"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 mouse model. Knockout (KO) and wild type (WT) C57BL/6</w:t>
      </w:r>
      <w:r w:rsidR="005B75A8">
        <w:rPr>
          <w:rFonts w:ascii="Arial" w:hAnsi="Arial" w:cs="Arial"/>
          <w:color w:val="000000" w:themeColor="text1"/>
          <w:sz w:val="22"/>
          <w:szCs w:val="22"/>
        </w:rPr>
        <w:t>J</w:t>
      </w:r>
      <w:r w:rsidRPr="00EF5551">
        <w:rPr>
          <w:rFonts w:ascii="Arial" w:hAnsi="Arial" w:cs="Arial"/>
          <w:color w:val="000000" w:themeColor="text1"/>
          <w:sz w:val="22"/>
          <w:szCs w:val="22"/>
        </w:rPr>
        <w:t xml:space="preserve">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omega6:omega3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1C6A73C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3EAA304C"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18)","previouslyFormattedCitation":"(17,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20)","previouslyFormattedCitation":"(17, 20)"},"properties":{"noteIndex":0},"schema":"https://github.com/citation-style-language/schema/raw/master/csl-citation.json"}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44D074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00160880">
        <w:rPr>
          <w:rFonts w:ascii="Arial" w:hAnsi="Arial" w:cs="Arial"/>
          <w:color w:val="000000" w:themeColor="text1"/>
          <w:sz w:val="22"/>
          <w:szCs w:val="22"/>
        </w:rPr>
        <w:t>E</w:t>
      </w:r>
      <w:r w:rsidRPr="00EF5551">
        <w:rPr>
          <w:rFonts w:ascii="Arial" w:hAnsi="Arial" w:cs="Arial"/>
          <w:color w:val="000000" w:themeColor="text1"/>
          <w:sz w:val="22"/>
          <w:szCs w:val="22"/>
        </w:rPr>
        <w:t>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1EC9EE64" w14:textId="4D725D5E" w:rsidR="00790E70" w:rsidRPr="008D174B" w:rsidRDefault="00790E70" w:rsidP="00785932">
      <w:pPr>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a RNA integrity number (RIN) higher than 7</w:t>
      </w:r>
      <w:ins w:id="6" w:author="Noura El Habbal" w:date="2021-05-02T13:32:00Z">
        <w:r w:rsidR="007E6917">
          <w:rPr>
            <w:rFonts w:ascii="Arial" w:hAnsi="Arial" w:cs="Arial"/>
            <w:color w:val="000000" w:themeColor="text1"/>
            <w:sz w:val="22"/>
            <w:szCs w:val="22"/>
          </w:rPr>
          <w:t>.</w:t>
        </w:r>
      </w:ins>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7"/>
      <w:r w:rsidR="00A47D44">
        <w:rPr>
          <w:rFonts w:ascii="Arial" w:hAnsi="Arial" w:cs="Arial"/>
        </w:rPr>
        <w:t>platform</w:t>
      </w:r>
      <w:commentRangeEnd w:id="7"/>
      <w:r w:rsidR="000300D1">
        <w:rPr>
          <w:rStyle w:val="CommentReference"/>
        </w:rPr>
        <w:commentReference w:id="7"/>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8"/>
      <w:r w:rsidR="00A47D44">
        <w:rPr>
          <w:rFonts w:ascii="Arial" w:hAnsi="Arial" w:cs="Arial"/>
        </w:rPr>
        <w:t>Salmon v 1.3.0</w:t>
      </w:r>
      <w:commentRangeEnd w:id="8"/>
      <w:r w:rsidR="00A47D44">
        <w:rPr>
          <w:rStyle w:val="CommentReference"/>
        </w:rPr>
        <w:commentReference w:id="8"/>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w:t>
      </w:r>
      <w:ins w:id="9" w:author="Noura El Habbal" w:date="2021-05-11T00:17:00Z">
        <w:r w:rsidR="00E90630">
          <w:rPr>
            <w:rFonts w:ascii="Arial" w:hAnsi="Arial" w:cs="Arial"/>
          </w:rPr>
          <w:t xml:space="preserve"> </w:t>
        </w:r>
      </w:ins>
      <w:r w:rsidR="00A47D44">
        <w:rPr>
          <w:rFonts w:ascii="Arial" w:hAnsi="Arial" w:cs="Arial"/>
        </w:rPr>
        <w:t xml:space="preserve">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10"/>
      <w:r w:rsidR="00A47D44">
        <w:rPr>
          <w:rFonts w:ascii="Arial" w:hAnsi="Arial" w:cs="Arial"/>
        </w:rPr>
        <w:t>XXXX</w:t>
      </w:r>
      <w:commentRangeEnd w:id="10"/>
      <w:r w:rsidR="00A47D44">
        <w:rPr>
          <w:rStyle w:val="CommentReference"/>
        </w:rPr>
        <w:commentReference w:id="10"/>
      </w:r>
    </w:p>
    <w:p w14:paraId="3EC34251" w14:textId="63D3E38F" w:rsidR="00F06841" w:rsidRDefault="00F06841" w:rsidP="00785932">
      <w:pPr>
        <w:rPr>
          <w:rFonts w:ascii="Arial" w:hAnsi="Arial" w:cs="Arial"/>
          <w:color w:val="000000" w:themeColor="text1"/>
          <w:sz w:val="22"/>
          <w:szCs w:val="22"/>
        </w:rPr>
      </w:pPr>
    </w:p>
    <w:p w14:paraId="52CDBF63" w14:textId="43630D4C"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w:t>
      </w:r>
      <w:r w:rsidR="00A85F17">
        <w:rPr>
          <w:rFonts w:ascii="Arial" w:hAnsi="Arial" w:cs="Arial"/>
          <w:b/>
          <w:color w:val="000000" w:themeColor="text1"/>
          <w:sz w:val="22"/>
          <w:szCs w:val="22"/>
        </w:rPr>
        <w:t>9</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11"/>
      <w:commentRangeStart w:id="12"/>
      <w:r w:rsidR="00EE1F20" w:rsidRPr="00EE1F20">
        <w:rPr>
          <w:rFonts w:ascii="Arial" w:hAnsi="Arial" w:cs="Arial"/>
          <w:color w:val="000000" w:themeColor="text1"/>
          <w:sz w:val="22"/>
          <w:szCs w:val="22"/>
        </w:rPr>
        <w:t>consultation</w:t>
      </w:r>
      <w:commentRangeEnd w:id="11"/>
      <w:r w:rsidR="00CE4B7C">
        <w:rPr>
          <w:rStyle w:val="CommentReference"/>
        </w:rPr>
        <w:commentReference w:id="11"/>
      </w:r>
      <w:commentRangeEnd w:id="12"/>
      <w:r w:rsidR="007E6917">
        <w:rPr>
          <w:rStyle w:val="CommentReference"/>
        </w:rPr>
        <w:commentReference w:id="12"/>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7DB70BA5"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A85F17">
        <w:rPr>
          <w:rFonts w:ascii="Arial" w:hAnsi="Arial" w:cs="Arial"/>
          <w:b/>
          <w:color w:val="000000" w:themeColor="text1"/>
          <w:sz w:val="22"/>
          <w:szCs w:val="22"/>
        </w:rPr>
        <w:t>0</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23C0D24"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 </w:t>
      </w:r>
    </w:p>
    <w:p w14:paraId="04D123E7" w14:textId="665B1847" w:rsidR="009D5728" w:rsidRDefault="009D5728" w:rsidP="00785932">
      <w:pPr>
        <w:rPr>
          <w:rFonts w:ascii="Arial" w:hAnsi="Arial" w:cs="Arial"/>
          <w:color w:val="000000" w:themeColor="text1"/>
          <w:sz w:val="22"/>
          <w:szCs w:val="22"/>
        </w:rPr>
      </w:pPr>
    </w:p>
    <w:p w14:paraId="64264347" w14:textId="5D6F740A" w:rsidR="009D5728" w:rsidRDefault="009D5728" w:rsidP="009D5728">
      <w:pPr>
        <w:rPr>
          <w:rFonts w:ascii="Arial" w:hAnsi="Arial" w:cs="Arial"/>
          <w:b/>
          <w:color w:val="000000" w:themeColor="text1"/>
          <w:sz w:val="22"/>
          <w:szCs w:val="22"/>
        </w:rPr>
      </w:pPr>
      <w:r w:rsidRPr="00EF5551">
        <w:rPr>
          <w:rFonts w:ascii="Arial" w:hAnsi="Arial" w:cs="Arial"/>
          <w:b/>
          <w:color w:val="000000" w:themeColor="text1"/>
          <w:sz w:val="22"/>
          <w:szCs w:val="22"/>
        </w:rPr>
        <w:t>2.1</w:t>
      </w:r>
      <w:r w:rsidR="00A85F17">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Mammary Gland Adipocyte Sizing and </w:t>
      </w:r>
      <w:commentRangeStart w:id="13"/>
      <w:r>
        <w:rPr>
          <w:rFonts w:ascii="Arial" w:hAnsi="Arial" w:cs="Arial"/>
          <w:b/>
          <w:color w:val="000000" w:themeColor="text1"/>
          <w:sz w:val="22"/>
          <w:szCs w:val="22"/>
        </w:rPr>
        <w:t>Counting</w:t>
      </w:r>
      <w:commentRangeEnd w:id="13"/>
      <w:r>
        <w:rPr>
          <w:rStyle w:val="CommentReference"/>
        </w:rPr>
        <w:commentReference w:id="13"/>
      </w:r>
    </w:p>
    <w:p w14:paraId="5F7A3C63" w14:textId="743659F7" w:rsidR="009D5728" w:rsidRPr="009D5728" w:rsidRDefault="009D5728" w:rsidP="009D5728">
      <w:pPr>
        <w:rPr>
          <w:rFonts w:ascii="Times New Roman" w:eastAsia="Times New Roman" w:hAnsi="Times New Roman" w:cs="Times New Roman"/>
        </w:rPr>
      </w:pPr>
      <w:r w:rsidRPr="009D5728">
        <w:rPr>
          <w:rFonts w:ascii="Arial" w:eastAsia="Times New Roman" w:hAnsi="Arial" w:cs="Arial"/>
          <w:color w:val="000000"/>
          <w:sz w:val="22"/>
          <w:szCs w:val="22"/>
        </w:rPr>
        <w:t xml:space="preserve">Mammary gland adipocytes were quantified using the software Image J. The adipocyte tools plugin was also downloaded and added to the program. This plugin provided the parameters p, processing adipocyte segmentations options, and s, simple adipocyte segmentation options. In analyzing our images the parameters for p were set at min 40, max 1000, and dilates 30, and </w:t>
      </w:r>
      <w:r w:rsidRPr="009D5728">
        <w:rPr>
          <w:rFonts w:ascii="Arial" w:eastAsia="Times New Roman" w:hAnsi="Arial" w:cs="Arial"/>
          <w:color w:val="000000"/>
          <w:sz w:val="22"/>
          <w:szCs w:val="22"/>
        </w:rPr>
        <w:lastRenderedPageBreak/>
        <w:t xml:space="preserve">the parameters for s were set at min 600 and max 1500. First, p was used to process the image, and then s was subsequently used. Once these two parameters were set on the image, manual addition and deletion were performed to ensure adipocytes were properly counted. Once all the adipocytes were accounted for, they were quantified using the measurement method within Image J. The numbers provided were then used to assess if there were any differences between KO and WT adipocytes within the mammary gland. </w:t>
      </w:r>
    </w:p>
    <w:p w14:paraId="4FBF40F2" w14:textId="77777777" w:rsidR="009D5728" w:rsidRPr="00EF5551" w:rsidRDefault="009D5728" w:rsidP="00785932">
      <w:pPr>
        <w:rPr>
          <w:rFonts w:ascii="Arial" w:hAnsi="Arial" w:cs="Arial"/>
          <w:color w:val="000000" w:themeColor="text1"/>
          <w:sz w:val="22"/>
          <w:szCs w:val="22"/>
        </w:rPr>
      </w:pPr>
    </w:p>
    <w:p w14:paraId="66880387" w14:textId="77777777" w:rsidR="00790E70" w:rsidRPr="00EF5551" w:rsidRDefault="00790E70" w:rsidP="00785932">
      <w:pPr>
        <w:rPr>
          <w:rFonts w:ascii="Arial" w:hAnsi="Arial" w:cs="Arial"/>
          <w:color w:val="000000" w:themeColor="text1"/>
          <w:sz w:val="22"/>
          <w:szCs w:val="22"/>
        </w:rPr>
      </w:pPr>
    </w:p>
    <w:p w14:paraId="0AFC4151" w14:textId="44003CBC"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2.1</w:t>
      </w:r>
      <w:r w:rsidR="00A85F17">
        <w:rPr>
          <w:rFonts w:ascii="Arial" w:hAnsi="Arial" w:cs="Arial"/>
          <w:b/>
          <w:color w:val="000000" w:themeColor="text1"/>
          <w:sz w:val="22"/>
          <w:szCs w:val="22"/>
        </w:rPr>
        <w:t>2</w:t>
      </w:r>
      <w:r w:rsidRPr="00D93ACB">
        <w:rPr>
          <w:rFonts w:ascii="Arial" w:hAnsi="Arial" w:cs="Arial"/>
          <w:b/>
          <w:color w:val="000000" w:themeColor="text1"/>
          <w:sz w:val="22"/>
          <w:szCs w:val="22"/>
        </w:rPr>
        <w:t xml:space="preserve">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76019C6B" w14:textId="4F506CCA" w:rsidR="00AF1420" w:rsidRDefault="00294851" w:rsidP="008521C3">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21C3">
        <w:rPr>
          <w:rFonts w:ascii="Arial" w:eastAsia="MS PMincho" w:hAnsi="Arial" w:cs="Arial"/>
          <w:bCs/>
          <w:color w:val="000000" w:themeColor="text1"/>
          <w:sz w:val="22"/>
          <w:szCs w:val="22"/>
        </w:rPr>
        <w:t xml:space="preserve"> as shown in Figure 1</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w:t>
      </w:r>
      <w:commentRangeStart w:id="14"/>
      <w:r w:rsidR="00853EA7">
        <w:rPr>
          <w:rFonts w:ascii="Arial" w:eastAsia="MS PMincho" w:hAnsi="Arial" w:cs="Arial"/>
          <w:bCs/>
          <w:color w:val="000000" w:themeColor="text1"/>
          <w:sz w:val="22"/>
          <w:szCs w:val="22"/>
        </w:rPr>
        <w:t>TSC1</w:t>
      </w:r>
      <w:commentRangeEnd w:id="14"/>
      <w:r w:rsidR="00E052F8">
        <w:rPr>
          <w:rStyle w:val="CommentReference"/>
        </w:rPr>
        <w:commentReference w:id="14"/>
      </w:r>
      <w:r w:rsidR="00853EA7">
        <w:rPr>
          <w:rFonts w:ascii="Arial" w:eastAsia="MS PMincho" w:hAnsi="Arial" w:cs="Arial"/>
          <w:bCs/>
          <w:color w:val="000000" w:themeColor="text1"/>
          <w:sz w:val="22"/>
          <w:szCs w:val="22"/>
        </w:rPr>
        <w:t xml:space="preserve"> and are predicted to have activation of mTORC1.</w:t>
      </w:r>
      <w:r w:rsidR="0091131D">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E052F8">
        <w:rPr>
          <w:rFonts w:ascii="Arial" w:eastAsia="MS PMincho" w:hAnsi="Arial" w:cs="Arial"/>
          <w:bCs/>
          <w:color w:val="000000" w:themeColor="text1"/>
          <w:sz w:val="22"/>
          <w:szCs w:val="22"/>
        </w:rPr>
        <w:t xml:space="preserve">. Each dam delivered </w:t>
      </w:r>
      <w:r w:rsidR="008521C3">
        <w:rPr>
          <w:rFonts w:ascii="Arial" w:eastAsia="MS PMincho" w:hAnsi="Arial" w:cs="Arial"/>
          <w:bCs/>
          <w:color w:val="000000" w:themeColor="text1"/>
          <w:sz w:val="22"/>
          <w:szCs w:val="22"/>
        </w:rPr>
        <w:t xml:space="preserve">and nursed offspring that were knockout and wildtype, and </w:t>
      </w:r>
      <w:r w:rsidR="0091131D">
        <w:rPr>
          <w:rFonts w:ascii="Arial" w:eastAsia="MS PMincho" w:hAnsi="Arial" w:cs="Arial"/>
          <w:bCs/>
          <w:color w:val="000000" w:themeColor="text1"/>
          <w:sz w:val="22"/>
          <w:szCs w:val="22"/>
        </w:rPr>
        <w:t>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w:t>
      </w:r>
      <w:r w:rsidR="008521C3">
        <w:rPr>
          <w:rFonts w:ascii="Arial" w:eastAsia="MS PMincho" w:hAnsi="Arial" w:cs="Arial"/>
          <w:bCs/>
          <w:color w:val="000000" w:themeColor="text1"/>
          <w:sz w:val="22"/>
          <w:szCs w:val="22"/>
        </w:rPr>
        <w:t>. Experimental timeline and mouse models are shown in Figure 1.</w:t>
      </w:r>
    </w:p>
    <w:p w14:paraId="1F443044" w14:textId="77777777" w:rsidR="00E052F8" w:rsidRPr="00AF1420" w:rsidRDefault="00E052F8" w:rsidP="008521C3">
      <w:pPr>
        <w:keepNext/>
        <w:keepLines/>
        <w:spacing w:before="480"/>
        <w:outlineLvl w:val="0"/>
        <w:rPr>
          <w:rFonts w:ascii="Arial" w:eastAsia="MS PMincho" w:hAnsi="Arial" w:cs="Arial"/>
          <w:bCs/>
          <w:color w:val="000000" w:themeColor="text1"/>
          <w:sz w:val="22"/>
          <w:szCs w:val="22"/>
        </w:rPr>
      </w:pPr>
    </w:p>
    <w:p w14:paraId="5085F208" w14:textId="1E6F0311" w:rsidR="008B3CA4" w:rsidRPr="0031147B" w:rsidRDefault="008B3CA4" w:rsidP="008521C3">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t>
      </w:r>
      <w:r w:rsidR="00D25C77">
        <w:rPr>
          <w:rFonts w:ascii="Arial" w:hAnsi="Arial" w:cs="Arial"/>
          <w:b/>
          <w:color w:val="auto"/>
          <w:sz w:val="22"/>
          <w:szCs w:val="22"/>
        </w:rPr>
        <w:t>i</w:t>
      </w:r>
      <w:r w:rsidR="00CE03D6">
        <w:rPr>
          <w:rFonts w:ascii="Arial" w:hAnsi="Arial" w:cs="Arial"/>
          <w:b/>
          <w:color w:val="auto"/>
          <w:sz w:val="22"/>
          <w:szCs w:val="22"/>
        </w:rPr>
        <w:t>s</w:t>
      </w:r>
      <w:r w:rsidR="0025257E" w:rsidRPr="0031147B">
        <w:rPr>
          <w:rFonts w:ascii="Arial" w:hAnsi="Arial" w:cs="Arial"/>
          <w:b/>
          <w:color w:val="auto"/>
          <w:sz w:val="22"/>
          <w:szCs w:val="22"/>
        </w:rPr>
        <w:t xml:space="preserve">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4B076913"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during lactation, KO dams gained </w:t>
      </w:r>
      <w:r w:rsidR="0063716F" w:rsidRPr="00AF1420">
        <w:rPr>
          <w:rFonts w:ascii="Arial" w:hAnsi="Arial" w:cs="Arial"/>
          <w:color w:val="000000" w:themeColor="text1"/>
          <w:sz w:val="22"/>
          <w:szCs w:val="22"/>
        </w:rPr>
        <w:t>71% more fat mass compared to WT dams</w:t>
      </w:r>
      <w:r w:rsidRPr="00EF5551">
        <w:rPr>
          <w:rFonts w:ascii="Arial" w:hAnsi="Arial" w:cs="Arial"/>
          <w:color w:val="000000" w:themeColor="text1"/>
          <w:sz w:val="22"/>
          <w:szCs w:val="22"/>
        </w:rPr>
        <w:t xml:space="preserve">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EC6E5F">
        <w:rPr>
          <w:rFonts w:ascii="Arial" w:eastAsiaTheme="majorEastAsia" w:hAnsi="Arial" w:cs="Arial"/>
          <w:color w:val="000000" w:themeColor="text1"/>
          <w:sz w:val="22"/>
          <w:szCs w:val="22"/>
        </w:rPr>
        <w:t xml:space="preserve">However, </w:t>
      </w:r>
      <w:r w:rsidR="00EF5551" w:rsidRPr="005936B3">
        <w:rPr>
          <w:rFonts w:ascii="Arial" w:hAnsi="Arial" w:cs="Arial"/>
          <w:color w:val="000000" w:themeColor="text1"/>
          <w:sz w:val="22"/>
          <w:szCs w:val="22"/>
        </w:rPr>
        <w:t>KO and WT dams had similar food intake during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2E)</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p>
    <w:p w14:paraId="35CC2A00" w14:textId="76B9D94D" w:rsidR="00002EF6" w:rsidRDefault="00002EF6" w:rsidP="00785932">
      <w:pPr>
        <w:rPr>
          <w:rFonts w:ascii="Arial" w:hAnsi="Arial" w:cs="Arial"/>
          <w:color w:val="000000" w:themeColor="text1"/>
          <w:sz w:val="22"/>
          <w:szCs w:val="22"/>
        </w:rPr>
      </w:pPr>
    </w:p>
    <w:p w14:paraId="18B685B0" w14:textId="72EBA237" w:rsidR="008B3CA4" w:rsidRDefault="008B3CA4" w:rsidP="00785932">
      <w:pPr>
        <w:rPr>
          <w:rFonts w:ascii="Arial" w:hAnsi="Arial" w:cs="Arial"/>
          <w:color w:val="000000" w:themeColor="text1"/>
          <w:sz w:val="22"/>
          <w:szCs w:val="22"/>
        </w:rPr>
      </w:pPr>
    </w:p>
    <w:p w14:paraId="2759A34F" w14:textId="46ABAE08" w:rsidR="0031147B" w:rsidRPr="00CE03D6" w:rsidRDefault="0031147B" w:rsidP="00785932">
      <w:pPr>
        <w:pStyle w:val="Heading2"/>
        <w:rPr>
          <w:rFonts w:ascii="Arial" w:hAnsi="Arial" w:cs="Arial"/>
          <w:b/>
          <w:color w:val="auto"/>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w:t>
      </w:r>
      <w:r w:rsidR="00CE03D6" w:rsidRPr="0031147B">
        <w:rPr>
          <w:rFonts w:ascii="Arial" w:hAnsi="Arial" w:cs="Arial"/>
          <w:b/>
          <w:color w:val="auto"/>
          <w:sz w:val="22"/>
          <w:szCs w:val="22"/>
        </w:rPr>
        <w:t xml:space="preserve">Adipocyte </w:t>
      </w:r>
      <w:r w:rsidR="00CE03D6" w:rsidRPr="0031147B">
        <w:rPr>
          <w:rFonts w:ascii="Arial" w:hAnsi="Arial" w:cs="Arial"/>
          <w:b/>
          <w:i/>
          <w:color w:val="auto"/>
          <w:sz w:val="22"/>
          <w:szCs w:val="22"/>
        </w:rPr>
        <w:t xml:space="preserve">Tsc1 </w:t>
      </w:r>
      <w:r w:rsidR="00CE03D6" w:rsidRPr="0031147B">
        <w:rPr>
          <w:rFonts w:ascii="Arial" w:hAnsi="Arial" w:cs="Arial"/>
          <w:b/>
          <w:color w:val="auto"/>
          <w:sz w:val="22"/>
          <w:szCs w:val="22"/>
        </w:rPr>
        <w:t>Knockout Mice</w:t>
      </w:r>
      <w:r w:rsidRPr="00EF5551">
        <w:rPr>
          <w:rFonts w:ascii="Arial" w:hAnsi="Arial" w:cs="Arial"/>
          <w:b/>
          <w:color w:val="000000" w:themeColor="text1"/>
          <w:sz w:val="22"/>
          <w:szCs w:val="22"/>
        </w:rPr>
        <w:t xml:space="preserve"> </w:t>
      </w:r>
      <w:r w:rsidR="00D25C77">
        <w:rPr>
          <w:rFonts w:ascii="Arial" w:hAnsi="Arial" w:cs="Arial"/>
          <w:b/>
          <w:color w:val="000000" w:themeColor="text1"/>
          <w:sz w:val="22"/>
          <w:szCs w:val="22"/>
        </w:rPr>
        <w:t>a</w:t>
      </w:r>
      <w:r w:rsidR="00CE03D6">
        <w:rPr>
          <w:rFonts w:ascii="Arial" w:hAnsi="Arial" w:cs="Arial"/>
          <w:b/>
          <w:color w:val="000000" w:themeColor="text1"/>
          <w:sz w:val="22"/>
          <w:szCs w:val="22"/>
        </w:rPr>
        <w:t>re</w:t>
      </w:r>
      <w:r w:rsidRPr="00EF5551">
        <w:rPr>
          <w:rFonts w:ascii="Arial" w:hAnsi="Arial" w:cs="Arial"/>
          <w:b/>
          <w:color w:val="000000" w:themeColor="text1"/>
          <w:sz w:val="22"/>
          <w:szCs w:val="22"/>
        </w:rPr>
        <w:t xml:space="preserve"> Lighter</w:t>
      </w:r>
    </w:p>
    <w:p w14:paraId="038E2902" w14:textId="35D88AC2" w:rsidR="0071392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w:t>
      </w:r>
    </w:p>
    <w:p w14:paraId="6ECEA9DD" w14:textId="2FD7681B" w:rsidR="00125E99" w:rsidRDefault="00713921" w:rsidP="008521C3">
      <w:pPr>
        <w:rPr>
          <w:rFonts w:ascii="Arial" w:hAnsi="Arial" w:cs="Arial"/>
          <w:color w:val="000000" w:themeColor="text1"/>
          <w:sz w:val="22"/>
          <w:szCs w:val="22"/>
        </w:rPr>
      </w:pPr>
      <w:r>
        <w:rPr>
          <w:rFonts w:ascii="Arial" w:hAnsi="Arial" w:cs="Arial"/>
          <w:color w:val="000000" w:themeColor="text1"/>
          <w:sz w:val="22"/>
          <w:szCs w:val="22"/>
        </w:rPr>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w:t>
      </w:r>
      <w:r w:rsidRPr="00262598">
        <w:rPr>
          <w:rFonts w:ascii="Arial" w:hAnsi="Arial" w:cs="Arial"/>
          <w:color w:val="000000" w:themeColor="text1"/>
          <w:sz w:val="22"/>
          <w:szCs w:val="22"/>
        </w:rPr>
        <w:t xml:space="preserve">dams </w:t>
      </w:r>
      <w:r>
        <w:rPr>
          <w:rFonts w:ascii="Arial" w:hAnsi="Arial" w:cs="Arial"/>
          <w:color w:val="000000" w:themeColor="text1"/>
          <w:sz w:val="22"/>
          <w:szCs w:val="22"/>
        </w:rPr>
        <w:t xml:space="preserve">had a 21% reduction in </w:t>
      </w:r>
      <w:r w:rsidR="008521C3">
        <w:rPr>
          <w:rFonts w:ascii="Arial" w:hAnsi="Arial" w:cs="Arial"/>
          <w:color w:val="000000" w:themeColor="text1"/>
          <w:sz w:val="22"/>
          <w:szCs w:val="22"/>
        </w:rPr>
        <w:t xml:space="preserve">weight of </w:t>
      </w:r>
      <w:r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A7312E">
        <w:rPr>
          <w:rFonts w:ascii="Arial" w:hAnsi="Arial" w:cs="Arial"/>
          <w:color w:val="000000" w:themeColor="text1"/>
          <w:sz w:val="22"/>
          <w:szCs w:val="22"/>
        </w:rPr>
        <w:t>A</w:t>
      </w:r>
      <w:r>
        <w:rPr>
          <w:rFonts w:ascii="Arial" w:hAnsi="Arial" w:cs="Arial"/>
          <w:color w:val="000000" w:themeColor="text1"/>
          <w:sz w:val="22"/>
          <w:szCs w:val="22"/>
        </w:rPr>
        <w:t xml:space="preserve">, </w:t>
      </w:r>
      <w:r w:rsidRPr="00EF5551">
        <w:rPr>
          <w:rFonts w:ascii="Arial" w:hAnsi="Arial" w:cs="Arial"/>
          <w:color w:val="000000" w:themeColor="text1"/>
          <w:sz w:val="22"/>
          <w:szCs w:val="22"/>
        </w:rPr>
        <w:t>p=0.042)</w:t>
      </w:r>
      <w:r>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Pr>
          <w:rFonts w:ascii="Arial" w:hAnsi="Arial" w:cs="Arial"/>
          <w:color w:val="000000" w:themeColor="text1"/>
          <w:sz w:val="22"/>
          <w:szCs w:val="22"/>
        </w:rPr>
        <w:t xml:space="preserve">left lower mammary glands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w:t>
      </w:r>
      <w:r w:rsidR="00D213A8">
        <w:rPr>
          <w:rFonts w:ascii="Arial" w:hAnsi="Arial" w:cs="Arial"/>
          <w:color w:val="000000" w:themeColor="text1"/>
          <w:sz w:val="22"/>
          <w:szCs w:val="22"/>
        </w:rPr>
        <w:t>3A</w:t>
      </w:r>
      <w:r>
        <w:rPr>
          <w:rFonts w:ascii="Arial" w:hAnsi="Arial" w:cs="Arial"/>
          <w:color w:val="000000" w:themeColor="text1"/>
          <w:sz w:val="22"/>
          <w:szCs w:val="22"/>
        </w:rPr>
        <w:t xml:space="preserve">, </w:t>
      </w:r>
      <w:r w:rsidRPr="00EF5551">
        <w:rPr>
          <w:rFonts w:ascii="Arial" w:hAnsi="Arial" w:cs="Arial"/>
          <w:color w:val="000000" w:themeColor="text1"/>
          <w:sz w:val="22"/>
          <w:szCs w:val="22"/>
        </w:rPr>
        <w:t>p=0.001)</w:t>
      </w:r>
      <w:r>
        <w:rPr>
          <w:rFonts w:ascii="Arial" w:hAnsi="Arial" w:cs="Arial"/>
          <w:color w:val="000000" w:themeColor="text1"/>
          <w:sz w:val="22"/>
          <w:szCs w:val="22"/>
        </w:rPr>
        <w:t xml:space="preserve"> compared to the WT counterparts</w:t>
      </w:r>
      <w:r w:rsidRPr="00EF5551">
        <w:rPr>
          <w:rFonts w:ascii="Arial" w:hAnsi="Arial" w:cs="Arial"/>
          <w:color w:val="000000" w:themeColor="text1"/>
          <w:sz w:val="22"/>
          <w:szCs w:val="22"/>
        </w:rPr>
        <w:t>.</w:t>
      </w:r>
    </w:p>
    <w:p w14:paraId="75C1ADCB" w14:textId="77777777" w:rsidR="008521C3" w:rsidRPr="008521C3" w:rsidRDefault="008521C3" w:rsidP="008521C3">
      <w:pPr>
        <w:pStyle w:val="Heading2"/>
      </w:pPr>
    </w:p>
    <w:p w14:paraId="09576F56" w14:textId="523765E4" w:rsidR="00125E99" w:rsidRPr="00CE03D6" w:rsidRDefault="00125E99" w:rsidP="00785932">
      <w:pPr>
        <w:pStyle w:val="Heading2"/>
        <w:rPr>
          <w:rFonts w:ascii="Arial" w:hAnsi="Arial" w:cs="Arial"/>
          <w:b/>
          <w:color w:val="auto"/>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sidR="00CE03D6" w:rsidRPr="0031147B">
        <w:rPr>
          <w:rFonts w:ascii="Arial" w:hAnsi="Arial" w:cs="Arial"/>
          <w:b/>
          <w:color w:val="auto"/>
          <w:sz w:val="22"/>
          <w:szCs w:val="22"/>
        </w:rPr>
        <w:t xml:space="preserve">Adipocyte </w:t>
      </w:r>
      <w:r w:rsidR="00CE03D6" w:rsidRPr="0031147B">
        <w:rPr>
          <w:rFonts w:ascii="Arial" w:hAnsi="Arial" w:cs="Arial"/>
          <w:b/>
          <w:i/>
          <w:color w:val="auto"/>
          <w:sz w:val="22"/>
          <w:szCs w:val="22"/>
        </w:rPr>
        <w:t xml:space="preserve">Tsc1 </w:t>
      </w:r>
      <w:r w:rsidR="00CE03D6" w:rsidRPr="0031147B">
        <w:rPr>
          <w:rFonts w:ascii="Arial" w:hAnsi="Arial" w:cs="Arial"/>
          <w:b/>
          <w:color w:val="auto"/>
          <w:sz w:val="22"/>
          <w:szCs w:val="22"/>
        </w:rPr>
        <w:t>Knockout Mice</w:t>
      </w:r>
      <w:r w:rsidR="00CE03D6">
        <w:rPr>
          <w:rFonts w:ascii="Arial" w:hAnsi="Arial" w:cs="Arial"/>
          <w:b/>
          <w:color w:val="auto"/>
          <w:sz w:val="22"/>
          <w:szCs w:val="22"/>
        </w:rPr>
        <w:t xml:space="preserve"> Have More and Larger </w:t>
      </w:r>
      <w:r>
        <w:rPr>
          <w:rFonts w:ascii="Arial" w:hAnsi="Arial" w:cs="Arial"/>
          <w:b/>
          <w:color w:val="000000" w:themeColor="text1"/>
          <w:sz w:val="22"/>
          <w:szCs w:val="22"/>
        </w:rPr>
        <w:t>Adipocyte</w:t>
      </w:r>
      <w:r w:rsidR="00D25C77">
        <w:rPr>
          <w:rFonts w:ascii="Arial" w:hAnsi="Arial" w:cs="Arial"/>
          <w:b/>
          <w:color w:val="000000" w:themeColor="text1"/>
          <w:sz w:val="22"/>
          <w:szCs w:val="22"/>
        </w:rPr>
        <w:t>s</w:t>
      </w:r>
    </w:p>
    <w:p w14:paraId="7C22137C" w14:textId="73585F44" w:rsidR="00465E83" w:rsidRDefault="00465E83" w:rsidP="00785932">
      <w:pPr>
        <w:rPr>
          <w:rFonts w:ascii="Arial" w:hAnsi="Arial" w:cs="Arial"/>
          <w:color w:val="000000" w:themeColor="text1"/>
          <w:sz w:val="22"/>
          <w:szCs w:val="22"/>
        </w:rPr>
      </w:pPr>
    </w:p>
    <w:p w14:paraId="7EB5063F" w14:textId="5BCD82B3" w:rsidR="00264FA5" w:rsidRDefault="00465E83" w:rsidP="0085513B">
      <w:pPr>
        <w:rPr>
          <w:rFonts w:ascii="Arial" w:hAnsi="Arial" w:cs="Arial"/>
          <w:color w:val="000000" w:themeColor="text1"/>
          <w:sz w:val="22"/>
          <w:szCs w:val="22"/>
        </w:rPr>
      </w:pPr>
      <w:r w:rsidRPr="00465E83">
        <w:rPr>
          <w:rFonts w:ascii="Arial" w:hAnsi="Arial" w:cs="Arial"/>
          <w:color w:val="000000" w:themeColor="text1"/>
          <w:sz w:val="22"/>
          <w:szCs w:val="22"/>
        </w:rPr>
        <w:t xml:space="preserve">After determining differences in mammary gland weights, we then performed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Pr="00465E83">
        <w:rPr>
          <w:rFonts w:ascii="Arial" w:hAnsi="Arial" w:cs="Arial"/>
          <w:color w:val="000000" w:themeColor="text1"/>
          <w:sz w:val="22"/>
          <w:szCs w:val="22"/>
        </w:rPr>
        <w:t>of mammary gland adipocytes</w:t>
      </w:r>
      <w:r w:rsidR="00264FA5">
        <w:rPr>
          <w:rFonts w:ascii="Arial" w:hAnsi="Arial" w:cs="Arial"/>
          <w:color w:val="000000" w:themeColor="text1"/>
          <w:sz w:val="22"/>
          <w:szCs w:val="22"/>
        </w:rPr>
        <w:t xml:space="preserve">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G-H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sidRPr="00465E83">
        <w:rPr>
          <w:rFonts w:ascii="Arial" w:hAnsi="Arial" w:cs="Arial"/>
          <w:color w:val="000000" w:themeColor="text1"/>
          <w:sz w:val="22"/>
          <w:szCs w:val="22"/>
        </w:rPr>
        <w:t xml:space="preserve">Using ImageJ Software, </w:t>
      </w:r>
      <w:r w:rsidR="005E152A">
        <w:rPr>
          <w:rFonts w:ascii="Arial" w:hAnsi="Arial" w:cs="Arial"/>
          <w:color w:val="000000" w:themeColor="text1"/>
          <w:sz w:val="22"/>
          <w:szCs w:val="22"/>
        </w:rPr>
        <w:t xml:space="preserve">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Pr="00465E83">
        <w:rPr>
          <w:rFonts w:ascii="Arial" w:hAnsi="Arial" w:cs="Arial"/>
          <w:color w:val="000000" w:themeColor="text1"/>
          <w:sz w:val="22"/>
          <w:szCs w:val="22"/>
        </w:rPr>
        <w:t>more adipocytes compared to the WT mice (</w:t>
      </w:r>
      <w:r w:rsidR="005E152A">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Pr="00465E83">
        <w:rPr>
          <w:rFonts w:ascii="Arial" w:hAnsi="Arial" w:cs="Arial"/>
          <w:color w:val="000000" w:themeColor="text1"/>
          <w:sz w:val="22"/>
          <w:szCs w:val="22"/>
        </w:rPr>
        <w:t>p=</w:t>
      </w:r>
      <w:r>
        <w:rPr>
          <w:rFonts w:ascii="Arial" w:hAnsi="Arial" w:cs="Arial"/>
          <w:color w:val="000000" w:themeColor="text1"/>
          <w:sz w:val="22"/>
          <w:szCs w:val="22"/>
        </w:rPr>
        <w:t>0</w:t>
      </w:r>
      <w:r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Pr="00465E83">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 xml:space="preserve">however, the average adipocyte area for KO and WT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C</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We then assessed the adipocyte percentage area of the total mammary gland and found 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w:t>
      </w:r>
      <w:r w:rsidR="00264FA5">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to occupy nearly two folds more percentage area than the WT mammary adipocytes (Figure </w:t>
      </w:r>
      <w:r w:rsidR="00D213A8">
        <w:rPr>
          <w:rFonts w:ascii="Arial" w:hAnsi="Arial" w:cs="Arial"/>
          <w:color w:val="000000" w:themeColor="text1"/>
          <w:sz w:val="22"/>
          <w:szCs w:val="22"/>
        </w:rPr>
        <w:t>3</w:t>
      </w:r>
      <w:r w:rsidR="00133EC4">
        <w:rPr>
          <w:rFonts w:ascii="Arial" w:hAnsi="Arial" w:cs="Arial"/>
          <w:color w:val="000000" w:themeColor="text1"/>
          <w:sz w:val="22"/>
          <w:szCs w:val="22"/>
        </w:rPr>
        <w:t>D</w:t>
      </w:r>
      <w:r w:rsidR="005E152A">
        <w:rPr>
          <w:rFonts w:ascii="Arial" w:hAnsi="Arial" w:cs="Arial"/>
          <w:color w:val="000000" w:themeColor="text1"/>
          <w:sz w:val="22"/>
          <w:szCs w:val="22"/>
        </w:rPr>
        <w:t>, p=0.051).</w:t>
      </w:r>
      <w:r w:rsidR="00264FA5">
        <w:rPr>
          <w:rFonts w:ascii="Arial" w:hAnsi="Arial" w:cs="Arial"/>
          <w:color w:val="000000" w:themeColor="text1"/>
          <w:sz w:val="22"/>
          <w:szCs w:val="22"/>
        </w:rPr>
        <w:t xml:space="preserve"> To further identify the effects of the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on the size of the mammary adipocytes, we analyzed the </w:t>
      </w:r>
      <w:r w:rsidR="004B7D4E">
        <w:rPr>
          <w:rFonts w:ascii="Arial" w:hAnsi="Arial" w:cs="Arial"/>
          <w:color w:val="000000" w:themeColor="text1"/>
          <w:sz w:val="22"/>
          <w:szCs w:val="22"/>
        </w:rPr>
        <w:t xml:space="preserve">variability in adipocyte size. KO adipocytes had a significantly wider </w:t>
      </w:r>
      <w:r w:rsidR="00E848AE">
        <w:rPr>
          <w:rFonts w:ascii="Arial" w:hAnsi="Arial" w:cs="Arial"/>
          <w:color w:val="000000" w:themeColor="text1"/>
          <w:sz w:val="22"/>
          <w:szCs w:val="22"/>
        </w:rPr>
        <w:t xml:space="preserve">variability </w:t>
      </w:r>
      <w:r w:rsidR="004B7D4E">
        <w:rPr>
          <w:rFonts w:ascii="Arial" w:hAnsi="Arial" w:cs="Arial"/>
          <w:color w:val="000000" w:themeColor="text1"/>
          <w:sz w:val="22"/>
          <w:szCs w:val="22"/>
        </w:rPr>
        <w:t>in adipocyte size</w:t>
      </w:r>
      <w:r w:rsidR="00E848AE">
        <w:rPr>
          <w:rFonts w:ascii="Arial" w:hAnsi="Arial" w:cs="Arial"/>
          <w:color w:val="000000" w:themeColor="text1"/>
          <w:sz w:val="22"/>
          <w:szCs w:val="22"/>
        </w:rPr>
        <w:t xml:space="preserve"> distribution</w:t>
      </w:r>
      <w:r w:rsidR="004B7D4E">
        <w:rPr>
          <w:rFonts w:ascii="Arial" w:hAnsi="Arial" w:cs="Arial"/>
          <w:color w:val="000000" w:themeColor="text1"/>
          <w:sz w:val="22"/>
          <w:szCs w:val="22"/>
        </w:rPr>
        <w:t xml:space="preserve"> (</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D213A8">
        <w:rPr>
          <w:rFonts w:ascii="Arial" w:hAnsi="Arial" w:cs="Arial"/>
          <w:color w:val="000000" w:themeColor="text1"/>
          <w:sz w:val="22"/>
          <w:szCs w:val="22"/>
        </w:rPr>
        <w:t>3</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Given the larger variability in adipocyte size, we assessed the </w:t>
      </w:r>
      <w:r w:rsidR="00264FA5">
        <w:rPr>
          <w:rFonts w:ascii="Arial" w:hAnsi="Arial" w:cs="Arial"/>
          <w:color w:val="000000" w:themeColor="text1"/>
          <w:sz w:val="22"/>
          <w:szCs w:val="22"/>
        </w:rPr>
        <w:t>percent of adipocytes per 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w:t>
      </w:r>
      <w:r w:rsidR="00264FA5">
        <w:rPr>
          <w:rFonts w:ascii="Arial" w:hAnsi="Arial" w:cs="Arial"/>
          <w:color w:val="000000" w:themeColor="text1"/>
          <w:sz w:val="22"/>
          <w:szCs w:val="22"/>
        </w:rPr>
        <w:t xml:space="preserve">area range. </w:t>
      </w:r>
      <w:r w:rsidR="004B7D4E">
        <w:rPr>
          <w:rFonts w:ascii="Arial" w:hAnsi="Arial" w:cs="Arial"/>
          <w:color w:val="000000" w:themeColor="text1"/>
          <w:sz w:val="22"/>
          <w:szCs w:val="22"/>
        </w:rPr>
        <w:t xml:space="preserve">Consistent the wider variability of adipocyte size seen in the KO in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E</w:t>
      </w:r>
      <w:r w:rsidR="004B7D4E">
        <w:rPr>
          <w:rFonts w:ascii="Arial" w:hAnsi="Arial" w:cs="Arial"/>
          <w:color w:val="000000" w:themeColor="text1"/>
          <w:sz w:val="22"/>
          <w:szCs w:val="22"/>
        </w:rPr>
        <w:t xml:space="preserve">,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While the adipocytes across the other </w:t>
      </w:r>
      <w:r w:rsidR="00FB33FA">
        <w:rPr>
          <w:rFonts w:ascii="Arial" w:hAnsi="Arial" w:cs="Arial"/>
          <w:color w:val="000000" w:themeColor="text1"/>
          <w:sz w:val="22"/>
          <w:szCs w:val="22"/>
        </w:rPr>
        <w:t xml:space="preserve">size </w:t>
      </w:r>
      <w:r w:rsidR="00264FA5">
        <w:rPr>
          <w:rFonts w:ascii="Arial" w:hAnsi="Arial" w:cs="Arial"/>
          <w:color w:val="000000" w:themeColor="text1"/>
          <w:sz w:val="22"/>
          <w:szCs w:val="22"/>
        </w:rPr>
        <w:t xml:space="preserve">ranges were not significantly different,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of 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4B7D4E">
        <w:rPr>
          <w:rFonts w:ascii="Arial" w:hAnsi="Arial" w:cs="Arial"/>
          <w:color w:val="000000" w:themeColor="text1"/>
          <w:sz w:val="22"/>
          <w:szCs w:val="22"/>
        </w:rPr>
        <w:t>Despite the similarities in the average adipocyte area, our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clear 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between genotypes </w:t>
      </w:r>
      <w:r w:rsidR="00FB33FA">
        <w:rPr>
          <w:rFonts w:ascii="Arial" w:hAnsi="Arial" w:cs="Arial"/>
          <w:color w:val="000000" w:themeColor="text1"/>
          <w:sz w:val="22"/>
          <w:szCs w:val="22"/>
        </w:rPr>
        <w:t xml:space="preserve">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larger adipocytes, and a higher percentage of total mammary gland area.</w:t>
      </w:r>
    </w:p>
    <w:p w14:paraId="54BB0FCA" w14:textId="77777777" w:rsidR="0031147B" w:rsidRPr="00EF5551" w:rsidRDefault="0031147B"/>
    <w:p w14:paraId="58E565FC" w14:textId="77777777" w:rsidR="00C363CC" w:rsidRDefault="00C363CC" w:rsidP="00785932">
      <w:pPr>
        <w:pStyle w:val="Heading2"/>
        <w:rPr>
          <w:rFonts w:ascii="Arial" w:hAnsi="Arial" w:cs="Arial"/>
          <w:b/>
          <w:color w:val="000000" w:themeColor="text1"/>
          <w:sz w:val="22"/>
          <w:szCs w:val="22"/>
        </w:rPr>
      </w:pPr>
    </w:p>
    <w:p w14:paraId="2D337BF1" w14:textId="4D1DBC17"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724C57EC" w14:textId="015ECFBB" w:rsidR="00EC6E5F" w:rsidRDefault="00EC6E5F" w:rsidP="00EC6E5F">
      <w:pPr>
        <w:rPr>
          <w:rFonts w:ascii="Arial" w:hAnsi="Arial" w:cs="Arial"/>
          <w:color w:val="000000" w:themeColor="text1"/>
          <w:sz w:val="22"/>
          <w:szCs w:val="22"/>
        </w:rPr>
      </w:pPr>
      <w:r>
        <w:rPr>
          <w:rFonts w:ascii="Arial" w:hAnsi="Arial" w:cs="Arial"/>
          <w:color w:val="000000" w:themeColor="text1"/>
          <w:sz w:val="22"/>
          <w:szCs w:val="22"/>
        </w:rPr>
        <w:t>We assessed litter sizes by which the a</w:t>
      </w:r>
      <w:r w:rsidRPr="00EF5551">
        <w:rPr>
          <w:rFonts w:ascii="Arial" w:hAnsi="Arial" w:cs="Arial"/>
          <w:color w:val="000000" w:themeColor="text1"/>
          <w:sz w:val="22"/>
          <w:szCs w:val="22"/>
        </w:rPr>
        <w:t xml:space="preserve">verage litter size </w:t>
      </w:r>
      <w:r>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D213A8">
        <w:rPr>
          <w:rFonts w:ascii="Arial" w:hAnsi="Arial" w:cs="Arial"/>
          <w:color w:val="000000" w:themeColor="text1"/>
          <w:sz w:val="22"/>
          <w:szCs w:val="22"/>
        </w:rPr>
        <w:t>4</w:t>
      </w:r>
      <w:r>
        <w:rPr>
          <w:rFonts w:ascii="Arial" w:hAnsi="Arial" w:cs="Arial"/>
          <w:color w:val="000000" w:themeColor="text1"/>
          <w:sz w:val="22"/>
          <w:szCs w:val="22"/>
        </w:rPr>
        <w:t>A)</w:t>
      </w:r>
      <w:r w:rsidRPr="00EF5551">
        <w:rPr>
          <w:rFonts w:ascii="Arial" w:hAnsi="Arial" w:cs="Arial"/>
          <w:color w:val="000000" w:themeColor="text1"/>
          <w:sz w:val="22"/>
          <w:szCs w:val="22"/>
        </w:rPr>
        <w:t>.</w:t>
      </w:r>
      <w:r>
        <w:rPr>
          <w:rFonts w:ascii="Arial" w:hAnsi="Arial" w:cs="Arial"/>
          <w:color w:val="000000" w:themeColor="text1"/>
          <w:sz w:val="22"/>
          <w:szCs w:val="22"/>
        </w:rPr>
        <w:t xml:space="preserve"> Pups were culled to four pups per dam to normalize milk supply.</w:t>
      </w:r>
    </w:p>
    <w:p w14:paraId="64276B51" w14:textId="2186E44F" w:rsidR="00282EE9" w:rsidRDefault="00AD6BBC" w:rsidP="00785932">
      <w:pPr>
        <w:rPr>
          <w:rFonts w:ascii="Arial" w:hAnsi="Arial" w:cs="Arial"/>
          <w:color w:val="000000" w:themeColor="text1"/>
          <w:sz w:val="22"/>
          <w:szCs w:val="22"/>
        </w:rPr>
      </w:pPr>
      <w:r>
        <w:rPr>
          <w:rFonts w:ascii="Arial" w:hAnsi="Arial" w:cs="Arial"/>
          <w:color w:val="000000" w:themeColor="text1"/>
          <w:sz w:val="22"/>
          <w:szCs w:val="22"/>
        </w:rPr>
        <w:t xml:space="preserve">To evaluate </w:t>
      </w:r>
      <w:r w:rsidR="005E152A">
        <w:rPr>
          <w:rFonts w:ascii="Arial" w:hAnsi="Arial" w:cs="Arial"/>
          <w:color w:val="000000" w:themeColor="text1"/>
          <w:sz w:val="22"/>
          <w:szCs w:val="22"/>
        </w:rPr>
        <w:t xml:space="preserve">the </w:t>
      </w:r>
      <w:r>
        <w:rPr>
          <w:rFonts w:ascii="Arial" w:hAnsi="Arial" w:cs="Arial"/>
          <w:color w:val="000000" w:themeColor="text1"/>
          <w:sz w:val="22"/>
          <w:szCs w:val="22"/>
        </w:rPr>
        <w:t xml:space="preserve">effects </w:t>
      </w:r>
      <w:r w:rsidR="0072421A">
        <w:rPr>
          <w:rFonts w:ascii="Arial" w:hAnsi="Arial" w:cs="Arial"/>
          <w:color w:val="000000" w:themeColor="text1"/>
          <w:sz w:val="22"/>
          <w:szCs w:val="22"/>
        </w:rPr>
        <w:t xml:space="preserve">of mammary gland </w:t>
      </w:r>
      <w:r w:rsidR="005E152A">
        <w:rPr>
          <w:rFonts w:ascii="Arial" w:hAnsi="Arial" w:cs="Arial"/>
          <w:color w:val="000000" w:themeColor="text1"/>
          <w:sz w:val="22"/>
          <w:szCs w:val="22"/>
        </w:rPr>
        <w:t xml:space="preserve">morphological </w:t>
      </w:r>
      <w:r w:rsidR="0072421A">
        <w:rPr>
          <w:rFonts w:ascii="Arial" w:hAnsi="Arial" w:cs="Arial"/>
          <w:color w:val="000000" w:themeColor="text1"/>
          <w:sz w:val="22"/>
          <w:szCs w:val="22"/>
        </w:rPr>
        <w:t xml:space="preserve">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r w:rsidR="00BF68F9">
        <w:rPr>
          <w:rFonts w:ascii="Arial" w:hAnsi="Arial" w:cs="Arial"/>
          <w:color w:val="000000" w:themeColor="text1"/>
          <w:sz w:val="22"/>
          <w:szCs w:val="22"/>
        </w:rPr>
        <w:t xml:space="preserve"> were 6% </w:t>
      </w:r>
      <w:r w:rsidR="0072421A">
        <w:rPr>
          <w:rFonts w:ascii="Arial" w:hAnsi="Arial" w:cs="Arial"/>
          <w:color w:val="000000" w:themeColor="text1"/>
          <w:sz w:val="22"/>
          <w:szCs w:val="22"/>
        </w:rPr>
        <w:t xml:space="preserve">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t>WT</w:t>
      </w:r>
      <w:r w:rsidR="00BF68F9">
        <w:rPr>
          <w:rFonts w:ascii="Arial" w:hAnsi="Arial" w:cs="Arial"/>
          <w:color w:val="000000" w:themeColor="text1"/>
          <w:sz w:val="22"/>
          <w:szCs w:val="22"/>
        </w:rPr>
        <w:t xml:space="preserve"> (Supplementa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 p=0.074)</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p>
    <w:p w14:paraId="15660FD8" w14:textId="611DA2EB" w:rsidR="00D21277"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w:t>
      </w:r>
      <w:r w:rsidR="00D213A8">
        <w:rPr>
          <w:rFonts w:ascii="Arial" w:hAnsi="Arial" w:cs="Arial"/>
          <w:color w:val="000000" w:themeColor="text1"/>
          <w:sz w:val="22"/>
          <w:szCs w:val="22"/>
        </w:rPr>
        <w:t xml:space="preserve">Figure 4B, </w:t>
      </w:r>
      <w:r w:rsidR="00EE1DFC">
        <w:rPr>
          <w:rFonts w:ascii="Arial" w:hAnsi="Arial" w:cs="Arial"/>
          <w:color w:val="000000" w:themeColor="text1"/>
          <w:sz w:val="22"/>
          <w:szCs w:val="22"/>
        </w:rPr>
        <w:t>p=0.01).</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Pr="00EF5551">
        <w:rPr>
          <w:rFonts w:ascii="Arial" w:hAnsi="Arial" w:cs="Arial"/>
          <w:color w:val="000000" w:themeColor="text1"/>
          <w:sz w:val="22"/>
          <w:szCs w:val="22"/>
        </w:rPr>
        <w:t xml:space="preserve">emales born to KO dams were </w:t>
      </w:r>
      <w:r w:rsidR="00713921">
        <w:rPr>
          <w:rFonts w:ascii="Arial" w:hAnsi="Arial" w:cs="Arial"/>
          <w:color w:val="000000" w:themeColor="text1"/>
          <w:sz w:val="22"/>
          <w:szCs w:val="22"/>
        </w:rPr>
        <w:t xml:space="preserve">9% </w:t>
      </w:r>
      <w:r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D213A8">
        <w:rPr>
          <w:rFonts w:ascii="Arial" w:hAnsi="Arial" w:cs="Arial"/>
          <w:color w:val="000000" w:themeColor="text1"/>
          <w:sz w:val="22"/>
          <w:szCs w:val="22"/>
        </w:rPr>
        <w:t>4</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Pr="00EF5551">
        <w:rPr>
          <w:rFonts w:ascii="Arial" w:hAnsi="Arial" w:cs="Arial"/>
          <w:color w:val="000000" w:themeColor="text1"/>
          <w:sz w:val="22"/>
          <w:szCs w:val="22"/>
        </w:rPr>
        <w:t>p=0.</w:t>
      </w:r>
      <w:r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D213A8">
        <w:rPr>
          <w:rFonts w:ascii="Arial" w:hAnsi="Arial" w:cs="Arial"/>
          <w:color w:val="000000" w:themeColor="text1"/>
          <w:sz w:val="22"/>
          <w:szCs w:val="22"/>
        </w:rPr>
        <w:t>4B</w:t>
      </w:r>
      <w:r w:rsidR="007D7128">
        <w:rPr>
          <w:rFonts w:ascii="Arial" w:hAnsi="Arial" w:cs="Arial"/>
          <w:color w:val="000000" w:themeColor="text1"/>
          <w:sz w:val="22"/>
          <w:szCs w:val="22"/>
        </w:rPr>
        <w:t>)</w:t>
      </w:r>
      <w:r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p w14:paraId="3CEE4EEB" w14:textId="77777777" w:rsidR="00D13EF5" w:rsidRDefault="00D13EF5" w:rsidP="00785932">
      <w:pPr>
        <w:rPr>
          <w:rFonts w:ascii="Arial" w:hAnsi="Arial" w:cs="Arial"/>
          <w:color w:val="000000" w:themeColor="text1"/>
          <w:sz w:val="22"/>
          <w:szCs w:val="22"/>
        </w:rPr>
      </w:pPr>
    </w:p>
    <w:p w14:paraId="6B27D3C2" w14:textId="77777777" w:rsidR="008B3CA4" w:rsidRPr="00EF5551" w:rsidRDefault="008B3CA4" w:rsidP="00785932">
      <w:pPr>
        <w:rPr>
          <w:rFonts w:ascii="Arial" w:hAnsi="Arial" w:cs="Arial"/>
          <w:color w:val="000000" w:themeColor="text1"/>
          <w:sz w:val="22"/>
          <w:szCs w:val="22"/>
        </w:rPr>
      </w:pPr>
    </w:p>
    <w:p w14:paraId="71F3A718" w14:textId="049B600C"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r w:rsidR="00D25C77">
        <w:rPr>
          <w:rFonts w:ascii="Arial" w:hAnsi="Arial" w:cs="Arial"/>
          <w:b/>
          <w:color w:val="000000" w:themeColor="text1"/>
          <w:sz w:val="22"/>
          <w:szCs w:val="22"/>
        </w:rPr>
        <w:t xml:space="preserve"> Percentage</w:t>
      </w:r>
    </w:p>
    <w:p w14:paraId="21556A6F" w14:textId="57116411"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sidR="00D25C77">
        <w:rPr>
          <w:rFonts w:ascii="Arial" w:hAnsi="Arial" w:cs="Arial"/>
          <w:color w:val="000000" w:themeColor="text1"/>
          <w:sz w:val="22"/>
          <w:szCs w:val="22"/>
        </w:rPr>
        <w:t xml:space="preserve"> att. PND10.5</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B65BAA">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w:t>
      </w:r>
      <w:r w:rsidR="0034722F">
        <w:rPr>
          <w:rFonts w:ascii="Arial" w:hAnsi="Arial" w:cs="Arial"/>
          <w:color w:val="000000" w:themeColor="text1"/>
          <w:sz w:val="22"/>
          <w:szCs w:val="22"/>
        </w:rPr>
        <w:lastRenderedPageBreak/>
        <w:t>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F23A33">
        <w:rPr>
          <w:rFonts w:ascii="Arial" w:hAnsi="Arial" w:cs="Arial"/>
          <w:color w:val="000000" w:themeColor="text1"/>
          <w:sz w:val="22"/>
          <w:szCs w:val="22"/>
        </w:rPr>
        <w:t>5</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3D4866E6" w14:textId="39C8A846" w:rsidR="00FC2981" w:rsidRDefault="00383D4B" w:rsidP="00785932">
      <w:pPr>
        <w:rPr>
          <w:rFonts w:ascii="Arial" w:hAnsi="Arial" w:cs="Arial"/>
          <w:color w:val="000000" w:themeColor="text1"/>
          <w:sz w:val="22"/>
          <w:szCs w:val="22"/>
        </w:rPr>
      </w:pPr>
      <w:r>
        <w:rPr>
          <w:rFonts w:ascii="Arial" w:hAnsi="Arial" w:cs="Arial"/>
          <w:color w:val="000000" w:themeColor="text1"/>
          <w:sz w:val="22"/>
          <w:szCs w:val="22"/>
        </w:rPr>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51465C3B" w14:textId="4F469BE8" w:rsidR="0085513B" w:rsidRPr="00AF1420" w:rsidRDefault="0085513B" w:rsidP="00AF1420"/>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Milk</w:t>
      </w:r>
    </w:p>
    <w:p w14:paraId="320238F6" w14:textId="13B3B02B" w:rsidR="00022D02"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D25C77">
        <w:rPr>
          <w:rFonts w:ascii="Arial" w:hAnsi="Arial" w:cs="Arial"/>
          <w:color w:val="000000" w:themeColor="text1"/>
          <w:sz w:val="22"/>
          <w:szCs w:val="22"/>
        </w:rPr>
        <w:t>Figure</w:t>
      </w:r>
      <w:r w:rsidR="00324B67">
        <w:rPr>
          <w:rFonts w:ascii="Arial" w:hAnsi="Arial" w:cs="Arial"/>
          <w:color w:val="000000" w:themeColor="text1"/>
          <w:sz w:val="22"/>
          <w:szCs w:val="22"/>
        </w:rPr>
        <w:t xml:space="preserve"> </w:t>
      </w:r>
      <w:r w:rsidR="00D25C77">
        <w:rPr>
          <w:rFonts w:ascii="Arial" w:hAnsi="Arial" w:cs="Arial"/>
          <w:color w:val="000000" w:themeColor="text1"/>
          <w:sz w:val="22"/>
          <w:szCs w:val="22"/>
        </w:rPr>
        <w:t>4</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Adipocyte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w:t>
      </w:r>
      <w:r w:rsidR="00D25C77">
        <w:rPr>
          <w:rFonts w:ascii="Arial" w:hAnsi="Arial" w:cs="Arial"/>
          <w:color w:val="000000" w:themeColor="text1"/>
          <w:sz w:val="22"/>
          <w:szCs w:val="22"/>
        </w:rPr>
        <w:t>6</w:t>
      </w:r>
      <w:r w:rsidR="00F66797" w:rsidRPr="00262598">
        <w:rPr>
          <w:rFonts w:ascii="Arial" w:hAnsi="Arial" w:cs="Arial"/>
          <w:color w:val="000000" w:themeColor="text1"/>
          <w:sz w:val="22"/>
          <w:szCs w:val="22"/>
        </w:rPr>
        <w:t>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 xml:space="preserve">higher percentage of monounsaturated fatty (Figure </w:t>
      </w:r>
      <w:r w:rsidR="00D25C77">
        <w:rPr>
          <w:rFonts w:ascii="Arial" w:hAnsi="Arial" w:cs="Arial"/>
          <w:color w:val="000000" w:themeColor="text1"/>
          <w:sz w:val="22"/>
          <w:szCs w:val="22"/>
        </w:rPr>
        <w:t>6</w:t>
      </w:r>
      <w:r w:rsidR="00F66797" w:rsidRPr="00262598">
        <w:rPr>
          <w:rFonts w:ascii="Arial" w:hAnsi="Arial" w:cs="Arial"/>
          <w:color w:val="000000" w:themeColor="text1"/>
          <w:sz w:val="22"/>
          <w:szCs w:val="22"/>
        </w:rPr>
        <w:t>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and similar percentages of polyunsaturated fatty acids (Figure </w:t>
      </w:r>
      <w:r w:rsidR="00D25C77">
        <w:rPr>
          <w:rFonts w:ascii="Arial" w:hAnsi="Arial" w:cs="Arial"/>
          <w:color w:val="000000" w:themeColor="text1"/>
          <w:sz w:val="22"/>
          <w:szCs w:val="22"/>
        </w:rPr>
        <w:t>6</w:t>
      </w:r>
      <w:r w:rsidR="00F66797" w:rsidRPr="00262598">
        <w:rPr>
          <w:rFonts w:ascii="Arial" w:hAnsi="Arial" w:cs="Arial"/>
          <w:color w:val="000000" w:themeColor="text1"/>
          <w:sz w:val="22"/>
          <w:szCs w:val="22"/>
        </w:rPr>
        <w:t xml:space="preserve">C).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6D, p=0.004). </w:t>
      </w:r>
    </w:p>
    <w:p w14:paraId="65BDAF3F" w14:textId="77777777" w:rsidR="00713921" w:rsidRDefault="00713921" w:rsidP="00785932">
      <w:pPr>
        <w:rPr>
          <w:rFonts w:ascii="Arial" w:hAnsi="Arial" w:cs="Arial"/>
          <w:color w:val="000000" w:themeColor="text1"/>
          <w:sz w:val="22"/>
          <w:szCs w:val="22"/>
        </w:rPr>
      </w:pPr>
    </w:p>
    <w:p w14:paraId="4950B168" w14:textId="7217A65C"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E72391">
        <w:rPr>
          <w:rFonts w:ascii="Arial" w:hAnsi="Arial" w:cs="Arial"/>
          <w:color w:val="000000" w:themeColor="text1"/>
          <w:sz w:val="22"/>
          <w:szCs w:val="22"/>
        </w:rPr>
        <w:t>a</w:t>
      </w:r>
      <w:r w:rsidR="00E72391">
        <w:rPr>
          <w:rFonts w:ascii="Arial" w:hAnsi="Arial" w:cs="Arial"/>
          <w:color w:val="000000" w:themeColor="text1"/>
          <w:sz w:val="22"/>
          <w:szCs w:val="22"/>
        </w:rPr>
        <w:t xml:space="preserve">dipocyte </w:t>
      </w:r>
      <w:r w:rsidR="00E72391" w:rsidRPr="00CD289F">
        <w:rPr>
          <w:rFonts w:ascii="Arial" w:hAnsi="Arial" w:cs="Arial"/>
          <w:i/>
          <w:color w:val="000000" w:themeColor="text1"/>
          <w:sz w:val="22"/>
          <w:szCs w:val="22"/>
        </w:rPr>
        <w:t>Tsc1</w:t>
      </w:r>
      <w:r w:rsidR="00E72391">
        <w:rPr>
          <w:rFonts w:ascii="Arial" w:hAnsi="Arial" w:cs="Arial"/>
          <w:color w:val="000000" w:themeColor="text1"/>
          <w:sz w:val="22"/>
          <w:szCs w:val="22"/>
        </w:rPr>
        <w:t xml:space="preserve"> knockout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of</w:t>
      </w:r>
      <w:r w:rsidR="00704322" w:rsidRPr="00262598">
        <w:rPr>
          <w:rFonts w:ascii="Arial" w:hAnsi="Arial" w:cs="Arial"/>
          <w:color w:val="000000" w:themeColor="text1"/>
          <w:sz w:val="22"/>
          <w:szCs w:val="22"/>
        </w:rPr>
        <w:t xml:space="preserve">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 xml:space="preserve">-3 </w:t>
      </w:r>
      <w:r>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xml:space="preserve">, p=0.013), </w:t>
      </w:r>
      <w:r>
        <w:rPr>
          <w:rFonts w:ascii="Arial" w:hAnsi="Arial" w:cs="Arial"/>
          <w:color w:val="000000" w:themeColor="text1"/>
          <w:sz w:val="22"/>
          <w:szCs w:val="22"/>
        </w:rPr>
        <w:t xml:space="preserve">driven </w:t>
      </w:r>
      <w:r w:rsidR="00C95521">
        <w:rPr>
          <w:rFonts w:ascii="Arial" w:hAnsi="Arial" w:cs="Arial"/>
          <w:color w:val="000000" w:themeColor="text1"/>
          <w:sz w:val="22"/>
          <w:szCs w:val="22"/>
        </w:rPr>
        <w:t xml:space="preserve">mostly </w:t>
      </w:r>
      <w:r>
        <w:rPr>
          <w:rFonts w:ascii="Arial" w:hAnsi="Arial" w:cs="Arial"/>
          <w:color w:val="000000" w:themeColor="text1"/>
          <w:sz w:val="22"/>
          <w:szCs w:val="22"/>
        </w:rPr>
        <w:t xml:space="preserve">by a 42% increase in the </w:t>
      </w:r>
      <w:r w:rsidR="00E72391">
        <w:rPr>
          <w:rFonts w:ascii="Arial" w:hAnsi="Arial" w:cs="Arial"/>
          <w:color w:val="000000" w:themeColor="text1"/>
          <w:sz w:val="22"/>
          <w:szCs w:val="22"/>
        </w:rPr>
        <w:t>n</w:t>
      </w:r>
      <w:r>
        <w:rPr>
          <w:rFonts w:ascii="Arial" w:hAnsi="Arial" w:cs="Arial"/>
          <w:color w:val="000000" w:themeColor="text1"/>
          <w:sz w:val="22"/>
          <w:szCs w:val="22"/>
        </w:rPr>
        <w:t>-3 fatty acid</w:t>
      </w:r>
      <w:r w:rsidR="00713921">
        <w:rPr>
          <w:rFonts w:ascii="Arial" w:hAnsi="Arial" w:cs="Arial"/>
          <w:color w:val="000000" w:themeColor="text1"/>
          <w:sz w:val="22"/>
          <w:szCs w:val="22"/>
        </w:rPr>
        <w:t xml:space="preserve"> </w:t>
      </w:r>
      <w:r w:rsidR="00A21216">
        <w:rPr>
          <w:rFonts w:ascii="Arial" w:hAnsi="Arial" w:cs="Arial"/>
          <w:color w:val="000000" w:themeColor="text1"/>
          <w:sz w:val="22"/>
          <w:szCs w:val="22"/>
        </w:rPr>
        <w:t>Docosahexaenoic acid (DHA)</w:t>
      </w:r>
      <w:r w:rsidR="00704322" w:rsidRPr="00262598">
        <w:rPr>
          <w:rFonts w:ascii="Arial" w:hAnsi="Arial" w:cs="Arial"/>
          <w:color w:val="000000" w:themeColor="text1"/>
          <w:sz w:val="22"/>
          <w:szCs w:val="22"/>
        </w:rPr>
        <w:t xml:space="preserve"> (Figure </w:t>
      </w:r>
      <w:r w:rsidR="00D25C77">
        <w:rPr>
          <w:rFonts w:ascii="Arial" w:hAnsi="Arial" w:cs="Arial"/>
          <w:color w:val="000000" w:themeColor="text1"/>
          <w:sz w:val="22"/>
          <w:szCs w:val="22"/>
        </w:rPr>
        <w:t>6</w:t>
      </w:r>
      <w:r w:rsidR="00704322" w:rsidRPr="00262598">
        <w:rPr>
          <w:rFonts w:ascii="Arial" w:hAnsi="Arial" w:cs="Arial"/>
          <w:color w:val="000000" w:themeColor="text1"/>
          <w:sz w:val="22"/>
          <w:szCs w:val="22"/>
        </w:rPr>
        <w:t>F</w:t>
      </w:r>
      <w:r>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p=0.031)</w:t>
      </w:r>
      <w:r w:rsidR="00C95521">
        <w:rPr>
          <w:rFonts w:ascii="Arial" w:hAnsi="Arial" w:cs="Arial"/>
          <w:color w:val="000000" w:themeColor="text1"/>
          <w:sz w:val="22"/>
          <w:szCs w:val="22"/>
        </w:rPr>
        <w:t>.</w:t>
      </w:r>
      <w:r w:rsidR="00713921">
        <w:rPr>
          <w:rFonts w:ascii="Arial" w:hAnsi="Arial" w:cs="Arial"/>
          <w:color w:val="000000" w:themeColor="text1"/>
          <w:sz w:val="22"/>
          <w:szCs w:val="22"/>
        </w:rPr>
        <w:t xml:space="preserve"> </w:t>
      </w:r>
      <w:r w:rsidR="00C95521">
        <w:rPr>
          <w:rFonts w:ascii="Arial" w:hAnsi="Arial" w:cs="Arial"/>
          <w:color w:val="000000" w:themeColor="text1"/>
          <w:sz w:val="22"/>
          <w:szCs w:val="22"/>
        </w:rPr>
        <w:t xml:space="preserve">There </w:t>
      </w:r>
      <w:r>
        <w:rPr>
          <w:rFonts w:ascii="Arial" w:hAnsi="Arial" w:cs="Arial"/>
          <w:color w:val="000000" w:themeColor="text1"/>
          <w:sz w:val="22"/>
          <w:szCs w:val="22"/>
        </w:rPr>
        <w:t xml:space="preserve">was a </w:t>
      </w:r>
      <w:r w:rsidR="00F66797" w:rsidRPr="00262598">
        <w:rPr>
          <w:rFonts w:ascii="Arial" w:hAnsi="Arial" w:cs="Arial"/>
          <w:color w:val="000000" w:themeColor="text1"/>
          <w:sz w:val="22"/>
          <w:szCs w:val="22"/>
        </w:rPr>
        <w:t xml:space="preserve">similar percentage of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 xml:space="preserve">-6 </w:t>
      </w:r>
      <w:r>
        <w:rPr>
          <w:rFonts w:ascii="Arial" w:hAnsi="Arial" w:cs="Arial"/>
          <w:color w:val="000000" w:themeColor="text1"/>
          <w:sz w:val="22"/>
          <w:szCs w:val="22"/>
        </w:rPr>
        <w:t xml:space="preserve">fatty acids </w:t>
      </w:r>
      <w:r w:rsidR="00F66797" w:rsidRPr="00262598">
        <w:rPr>
          <w:rFonts w:ascii="Arial" w:hAnsi="Arial" w:cs="Arial"/>
          <w:color w:val="000000" w:themeColor="text1"/>
          <w:sz w:val="22"/>
          <w:szCs w:val="22"/>
        </w:rPr>
        <w:t xml:space="preserve">(Figure </w:t>
      </w:r>
      <w:r w:rsidR="00D25C77">
        <w:rPr>
          <w:rFonts w:ascii="Arial" w:hAnsi="Arial" w:cs="Arial"/>
          <w:color w:val="000000" w:themeColor="text1"/>
          <w:sz w:val="22"/>
          <w:szCs w:val="22"/>
        </w:rPr>
        <w:t>6</w:t>
      </w:r>
      <w:r w:rsidR="00704322" w:rsidRPr="00262598">
        <w:rPr>
          <w:rFonts w:ascii="Arial" w:hAnsi="Arial" w:cs="Arial"/>
          <w:color w:val="000000" w:themeColor="text1"/>
          <w:sz w:val="22"/>
          <w:szCs w:val="22"/>
        </w:rPr>
        <w:t>G</w:t>
      </w:r>
      <w:r w:rsidR="00F66797" w:rsidRPr="00262598">
        <w:rPr>
          <w:rFonts w:ascii="Arial" w:hAnsi="Arial" w:cs="Arial"/>
          <w:color w:val="000000" w:themeColor="text1"/>
          <w:sz w:val="22"/>
          <w:szCs w:val="22"/>
        </w:rPr>
        <w:t xml:space="preserve">), </w:t>
      </w:r>
      <w:r>
        <w:rPr>
          <w:rFonts w:ascii="Arial" w:hAnsi="Arial" w:cs="Arial"/>
          <w:color w:val="000000" w:themeColor="text1"/>
          <w:sz w:val="22"/>
          <w:szCs w:val="22"/>
        </w:rPr>
        <w:t>result</w:t>
      </w:r>
      <w:r w:rsidR="00C95521">
        <w:rPr>
          <w:rFonts w:ascii="Arial" w:hAnsi="Arial" w:cs="Arial"/>
          <w:color w:val="000000" w:themeColor="text1"/>
          <w:sz w:val="22"/>
          <w:szCs w:val="22"/>
        </w:rPr>
        <w:t>ing</w:t>
      </w:r>
      <w:r>
        <w:rPr>
          <w:rFonts w:ascii="Arial" w:hAnsi="Arial" w:cs="Arial"/>
          <w:color w:val="000000" w:themeColor="text1"/>
          <w:sz w:val="22"/>
          <w:szCs w:val="22"/>
        </w:rPr>
        <w:t xml:space="preserve"> in</w:t>
      </w:r>
      <w:r w:rsidR="00F66797" w:rsidRPr="00262598">
        <w:rPr>
          <w:rFonts w:ascii="Arial" w:hAnsi="Arial" w:cs="Arial"/>
          <w:color w:val="000000" w:themeColor="text1"/>
          <w:sz w:val="22"/>
          <w:szCs w:val="22"/>
        </w:rPr>
        <w:t xml:space="preserve"> a </w:t>
      </w:r>
      <w:r>
        <w:rPr>
          <w:rFonts w:ascii="Arial" w:hAnsi="Arial" w:cs="Arial"/>
          <w:color w:val="000000" w:themeColor="text1"/>
          <w:sz w:val="22"/>
          <w:szCs w:val="22"/>
        </w:rPr>
        <w:t xml:space="preserve">31% </w:t>
      </w:r>
      <w:r w:rsidR="00F66797" w:rsidRPr="00262598">
        <w:rPr>
          <w:rFonts w:ascii="Arial" w:hAnsi="Arial" w:cs="Arial"/>
          <w:color w:val="000000" w:themeColor="text1"/>
          <w:sz w:val="22"/>
          <w:szCs w:val="22"/>
        </w:rPr>
        <w:t xml:space="preserve">lower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-6:</w:t>
      </w:r>
      <w:r w:rsidR="00E72391">
        <w:rPr>
          <w:rFonts w:ascii="Arial" w:hAnsi="Arial" w:cs="Arial"/>
          <w:color w:val="000000" w:themeColor="text1"/>
          <w:sz w:val="22"/>
          <w:szCs w:val="22"/>
        </w:rPr>
        <w:t>n-3</w:t>
      </w:r>
      <w:r w:rsidR="00F66797" w:rsidRPr="00262598">
        <w:rPr>
          <w:rFonts w:ascii="Arial" w:hAnsi="Arial" w:cs="Arial"/>
          <w:color w:val="000000" w:themeColor="text1"/>
          <w:sz w:val="22"/>
          <w:szCs w:val="22"/>
        </w:rPr>
        <w:t xml:space="preserve">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w:t>
      </w:r>
      <w:r w:rsidR="00D25C77">
        <w:rPr>
          <w:rFonts w:ascii="Arial" w:hAnsi="Arial" w:cs="Arial"/>
          <w:color w:val="000000" w:themeColor="text1"/>
          <w:sz w:val="22"/>
          <w:szCs w:val="22"/>
        </w:rPr>
        <w:t>6</w:t>
      </w:r>
      <w:r w:rsidR="00704322" w:rsidRPr="00262598">
        <w:rPr>
          <w:rFonts w:ascii="Arial" w:hAnsi="Arial" w:cs="Arial"/>
          <w:color w:val="000000" w:themeColor="text1"/>
          <w:sz w:val="22"/>
          <w:szCs w:val="22"/>
        </w:rPr>
        <w:t>H</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r>
        <w:rPr>
          <w:rFonts w:ascii="Arial" w:hAnsi="Arial" w:cs="Arial"/>
          <w:color w:val="000000" w:themeColor="text1"/>
          <w:sz w:val="22"/>
          <w:szCs w:val="22"/>
        </w:rPr>
        <w:t xml:space="preserve"> Interestingly, the upstream precursors of DHA including ALA and EPA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t xml:space="preserve">unaffected, suggesting that ALA/EPA </w:t>
      </w:r>
      <w:commentRangeStart w:id="15"/>
      <w:r>
        <w:rPr>
          <w:rFonts w:ascii="Arial" w:hAnsi="Arial" w:cs="Arial"/>
          <w:color w:val="000000" w:themeColor="text1"/>
          <w:sz w:val="22"/>
          <w:szCs w:val="22"/>
        </w:rPr>
        <w:t xml:space="preserve">conversion into DHA </w:t>
      </w:r>
      <w:commentRangeEnd w:id="15"/>
      <w:r w:rsidR="00D25C77">
        <w:rPr>
          <w:rStyle w:val="CommentReference"/>
        </w:rPr>
        <w:commentReference w:id="15"/>
      </w:r>
      <w:r>
        <w:rPr>
          <w:rFonts w:ascii="Arial" w:hAnsi="Arial" w:cs="Arial"/>
          <w:color w:val="000000" w:themeColor="text1"/>
          <w:sz w:val="22"/>
          <w:szCs w:val="22"/>
        </w:rPr>
        <w:t xml:space="preserve">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19A1304A" w14:textId="5A456F61" w:rsidR="00A443B5" w:rsidRDefault="00A443B5" w:rsidP="00785932">
      <w:pPr>
        <w:rPr>
          <w:rFonts w:ascii="Arial" w:hAnsi="Arial" w:cs="Arial"/>
          <w:color w:val="000000" w:themeColor="text1"/>
          <w:sz w:val="22"/>
          <w:szCs w:val="22"/>
        </w:rPr>
      </w:pP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6C8AF3CA" w14:textId="0E7F36CD" w:rsidR="00487AC0" w:rsidRDefault="00987D6A" w:rsidP="00785932">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D25C77">
        <w:rPr>
          <w:rFonts w:ascii="Arial" w:hAnsi="Arial" w:cs="Arial"/>
          <w:sz w:val="22"/>
        </w:rPr>
        <w:t>7</w:t>
      </w:r>
      <w:r w:rsidR="00D25638">
        <w:rPr>
          <w:rFonts w:ascii="Arial" w:hAnsi="Arial" w:cs="Arial"/>
          <w:sz w:val="22"/>
        </w:rPr>
        <w:t>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r w:rsidR="00D25C77">
        <w:rPr>
          <w:rFonts w:ascii="Arial" w:hAnsi="Arial" w:cs="Arial"/>
          <w:sz w:val="22"/>
        </w:rPr>
        <w:t>7</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w:t>
      </w:r>
      <w:r w:rsidR="00E72391">
        <w:rPr>
          <w:rFonts w:ascii="Arial" w:hAnsi="Arial" w:cs="Arial"/>
          <w:sz w:val="22"/>
        </w:rPr>
        <w:t>7</w:t>
      </w:r>
      <w:r w:rsidR="00C37BB4">
        <w:rPr>
          <w:rFonts w:ascii="Arial" w:hAnsi="Arial" w:cs="Arial"/>
          <w:sz w:val="22"/>
        </w:rPr>
        <w:t>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B12700">
        <w:rPr>
          <w:rFonts w:ascii="Arial" w:hAnsi="Arial" w:cs="Arial"/>
          <w:sz w:val="22"/>
        </w:rPr>
        <w:t xml:space="preserve">n-3 </w:t>
      </w:r>
      <w:r w:rsidR="00D7025E">
        <w:rPr>
          <w:rFonts w:ascii="Arial" w:hAnsi="Arial" w:cs="Arial"/>
          <w:sz w:val="22"/>
        </w:rPr>
        <w:t>eicosanoid</w:t>
      </w:r>
      <w:r w:rsidR="004413C9">
        <w:rPr>
          <w:rFonts w:ascii="Arial" w:hAnsi="Arial" w:cs="Arial"/>
          <w:sz w:val="22"/>
        </w:rPr>
        <w:t xml:space="preserve"> </w:t>
      </w:r>
      <w:r w:rsidR="00B12700">
        <w:rPr>
          <w:rFonts w:ascii="Arial" w:hAnsi="Arial" w:cs="Arial"/>
          <w:sz w:val="22"/>
        </w:rPr>
        <w:t xml:space="preserve">metabolism and </w:t>
      </w:r>
      <w:r w:rsidR="004413C9">
        <w:rPr>
          <w:rFonts w:ascii="Arial" w:hAnsi="Arial" w:cs="Arial"/>
          <w:sz w:val="22"/>
        </w:rPr>
        <w:t>including</w:t>
      </w:r>
      <w:r w:rsidR="00C37BB4">
        <w:rPr>
          <w:rFonts w:ascii="Arial" w:hAnsi="Arial" w:cs="Arial"/>
          <w:sz w:val="22"/>
        </w:rPr>
        <w:t xml:space="preserve"> the enzymes</w:t>
      </w:r>
      <w:r w:rsidR="004413C9">
        <w:rPr>
          <w:rFonts w:ascii="Arial" w:hAnsi="Arial" w:cs="Arial"/>
          <w:sz w:val="22"/>
        </w:rPr>
        <w:t xml:space="preserve"> </w:t>
      </w:r>
      <w:r w:rsidR="00B12700">
        <w:rPr>
          <w:rFonts w:ascii="Arial" w:hAnsi="Arial" w:cs="Arial"/>
          <w:i/>
          <w:sz w:val="22"/>
        </w:rPr>
        <w:t>Cyp2e1</w:t>
      </w:r>
      <w:r w:rsidR="004413C9">
        <w:rPr>
          <w:rFonts w:ascii="Arial" w:hAnsi="Arial" w:cs="Arial"/>
          <w:sz w:val="22"/>
        </w:rPr>
        <w:t xml:space="preserve">, </w:t>
      </w:r>
      <w:r w:rsidR="00B12700" w:rsidRPr="00AF1420">
        <w:rPr>
          <w:rFonts w:ascii="Arial" w:hAnsi="Arial" w:cs="Arial"/>
          <w:i/>
          <w:sz w:val="22"/>
        </w:rPr>
        <w:t>Gpx3</w:t>
      </w:r>
      <w:r w:rsidR="00B12700">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B12700">
        <w:rPr>
          <w:rFonts w:ascii="Arial" w:hAnsi="Arial" w:cs="Arial"/>
          <w:sz w:val="22"/>
        </w:rPr>
        <w:t>the n-6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 xml:space="preserve">downregulated </w:t>
      </w:r>
      <w:r w:rsidR="004413C9" w:rsidRPr="004413C9">
        <w:rPr>
          <w:rFonts w:ascii="Arial" w:hAnsi="Arial" w:cs="Arial"/>
          <w:sz w:val="22"/>
        </w:rPr>
        <w:t xml:space="preserve">(Figure </w:t>
      </w:r>
      <w:r w:rsidR="006E1624">
        <w:rPr>
          <w:rFonts w:ascii="Arial" w:hAnsi="Arial" w:cs="Arial"/>
          <w:sz w:val="22"/>
        </w:rPr>
        <w:t>7</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785932">
      <w:pPr>
        <w:rPr>
          <w:rFonts w:ascii="Arial" w:hAnsi="Arial" w:cs="Arial"/>
          <w:sz w:val="22"/>
        </w:rPr>
      </w:pPr>
    </w:p>
    <w:p w14:paraId="13C779BF" w14:textId="003C1249" w:rsidR="00C2784E" w:rsidRPr="008C177E" w:rsidRDefault="00601245" w:rsidP="00785932">
      <w:pPr>
        <w:rPr>
          <w:rFonts w:ascii="Arial" w:hAnsi="Arial" w:cs="Arial"/>
          <w:sz w:val="22"/>
        </w:rPr>
      </w:pPr>
      <w:r>
        <w:rPr>
          <w:rFonts w:ascii="Arial" w:hAnsi="Arial" w:cs="Arial"/>
          <w:sz w:val="22"/>
        </w:rPr>
        <w:t xml:space="preserve">In spite of the modest numbers of </w:t>
      </w:r>
      <w:r w:rsidR="00487AC0">
        <w:rPr>
          <w:rFonts w:ascii="Arial" w:hAnsi="Arial" w:cs="Arial"/>
          <w:sz w:val="22"/>
        </w:rPr>
        <w:t>significantly</w:t>
      </w:r>
      <w:r>
        <w:rPr>
          <w:rFonts w:ascii="Arial" w:hAnsi="Arial" w:cs="Arial"/>
          <w:sz w:val="22"/>
        </w:rPr>
        <w:t xml:space="preserve"> differentially expressed genes, gene</w:t>
      </w:r>
      <w:r w:rsidR="00D51D9A">
        <w:rPr>
          <w:rFonts w:ascii="Arial" w:hAnsi="Arial" w:cs="Arial"/>
          <w:sz w:val="22"/>
        </w:rPr>
        <w:t xml:space="preserve"> set enrichment analyses identified</w:t>
      </w:r>
      <w:r w:rsidR="00487AC0">
        <w:rPr>
          <w:rFonts w:ascii="Arial" w:hAnsi="Arial" w:cs="Arial"/>
          <w:sz w:val="22"/>
        </w:rPr>
        <w:t xml:space="preserve"> a 220 </w:t>
      </w:r>
      <w:r w:rsidR="00087C2F">
        <w:rPr>
          <w:rFonts w:ascii="Arial" w:hAnsi="Arial" w:cs="Arial"/>
          <w:sz w:val="22"/>
        </w:rPr>
        <w:t>s</w:t>
      </w:r>
      <w:r w:rsidR="00487AC0">
        <w:rPr>
          <w:rFonts w:ascii="Arial" w:hAnsi="Arial" w:cs="Arial"/>
          <w:sz w:val="22"/>
        </w:rPr>
        <w:t xml:space="preserve">ignificantly differentially expressed biological pathways by GSEA (180 downregulated, 40 upregulated; Supplementary </w:t>
      </w:r>
      <w:commentRangeStart w:id="16"/>
      <w:r w:rsidR="00487AC0">
        <w:rPr>
          <w:rFonts w:ascii="Arial" w:hAnsi="Arial" w:cs="Arial"/>
          <w:sz w:val="22"/>
        </w:rPr>
        <w:t xml:space="preserve">Table </w:t>
      </w:r>
      <w:r w:rsidR="004A336B">
        <w:rPr>
          <w:rFonts w:ascii="Arial" w:hAnsi="Arial" w:cs="Arial"/>
          <w:sz w:val="22"/>
        </w:rPr>
        <w:t>3</w:t>
      </w:r>
      <w:commentRangeEnd w:id="16"/>
      <w:r w:rsidR="006E1624">
        <w:rPr>
          <w:rStyle w:val="CommentReference"/>
        </w:rPr>
        <w:commentReference w:id="16"/>
      </w:r>
      <w:r w:rsidR="00487AC0">
        <w:rPr>
          <w:rFonts w:ascii="Arial" w:hAnsi="Arial" w:cs="Arial"/>
          <w:sz w:val="22"/>
        </w:rPr>
        <w:t>)</w:t>
      </w:r>
      <w:r>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Pr>
          <w:rFonts w:ascii="Arial" w:hAnsi="Arial" w:cs="Arial"/>
          <w:sz w:val="22"/>
        </w:rPr>
        <w:t xml:space="preserve"> fell largely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Pr>
          <w:rFonts w:ascii="Arial" w:hAnsi="Arial" w:cs="Arial"/>
          <w:sz w:val="22"/>
        </w:rPr>
        <w:t>pathways</w:t>
      </w:r>
      <w:r w:rsidR="005F2606">
        <w:rPr>
          <w:rFonts w:ascii="Arial" w:hAnsi="Arial" w:cs="Arial"/>
          <w:sz w:val="22"/>
        </w:rPr>
        <w:t xml:space="preserve">, </w:t>
      </w:r>
      <w:r>
        <w:rPr>
          <w:rFonts w:ascii="Arial" w:hAnsi="Arial" w:cs="Arial"/>
          <w:sz w:val="22"/>
        </w:rPr>
        <w:t xml:space="preserve">one set </w:t>
      </w:r>
      <w:r w:rsidR="005F2606">
        <w:rPr>
          <w:rFonts w:ascii="Arial" w:hAnsi="Arial" w:cs="Arial"/>
          <w:sz w:val="22"/>
        </w:rPr>
        <w:t xml:space="preserve">related to </w:t>
      </w:r>
      <w:r>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 xml:space="preserve">differentiation and </w:t>
      </w:r>
      <w:commentRangeStart w:id="17"/>
      <w:commentRangeStart w:id="18"/>
      <w:r w:rsidR="00C36D7B">
        <w:rPr>
          <w:rFonts w:ascii="Arial" w:hAnsi="Arial" w:cs="Arial"/>
          <w:sz w:val="22"/>
        </w:rPr>
        <w:t>function</w:t>
      </w:r>
      <w:commentRangeEnd w:id="17"/>
      <w:r w:rsidR="003A5362">
        <w:rPr>
          <w:rStyle w:val="CommentReference"/>
        </w:rPr>
        <w:commentReference w:id="17"/>
      </w:r>
      <w:commentRangeEnd w:id="18"/>
      <w:r w:rsidR="00D41270">
        <w:rPr>
          <w:rStyle w:val="CommentReference"/>
        </w:rPr>
        <w:commentReference w:id="18"/>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6E1624">
        <w:rPr>
          <w:rFonts w:ascii="Arial" w:hAnsi="Arial" w:cs="Arial"/>
          <w:sz w:val="22"/>
        </w:rPr>
        <w:t>7</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w:t>
      </w:r>
      <w:r w:rsidR="00C22096">
        <w:rPr>
          <w:rFonts w:ascii="Arial" w:hAnsi="Arial" w:cs="Arial"/>
          <w:sz w:val="22"/>
        </w:rPr>
        <w:lastRenderedPageBreak/>
        <w:t>for</w:t>
      </w:r>
      <w:r w:rsidR="008623C4">
        <w:rPr>
          <w:rFonts w:ascii="Arial" w:hAnsi="Arial" w:cs="Arial"/>
          <w:sz w:val="22"/>
        </w:rPr>
        <w:t xml:space="preserve"> CD45 and CD19</w:t>
      </w:r>
      <w:r w:rsidR="00C22096">
        <w:rPr>
          <w:rFonts w:ascii="Arial" w:hAnsi="Arial" w:cs="Arial"/>
          <w:sz w:val="22"/>
        </w:rPr>
        <w:t xml:space="preserve">. Each of these markers were reduced </w:t>
      </w:r>
      <w:commentRangeStart w:id="19"/>
      <w:r w:rsidR="00CB042A">
        <w:rPr>
          <w:rFonts w:ascii="Arial" w:hAnsi="Arial" w:cs="Arial"/>
          <w:sz w:val="22"/>
        </w:rPr>
        <w:t>20-</w:t>
      </w:r>
      <w:r w:rsidR="002E3892">
        <w:rPr>
          <w:rFonts w:ascii="Arial" w:hAnsi="Arial" w:cs="Arial"/>
          <w:sz w:val="22"/>
        </w:rPr>
        <w:t>92</w:t>
      </w:r>
      <w:commentRangeEnd w:id="19"/>
      <w:r w:rsidR="006E1624">
        <w:rPr>
          <w:rStyle w:val="CommentReference"/>
        </w:rPr>
        <w:commentReference w:id="19"/>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reduction in adaptive immune cells in these mammary glands.</w:t>
      </w:r>
    </w:p>
    <w:p w14:paraId="3C9E8CE9" w14:textId="57AE854B" w:rsidR="00AC0A55"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1E2E2BD3" w14:textId="503F88FF" w:rsidR="00011C59" w:rsidRPr="00012F03" w:rsidRDefault="00D41270" w:rsidP="009745B2">
      <w:pPr>
        <w:rPr>
          <w:rFonts w:ascii="Arial" w:hAnsi="Arial" w:cs="Arial"/>
          <w:color w:val="000000" w:themeColor="text1"/>
          <w:sz w:val="22"/>
          <w:szCs w:val="22"/>
        </w:rPr>
      </w:pPr>
      <w:ins w:id="20" w:author="Dave Bridges" w:date="2021-04-28T12:02:00Z">
        <w:r>
          <w:rPr>
            <w:rFonts w:ascii="Arial" w:hAnsi="Arial" w:cs="Arial"/>
            <w:color w:val="000000" w:themeColor="text1"/>
            <w:sz w:val="22"/>
            <w:szCs w:val="22"/>
          </w:rPr>
          <w:t xml:space="preserve">Milk fat is the most variable macronutrient in human milk, and contributes the most to differences in energy content of </w:t>
        </w:r>
        <w:commentRangeStart w:id="21"/>
        <w:r>
          <w:rPr>
            <w:rFonts w:ascii="Arial" w:hAnsi="Arial" w:cs="Arial"/>
            <w:color w:val="000000" w:themeColor="text1"/>
            <w:sz w:val="22"/>
            <w:szCs w:val="22"/>
          </w:rPr>
          <w:t>milk</w:t>
        </w:r>
        <w:commentRangeEnd w:id="21"/>
        <w:r w:rsidR="00061031">
          <w:rPr>
            <w:rStyle w:val="CommentReference"/>
          </w:rPr>
          <w:commentReference w:id="21"/>
        </w:r>
        <w:r>
          <w:rPr>
            <w:rFonts w:ascii="Arial" w:hAnsi="Arial" w:cs="Arial"/>
            <w:color w:val="000000" w:themeColor="text1"/>
            <w:sz w:val="22"/>
            <w:szCs w:val="22"/>
          </w:rPr>
          <w:t>.</w:t>
        </w:r>
      </w:ins>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 xml:space="preserve">In this study we show that hyperactivation of adipocyte mTORC1 </w:t>
      </w:r>
      <w:r w:rsidR="00406B32">
        <w:rPr>
          <w:rFonts w:ascii="Arial" w:hAnsi="Arial" w:cs="Arial"/>
          <w:color w:val="000000" w:themeColor="text1"/>
          <w:sz w:val="22"/>
          <w:szCs w:val="22"/>
        </w:rPr>
        <w:t xml:space="preserve">via adipocyte 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depots. The positive role of mTORC1 in adipocyte biology has been well established. mTORC1 is necessary for adipocyte differentiation in both </w:t>
      </w:r>
      <w:commentRangeStart w:id="22"/>
      <w:r w:rsidR="00406B32">
        <w:rPr>
          <w:rFonts w:ascii="Arial" w:hAnsi="Arial" w:cs="Arial"/>
          <w:color w:val="000000" w:themeColor="text1"/>
          <w:sz w:val="22"/>
          <w:szCs w:val="22"/>
        </w:rPr>
        <w:t xml:space="preserve">peripheral </w:t>
      </w:r>
      <w:commentRangeEnd w:id="22"/>
      <w:r w:rsidR="00406B32">
        <w:rPr>
          <w:rStyle w:val="CommentReference"/>
        </w:rPr>
        <w:commentReference w:id="22"/>
      </w:r>
      <w:r w:rsidR="00406B32">
        <w:rPr>
          <w:rFonts w:ascii="Arial" w:hAnsi="Arial" w:cs="Arial"/>
          <w:color w:val="000000" w:themeColor="text1"/>
          <w:sz w:val="22"/>
          <w:szCs w:val="22"/>
        </w:rPr>
        <w:t xml:space="preserve">and mammary adipocyte </w:t>
      </w:r>
      <w:commentRangeStart w:id="23"/>
      <w:r w:rsidR="00406B32">
        <w:rPr>
          <w:rFonts w:ascii="Arial" w:hAnsi="Arial" w:cs="Arial"/>
          <w:color w:val="000000" w:themeColor="text1"/>
          <w:sz w:val="22"/>
          <w:szCs w:val="22"/>
        </w:rPr>
        <w:t>depots</w:t>
      </w:r>
      <w:commentRangeEnd w:id="23"/>
      <w:r w:rsidR="00406B32">
        <w:rPr>
          <w:rStyle w:val="CommentReference"/>
        </w:rPr>
        <w:commentReference w:id="23"/>
      </w:r>
      <w:r w:rsidR="00406B32">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It is also worth noting that there is evidence of de- and re-differentiation of post-involution mammary adipocyte, but to avoid this concern our studies focused on mice in their first pregnancy. The increased adipocyte hyperplasia could suggest a signal promoting mammary adipogenesis derived from peripheral adipocytes.</w:t>
      </w:r>
    </w:p>
    <w:p w14:paraId="6D8C972E" w14:textId="77777777" w:rsidR="00011C59" w:rsidRDefault="00011C59" w:rsidP="009745B2">
      <w:pPr>
        <w:rPr>
          <w:rFonts w:ascii="Arial" w:hAnsi="Arial" w:cs="Arial"/>
          <w:color w:val="000000" w:themeColor="text1"/>
          <w:sz w:val="22"/>
          <w:szCs w:val="22"/>
        </w:rPr>
      </w:pPr>
    </w:p>
    <w:p w14:paraId="6018343A" w14:textId="3FB01970" w:rsidR="00406B32" w:rsidRDefault="00406B32" w:rsidP="009745B2">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 and the chronic absence of mTORC1 activity (by </w:t>
      </w:r>
      <w:r w:rsidRPr="00012F03">
        <w:rPr>
          <w:rFonts w:ascii="Arial" w:hAnsi="Arial" w:cs="Arial"/>
          <w:i/>
          <w:color w:val="000000" w:themeColor="text1"/>
          <w:sz w:val="22"/>
          <w:szCs w:val="22"/>
          <w:rPrChange w:id="24" w:author="Dave Bridges" w:date="2021-04-28T12:36:00Z">
            <w:rPr>
              <w:rFonts w:ascii="Arial" w:hAnsi="Arial" w:cs="Arial"/>
              <w:color w:val="000000" w:themeColor="text1"/>
              <w:sz w:val="22"/>
              <w:szCs w:val="22"/>
            </w:rPr>
          </w:rPrChange>
        </w:rPr>
        <w:t>Raptor</w:t>
      </w:r>
      <w:r>
        <w:rPr>
          <w:rFonts w:ascii="Arial" w:hAnsi="Arial" w:cs="Arial"/>
          <w:color w:val="000000" w:themeColor="text1"/>
          <w:sz w:val="22"/>
          <w:szCs w:val="22"/>
        </w:rPr>
        <w:t xml:space="preserve"> ablation) results in lipodistrophic </w:t>
      </w:r>
      <w:commentRangeStart w:id="25"/>
      <w:r>
        <w:rPr>
          <w:rFonts w:ascii="Arial" w:hAnsi="Arial" w:cs="Arial"/>
          <w:color w:val="000000" w:themeColor="text1"/>
          <w:sz w:val="22"/>
          <w:szCs w:val="22"/>
        </w:rPr>
        <w:t>mice</w:t>
      </w:r>
      <w:commentRangeEnd w:id="25"/>
      <w:r w:rsidR="00012F03">
        <w:rPr>
          <w:rStyle w:val="CommentReference"/>
        </w:rPr>
        <w:commentReference w:id="25"/>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Pr>
          <w:rFonts w:ascii="Arial" w:hAnsi="Arial" w:cs="Arial"/>
          <w:color w:val="000000" w:themeColor="text1"/>
          <w:sz w:val="22"/>
          <w:szCs w:val="22"/>
        </w:rPr>
        <w:fldChar w:fldCharType="separate"/>
      </w:r>
      <w:r w:rsidRPr="008B7F19">
        <w:rPr>
          <w:rFonts w:ascii="Arial" w:hAnsi="Arial" w:cs="Arial"/>
          <w:noProof/>
          <w:color w:val="000000" w:themeColor="text1"/>
          <w:sz w:val="22"/>
          <w:szCs w:val="22"/>
        </w:rPr>
        <w:t>(35)</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esterification in inguinal adipose </w:t>
      </w:r>
      <w:commentRangeStart w:id="26"/>
      <w:r w:rsidR="00DB1ACA">
        <w:rPr>
          <w:rFonts w:ascii="Arial" w:hAnsi="Arial" w:cs="Arial"/>
          <w:color w:val="000000" w:themeColor="text1"/>
          <w:sz w:val="22"/>
          <w:szCs w:val="22"/>
        </w:rPr>
        <w:t>tissue</w:t>
      </w:r>
      <w:commentRangeEnd w:id="26"/>
      <w:r w:rsidR="00DB1ACA">
        <w:rPr>
          <w:rStyle w:val="CommentReference"/>
        </w:rPr>
        <w:commentReference w:id="26"/>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 (not decreased) ACC, ACLY, and FASN  protein levels </w:t>
      </w:r>
      <w:r w:rsidR="00DB1ACA">
        <w:rPr>
          <w:rFonts w:ascii="Arial" w:hAnsi="Arial" w:cs="Arial"/>
          <w:color w:val="000000" w:themeColor="text1"/>
          <w:sz w:val="22"/>
          <w:szCs w:val="22"/>
        </w:rPr>
        <w:fldChar w:fldCharType="begin" w:fldLock="1"/>
      </w:r>
      <w:r w:rsidR="00DB1ACA">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DB1ACA">
        <w:rPr>
          <w:rFonts w:ascii="Arial" w:hAnsi="Arial" w:cs="Arial"/>
          <w:color w:val="000000" w:themeColor="text1"/>
          <w:sz w:val="22"/>
          <w:szCs w:val="22"/>
        </w:rPr>
        <w:fldChar w:fldCharType="separate"/>
      </w:r>
      <w:r w:rsidR="00DB1ACA" w:rsidRPr="008B7F19">
        <w:rPr>
          <w:rFonts w:ascii="Arial" w:hAnsi="Arial" w:cs="Arial"/>
          <w:noProof/>
          <w:color w:val="000000" w:themeColor="text1"/>
          <w:sz w:val="22"/>
          <w:szCs w:val="22"/>
        </w:rPr>
        <w:t>(35)</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two potential explanations, one is that 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r w:rsidR="00987774">
        <w:rPr>
          <w:rFonts w:ascii="Arial" w:hAnsi="Arial" w:cs="Arial"/>
          <w:color w:val="000000" w:themeColor="text1"/>
          <w:sz w:val="22"/>
          <w:szCs w:val="22"/>
        </w:rPr>
        <w:t xml:space="preserve">. </w:t>
      </w:r>
      <w:commentRangeStart w:id="27"/>
      <w:r w:rsidR="00987774">
        <w:rPr>
          <w:rFonts w:ascii="Arial" w:hAnsi="Arial" w:cs="Arial"/>
          <w:color w:val="000000" w:themeColor="text1"/>
          <w:sz w:val="22"/>
          <w:szCs w:val="22"/>
        </w:rPr>
        <w:t>The other possibility is that the mechanisms by which mTORC1 drives lipid synthesis/export in mammary glands are distinct from those in adipocyte depots</w:t>
      </w:r>
      <w:commentRangeEnd w:id="27"/>
      <w:r w:rsidR="009277E5">
        <w:rPr>
          <w:rStyle w:val="CommentReference"/>
        </w:rPr>
        <w:commentReference w:id="27"/>
      </w:r>
      <w:r w:rsidR="00987774">
        <w:rPr>
          <w:rFonts w:ascii="Arial" w:hAnsi="Arial" w:cs="Arial"/>
          <w:color w:val="000000" w:themeColor="text1"/>
          <w:sz w:val="22"/>
          <w:szCs w:val="22"/>
        </w:rPr>
        <w:t>.</w:t>
      </w:r>
      <w:r w:rsidR="00C71A11">
        <w:rPr>
          <w:rFonts w:ascii="Arial" w:hAnsi="Arial" w:cs="Arial"/>
          <w:color w:val="000000" w:themeColor="text1"/>
          <w:sz w:val="22"/>
          <w:szCs w:val="22"/>
        </w:rPr>
        <w:t xml:space="preserve"> This is consistent with </w:t>
      </w:r>
      <w:r w:rsidR="00955460">
        <w:rPr>
          <w:rFonts w:ascii="Arial" w:hAnsi="Arial" w:cs="Arial"/>
          <w:color w:val="000000" w:themeColor="text1"/>
          <w:sz w:val="22"/>
          <w:szCs w:val="22"/>
        </w:rPr>
        <w:t>elevated expression of</w:t>
      </w:r>
      <w:r w:rsidR="00C71A11">
        <w:rPr>
          <w:rFonts w:ascii="Arial" w:hAnsi="Arial" w:cs="Arial"/>
          <w:color w:val="000000" w:themeColor="text1"/>
          <w:sz w:val="22"/>
          <w:szCs w:val="22"/>
        </w:rPr>
        <w:t xml:space="preserve"> the fatty acid transporter </w:t>
      </w:r>
      <w:r w:rsidR="009277E5" w:rsidRPr="009833B6">
        <w:rPr>
          <w:rFonts w:ascii="Arial" w:hAnsi="Arial" w:cs="Arial"/>
          <w:i/>
          <w:color w:val="000000" w:themeColor="text1"/>
          <w:sz w:val="22"/>
          <w:szCs w:val="22"/>
        </w:rPr>
        <w:t>Fabp4</w:t>
      </w:r>
      <w:r w:rsidR="00955460">
        <w:rPr>
          <w:rFonts w:ascii="Arial" w:hAnsi="Arial" w:cs="Arial"/>
          <w:color w:val="000000" w:themeColor="text1"/>
          <w:sz w:val="22"/>
          <w:szCs w:val="22"/>
        </w:rPr>
        <w:t xml:space="preserve"> (Figure 7C)</w:t>
      </w:r>
      <w:r w:rsidR="00C71A11">
        <w:rPr>
          <w:rFonts w:ascii="Arial" w:hAnsi="Arial" w:cs="Arial"/>
          <w:color w:val="000000" w:themeColor="text1"/>
          <w:sz w:val="22"/>
          <w:szCs w:val="22"/>
        </w:rPr>
        <w:t xml:space="preserve">.  </w:t>
      </w:r>
      <w:commentRangeStart w:id="28"/>
      <w:r w:rsidR="00C71A11">
        <w:rPr>
          <w:rFonts w:ascii="Arial" w:hAnsi="Arial" w:cs="Arial"/>
          <w:color w:val="000000" w:themeColor="text1"/>
          <w:sz w:val="22"/>
          <w:szCs w:val="22"/>
        </w:rPr>
        <w:t>Further</w:t>
      </w:r>
      <w:commentRangeEnd w:id="28"/>
      <w:r w:rsidR="00BB3B3F">
        <w:rPr>
          <w:rStyle w:val="CommentReference"/>
        </w:rPr>
        <w:commentReference w:id="28"/>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p>
    <w:p w14:paraId="466A1E33" w14:textId="77777777" w:rsidR="00406B32" w:rsidRDefault="00406B32" w:rsidP="009745B2">
      <w:pPr>
        <w:rPr>
          <w:rFonts w:ascii="Arial" w:hAnsi="Arial" w:cs="Arial"/>
          <w:color w:val="000000" w:themeColor="text1"/>
          <w:sz w:val="22"/>
          <w:szCs w:val="22"/>
        </w:rPr>
      </w:pPr>
    </w:p>
    <w:p w14:paraId="2B9114F7" w14:textId="4008B997" w:rsidR="00406B32" w:rsidRDefault="00406B32" w:rsidP="009745B2">
      <w:pPr>
        <w:rPr>
          <w:rFonts w:ascii="Arial" w:hAnsi="Arial" w:cs="Arial"/>
          <w:color w:val="000000" w:themeColor="text1"/>
          <w:sz w:val="22"/>
          <w:szCs w:val="22"/>
        </w:rPr>
      </w:pPr>
      <w:r>
        <w:rPr>
          <w:rFonts w:ascii="Arial" w:hAnsi="Arial" w:cs="Arial"/>
          <w:color w:val="000000" w:themeColor="text1"/>
          <w:sz w:val="22"/>
          <w:szCs w:val="22"/>
        </w:rPr>
        <w:t xml:space="preserve">Several studies in mammary epithelial cells are also consistent with a positive role of mTORC1 with respect to milk </w:t>
      </w:r>
      <w:commentRangeStart w:id="29"/>
      <w:r>
        <w:rPr>
          <w:rFonts w:ascii="Arial" w:hAnsi="Arial" w:cs="Arial"/>
          <w:color w:val="000000" w:themeColor="text1"/>
          <w:sz w:val="22"/>
          <w:szCs w:val="22"/>
        </w:rPr>
        <w:t>lipids</w:t>
      </w:r>
      <w:commentRangeEnd w:id="29"/>
      <w:r w:rsidR="009277E5">
        <w:rPr>
          <w:rStyle w:val="CommentReference"/>
        </w:rPr>
        <w:commentReference w:id="29"/>
      </w:r>
      <w:r>
        <w:rPr>
          <w:rFonts w:ascii="Arial" w:hAnsi="Arial" w:cs="Arial"/>
          <w:color w:val="000000" w:themeColor="text1"/>
          <w:sz w:val="22"/>
          <w:szCs w:val="22"/>
        </w:rPr>
        <w:t>. 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 xml:space="preserve">branched chain amino acid </w:t>
      </w:r>
      <w:r>
        <w:rPr>
          <w:rFonts w:ascii="Arial" w:hAnsi="Arial" w:cs="Arial"/>
          <w:color w:val="000000" w:themeColor="text1"/>
          <w:sz w:val="22"/>
          <w:szCs w:val="22"/>
        </w:rPr>
        <w:t>v</w:t>
      </w:r>
      <w:r w:rsidR="009F2971">
        <w:rPr>
          <w:rFonts w:ascii="Arial" w:hAnsi="Arial" w:cs="Arial"/>
          <w:color w:val="000000" w:themeColor="text1"/>
          <w:sz w:val="22"/>
          <w:szCs w:val="22"/>
        </w:rPr>
        <w:t xml:space="preserve">aline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instrText>
      </w:r>
      <w:r w:rsidR="009F297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(34)</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 these data suggest that mTORC1 activation may positively regulate milk lipids through multiple cell-types.</w:t>
      </w:r>
    </w:p>
    <w:p w14:paraId="037DCB19" w14:textId="0BE5402C" w:rsidR="00955460" w:rsidRDefault="00955460" w:rsidP="009745B2">
      <w:pPr>
        <w:rPr>
          <w:rFonts w:ascii="Arial" w:hAnsi="Arial" w:cs="Arial"/>
          <w:color w:val="000000" w:themeColor="text1"/>
          <w:sz w:val="22"/>
          <w:szCs w:val="22"/>
        </w:rPr>
      </w:pPr>
    </w:p>
    <w:p w14:paraId="26B2B1D5" w14:textId="16BBDBC2" w:rsidR="00955460" w:rsidRDefault="00E276D1" w:rsidP="00955460">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w:t>
      </w:r>
      <w:r w:rsidR="001C215F">
        <w:rPr>
          <w:rFonts w:ascii="Arial" w:hAnsi="Arial" w:cs="Arial"/>
          <w:color w:val="000000" w:themeColor="text1"/>
          <w:sz w:val="22"/>
          <w:szCs w:val="22"/>
        </w:rPr>
        <w:t xml:space="preserve">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w:t>
      </w:r>
      <w:r w:rsidR="001C215F">
        <w:rPr>
          <w:rFonts w:ascii="Arial" w:hAnsi="Arial" w:cs="Arial"/>
          <w:color w:val="000000" w:themeColor="text1"/>
          <w:sz w:val="22"/>
          <w:szCs w:val="22"/>
        </w:rPr>
        <w:t xml:space="preserve">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omega-3 fatty acid important for infant growth and development and has been linked to </w:t>
      </w:r>
      <w:commentRangeStart w:id="30"/>
      <w:r w:rsidR="00955460">
        <w:rPr>
          <w:rFonts w:ascii="Arial" w:hAnsi="Arial" w:cs="Arial"/>
          <w:color w:val="000000" w:themeColor="text1"/>
          <w:sz w:val="22"/>
          <w:szCs w:val="22"/>
        </w:rPr>
        <w:t>xxx</w:t>
      </w:r>
      <w:commentRangeEnd w:id="30"/>
      <w:r w:rsidR="00955460">
        <w:rPr>
          <w:rStyle w:val="CommentReference"/>
        </w:rPr>
        <w:commentReference w:id="30"/>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 xml:space="preserve">HA and EPA levels are highly variable in human milk, and a better understanding of the physiological signals that control DHA levels in milk is important to optimizing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t>
      </w:r>
      <w:commentRangeStart w:id="31"/>
      <w:r w:rsidR="00955460">
        <w:rPr>
          <w:rFonts w:ascii="Arial" w:hAnsi="Arial" w:cs="Arial"/>
          <w:color w:val="000000" w:themeColor="text1"/>
          <w:sz w:val="22"/>
          <w:szCs w:val="22"/>
        </w:rPr>
        <w:t xml:space="preserve">We examined the expression of the PC-DHA transporter </w:t>
      </w:r>
      <w:r w:rsidR="00955460" w:rsidRPr="009833B6">
        <w:rPr>
          <w:rFonts w:ascii="Arial" w:hAnsi="Arial" w:cs="Arial"/>
          <w:i/>
          <w:color w:val="000000" w:themeColor="text1"/>
          <w:sz w:val="22"/>
          <w:szCs w:val="22"/>
        </w:rPr>
        <w:t>Mfsud2a</w:t>
      </w:r>
      <w:r w:rsidR="00955460">
        <w:rPr>
          <w:rFonts w:ascii="Arial" w:hAnsi="Arial" w:cs="Arial"/>
          <w:color w:val="000000" w:themeColor="text1"/>
          <w:sz w:val="22"/>
          <w:szCs w:val="22"/>
        </w:rPr>
        <w:t xml:space="preserve"> </w:t>
      </w:r>
      <w:commentRangeStart w:id="32"/>
      <w:r w:rsidR="00955460">
        <w:rPr>
          <w:rFonts w:ascii="Arial" w:hAnsi="Arial" w:cs="Arial"/>
          <w:color w:val="000000" w:themeColor="text1"/>
          <w:sz w:val="22"/>
          <w:szCs w:val="22"/>
        </w:rPr>
        <w:t>but</w:t>
      </w:r>
      <w:commentRangeEnd w:id="32"/>
      <w:r w:rsidR="00955460">
        <w:rPr>
          <w:rStyle w:val="CommentReference"/>
        </w:rPr>
        <w:commentReference w:id="32"/>
      </w:r>
      <w:r w:rsidR="00955460">
        <w:rPr>
          <w:rFonts w:ascii="Arial" w:hAnsi="Arial" w:cs="Arial"/>
          <w:color w:val="000000" w:themeColor="text1"/>
          <w:sz w:val="22"/>
          <w:szCs w:val="22"/>
        </w:rPr>
        <w:t xml:space="preserve"> did not detect any differences in our mammary expression data.</w:t>
      </w:r>
      <w:commentRangeEnd w:id="31"/>
      <w:r w:rsidR="009277E5">
        <w:rPr>
          <w:rStyle w:val="CommentReference"/>
        </w:rPr>
        <w:commentReference w:id="31"/>
      </w:r>
      <w:r w:rsidR="00AD46FF">
        <w:rPr>
          <w:rFonts w:ascii="Arial" w:hAnsi="Arial" w:cs="Arial"/>
          <w:color w:val="000000" w:themeColor="text1"/>
          <w:sz w:val="22"/>
          <w:szCs w:val="22"/>
        </w:rPr>
        <w:t xml:space="preserve"> The DHA levels may also be linked to our </w:t>
      </w:r>
      <w:r w:rsidR="00AD46FF">
        <w:rPr>
          <w:rFonts w:ascii="Arial" w:hAnsi="Arial" w:cs="Arial"/>
          <w:color w:val="000000" w:themeColor="text1"/>
          <w:sz w:val="22"/>
          <w:szCs w:val="22"/>
        </w:rPr>
        <w:lastRenderedPageBreak/>
        <w:t xml:space="preserve">observation of reduced gene expression of markers of adaptive immune cells. </w:t>
      </w:r>
      <w:r>
        <w:rPr>
          <w:rFonts w:ascii="Arial" w:hAnsi="Arial" w:cs="Arial"/>
          <w:color w:val="000000" w:themeColor="text1"/>
          <w:sz w:val="22"/>
          <w:szCs w:val="22"/>
        </w:rPr>
        <w:t xml:space="preserve">We show that several enzymes that convert DHA into bioactive lipids, </w:t>
      </w:r>
      <w:commentRangeStart w:id="33"/>
      <w:r>
        <w:rPr>
          <w:rFonts w:ascii="Arial" w:hAnsi="Arial" w:cs="Arial"/>
          <w:color w:val="000000" w:themeColor="text1"/>
          <w:sz w:val="22"/>
          <w:szCs w:val="22"/>
        </w:rPr>
        <w:t xml:space="preserve">including </w:t>
      </w:r>
      <w:commentRangeEnd w:id="33"/>
      <w:r w:rsidR="008E6335">
        <w:rPr>
          <w:rStyle w:val="CommentReference"/>
        </w:rPr>
        <w:commentReference w:id="33"/>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7E)</w:t>
      </w:r>
      <w:r>
        <w:rPr>
          <w:rFonts w:ascii="Arial" w:hAnsi="Arial" w:cs="Arial"/>
          <w:color w:val="000000" w:themeColor="text1"/>
          <w:sz w:val="22"/>
          <w:szCs w:val="22"/>
        </w:rPr>
        <w:t xml:space="preserve">. </w:t>
      </w:r>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but also the secretion of antibodies into the expressed milk.</w:t>
      </w:r>
    </w:p>
    <w:p w14:paraId="3DA94B44" w14:textId="22B94C51" w:rsidR="00955460" w:rsidRDefault="00955460" w:rsidP="00955460">
      <w:pPr>
        <w:rPr>
          <w:rFonts w:ascii="Arial" w:hAnsi="Arial" w:cs="Arial"/>
          <w:color w:val="000000" w:themeColor="text1"/>
          <w:sz w:val="22"/>
          <w:szCs w:val="22"/>
        </w:rPr>
      </w:pPr>
    </w:p>
    <w:p w14:paraId="39B18662" w14:textId="6B7BFD1E" w:rsidR="00955460" w:rsidRPr="00EF5551" w:rsidRDefault="00AD46FF" w:rsidP="00955460">
      <w:pPr>
        <w:rPr>
          <w:rFonts w:ascii="Arial" w:hAnsi="Arial" w:cs="Arial"/>
          <w:color w:val="000000" w:themeColor="text1"/>
          <w:sz w:val="22"/>
          <w:szCs w:val="22"/>
        </w:rPr>
      </w:pPr>
      <w:r>
        <w:rPr>
          <w:rFonts w:ascii="Arial" w:hAnsi="Arial" w:cs="Arial"/>
          <w:color w:val="000000" w:themeColor="text1"/>
          <w:sz w:val="22"/>
          <w:szCs w:val="22"/>
        </w:rPr>
        <w:t xml:space="preserve">This is the first report that adipocyte mTORC1 activation alters the lipids in milk, and provides important new data towards our understanding of lipid metabolism during a critical developmental window.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here are several limitations to this approach including the inability to separate the roles of peripheral and mammary adipocyte depots, and the lack of a clear mechanism by which mammary (or peripheral) adipocytes result in increased milk lipids, milk fat saturation and milk DHA levels.</w:t>
      </w:r>
    </w:p>
    <w:p w14:paraId="74DB9366" w14:textId="77777777" w:rsidR="00955460" w:rsidRDefault="00955460" w:rsidP="009745B2">
      <w:pPr>
        <w:rPr>
          <w:rFonts w:ascii="Arial" w:hAnsi="Arial" w:cs="Arial"/>
          <w:color w:val="000000" w:themeColor="text1"/>
          <w:sz w:val="22"/>
          <w:szCs w:val="22"/>
        </w:rPr>
      </w:pPr>
    </w:p>
    <w:p w14:paraId="1DE904AA" w14:textId="77777777" w:rsidR="00406B32" w:rsidRDefault="00406B32" w:rsidP="009745B2">
      <w:pPr>
        <w:rPr>
          <w:rFonts w:ascii="Arial" w:hAnsi="Arial" w:cs="Arial"/>
          <w:color w:val="000000" w:themeColor="text1"/>
          <w:sz w:val="22"/>
          <w:szCs w:val="22"/>
        </w:rPr>
      </w:pPr>
    </w:p>
    <w:p w14:paraId="4FDCB072" w14:textId="43CA3458" w:rsidR="00C0768E" w:rsidRDefault="009745B2" w:rsidP="009745B2">
      <w:pPr>
        <w:rPr>
          <w:rFonts w:ascii="Arial" w:hAnsi="Arial" w:cs="Arial"/>
          <w:color w:val="000000" w:themeColor="text1"/>
          <w:sz w:val="22"/>
          <w:szCs w:val="22"/>
        </w:rPr>
      </w:pPr>
      <w:commentRangeStart w:id="34"/>
      <w:r w:rsidRPr="00EF5551">
        <w:rPr>
          <w:rFonts w:ascii="Arial" w:hAnsi="Arial" w:cs="Arial"/>
          <w:color w:val="000000" w:themeColor="text1"/>
          <w:sz w:val="22"/>
          <w:szCs w:val="22"/>
        </w:rPr>
        <w:t xml:space="preserve">AKT, upstream of mTORC1, may play a significant role in regulating mammary gland differentiation and lipid synthesis </w:t>
      </w:r>
      <w:r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w:t>
      </w:r>
      <w:r w:rsidR="008526C0">
        <w:rPr>
          <w:rFonts w:ascii="Arial" w:hAnsi="Arial" w:cs="Arial"/>
          <w:color w:val="000000" w:themeColor="text1"/>
          <w:sz w:val="22"/>
          <w:szCs w:val="22"/>
        </w:rPr>
        <w:t xml:space="preserve">showing </w:t>
      </w:r>
      <w:r>
        <w:rPr>
          <w:rFonts w:ascii="Arial" w:hAnsi="Arial" w:cs="Arial"/>
          <w:color w:val="000000" w:themeColor="text1"/>
          <w:sz w:val="22"/>
          <w:szCs w:val="22"/>
        </w:rPr>
        <w:t xml:space="preserve">that milk </w:t>
      </w:r>
      <w:r w:rsidR="008526C0">
        <w:rPr>
          <w:rFonts w:ascii="Arial" w:hAnsi="Arial" w:cs="Arial"/>
          <w:color w:val="000000" w:themeColor="text1"/>
          <w:sz w:val="22"/>
          <w:szCs w:val="22"/>
        </w:rPr>
        <w:t xml:space="preserve">of adipocyte </w:t>
      </w:r>
      <w:r w:rsidR="008526C0">
        <w:rPr>
          <w:rFonts w:ascii="Arial" w:hAnsi="Arial" w:cs="Arial"/>
          <w:i/>
          <w:color w:val="000000" w:themeColor="text1"/>
          <w:sz w:val="22"/>
          <w:szCs w:val="22"/>
        </w:rPr>
        <w:t xml:space="preserve">Tsc1 </w:t>
      </w:r>
      <w:r w:rsidR="008526C0">
        <w:rPr>
          <w:rFonts w:ascii="Arial" w:hAnsi="Arial" w:cs="Arial"/>
          <w:color w:val="000000" w:themeColor="text1"/>
          <w:sz w:val="22"/>
          <w:szCs w:val="22"/>
        </w:rPr>
        <w:t xml:space="preserve">knockout mice </w:t>
      </w:r>
      <w:r>
        <w:rPr>
          <w:rFonts w:ascii="Arial" w:hAnsi="Arial" w:cs="Arial"/>
          <w:color w:val="000000" w:themeColor="text1"/>
          <w:sz w:val="22"/>
          <w:szCs w:val="22"/>
        </w:rPr>
        <w:t xml:space="preserve">had </w:t>
      </w:r>
      <w:r w:rsidR="008526C0">
        <w:rPr>
          <w:rFonts w:ascii="Arial" w:hAnsi="Arial" w:cs="Arial"/>
          <w:color w:val="000000" w:themeColor="text1"/>
          <w:sz w:val="22"/>
          <w:szCs w:val="22"/>
        </w:rPr>
        <w:t>higher</w:t>
      </w:r>
      <w:r>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w:t>
      </w:r>
    </w:p>
    <w:p w14:paraId="35A6DF66" w14:textId="6F25A4BE" w:rsidR="00C0768E" w:rsidRDefault="00C0768E" w:rsidP="009745B2">
      <w:pPr>
        <w:rPr>
          <w:rFonts w:ascii="Arial" w:hAnsi="Arial" w:cs="Arial"/>
          <w:color w:val="000000" w:themeColor="text1"/>
          <w:sz w:val="22"/>
          <w:szCs w:val="22"/>
        </w:rPr>
      </w:pPr>
      <w:r w:rsidRPr="00C0768E">
        <w:rPr>
          <w:rFonts w:ascii="Arial" w:hAnsi="Arial" w:cs="Arial"/>
          <w:color w:val="000000" w:themeColor="text1"/>
          <w:sz w:val="22"/>
          <w:szCs w:val="22"/>
          <w:highlight w:val="yellow"/>
        </w:rPr>
        <w:t xml:space="preserve">Tsc1 deletion </w:t>
      </w:r>
      <w:r w:rsidR="00B3605E">
        <w:rPr>
          <w:rFonts w:ascii="Arial" w:hAnsi="Arial" w:cs="Arial"/>
          <w:color w:val="000000" w:themeColor="text1"/>
          <w:sz w:val="22"/>
          <w:szCs w:val="22"/>
          <w:highlight w:val="yellow"/>
        </w:rPr>
        <w:t>l</w:t>
      </w:r>
      <w:r w:rsidRPr="00C0768E">
        <w:rPr>
          <w:rFonts w:ascii="Arial" w:hAnsi="Arial" w:cs="Arial"/>
          <w:color w:val="000000" w:themeColor="text1"/>
          <w:sz w:val="22"/>
          <w:szCs w:val="22"/>
          <w:highlight w:val="yellow"/>
        </w:rPr>
        <w:t>eads to reduced MG development? Could this explain the lower MG weight?? https://www.nature.com/articles/srep19587</w:t>
      </w:r>
      <w:r w:rsidRPr="00C0768E">
        <w:rPr>
          <w:rFonts w:ascii="Arial" w:hAnsi="Arial" w:cs="Arial"/>
          <w:color w:val="000000" w:themeColor="text1"/>
          <w:sz w:val="22"/>
          <w:szCs w:val="22"/>
        </w:rPr>
        <w:t xml:space="preserve"> </w:t>
      </w:r>
      <w:r w:rsidRPr="00B3605E">
        <w:rPr>
          <w:rFonts w:ascii="Arial" w:hAnsi="Arial" w:cs="Arial"/>
          <w:color w:val="000000" w:themeColor="text1"/>
          <w:sz w:val="22"/>
          <w:szCs w:val="22"/>
          <w:highlight w:val="yellow"/>
        </w:rPr>
        <w:t>then link this to the paragraph below (however…)</w:t>
      </w:r>
    </w:p>
    <w:p w14:paraId="06C97AA0" w14:textId="0FDD3E2C" w:rsidR="002A323E" w:rsidRDefault="00FF388A" w:rsidP="009745B2">
      <w:pPr>
        <w:rPr>
          <w:rFonts w:ascii="Arial" w:hAnsi="Arial" w:cs="Arial"/>
          <w:color w:val="000000" w:themeColor="text1"/>
          <w:sz w:val="22"/>
          <w:szCs w:val="22"/>
        </w:rPr>
      </w:pPr>
      <w:r>
        <w:rPr>
          <w:rFonts w:ascii="Arial" w:hAnsi="Arial" w:cs="Arial"/>
          <w:color w:val="000000" w:themeColor="text1"/>
          <w:sz w:val="22"/>
          <w:szCs w:val="22"/>
        </w:rPr>
        <w:t xml:space="preserve">However, our knockout model is downstream of AKT and thus we cannot determine the </w:t>
      </w:r>
      <w:r w:rsidR="00344F8B">
        <w:rPr>
          <w:rFonts w:ascii="Arial" w:hAnsi="Arial" w:cs="Arial"/>
          <w:color w:val="000000" w:themeColor="text1"/>
          <w:sz w:val="22"/>
          <w:szCs w:val="22"/>
        </w:rPr>
        <w:t>upstream</w:t>
      </w:r>
      <w:r>
        <w:rPr>
          <w:rFonts w:ascii="Arial" w:hAnsi="Arial" w:cs="Arial"/>
          <w:color w:val="000000" w:themeColor="text1"/>
          <w:sz w:val="22"/>
          <w:szCs w:val="22"/>
        </w:rPr>
        <w:t xml:space="preserve"> mechanisms within the AKT/mTORC1 pathway regulating lipogenesis in the mammary gland.</w:t>
      </w:r>
      <w:r w:rsidR="009745B2">
        <w:rPr>
          <w:rFonts w:ascii="Arial" w:hAnsi="Arial" w:cs="Arial"/>
          <w:color w:val="000000" w:themeColor="text1"/>
          <w:sz w:val="22"/>
          <w:szCs w:val="22"/>
        </w:rPr>
        <w:t xml:space="preserve"> </w:t>
      </w:r>
      <w:r w:rsidR="006D0A48">
        <w:rPr>
          <w:rFonts w:ascii="Arial" w:hAnsi="Arial" w:cs="Arial"/>
          <w:color w:val="000000" w:themeColor="text1"/>
          <w:sz w:val="22"/>
          <w:szCs w:val="22"/>
        </w:rPr>
        <w:t xml:space="preserve">mTORC1 is also necessary for lipogenesis and fat storage. </w:t>
      </w:r>
    </w:p>
    <w:p w14:paraId="0472B115" w14:textId="77777777" w:rsidR="002A323E" w:rsidRDefault="002A323E" w:rsidP="009745B2">
      <w:pPr>
        <w:rPr>
          <w:rFonts w:ascii="Arial" w:hAnsi="Arial" w:cs="Arial"/>
          <w:color w:val="000000" w:themeColor="text1"/>
          <w:sz w:val="22"/>
          <w:szCs w:val="22"/>
        </w:rPr>
      </w:pPr>
    </w:p>
    <w:p w14:paraId="574B1F7F" w14:textId="6F5A2839" w:rsidR="00C0768E" w:rsidRDefault="00236EEF" w:rsidP="00344F8B">
      <w:pPr>
        <w:rPr>
          <w:rFonts w:ascii="Arial" w:hAnsi="Arial" w:cs="Arial"/>
          <w:color w:val="000000" w:themeColor="text1"/>
          <w:sz w:val="22"/>
          <w:szCs w:val="22"/>
        </w:rPr>
      </w:pPr>
      <w:r w:rsidRPr="00236EEF">
        <w:rPr>
          <w:rFonts w:ascii="Arial" w:hAnsi="Arial" w:cs="Arial"/>
          <w:color w:val="000000" w:themeColor="text1"/>
          <w:sz w:val="22"/>
          <w:szCs w:val="22"/>
        </w:rPr>
        <w:t>The</w:t>
      </w:r>
      <w:r>
        <w:rPr>
          <w:rFonts w:ascii="Arial" w:hAnsi="Arial" w:cs="Arial"/>
          <w:color w:val="000000" w:themeColor="text1"/>
          <w:sz w:val="22"/>
          <w:szCs w:val="22"/>
        </w:rPr>
        <w:t xml:space="preserve"> mammary gland contains white and brown adipocytes until puberty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{"citationItems":[{"id":"ITEM-1","itemData":{"DOI":"10.1210/me.2001-0337","ISSN":"0888-8809","abstract":"&lt;p&gt;Mammary fat tissue is crucial for mammary ductal morphogenesis in both fetal and adult mice. There are two kinds of adipocytes, the energy-storing white and the energy-dissipating brown adipocyte. The precise identity of the types of adipocyte in the mammary gland has never been investigated but was always assumed to be only white fat. In this study, we show that both white and brown adipocytes are present in the postnatal mammary gland. The amount of brown adipose tissue (BAT) examined by histology and electron microscopy correlates with the transcript levels of uncoupling protein 1, which is a mitochondrial carrier expressed exclusively in BAT. Uncoupling protein 1 mRNAs are the highest during prepuberty, decrease upon puberty, and are finally undetectable in the adult mammary gland. The analysis of a BAT-depleted mouse model showed that depletion of mammary BAT in early postnatal development induces epithelial differentiation. Alveolar structures were formed along all ducts and were functional since they produced β-casein. However, mammary transplantation experiments indicated that a systemic effect was responsible for epithelium differentiation. Our data suggest that BAT negatively regulates the differentiation of mammary epithelial cells in a systemic manner during prepubertal ductal outgrowth.&lt;/p&gt;","author":[{"dropping-particle":"","family":"Gouon-Evans","given":"Valérie","non-dropping-particle":"","parse-names":false,"suffix":""},{"dropping-particle":"","family":"Pollard","given":"Jeffrey W.","non-dropping-particle":"","parse-names":false,"suffix":""}],"container-title":"Molecular Endocrinology","id":"ITEM-1","issue":"11","issued":{"date-parts":[["2002","11","1"]]},"page":"2618-2627","publisher":"Oxford Academic","title":"Unexpected Deposition of Brown Fat in Mammary Gland During Postnatal Development","type":"article-journal","volume":"16"},"uris":["http://www.mendeley.com/documents/?uuid=9627da9d-e3de-36da-9105-e66ee82e1a09"]}],"mendeley":{"formattedCitation":"(36)","plainTextFormattedCitation":"(36)","previouslyFormattedCitation":"(40)"},"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(36)</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during lactation, a small fraction of the mammary myoepithelial cells has a brown adipocyte lineage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{"citationItems":[{"id":"ITEM-1","itemData":{"DOI":"10.1016/j.molmet.2017.07.015","ISSN":"22128778","PMID":"29031720","abstract":"Objective: Previous work has suggested that white adipocytes may also show a mammary luminal secretory cell phenotype during lactation. The capacity of brown and beige/brite adipocytes to display a mammary cell phenotype and the levels at which they demonstrate such phenotypes in vivo is currently unknown. Methods: To investigate the putative adipocyte origin of mammary gland cells, we performed genetic lineage-labeling experiments in BAT and the mammary glands. Results: These studies indicated that the classic brown adipocytes (Ucp1+) and subcutaneous beige/brite adipocytes (Ucp1−/+) were found in the mammary gland during lactation, when they exhibited a mammary myoepithelial phenotype. Up to 2.5% of the anterior dorsal interscapular mammary myoepithelial cell population had a brown adipocyte origin with an adipose and myoepithelial gene signature during lactation. Eliminating these cells, along with all the brown adipocytes, significantly slowed offspring growth, potentially demonstrating their functional importance. Additionally, we showed mammary epithelial lineage Mmtv+ and Krt14+ cells expressed brown adipocyte markers after weaning, demonstrating that mammary gland cells can display an adipose phenotype. Conclusions: The identification of a brown adipocyte origin of mammary myoepithelial cells provides a novel perspective on the interrelationships between adipocytes and mammary cells with implications for our understanding of obesity and breast cancer.","author":[{"dropping-particle":"","family":"Li","given":"Li","non-dropping-particle":"","parse-names":false,"suffix":""},{"dropping-particle":"","family":"Li","given":"Baoguo","non-dropping-particle":"","parse-names":false,"suffix":""},{"dropping-particle":"","family":"Li","given":"Min","non-dropping-particle":"","parse-names":false,"suffix":""},{"dropping-particle":"","family":"Niu","given":"Chaoqun","non-dropping-particle":"","parse-names":false,"suffix":""},{"dropping-particle":"","family":"Wang","given":"Guanlin","non-dropping-particle":"","parse-names":false,"suffix":""},{"dropping-particle":"","family":"Li","given":"Ting","non-dropping-particle":"","parse-names":false,"suffix":""},{"dropping-particle":"","family":"Król","given":"Elżbieta","non-dropping-particle":"","parse-names":false,"suffix":""},{"dropping-particle":"","family":"Jin","given":"Wanzhu","non-dropping-particle":"","parse-names":false,"suffix":""},{"dropping-particle":"","family":"Speakman","given":"John R.","non-dropping-particle":"","parse-names":false,"suffix":""}],"container-title":"Molecular Metabolism","id":"ITEM-1","issue":"10","issued":{"date-parts":[["2017","10","1"]]},"page":"1198-1211","publisher":"Elsevier GmbH","title":"Brown adipocytes can display a mammary basal myoepithelial cell phenotype in vivo","type":"article-journal","volume":"6"},"uris":["http://www.mendeley.com/documents/?uuid=06bdaa3f-3010-3acf-842b-c5ddc7269156"]}],"mendeley":{"formattedCitation":"(37)","plainTextFormattedCitation":"(37)","previouslyFormattedCitation":"(41)"},"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(37)</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commentRangeStart w:id="35"/>
      <w:commentRangeStart w:id="36"/>
      <w:r w:rsidR="00E760CA">
        <w:rPr>
          <w:rFonts w:ascii="Arial" w:hAnsi="Arial" w:cs="Arial"/>
          <w:color w:val="000000" w:themeColor="text1"/>
          <w:sz w:val="22"/>
          <w:szCs w:val="22"/>
        </w:rPr>
        <w:t xml:space="preserve">Adipocyte mTORC1 signaling has been </w:t>
      </w:r>
      <w:r w:rsidR="006D0A48">
        <w:rPr>
          <w:rFonts w:ascii="Arial" w:hAnsi="Arial" w:cs="Arial"/>
          <w:color w:val="000000" w:themeColor="text1"/>
          <w:sz w:val="22"/>
          <w:szCs w:val="22"/>
        </w:rPr>
        <w:t xml:space="preserve">further </w:t>
      </w:r>
      <w:r w:rsidR="00E760CA">
        <w:rPr>
          <w:rFonts w:ascii="Arial" w:hAnsi="Arial" w:cs="Arial"/>
          <w:color w:val="000000" w:themeColor="text1"/>
          <w:sz w:val="22"/>
          <w:szCs w:val="22"/>
        </w:rPr>
        <w:t xml:space="preserve">shown to be essential for white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w:t>
      </w:r>
      <w:r w:rsidR="006D0A48">
        <w:rPr>
          <w:rFonts w:ascii="Arial" w:hAnsi="Arial" w:cs="Arial"/>
          <w:color w:val="000000" w:themeColor="text1"/>
          <w:sz w:val="22"/>
          <w:szCs w:val="22"/>
        </w:rPr>
        <w:t>browning</w:t>
      </w:r>
      <w:r w:rsidR="00E760CA">
        <w:rPr>
          <w:rFonts w:ascii="Arial" w:hAnsi="Arial" w:cs="Arial"/>
          <w:color w:val="000000" w:themeColor="text1"/>
          <w:sz w:val="22"/>
          <w:szCs w:val="22"/>
        </w:rPr>
        <w:t xml:space="preserve"> and brown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tissue activation </w:t>
      </w:r>
      <w:r w:rsidR="00E760CA">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760CA">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760CA">
        <w:rPr>
          <w:rFonts w:ascii="Arial" w:hAnsi="Arial" w:cs="Arial"/>
          <w:color w:val="000000" w:themeColor="text1"/>
          <w:sz w:val="22"/>
          <w:szCs w:val="22"/>
        </w:rPr>
        <w:fldChar w:fldCharType="end"/>
      </w:r>
      <w:r w:rsidR="00E760CA">
        <w:rPr>
          <w:rFonts w:ascii="Arial" w:hAnsi="Arial" w:cs="Arial"/>
          <w:color w:val="000000" w:themeColor="text1"/>
          <w:sz w:val="22"/>
          <w:szCs w:val="22"/>
        </w:rPr>
        <w:t xml:space="preserve">. mTORC1 inhibition using rapamycin prevented </w:t>
      </w:r>
      <w:r w:rsidR="006D0A48">
        <w:rPr>
          <w:rFonts w:ascii="Arial" w:hAnsi="Arial" w:cs="Arial"/>
          <w:color w:val="000000" w:themeColor="text1"/>
          <w:sz w:val="22"/>
          <w:szCs w:val="22"/>
        </w:rPr>
        <w:t xml:space="preserve">activation of brown adipose tissue </w:t>
      </w:r>
      <w:r w:rsidR="00E760CA">
        <w:rPr>
          <w:rFonts w:ascii="Arial" w:hAnsi="Arial" w:cs="Arial"/>
          <w:color w:val="000000" w:themeColor="text1"/>
          <w:sz w:val="22"/>
          <w:szCs w:val="22"/>
        </w:rPr>
        <w:t xml:space="preserve">after exposure to cold </w:t>
      </w:r>
      <w:r w:rsidR="006D0A48">
        <w:rPr>
          <w:rFonts w:ascii="Arial" w:hAnsi="Arial" w:cs="Arial"/>
          <w:color w:val="000000" w:themeColor="text1"/>
          <w:sz w:val="22"/>
          <w:szCs w:val="22"/>
        </w:rPr>
        <w:t xml:space="preserve">temperatures </w:t>
      </w:r>
      <w:r w:rsidR="00E760CA">
        <w:rPr>
          <w:rFonts w:ascii="Arial" w:hAnsi="Arial" w:cs="Arial"/>
          <w:color w:val="000000" w:themeColor="text1"/>
          <w:sz w:val="22"/>
          <w:szCs w:val="22"/>
        </w:rPr>
        <w:t>or beta-3 adrenergic receptor</w:t>
      </w:r>
      <w:r w:rsidR="006D0A48">
        <w:rPr>
          <w:rFonts w:ascii="Arial" w:hAnsi="Arial" w:cs="Arial"/>
          <w:color w:val="000000" w:themeColor="text1"/>
          <w:sz w:val="22"/>
          <w:szCs w:val="22"/>
        </w:rPr>
        <w:t xml:space="preserve"> </w:t>
      </w:r>
      <w:r w:rsidR="00E9446B">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9446B">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9446B">
        <w:rPr>
          <w:rFonts w:ascii="Arial" w:hAnsi="Arial" w:cs="Arial"/>
          <w:color w:val="000000" w:themeColor="text1"/>
          <w:sz w:val="22"/>
          <w:szCs w:val="22"/>
        </w:rPr>
        <w:fldChar w:fldCharType="end"/>
      </w:r>
      <w:r w:rsidR="006D0A48">
        <w:rPr>
          <w:rFonts w:ascii="Arial" w:hAnsi="Arial" w:cs="Arial"/>
          <w:color w:val="000000" w:themeColor="text1"/>
          <w:sz w:val="22"/>
          <w:szCs w:val="22"/>
        </w:rPr>
        <w:t>.</w:t>
      </w:r>
      <w:r w:rsidR="008B7F19">
        <w:rPr>
          <w:rFonts w:ascii="Arial" w:hAnsi="Arial" w:cs="Arial"/>
          <w:color w:val="000000" w:themeColor="text1"/>
          <w:sz w:val="22"/>
          <w:szCs w:val="22"/>
        </w:rPr>
        <w:t xml:space="preserve"> </w:t>
      </w:r>
      <w:commentRangeEnd w:id="35"/>
      <w:r w:rsidR="002A323E">
        <w:rPr>
          <w:rStyle w:val="CommentReference"/>
        </w:rPr>
        <w:commentReference w:id="35"/>
      </w:r>
      <w:commentRangeEnd w:id="36"/>
      <w:r w:rsidR="00C0768E">
        <w:rPr>
          <w:rStyle w:val="CommentReference"/>
        </w:rPr>
        <w:commentReference w:id="36"/>
      </w:r>
      <w:r w:rsidR="002A323E">
        <w:rPr>
          <w:rFonts w:ascii="Arial" w:hAnsi="Arial" w:cs="Arial"/>
          <w:color w:val="000000" w:themeColor="text1"/>
          <w:sz w:val="22"/>
          <w:szCs w:val="22"/>
        </w:rPr>
        <w:t xml:space="preserve"> </w:t>
      </w:r>
      <w:proofErr w:type="spellStart"/>
      <w:r>
        <w:rPr>
          <w:rFonts w:ascii="Arial" w:hAnsi="Arial" w:cs="Arial"/>
          <w:color w:val="000000" w:themeColor="text1"/>
          <w:sz w:val="22"/>
          <w:szCs w:val="22"/>
        </w:rPr>
        <w:t>Magdalon</w:t>
      </w:r>
      <w:proofErr w:type="spellEnd"/>
      <w:r>
        <w:rPr>
          <w:rFonts w:ascii="Arial" w:hAnsi="Arial" w:cs="Arial"/>
          <w:color w:val="000000" w:themeColor="text1"/>
          <w:sz w:val="22"/>
          <w:szCs w:val="22"/>
        </w:rPr>
        <w:t xml:space="preserve"> et al. showed that adipocyte </w:t>
      </w:r>
      <w:r w:rsidRPr="00236EEF">
        <w:rPr>
          <w:rFonts w:ascii="Arial" w:hAnsi="Arial" w:cs="Arial"/>
          <w:color w:val="000000" w:themeColor="text1"/>
          <w:sz w:val="22"/>
          <w:szCs w:val="22"/>
        </w:rPr>
        <w:t>Tsc1</w:t>
      </w:r>
      <w:r>
        <w:rPr>
          <w:rFonts w:ascii="Arial" w:hAnsi="Arial" w:cs="Arial"/>
          <w:color w:val="000000" w:themeColor="text1"/>
          <w:sz w:val="22"/>
          <w:szCs w:val="22"/>
        </w:rPr>
        <w:t xml:space="preserve"> knockout mice had higher adipocyte browning and reduced visceral adiposity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(41)","plainTextFormattedCitation":"(41)","previouslyFormattedCitation":"(39)"},"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C0768E">
        <w:rPr>
          <w:rFonts w:ascii="Arial" w:hAnsi="Arial" w:cs="Arial"/>
          <w:color w:val="000000" w:themeColor="text1"/>
          <w:sz w:val="22"/>
          <w:szCs w:val="22"/>
        </w:rPr>
        <w:t xml:space="preserve">It is thus possible that our adipocyte </w:t>
      </w:r>
      <w:r w:rsidR="00C0768E" w:rsidRPr="00C0768E">
        <w:rPr>
          <w:rFonts w:ascii="Arial" w:hAnsi="Arial" w:cs="Arial"/>
          <w:color w:val="000000" w:themeColor="text1"/>
          <w:sz w:val="22"/>
          <w:szCs w:val="22"/>
        </w:rPr>
        <w:t>Tsc1</w:t>
      </w:r>
      <w:r w:rsidR="00C0768E">
        <w:rPr>
          <w:rFonts w:ascii="Arial" w:hAnsi="Arial" w:cs="Arial"/>
          <w:color w:val="000000" w:themeColor="text1"/>
          <w:sz w:val="22"/>
          <w:szCs w:val="22"/>
        </w:rPr>
        <w:t xml:space="preserve"> knockout model could have increased white adipocyte browning and could explain why our knockout dams had lower fat mass during pregnancy and lactation.</w:t>
      </w:r>
    </w:p>
    <w:p w14:paraId="70C610CF" w14:textId="77777777" w:rsidR="00236EEF" w:rsidRDefault="00236EEF" w:rsidP="00344F8B">
      <w:pPr>
        <w:rPr>
          <w:rFonts w:ascii="Arial" w:hAnsi="Arial" w:cs="Arial"/>
          <w:color w:val="000000" w:themeColor="text1"/>
          <w:sz w:val="22"/>
          <w:szCs w:val="22"/>
        </w:rPr>
      </w:pPr>
    </w:p>
    <w:p w14:paraId="078914F8" w14:textId="013754C0" w:rsidR="009745B2" w:rsidRDefault="00236EEF" w:rsidP="00236EEF">
      <w:pPr>
        <w:rPr>
          <w:rFonts w:ascii="Arial" w:hAnsi="Arial" w:cs="Arial"/>
          <w:color w:val="000000" w:themeColor="text1"/>
          <w:sz w:val="22"/>
          <w:szCs w:val="22"/>
        </w:rPr>
      </w:pPr>
      <w:commentRangeStart w:id="37"/>
      <w:proofErr w:type="spellStart"/>
      <w:r w:rsidRPr="008B6201">
        <w:rPr>
          <w:rFonts w:ascii="Arial" w:hAnsi="Arial" w:cs="Arial"/>
          <w:color w:val="000000" w:themeColor="text1"/>
          <w:sz w:val="22"/>
          <w:szCs w:val="22"/>
          <w:highlight w:val="yellow"/>
        </w:rPr>
        <w:t>Polak</w:t>
      </w:r>
      <w:proofErr w:type="spellEnd"/>
      <w:r w:rsidRPr="008B6201">
        <w:rPr>
          <w:rFonts w:ascii="Arial" w:hAnsi="Arial" w:cs="Arial"/>
          <w:color w:val="000000" w:themeColor="text1"/>
          <w:sz w:val="22"/>
          <w:szCs w:val="22"/>
          <w:highlight w:val="yellow"/>
        </w:rPr>
        <w:t xml:space="preserve"> here showing </w:t>
      </w:r>
      <w:r>
        <w:rPr>
          <w:rFonts w:ascii="Arial" w:hAnsi="Arial" w:cs="Arial"/>
          <w:color w:val="000000" w:themeColor="text1"/>
          <w:sz w:val="22"/>
          <w:szCs w:val="22"/>
          <w:highlight w:val="yellow"/>
        </w:rPr>
        <w:t>raptor KO (no mtorc1)</w:t>
      </w:r>
      <w:r w:rsidRPr="008B6201">
        <w:rPr>
          <w:rFonts w:ascii="Arial" w:hAnsi="Arial" w:cs="Arial"/>
          <w:color w:val="000000" w:themeColor="text1"/>
          <w:sz w:val="22"/>
          <w:szCs w:val="22"/>
          <w:highlight w:val="yellow"/>
        </w:rPr>
        <w:t xml:space="preserve"> results in lean mice which in our case </w:t>
      </w:r>
      <w:r>
        <w:rPr>
          <w:rFonts w:ascii="Arial" w:hAnsi="Arial" w:cs="Arial"/>
          <w:color w:val="000000" w:themeColor="text1"/>
          <w:sz w:val="22"/>
          <w:szCs w:val="22"/>
          <w:highlight w:val="yellow"/>
        </w:rPr>
        <w:t xml:space="preserve">mtorc1 </w:t>
      </w:r>
      <w:proofErr w:type="spellStart"/>
      <w:r>
        <w:rPr>
          <w:rFonts w:ascii="Arial" w:hAnsi="Arial" w:cs="Arial"/>
          <w:color w:val="000000" w:themeColor="text1"/>
          <w:sz w:val="22"/>
          <w:szCs w:val="22"/>
          <w:highlight w:val="yellow"/>
        </w:rPr>
        <w:t>tsc</w:t>
      </w:r>
      <w:proofErr w:type="spellEnd"/>
      <w:r>
        <w:rPr>
          <w:rFonts w:ascii="Arial" w:hAnsi="Arial" w:cs="Arial"/>
          <w:color w:val="000000" w:themeColor="text1"/>
          <w:sz w:val="22"/>
          <w:szCs w:val="22"/>
          <w:highlight w:val="yellow"/>
        </w:rPr>
        <w:t xml:space="preserve"> mice</w:t>
      </w:r>
      <w:r w:rsidRPr="008B6201">
        <w:rPr>
          <w:rFonts w:ascii="Arial" w:hAnsi="Arial" w:cs="Arial"/>
          <w:color w:val="000000" w:themeColor="text1"/>
          <w:sz w:val="22"/>
          <w:szCs w:val="22"/>
          <w:highlight w:val="yellow"/>
        </w:rPr>
        <w:t xml:space="preserve"> have reduced fat mass.</w:t>
      </w:r>
      <w:r>
        <w:rPr>
          <w:rFonts w:ascii="Arial" w:hAnsi="Arial" w:cs="Arial"/>
          <w:color w:val="000000" w:themeColor="text1"/>
          <w:sz w:val="22"/>
          <w:szCs w:val="22"/>
        </w:rPr>
        <w:t xml:space="preserve"> </w:t>
      </w:r>
      <w:commentRangeEnd w:id="37"/>
      <w:r>
        <w:rPr>
          <w:rStyle w:val="CommentReference"/>
        </w:rPr>
        <w:commentReference w:id="37"/>
      </w:r>
      <w:r w:rsidR="009745B2">
        <w:rPr>
          <w:rFonts w:ascii="Arial" w:hAnsi="Arial" w:cs="Arial"/>
          <w:color w:val="000000" w:themeColor="text1"/>
          <w:sz w:val="22"/>
          <w:szCs w:val="22"/>
        </w:rPr>
        <w:tab/>
      </w:r>
      <w:r w:rsidR="00B3605E">
        <w:rPr>
          <w:rFonts w:ascii="Arial" w:hAnsi="Arial" w:cs="Arial"/>
          <w:color w:val="000000" w:themeColor="text1"/>
          <w:sz w:val="22"/>
          <w:szCs w:val="22"/>
        </w:rPr>
        <w:t xml:space="preserve"> </w:t>
      </w:r>
      <w:r w:rsidR="00B3605E" w:rsidRPr="00B3605E">
        <w:rPr>
          <w:rFonts w:ascii="Arial" w:hAnsi="Arial" w:cs="Arial"/>
          <w:color w:val="000000" w:themeColor="text1"/>
          <w:sz w:val="22"/>
          <w:szCs w:val="22"/>
        </w:rPr>
        <w:t>https://www.sciencedirect.com/science/article/pii/S1550413108002878?via%3Dihub</w:t>
      </w:r>
    </w:p>
    <w:p w14:paraId="4C189A04" w14:textId="77777777" w:rsidR="009745B2" w:rsidRPr="009745B2" w:rsidRDefault="009745B2" w:rsidP="009745B2">
      <w:pPr>
        <w:tabs>
          <w:tab w:val="left" w:pos="6139"/>
        </w:tabs>
        <w:rPr>
          <w:rFonts w:ascii="Arial" w:hAnsi="Arial" w:cs="Arial"/>
          <w:color w:val="000000" w:themeColor="text1"/>
          <w:sz w:val="22"/>
          <w:szCs w:val="22"/>
        </w:rPr>
      </w:pPr>
    </w:p>
    <w:p w14:paraId="7407F76B" w14:textId="50FF3956"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Here, we show that hyperactivation of mTORC1 in adipocytes increases weight of</w:t>
      </w:r>
      <w:r w:rsidR="00FF388A">
        <w:rPr>
          <w:rFonts w:ascii="Arial" w:hAnsi="Arial" w:cs="Arial"/>
          <w:color w:val="000000" w:themeColor="text1"/>
          <w:sz w:val="22"/>
          <w:szCs w:val="22"/>
        </w:rPr>
        <w:t xml:space="preserve"> </w:t>
      </w:r>
      <w:r>
        <w:rPr>
          <w:rFonts w:ascii="Arial" w:hAnsi="Arial" w:cs="Arial"/>
          <w:color w:val="000000" w:themeColor="text1"/>
          <w:sz w:val="22"/>
          <w:szCs w:val="22"/>
        </w:rPr>
        <w:t>offspring</w:t>
      </w:r>
      <w:r w:rsidR="00FF388A">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Milk composition analyses revealed higher milk fat percentage and a </w:t>
      </w:r>
      <w:r w:rsidR="00FF388A">
        <w:rPr>
          <w:rFonts w:ascii="Arial" w:hAnsi="Arial" w:cs="Arial"/>
          <w:color w:val="000000" w:themeColor="text1"/>
          <w:sz w:val="22"/>
          <w:szCs w:val="22"/>
        </w:rPr>
        <w:t>more polyunsaturated fatty acid</w:t>
      </w:r>
      <w:r w:rsidR="00345FC7">
        <w:rPr>
          <w:rFonts w:ascii="Arial" w:hAnsi="Arial" w:cs="Arial"/>
          <w:color w:val="000000" w:themeColor="text1"/>
          <w:sz w:val="22"/>
          <w:szCs w:val="22"/>
        </w:rPr>
        <w:t xml:space="preserve"> </w:t>
      </w:r>
      <w:r w:rsidR="00FF388A">
        <w:rPr>
          <w:rFonts w:ascii="Arial" w:hAnsi="Arial" w:cs="Arial"/>
          <w:color w:val="000000" w:themeColor="text1"/>
          <w:sz w:val="22"/>
          <w:szCs w:val="22"/>
        </w:rPr>
        <w:t xml:space="preserve">dense </w:t>
      </w:r>
      <w:r w:rsidR="00345FC7">
        <w:rPr>
          <w:rFonts w:ascii="Arial" w:hAnsi="Arial" w:cs="Arial"/>
          <w:color w:val="000000" w:themeColor="text1"/>
          <w:sz w:val="22"/>
          <w:szCs w:val="22"/>
        </w:rPr>
        <w:t>lipid profile in our knockout model.</w:t>
      </w:r>
      <w:r w:rsidR="00125E99">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This could be the main driver of the excess weight seen in the offspring nursing from KO dams. We </w:t>
      </w:r>
      <w:r>
        <w:rPr>
          <w:rFonts w:ascii="Arial" w:hAnsi="Arial" w:cs="Arial"/>
          <w:color w:val="000000" w:themeColor="text1"/>
          <w:sz w:val="22"/>
          <w:szCs w:val="22"/>
        </w:rPr>
        <w:t>demonstrate that mTORC1 hyperactivation in adipocytes causes reductions in mammary gland weight</w:t>
      </w:r>
      <w:r w:rsidR="000A2B1A">
        <w:rPr>
          <w:rFonts w:ascii="Arial" w:hAnsi="Arial" w:cs="Arial"/>
          <w:color w:val="000000" w:themeColor="text1"/>
          <w:sz w:val="22"/>
          <w:szCs w:val="22"/>
        </w:rPr>
        <w:t xml:space="preserve"> which can be caused by the increased fatty acid release into the epithelial ducts and the milk. We further find </w:t>
      </w:r>
      <w:r w:rsidR="00345FC7">
        <w:rPr>
          <w:rFonts w:ascii="Arial" w:hAnsi="Arial" w:cs="Arial"/>
          <w:color w:val="000000" w:themeColor="text1"/>
          <w:sz w:val="22"/>
          <w:szCs w:val="22"/>
        </w:rPr>
        <w:t xml:space="preserve">an increase in the mammary adipocytes number, size and percent area. RNA sequencing revealed potential mechanisms by which adipocytes capacity to produce and secrete fat into the milk can be </w:t>
      </w:r>
      <w:r w:rsidR="00D37475">
        <w:rPr>
          <w:rFonts w:ascii="Arial" w:hAnsi="Arial" w:cs="Arial"/>
          <w:color w:val="000000" w:themeColor="text1"/>
          <w:sz w:val="22"/>
          <w:szCs w:val="22"/>
        </w:rPr>
        <w:t>promoted</w:t>
      </w:r>
      <w:r w:rsidR="00345FC7">
        <w:rPr>
          <w:rFonts w:ascii="Arial" w:hAnsi="Arial" w:cs="Arial"/>
          <w:color w:val="000000" w:themeColor="text1"/>
          <w:sz w:val="22"/>
          <w:szCs w:val="22"/>
        </w:rPr>
        <w:t xml:space="preserve"> via </w:t>
      </w:r>
      <w:r w:rsidR="00D37475">
        <w:rPr>
          <w:rFonts w:ascii="Arial" w:hAnsi="Arial" w:cs="Arial"/>
          <w:color w:val="000000" w:themeColor="text1"/>
          <w:sz w:val="22"/>
          <w:szCs w:val="22"/>
        </w:rPr>
        <w:t xml:space="preserve">reduced lipolysis and increased transport of fatty acids. </w:t>
      </w:r>
      <w:r w:rsidR="00125E99">
        <w:rPr>
          <w:rFonts w:ascii="Arial" w:hAnsi="Arial" w:cs="Arial"/>
          <w:color w:val="000000" w:themeColor="text1"/>
          <w:sz w:val="22"/>
          <w:szCs w:val="22"/>
        </w:rPr>
        <w:t xml:space="preserve">Additionally, our model </w:t>
      </w:r>
      <w:r w:rsidR="00125E99">
        <w:rPr>
          <w:rFonts w:ascii="Arial" w:hAnsi="Arial" w:cs="Arial"/>
          <w:color w:val="000000" w:themeColor="text1"/>
          <w:sz w:val="22"/>
          <w:szCs w:val="22"/>
        </w:rPr>
        <w:lastRenderedPageBreak/>
        <w:t>reveals differentially expressed pathways in the mammary glands which can influence offspring immunity.</w:t>
      </w:r>
    </w:p>
    <w:p w14:paraId="3DDC5D50" w14:textId="77777777" w:rsidR="000A2B1A" w:rsidRDefault="000A2B1A" w:rsidP="000A2B1A">
      <w:pPr>
        <w:rPr>
          <w:rFonts w:ascii="Arial" w:hAnsi="Arial" w:cs="Arial"/>
          <w:color w:val="000000" w:themeColor="text1"/>
          <w:sz w:val="22"/>
          <w:szCs w:val="22"/>
        </w:rPr>
      </w:pPr>
    </w:p>
    <w:p w14:paraId="5794FE0D" w14:textId="67B8B48D" w:rsidR="000A2B1A" w:rsidRDefault="000A2B1A" w:rsidP="000A2B1A">
      <w:pPr>
        <w:rPr>
          <w:rFonts w:ascii="Arial" w:hAnsi="Arial" w:cs="Arial"/>
          <w:color w:val="000000" w:themeColor="text1"/>
          <w:sz w:val="22"/>
          <w:szCs w:val="22"/>
        </w:rPr>
      </w:pPr>
      <w:r w:rsidRPr="00EF5551">
        <w:rPr>
          <w:rFonts w:ascii="Arial" w:hAnsi="Arial" w:cs="Arial"/>
          <w:color w:val="000000" w:themeColor="text1"/>
          <w:sz w:val="22"/>
          <w:szCs w:val="22"/>
        </w:rPr>
        <w:t xml:space="preserve">mTORC1 is a nutrient sensor and is crucial for proliferation and growth. </w:t>
      </w:r>
      <w:r>
        <w:rPr>
          <w:rFonts w:ascii="Arial" w:hAnsi="Arial" w:cs="Arial"/>
          <w:color w:val="000000" w:themeColor="text1"/>
          <w:sz w:val="22"/>
          <w:szCs w:val="22"/>
        </w:rPr>
        <w:t>Our data revealed that mTORC1 hyperactivation in adipocytes caused reductions in mammary gland weight.</w:t>
      </w:r>
      <w:r w:rsidR="005F6ADF">
        <w:rPr>
          <w:rFonts w:ascii="Arial" w:hAnsi="Arial" w:cs="Arial"/>
          <w:color w:val="000000" w:themeColor="text1"/>
          <w:sz w:val="22"/>
          <w:szCs w:val="22"/>
        </w:rPr>
        <w:t xml:space="preserve"> </w:t>
      </w:r>
      <w:r>
        <w:rPr>
          <w:rFonts w:ascii="Arial" w:hAnsi="Arial" w:cs="Arial"/>
          <w:color w:val="000000" w:themeColor="text1"/>
          <w:sz w:val="22"/>
          <w:szCs w:val="22"/>
        </w:rPr>
        <w:t>This could be explained by the increased fat content in milk from KO dams suggesting that mammary gland weights could be reduced due to the increased emptying of their content into the milk in KO dams. Our results are consistent with the idea that mTORC1 increases lipid synthesis which is incorporated into milk composition and can be causing reduced mammary gland weights.</w:t>
      </w:r>
    </w:p>
    <w:p w14:paraId="4842971E" w14:textId="77777777" w:rsidR="000A2B1A" w:rsidRPr="00EF5551" w:rsidRDefault="000A2B1A" w:rsidP="000A2B1A">
      <w:pPr>
        <w:rPr>
          <w:rFonts w:ascii="Arial" w:hAnsi="Arial" w:cs="Arial"/>
          <w:color w:val="000000" w:themeColor="text1"/>
          <w:sz w:val="22"/>
          <w:szCs w:val="22"/>
        </w:rPr>
      </w:pPr>
    </w:p>
    <w:p w14:paraId="590A2D92" w14:textId="4F3608A0" w:rsidR="00ED3E7B" w:rsidRDefault="00C77FAB" w:rsidP="00354569">
      <w:pPr>
        <w:rPr>
          <w:rFonts w:ascii="Arial" w:hAnsi="Arial" w:cs="Arial"/>
          <w:color w:val="000000" w:themeColor="text1"/>
          <w:sz w:val="22"/>
          <w:szCs w:val="22"/>
        </w:rPr>
      </w:pPr>
      <w:r>
        <w:rPr>
          <w:rFonts w:ascii="Arial" w:hAnsi="Arial" w:cs="Arial"/>
          <w:color w:val="000000" w:themeColor="text1"/>
          <w:sz w:val="22"/>
          <w:szCs w:val="22"/>
        </w:rPr>
        <w:t>W</w:t>
      </w:r>
      <w:r w:rsidR="005217F9">
        <w:rPr>
          <w:rFonts w:ascii="Arial" w:hAnsi="Arial" w:cs="Arial"/>
          <w:color w:val="000000" w:themeColor="text1"/>
          <w:sz w:val="22"/>
          <w:szCs w:val="22"/>
        </w:rPr>
        <w:t>e</w:t>
      </w:r>
      <w:r>
        <w:rPr>
          <w:rFonts w:ascii="Arial" w:hAnsi="Arial" w:cs="Arial"/>
          <w:color w:val="000000" w:themeColor="text1"/>
          <w:sz w:val="22"/>
          <w:szCs w:val="22"/>
        </w:rPr>
        <w:t xml:space="preserve"> observed higher fat content in milk of KO mice. </w:t>
      </w:r>
      <w:r w:rsidR="00ED3E7B">
        <w:rPr>
          <w:rFonts w:ascii="Arial" w:hAnsi="Arial" w:cs="Arial"/>
          <w:color w:val="000000" w:themeColor="text1"/>
          <w:sz w:val="22"/>
          <w:szCs w:val="22"/>
        </w:rPr>
        <w:t xml:space="preserve">We did not see differences in FAS, DGAT… However, we did see differences in these </w:t>
      </w:r>
      <w:r w:rsidR="00FF12C2">
        <w:rPr>
          <w:rFonts w:ascii="Arial" w:hAnsi="Arial" w:cs="Arial"/>
          <w:color w:val="000000" w:themeColor="text1"/>
          <w:sz w:val="22"/>
          <w:szCs w:val="22"/>
        </w:rPr>
        <w:t xml:space="preserve">Based on our findings, the increased milk fat content could be driven by the increased expression of </w:t>
      </w:r>
      <w:r w:rsidR="00FF12C2" w:rsidRPr="00883552">
        <w:rPr>
          <w:rFonts w:ascii="Arial" w:hAnsi="Arial" w:cs="Arial"/>
          <w:color w:val="000000" w:themeColor="text1"/>
          <w:sz w:val="22"/>
          <w:szCs w:val="22"/>
        </w:rPr>
        <w:t>Fabp4</w:t>
      </w:r>
      <w:r w:rsidR="00883552">
        <w:rPr>
          <w:rFonts w:ascii="Arial" w:hAnsi="Arial" w:cs="Arial"/>
          <w:color w:val="000000" w:themeColor="text1"/>
          <w:sz w:val="22"/>
          <w:szCs w:val="22"/>
        </w:rPr>
        <w:t xml:space="preserve">, fatty acid binding protein 4, which allows uptake of free fatty acids into adipocytes. </w:t>
      </w:r>
      <w:r w:rsidR="007840D6">
        <w:rPr>
          <w:rFonts w:ascii="Arial" w:hAnsi="Arial" w:cs="Arial"/>
          <w:color w:val="000000" w:themeColor="text1"/>
          <w:sz w:val="22"/>
          <w:szCs w:val="22"/>
        </w:rPr>
        <w:t xml:space="preserve">This could lead to </w:t>
      </w:r>
      <w:r w:rsidR="00354569">
        <w:rPr>
          <w:rFonts w:ascii="Arial" w:hAnsi="Arial" w:cs="Arial"/>
          <w:color w:val="000000" w:themeColor="text1"/>
          <w:sz w:val="22"/>
          <w:szCs w:val="22"/>
        </w:rPr>
        <w:t xml:space="preserve">increased uptake of fatty acids by the mammary adipocytes along with an increased capacity to produce and release fat into the epithelial ducts. </w:t>
      </w:r>
      <w:r w:rsidR="007840D6">
        <w:rPr>
          <w:rFonts w:ascii="Arial" w:hAnsi="Arial" w:cs="Arial"/>
          <w:color w:val="000000" w:themeColor="text1"/>
          <w:sz w:val="22"/>
          <w:szCs w:val="22"/>
        </w:rPr>
        <w:t>Another mechanism that can conserve the mammary adipocytes is</w:t>
      </w:r>
      <w:r w:rsidR="00883552">
        <w:rPr>
          <w:rFonts w:ascii="Arial" w:hAnsi="Arial" w:cs="Arial"/>
          <w:color w:val="000000" w:themeColor="text1"/>
          <w:sz w:val="22"/>
          <w:szCs w:val="22"/>
        </w:rPr>
        <w:t xml:space="preserve"> the increased expression of Plin4, perilipin 4, which promotes lipid coating and protection against lipolysis</w:t>
      </w:r>
      <w:r w:rsidR="007840D6">
        <w:rPr>
          <w:rFonts w:ascii="Arial" w:hAnsi="Arial" w:cs="Arial"/>
          <w:color w:val="000000" w:themeColor="text1"/>
          <w:sz w:val="22"/>
          <w:szCs w:val="22"/>
        </w:rPr>
        <w:t>. This</w:t>
      </w:r>
      <w:r w:rsidR="00883552">
        <w:rPr>
          <w:rFonts w:ascii="Arial" w:hAnsi="Arial" w:cs="Arial"/>
          <w:color w:val="000000" w:themeColor="text1"/>
          <w:sz w:val="22"/>
          <w:szCs w:val="22"/>
        </w:rPr>
        <w:t xml:space="preserve"> could be protective for the mammary adipocytes to conserve their size and number, as evident by higher adipocyte count and size in KO mammary g</w:t>
      </w:r>
      <w:r w:rsidR="007840D6">
        <w:rPr>
          <w:rFonts w:ascii="Arial" w:hAnsi="Arial" w:cs="Arial"/>
          <w:color w:val="000000" w:themeColor="text1"/>
          <w:sz w:val="22"/>
          <w:szCs w:val="22"/>
        </w:rPr>
        <w:t>l</w:t>
      </w:r>
      <w:r w:rsidR="00883552">
        <w:rPr>
          <w:rFonts w:ascii="Arial" w:hAnsi="Arial" w:cs="Arial"/>
          <w:color w:val="000000" w:themeColor="text1"/>
          <w:sz w:val="22"/>
          <w:szCs w:val="22"/>
        </w:rPr>
        <w:t>ands.</w:t>
      </w:r>
      <w:r w:rsidR="00354569">
        <w:rPr>
          <w:rFonts w:ascii="Arial" w:hAnsi="Arial" w:cs="Arial"/>
          <w:color w:val="000000" w:themeColor="text1"/>
          <w:sz w:val="22"/>
          <w:szCs w:val="22"/>
        </w:rPr>
        <w:t xml:space="preserve"> </w:t>
      </w:r>
    </w:p>
    <w:p w14:paraId="201C93B4" w14:textId="77777777" w:rsidR="00ED3E7B" w:rsidRDefault="00ED3E7B" w:rsidP="00354569">
      <w:pPr>
        <w:rPr>
          <w:rFonts w:ascii="Arial" w:hAnsi="Arial" w:cs="Arial"/>
          <w:color w:val="000000" w:themeColor="text1"/>
          <w:sz w:val="22"/>
          <w:szCs w:val="22"/>
        </w:rPr>
      </w:pPr>
    </w:p>
    <w:p w14:paraId="11449F77" w14:textId="77777777" w:rsidR="00354569" w:rsidRPr="00EF5551" w:rsidRDefault="00354569" w:rsidP="00785932">
      <w:pPr>
        <w:rPr>
          <w:rFonts w:ascii="Arial" w:hAnsi="Arial" w:cs="Arial"/>
          <w:color w:val="000000" w:themeColor="text1"/>
          <w:sz w:val="22"/>
          <w:szCs w:val="22"/>
        </w:rPr>
      </w:pPr>
    </w:p>
    <w:p w14:paraId="48952B61" w14:textId="7E3C8CF5" w:rsidR="00867F2A" w:rsidRDefault="00867F2A" w:rsidP="00785932">
      <w:pPr>
        <w:rPr>
          <w:rFonts w:ascii="Arial" w:eastAsiaTheme="majorEastAsia" w:hAnsi="Arial" w:cs="Arial"/>
          <w:color w:val="000000" w:themeColor="text1"/>
          <w:sz w:val="22"/>
          <w:szCs w:val="22"/>
        </w:rPr>
      </w:pPr>
    </w:p>
    <w:p w14:paraId="73F8839E" w14:textId="0E09D367" w:rsidR="00DB7C4E" w:rsidRDefault="00DB7C4E" w:rsidP="00785932">
      <w:pPr>
        <w:rPr>
          <w:rFonts w:ascii="Arial" w:hAnsi="Arial" w:cs="Arial"/>
          <w:color w:val="000000" w:themeColor="text1"/>
          <w:sz w:val="22"/>
          <w:szCs w:val="22"/>
        </w:rPr>
      </w:pPr>
      <w:r>
        <w:rPr>
          <w:rFonts w:ascii="Arial" w:hAnsi="Arial" w:cs="Arial"/>
          <w:color w:val="000000" w:themeColor="text1"/>
          <w:sz w:val="22"/>
          <w:szCs w:val="22"/>
        </w:rPr>
        <w:t xml:space="preserve">Our study is the first to examine the effects of mTORC1 hyperactivation in an </w:t>
      </w:r>
      <w:r w:rsidR="00221008" w:rsidRPr="00EF5551">
        <w:rPr>
          <w:rFonts w:ascii="Arial" w:hAnsi="Arial" w:cs="Arial"/>
          <w:color w:val="000000" w:themeColor="text1"/>
          <w:sz w:val="22"/>
          <w:szCs w:val="22"/>
        </w:rPr>
        <w:t>adiponectin-</w:t>
      </w:r>
      <w:proofErr w:type="spellStart"/>
      <w:r w:rsidR="00221008" w:rsidRPr="00EF5551">
        <w:rPr>
          <w:rFonts w:ascii="Arial" w:hAnsi="Arial" w:cs="Arial"/>
          <w:color w:val="000000" w:themeColor="text1"/>
          <w:sz w:val="22"/>
          <w:szCs w:val="22"/>
        </w:rPr>
        <w:t>Cre</w:t>
      </w:r>
      <w:proofErr w:type="spellEnd"/>
      <w:r w:rsidR="00221008" w:rsidRPr="00EF5551">
        <w:rPr>
          <w:rFonts w:ascii="Arial" w:hAnsi="Arial" w:cs="Arial"/>
          <w:color w:val="000000" w:themeColor="text1"/>
          <w:sz w:val="22"/>
          <w:szCs w:val="22"/>
        </w:rPr>
        <w:t xml:space="preserve"> </w:t>
      </w:r>
      <w:r w:rsidR="00221008" w:rsidRPr="00EF5551">
        <w:rPr>
          <w:rFonts w:ascii="Arial" w:hAnsi="Arial" w:cs="Arial"/>
          <w:i/>
          <w:color w:val="000000" w:themeColor="text1"/>
          <w:sz w:val="22"/>
          <w:szCs w:val="22"/>
        </w:rPr>
        <w:t>Tsc1/2</w:t>
      </w:r>
      <w:r w:rsidR="00221008" w:rsidRPr="00EF5551">
        <w:rPr>
          <w:rFonts w:ascii="Arial" w:hAnsi="Arial" w:cs="Arial"/>
          <w:color w:val="000000" w:themeColor="text1"/>
          <w:sz w:val="22"/>
          <w:szCs w:val="22"/>
        </w:rPr>
        <w:t xml:space="preserve"> knockout mouse </w:t>
      </w:r>
      <w:r>
        <w:rPr>
          <w:rFonts w:ascii="Arial" w:hAnsi="Arial" w:cs="Arial"/>
          <w:color w:val="000000" w:themeColor="text1"/>
          <w:sz w:val="22"/>
          <w:szCs w:val="22"/>
        </w:rPr>
        <w:t xml:space="preserve">model on mammary gland function and histology, and milk composition. </w:t>
      </w:r>
      <w:r w:rsidR="003E1827">
        <w:rPr>
          <w:rFonts w:ascii="Arial" w:hAnsi="Arial" w:cs="Arial"/>
          <w:color w:val="000000" w:themeColor="text1"/>
          <w:sz w:val="22"/>
          <w:szCs w:val="22"/>
        </w:rPr>
        <w:t>There are several st</w:t>
      </w:r>
      <w:r w:rsidR="009745B2">
        <w:rPr>
          <w:rFonts w:ascii="Arial" w:hAnsi="Arial" w:cs="Arial"/>
          <w:color w:val="000000" w:themeColor="text1"/>
          <w:sz w:val="22"/>
          <w:szCs w:val="22"/>
        </w:rPr>
        <w:t>r</w:t>
      </w:r>
      <w:r w:rsidR="003E1827">
        <w:rPr>
          <w:rFonts w:ascii="Arial" w:hAnsi="Arial" w:cs="Arial"/>
          <w:color w:val="000000" w:themeColor="text1"/>
          <w:sz w:val="22"/>
          <w:szCs w:val="22"/>
        </w:rPr>
        <w:t>e</w:t>
      </w:r>
      <w:r w:rsidR="009745B2">
        <w:rPr>
          <w:rFonts w:ascii="Arial" w:hAnsi="Arial" w:cs="Arial"/>
          <w:color w:val="000000" w:themeColor="text1"/>
          <w:sz w:val="22"/>
          <w:szCs w:val="22"/>
        </w:rPr>
        <w:t>n</w:t>
      </w:r>
      <w:r w:rsidR="003E1827">
        <w:rPr>
          <w:rFonts w:ascii="Arial" w:hAnsi="Arial" w:cs="Arial"/>
          <w:color w:val="000000" w:themeColor="text1"/>
          <w:sz w:val="22"/>
          <w:szCs w:val="22"/>
        </w:rPr>
        <w:t>gths : same diet for all mice so any FA changes need to be from physiological changes in mouse</w:t>
      </w:r>
    </w:p>
    <w:p w14:paraId="54BE0DA1" w14:textId="68D3BBE9"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We looked at litter size and culled equally to reduce litter size</w:t>
      </w:r>
    </w:p>
    <w:p w14:paraId="1DDCD86D" w14:textId="08CC9E11"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 xml:space="preserve">Pups born to mothers who were KO grew faster, we cannot exclude in utero effects since we did not look at that, whole MG </w:t>
      </w:r>
      <w:proofErr w:type="spellStart"/>
      <w:r>
        <w:rPr>
          <w:rFonts w:ascii="Arial" w:hAnsi="Arial" w:cs="Arial"/>
          <w:color w:val="000000" w:themeColor="text1"/>
          <w:sz w:val="22"/>
          <w:szCs w:val="22"/>
        </w:rPr>
        <w:t>rna</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seq</w:t>
      </w:r>
      <w:proofErr w:type="spellEnd"/>
      <w:r>
        <w:rPr>
          <w:rFonts w:ascii="Arial" w:hAnsi="Arial" w:cs="Arial"/>
          <w:color w:val="000000" w:themeColor="text1"/>
          <w:sz w:val="22"/>
          <w:szCs w:val="22"/>
        </w:rPr>
        <w:t xml:space="preserve"> not just adipocytes, </w:t>
      </w:r>
      <w:proofErr w:type="spellStart"/>
      <w:r>
        <w:rPr>
          <w:rFonts w:ascii="Arial" w:hAnsi="Arial" w:cs="Arial"/>
          <w:color w:val="000000" w:themeColor="text1"/>
          <w:sz w:val="22"/>
          <w:szCs w:val="22"/>
        </w:rPr>
        <w:t>ko</w:t>
      </w:r>
      <w:proofErr w:type="spellEnd"/>
      <w:r>
        <w:rPr>
          <w:rFonts w:ascii="Arial" w:hAnsi="Arial" w:cs="Arial"/>
          <w:color w:val="000000" w:themeColor="text1"/>
          <w:sz w:val="22"/>
          <w:szCs w:val="22"/>
        </w:rPr>
        <w:t xml:space="preserve"> could impact other fat cells </w:t>
      </w:r>
      <w:commentRangeEnd w:id="34"/>
      <w:r w:rsidR="00CF6A75">
        <w:rPr>
          <w:rStyle w:val="CommentReference"/>
        </w:rPr>
        <w:commentReference w:id="34"/>
      </w: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743F5DE5"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novel findings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w:t>
      </w:r>
      <w:r w:rsidR="00DF0C53">
        <w:rPr>
          <w:rFonts w:ascii="Arial" w:hAnsi="Arial" w:cs="Arial"/>
          <w:bCs/>
          <w:color w:val="000000" w:themeColor="text1"/>
          <w:sz w:val="22"/>
          <w:szCs w:val="22"/>
        </w:rPr>
        <w:t>gland</w:t>
      </w:r>
      <w:r w:rsidR="006852AE">
        <w:rPr>
          <w:rFonts w:ascii="Arial" w:hAnsi="Arial" w:cs="Arial"/>
          <w:bCs/>
          <w:color w:val="000000" w:themeColor="text1"/>
          <w:sz w:val="22"/>
          <w:szCs w:val="22"/>
        </w:rPr>
        <w:t xml:space="preserve"> capacity to produce fat and secrete it into the produced milk</w:t>
      </w:r>
      <w:r w:rsidR="00DF0C53">
        <w:rPr>
          <w:rFonts w:ascii="Arial" w:hAnsi="Arial" w:cs="Arial"/>
          <w:bCs/>
          <w:color w:val="000000" w:themeColor="text1"/>
          <w:sz w:val="22"/>
          <w:szCs w:val="22"/>
        </w:rPr>
        <w:t xml:space="preserve"> although the source of the fat composition remains less clear</w:t>
      </w:r>
      <w:r w:rsidR="006852AE">
        <w:rPr>
          <w:rFonts w:ascii="Arial" w:hAnsi="Arial" w:cs="Arial"/>
          <w:bCs/>
          <w:color w:val="000000" w:themeColor="text1"/>
          <w:sz w:val="22"/>
          <w:szCs w:val="22"/>
        </w:rPr>
        <w:t xml:space="preserve">.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w:t>
      </w:r>
      <w:r w:rsidR="00DF0C53">
        <w:rPr>
          <w:rFonts w:ascii="Arial" w:hAnsi="Arial" w:cs="Arial"/>
          <w:bCs/>
          <w:color w:val="000000" w:themeColor="text1"/>
          <w:sz w:val="22"/>
          <w:szCs w:val="22"/>
        </w:rPr>
        <w:t>excess nutrient signaling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bookmarkStart w:id="38" w:name="_GoBack"/>
      <w:bookmarkEnd w:id="38"/>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60430D20"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w:t>
      </w:r>
      <w:r w:rsidR="00AD46FF">
        <w:rPr>
          <w:rFonts w:ascii="Arial" w:eastAsia="MS PMincho" w:hAnsi="Arial" w:cs="Arial"/>
          <w:bCs/>
          <w:color w:val="000000" w:themeColor="text1"/>
          <w:sz w:val="22"/>
          <w:szCs w:val="22"/>
        </w:rPr>
        <w:lastRenderedPageBreak/>
        <w:t xml:space="preserve">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 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36B3FA82" w14:textId="23417EC2" w:rsidR="00236EEF" w:rsidRPr="00236EEF" w:rsidRDefault="001745BF" w:rsidP="00236EEF">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236EEF" w:rsidRPr="00236EEF">
        <w:rPr>
          <w:rFonts w:ascii="Arial" w:hAnsi="Arial" w:cs="Arial"/>
          <w:noProof/>
          <w:sz w:val="22"/>
        </w:rPr>
        <w:t>1. Products - Data Briefs - Number 392 - November 2020. [online] https://www.cdc.gov/nchs/products/databriefs/db392.htm (Accessed April 6, 2021).</w:t>
      </w:r>
      <w:r w:rsidR="00236EEF" w:rsidRPr="00236EEF">
        <w:rPr>
          <w:rFonts w:ascii="Arial" w:hAnsi="Arial" w:cs="Arial"/>
          <w:noProof/>
          <w:sz w:val="22"/>
        </w:rPr>
        <w:tab/>
      </w:r>
    </w:p>
    <w:p w14:paraId="319E19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 Poston, L., L. F. Harthoorn, and E. M. Van Der Beek. 2011. Obesity in pregnancy: Implications for the mother and lifelong health of the child. A consensus statement. </w:t>
      </w:r>
      <w:r w:rsidRPr="00236EEF">
        <w:rPr>
          <w:rFonts w:ascii="Arial" w:hAnsi="Arial" w:cs="Arial"/>
          <w:i/>
          <w:iCs/>
          <w:noProof/>
          <w:sz w:val="22"/>
        </w:rPr>
        <w:t>Pediatr. Res.</w:t>
      </w:r>
      <w:r w:rsidRPr="00236EEF">
        <w:rPr>
          <w:rFonts w:ascii="Arial" w:hAnsi="Arial" w:cs="Arial"/>
          <w:noProof/>
          <w:sz w:val="22"/>
        </w:rPr>
        <w:t xml:space="preserve"> </w:t>
      </w:r>
      <w:r w:rsidRPr="00236EEF">
        <w:rPr>
          <w:rFonts w:ascii="Arial" w:hAnsi="Arial" w:cs="Arial"/>
          <w:b/>
          <w:bCs/>
          <w:noProof/>
          <w:sz w:val="22"/>
        </w:rPr>
        <w:t>69</w:t>
      </w:r>
      <w:r w:rsidRPr="00236EEF">
        <w:rPr>
          <w:rFonts w:ascii="Arial" w:hAnsi="Arial" w:cs="Arial"/>
          <w:noProof/>
          <w:sz w:val="22"/>
        </w:rPr>
        <w:t>: 175–180. [online] www.pedresearch.org (Accessed April 6, 2021).</w:t>
      </w:r>
      <w:r w:rsidRPr="00236EEF">
        <w:rPr>
          <w:rFonts w:ascii="Arial" w:hAnsi="Arial" w:cs="Arial"/>
          <w:noProof/>
          <w:sz w:val="22"/>
        </w:rPr>
        <w:tab/>
      </w:r>
    </w:p>
    <w:p w14:paraId="194B000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 Barker, D. J. P. 2007. The origins of the developmental origins theory. </w:t>
      </w:r>
      <w:r w:rsidRPr="00236EEF">
        <w:rPr>
          <w:rFonts w:ascii="Arial" w:hAnsi="Arial" w:cs="Arial"/>
          <w:i/>
          <w:iCs/>
          <w:noProof/>
          <w:sz w:val="22"/>
        </w:rPr>
        <w:t>J. Intern. Med.</w:t>
      </w:r>
      <w:r w:rsidRPr="00236EEF">
        <w:rPr>
          <w:rFonts w:ascii="Arial" w:hAnsi="Arial" w:cs="Arial"/>
          <w:noProof/>
          <w:sz w:val="22"/>
        </w:rPr>
        <w:t xml:space="preserve"> </w:t>
      </w:r>
      <w:r w:rsidRPr="00236EEF">
        <w:rPr>
          <w:rFonts w:ascii="Arial" w:hAnsi="Arial" w:cs="Arial"/>
          <w:b/>
          <w:bCs/>
          <w:noProof/>
          <w:sz w:val="22"/>
        </w:rPr>
        <w:t>261</w:t>
      </w:r>
      <w:r w:rsidRPr="00236EEF">
        <w:rPr>
          <w:rFonts w:ascii="Arial" w:hAnsi="Arial" w:cs="Arial"/>
          <w:noProof/>
          <w:sz w:val="22"/>
        </w:rPr>
        <w:t>: 412–417. [online] http://doi.wiley.com/10.1111/j.1365-2796.2007.01809.x (Accessed April 1, 2019).</w:t>
      </w:r>
      <w:r w:rsidRPr="00236EEF">
        <w:rPr>
          <w:rFonts w:ascii="Arial" w:hAnsi="Arial" w:cs="Arial"/>
          <w:noProof/>
          <w:sz w:val="22"/>
        </w:rPr>
        <w:tab/>
      </w:r>
    </w:p>
    <w:p w14:paraId="6D4BBB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236EEF">
        <w:rPr>
          <w:rFonts w:ascii="Arial" w:hAnsi="Arial" w:cs="Arial"/>
          <w:i/>
          <w:iCs/>
          <w:noProof/>
          <w:sz w:val="22"/>
        </w:rPr>
        <w:t>PLoS One</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e0221549. [online] https://dx.plos.org/10.1371/journal.pone.0221549 (Accessed April 6, 2021).</w:t>
      </w:r>
      <w:r w:rsidRPr="00236EEF">
        <w:rPr>
          <w:rFonts w:ascii="Arial" w:hAnsi="Arial" w:cs="Arial"/>
          <w:noProof/>
          <w:sz w:val="22"/>
        </w:rPr>
        <w:tab/>
      </w:r>
    </w:p>
    <w:p w14:paraId="0D7032A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5. Ramji, N., J. Quinlan, P. Murphy, and J. M. G. Crane. 2016. The Impact of Maternal Obesity on Breastfeeding. </w:t>
      </w:r>
      <w:r w:rsidRPr="00236EEF">
        <w:rPr>
          <w:rFonts w:ascii="Arial" w:hAnsi="Arial" w:cs="Arial"/>
          <w:i/>
          <w:iCs/>
          <w:noProof/>
          <w:sz w:val="22"/>
        </w:rPr>
        <w:t>J. Obstet. Gynaecol. Canada</w:t>
      </w:r>
      <w:r w:rsidRPr="00236EEF">
        <w:rPr>
          <w:rFonts w:ascii="Arial" w:hAnsi="Arial" w:cs="Arial"/>
          <w:noProof/>
          <w:sz w:val="22"/>
        </w:rPr>
        <w:t xml:space="preserve">. </w:t>
      </w:r>
      <w:r w:rsidRPr="00236EEF">
        <w:rPr>
          <w:rFonts w:ascii="Arial" w:hAnsi="Arial" w:cs="Arial"/>
          <w:b/>
          <w:bCs/>
          <w:noProof/>
          <w:sz w:val="22"/>
        </w:rPr>
        <w:t>38</w:t>
      </w:r>
      <w:r w:rsidRPr="00236EEF">
        <w:rPr>
          <w:rFonts w:ascii="Arial" w:hAnsi="Arial" w:cs="Arial"/>
          <w:noProof/>
          <w:sz w:val="22"/>
        </w:rPr>
        <w:t>: 703–711. [online] http://www.ncbi.nlm.nih.gov/pubmed/27638980 (Accessed May 15, 2019).</w:t>
      </w:r>
      <w:r w:rsidRPr="00236EEF">
        <w:rPr>
          <w:rFonts w:ascii="Arial" w:hAnsi="Arial" w:cs="Arial"/>
          <w:noProof/>
          <w:sz w:val="22"/>
        </w:rPr>
        <w:tab/>
      </w:r>
    </w:p>
    <w:p w14:paraId="2453739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6. Macias, H., and L. Hinck. 2012. Mammary gland development. </w:t>
      </w:r>
      <w:r w:rsidRPr="00236EEF">
        <w:rPr>
          <w:rFonts w:ascii="Arial" w:hAnsi="Arial" w:cs="Arial"/>
          <w:i/>
          <w:iCs/>
          <w:noProof/>
          <w:sz w:val="22"/>
        </w:rPr>
        <w:t>Wiley Interdiscip. Rev. Dev. Biol.</w:t>
      </w:r>
      <w:r w:rsidRPr="00236EEF">
        <w:rPr>
          <w:rFonts w:ascii="Arial" w:hAnsi="Arial" w:cs="Arial"/>
          <w:noProof/>
          <w:sz w:val="22"/>
        </w:rPr>
        <w:t xml:space="preserve"> </w:t>
      </w:r>
      <w:r w:rsidRPr="00236EEF">
        <w:rPr>
          <w:rFonts w:ascii="Arial" w:hAnsi="Arial" w:cs="Arial"/>
          <w:b/>
          <w:bCs/>
          <w:noProof/>
          <w:sz w:val="22"/>
        </w:rPr>
        <w:t>1</w:t>
      </w:r>
      <w:r w:rsidRPr="00236EEF">
        <w:rPr>
          <w:rFonts w:ascii="Arial" w:hAnsi="Arial" w:cs="Arial"/>
          <w:noProof/>
          <w:sz w:val="22"/>
        </w:rPr>
        <w:t>: 533–57. [online] http://www.pubmedcentral.nih.gov/articlerender.fcgi?artid=PMC3404495 (Accessed June 24, 2019).</w:t>
      </w:r>
      <w:r w:rsidRPr="00236EEF">
        <w:rPr>
          <w:rFonts w:ascii="Arial" w:hAnsi="Arial" w:cs="Arial"/>
          <w:noProof/>
          <w:sz w:val="22"/>
        </w:rPr>
        <w:tab/>
      </w:r>
    </w:p>
    <w:p w14:paraId="3086B35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7. Hartmann, P. E., R. A. Owens, D. B. Cox, and J. C. Kent. 1996. Establishing lactation Breast development and control of milk synthesis.</w:t>
      </w:r>
      <w:r w:rsidRPr="00236EEF">
        <w:rPr>
          <w:rFonts w:ascii="Arial" w:hAnsi="Arial" w:cs="Arial"/>
          <w:noProof/>
          <w:sz w:val="22"/>
        </w:rPr>
        <w:tab/>
      </w:r>
    </w:p>
    <w:p w14:paraId="3A9BB72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8. Landskroner-Eiger, S., J. Park, D. Israel, J. W. Pollard, and P. E. Scherer. 2010. Morphogenesis of the developing mammary gland: stage-dependent impact of adipocytes. </w:t>
      </w:r>
      <w:r w:rsidRPr="00236EEF">
        <w:rPr>
          <w:rFonts w:ascii="Arial" w:hAnsi="Arial" w:cs="Arial"/>
          <w:i/>
          <w:iCs/>
          <w:noProof/>
          <w:sz w:val="22"/>
        </w:rPr>
        <w:t>Dev. Biol.</w:t>
      </w:r>
      <w:r w:rsidRPr="00236EEF">
        <w:rPr>
          <w:rFonts w:ascii="Arial" w:hAnsi="Arial" w:cs="Arial"/>
          <w:noProof/>
          <w:sz w:val="22"/>
        </w:rPr>
        <w:t xml:space="preserve"> </w:t>
      </w:r>
      <w:r w:rsidRPr="00236EEF">
        <w:rPr>
          <w:rFonts w:ascii="Arial" w:hAnsi="Arial" w:cs="Arial"/>
          <w:b/>
          <w:bCs/>
          <w:noProof/>
          <w:sz w:val="22"/>
        </w:rPr>
        <w:t>344</w:t>
      </w:r>
      <w:r w:rsidRPr="00236EEF">
        <w:rPr>
          <w:rFonts w:ascii="Arial" w:hAnsi="Arial" w:cs="Arial"/>
          <w:noProof/>
          <w:sz w:val="22"/>
        </w:rPr>
        <w:t>: 968–78. [online] http://www.ncbi.nlm.nih.gov/pubmed/20599899 (Accessed July 17, 2019).</w:t>
      </w:r>
      <w:r w:rsidRPr="00236EEF">
        <w:rPr>
          <w:rFonts w:ascii="Arial" w:hAnsi="Arial" w:cs="Arial"/>
          <w:noProof/>
          <w:sz w:val="22"/>
        </w:rPr>
        <w:tab/>
      </w:r>
    </w:p>
    <w:p w14:paraId="02CE07C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9. Machino, M. 1976. Growth and Differentiation, Vo1. [online] </w:t>
      </w:r>
      <w:r w:rsidRPr="00236EEF">
        <w:rPr>
          <w:rFonts w:ascii="Arial" w:hAnsi="Arial" w:cs="Arial"/>
          <w:noProof/>
          <w:sz w:val="22"/>
        </w:rPr>
        <w:lastRenderedPageBreak/>
        <w:t>https://onlinelibrary.wiley.com/doi/pdf/10.1111/j.1440-169X.1976.00079.x (Accessed July 17, 2019).</w:t>
      </w:r>
      <w:r w:rsidRPr="00236EEF">
        <w:rPr>
          <w:rFonts w:ascii="Arial" w:hAnsi="Arial" w:cs="Arial"/>
          <w:noProof/>
          <w:sz w:val="22"/>
        </w:rPr>
        <w:tab/>
      </w:r>
    </w:p>
    <w:p w14:paraId="350CD7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236EEF">
        <w:rPr>
          <w:rFonts w:ascii="Arial" w:hAnsi="Arial" w:cs="Arial"/>
          <w:i/>
          <w:iCs/>
          <w:noProof/>
          <w:sz w:val="22"/>
        </w:rPr>
        <w:t>Nat. Commun.</w:t>
      </w:r>
      <w:r w:rsidRPr="00236EEF">
        <w:rPr>
          <w:rFonts w:ascii="Arial" w:hAnsi="Arial" w:cs="Arial"/>
          <w:noProof/>
          <w:sz w:val="22"/>
        </w:rPr>
        <w:t xml:space="preserve"> </w:t>
      </w:r>
      <w:r w:rsidRPr="00236EEF">
        <w:rPr>
          <w:rFonts w:ascii="Arial" w:hAnsi="Arial" w:cs="Arial"/>
          <w:b/>
          <w:bCs/>
          <w:noProof/>
          <w:sz w:val="22"/>
        </w:rPr>
        <w:t>9</w:t>
      </w:r>
      <w:r w:rsidRPr="00236EEF">
        <w:rPr>
          <w:rFonts w:ascii="Arial" w:hAnsi="Arial" w:cs="Arial"/>
          <w:noProof/>
          <w:sz w:val="22"/>
        </w:rPr>
        <w:t>: 3592. [online] http://www.ncbi.nlm.nih.gov/pubmed/30181538 (Accessed July 10, 2019).</w:t>
      </w:r>
      <w:r w:rsidRPr="00236EEF">
        <w:rPr>
          <w:rFonts w:ascii="Arial" w:hAnsi="Arial" w:cs="Arial"/>
          <w:noProof/>
          <w:sz w:val="22"/>
        </w:rPr>
        <w:tab/>
      </w:r>
    </w:p>
    <w:p w14:paraId="48BAC9C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11. Rasmussen, K. M., and C. L. Kjolhede. 2004. Prepregnant overweight and obesity diminish the prolactin response to suckling in the first week postpartum. </w:t>
      </w:r>
      <w:r w:rsidRPr="00236EEF">
        <w:rPr>
          <w:rFonts w:ascii="Arial" w:hAnsi="Arial" w:cs="Arial"/>
          <w:i/>
          <w:iCs/>
          <w:noProof/>
          <w:sz w:val="22"/>
        </w:rPr>
        <w:t>Pediatrics</w:t>
      </w:r>
      <w:r w:rsidRPr="00236EEF">
        <w:rPr>
          <w:rFonts w:ascii="Arial" w:hAnsi="Arial" w:cs="Arial"/>
          <w:noProof/>
          <w:sz w:val="22"/>
        </w:rPr>
        <w:t xml:space="preserve">. </w:t>
      </w:r>
      <w:r w:rsidRPr="00236EEF">
        <w:rPr>
          <w:rFonts w:ascii="Arial" w:hAnsi="Arial" w:cs="Arial"/>
          <w:b/>
          <w:bCs/>
          <w:noProof/>
          <w:sz w:val="22"/>
        </w:rPr>
        <w:t>113</w:t>
      </w:r>
      <w:r w:rsidRPr="00236EEF">
        <w:rPr>
          <w:rFonts w:ascii="Arial" w:hAnsi="Arial" w:cs="Arial"/>
          <w:noProof/>
          <w:sz w:val="22"/>
        </w:rPr>
        <w:t>: e465-71.</w:t>
      </w:r>
      <w:r w:rsidRPr="00236EEF">
        <w:rPr>
          <w:rFonts w:ascii="Arial" w:hAnsi="Arial" w:cs="Arial"/>
          <w:noProof/>
          <w:sz w:val="22"/>
        </w:rPr>
        <w:tab/>
      </w:r>
    </w:p>
    <w:p w14:paraId="40DC0ED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12. Bider-Canfield, Z., M. P. Martinez, X. Wang, W. Yu, M. P. Bautista, J. Brookey, K. A. Page, T. A. Buchanan, and A. H. Xiang. 2017. Maternal obesity, gestational diabetes, breastfeeding and childhood overweight at age 2 years. </w:t>
      </w:r>
      <w:r w:rsidRPr="00236EEF">
        <w:rPr>
          <w:rFonts w:ascii="Arial" w:hAnsi="Arial" w:cs="Arial"/>
          <w:i/>
          <w:iCs/>
          <w:noProof/>
          <w:sz w:val="22"/>
        </w:rPr>
        <w:t>Pediatr. Obes.</w:t>
      </w:r>
      <w:r w:rsidRPr="00236EEF">
        <w:rPr>
          <w:rFonts w:ascii="Arial" w:hAnsi="Arial" w:cs="Arial"/>
          <w:noProof/>
          <w:sz w:val="22"/>
        </w:rPr>
        <w:t xml:space="preserve"> </w:t>
      </w:r>
      <w:r w:rsidRPr="00236EEF">
        <w:rPr>
          <w:rFonts w:ascii="Arial" w:hAnsi="Arial" w:cs="Arial"/>
          <w:b/>
          <w:bCs/>
          <w:noProof/>
          <w:sz w:val="22"/>
        </w:rPr>
        <w:t>12</w:t>
      </w:r>
      <w:r w:rsidRPr="00236EEF">
        <w:rPr>
          <w:rFonts w:ascii="Arial" w:hAnsi="Arial" w:cs="Arial"/>
          <w:noProof/>
          <w:sz w:val="22"/>
        </w:rPr>
        <w:t>: 171–178. [online] http://doi.wiley.com/10.1111/ijpo.12125 (Accessed July 21, 2019).</w:t>
      </w:r>
      <w:r w:rsidRPr="00236EEF">
        <w:rPr>
          <w:rFonts w:ascii="Arial" w:hAnsi="Arial" w:cs="Arial"/>
          <w:noProof/>
          <w:sz w:val="22"/>
        </w:rPr>
        <w:tab/>
      </w:r>
    </w:p>
    <w:p w14:paraId="5533353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13. Castillo, H., I. S. Santos, and A. Matijasevich. 2016. Maternal pre-pregnancy BMI, gestational weight gain and breastfeeding. </w:t>
      </w:r>
      <w:r w:rsidRPr="00236EEF">
        <w:rPr>
          <w:rFonts w:ascii="Arial" w:hAnsi="Arial" w:cs="Arial"/>
          <w:i/>
          <w:iCs/>
          <w:noProof/>
          <w:sz w:val="22"/>
        </w:rPr>
        <w:t>Eur. J. Clin. Nutr.</w:t>
      </w:r>
      <w:r w:rsidRPr="00236EEF">
        <w:rPr>
          <w:rFonts w:ascii="Arial" w:hAnsi="Arial" w:cs="Arial"/>
          <w:noProof/>
          <w:sz w:val="22"/>
        </w:rPr>
        <w:t xml:space="preserve"> </w:t>
      </w:r>
      <w:r w:rsidRPr="00236EEF">
        <w:rPr>
          <w:rFonts w:ascii="Arial" w:hAnsi="Arial" w:cs="Arial"/>
          <w:b/>
          <w:bCs/>
          <w:noProof/>
          <w:sz w:val="22"/>
        </w:rPr>
        <w:t>70</w:t>
      </w:r>
      <w:r w:rsidRPr="00236EEF">
        <w:rPr>
          <w:rFonts w:ascii="Arial" w:hAnsi="Arial" w:cs="Arial"/>
          <w:noProof/>
          <w:sz w:val="22"/>
        </w:rPr>
        <w:t>: 431–436. [online] http://www.nature.com/articles/ejcn2015232 (Accessed May 24, 2019).</w:t>
      </w:r>
      <w:r w:rsidRPr="00236EEF">
        <w:rPr>
          <w:rFonts w:ascii="Arial" w:hAnsi="Arial" w:cs="Arial"/>
          <w:noProof/>
          <w:sz w:val="22"/>
        </w:rPr>
        <w:tab/>
      </w:r>
    </w:p>
    <w:p w14:paraId="288E2F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10</w:t>
      </w:r>
      <w:r w:rsidRPr="00236EEF">
        <w:rPr>
          <w:rFonts w:ascii="Arial" w:hAnsi="Arial" w:cs="Arial"/>
          <w:noProof/>
          <w:sz w:val="22"/>
        </w:rPr>
        <w:t>. [online] http://www.ncbi.nlm.nih.gov/pubmed/30262786 (Accessed May 24, 2019).</w:t>
      </w:r>
      <w:r w:rsidRPr="00236EEF">
        <w:rPr>
          <w:rFonts w:ascii="Arial" w:hAnsi="Arial" w:cs="Arial"/>
          <w:noProof/>
          <w:sz w:val="22"/>
        </w:rPr>
        <w:tab/>
      </w:r>
    </w:p>
    <w:p w14:paraId="71CC2EE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[online] /pmc/articles/PMC6770754/ (Accessed April 6, 2021).</w:t>
      </w:r>
      <w:r w:rsidRPr="00236EEF">
        <w:rPr>
          <w:rFonts w:ascii="Arial" w:hAnsi="Arial" w:cs="Arial"/>
          <w:noProof/>
          <w:sz w:val="22"/>
        </w:rPr>
        <w:tab/>
      </w:r>
    </w:p>
    <w:p w14:paraId="41310C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236EEF">
        <w:rPr>
          <w:rFonts w:ascii="Arial" w:hAnsi="Arial" w:cs="Arial"/>
          <w:i/>
          <w:iCs/>
          <w:noProof/>
          <w:sz w:val="22"/>
        </w:rPr>
        <w:t>Acta Diabetol.</w:t>
      </w:r>
      <w:r w:rsidRPr="00236EEF">
        <w:rPr>
          <w:rFonts w:ascii="Arial" w:hAnsi="Arial" w:cs="Arial"/>
          <w:noProof/>
          <w:sz w:val="22"/>
        </w:rPr>
        <w:t xml:space="preserve"> </w:t>
      </w:r>
      <w:r w:rsidRPr="00236EEF">
        <w:rPr>
          <w:rFonts w:ascii="Arial" w:hAnsi="Arial" w:cs="Arial"/>
          <w:b/>
          <w:bCs/>
          <w:noProof/>
          <w:sz w:val="22"/>
        </w:rPr>
        <w:t>52</w:t>
      </w:r>
      <w:r w:rsidRPr="00236EEF">
        <w:rPr>
          <w:rFonts w:ascii="Arial" w:hAnsi="Arial" w:cs="Arial"/>
          <w:noProof/>
          <w:sz w:val="22"/>
        </w:rPr>
        <w:t>: 257–266. [online] http://link.springer.com/10.1007/s00592-014-0632-9 (Accessed July 19, 2019).</w:t>
      </w:r>
      <w:r w:rsidRPr="00236EEF">
        <w:rPr>
          <w:rFonts w:ascii="Arial" w:hAnsi="Arial" w:cs="Arial"/>
          <w:noProof/>
          <w:sz w:val="22"/>
        </w:rPr>
        <w:tab/>
      </w:r>
    </w:p>
    <w:p w14:paraId="11A8DD97"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17. Cai, H., L. Q. Dong, and F. Liu. 2016. Recent Advances in Adipose mTOR Signaling and Function: Therapeutic Prospects. </w:t>
      </w:r>
      <w:r w:rsidRPr="00236EEF">
        <w:rPr>
          <w:rFonts w:ascii="Arial" w:hAnsi="Arial" w:cs="Arial"/>
          <w:i/>
          <w:iCs/>
          <w:noProof/>
          <w:sz w:val="22"/>
        </w:rPr>
        <w:t>Trends Pharmacol. Sci.</w:t>
      </w:r>
      <w:r w:rsidRPr="00236EEF">
        <w:rPr>
          <w:rFonts w:ascii="Arial" w:hAnsi="Arial" w:cs="Arial"/>
          <w:noProof/>
          <w:sz w:val="22"/>
        </w:rPr>
        <w:t xml:space="preserve"> </w:t>
      </w:r>
      <w:r w:rsidRPr="00236EEF">
        <w:rPr>
          <w:rFonts w:ascii="Arial" w:hAnsi="Arial" w:cs="Arial"/>
          <w:b/>
          <w:bCs/>
          <w:noProof/>
          <w:sz w:val="22"/>
        </w:rPr>
        <w:t>37</w:t>
      </w:r>
      <w:r w:rsidRPr="00236EEF">
        <w:rPr>
          <w:rFonts w:ascii="Arial" w:hAnsi="Arial" w:cs="Arial"/>
          <w:noProof/>
          <w:sz w:val="22"/>
        </w:rPr>
        <w:t>: 303–317. [online] http://www.ncbi.nlm.nih.gov/pubmed/26700098 (Accessed July 19, 2019).</w:t>
      </w:r>
      <w:r w:rsidRPr="00236EEF">
        <w:rPr>
          <w:rFonts w:ascii="Arial" w:hAnsi="Arial" w:cs="Arial"/>
          <w:noProof/>
          <w:sz w:val="22"/>
        </w:rPr>
        <w:tab/>
      </w:r>
    </w:p>
    <w:p w14:paraId="1649B58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18. Wang, X., and C. G. Proud. 2006. The mTOR Pathway in the Control of Protein Synthesis. </w:t>
      </w:r>
      <w:r w:rsidRPr="00236EEF">
        <w:rPr>
          <w:rFonts w:ascii="Arial" w:hAnsi="Arial" w:cs="Arial"/>
          <w:i/>
          <w:iCs/>
          <w:noProof/>
          <w:sz w:val="22"/>
        </w:rPr>
        <w:t>Physiology</w:t>
      </w:r>
      <w:r w:rsidRPr="00236EEF">
        <w:rPr>
          <w:rFonts w:ascii="Arial" w:hAnsi="Arial" w:cs="Arial"/>
          <w:noProof/>
          <w:sz w:val="22"/>
        </w:rPr>
        <w:t xml:space="preserve">. </w:t>
      </w:r>
      <w:r w:rsidRPr="00236EEF">
        <w:rPr>
          <w:rFonts w:ascii="Arial" w:hAnsi="Arial" w:cs="Arial"/>
          <w:b/>
          <w:bCs/>
          <w:noProof/>
          <w:sz w:val="22"/>
        </w:rPr>
        <w:t>21</w:t>
      </w:r>
      <w:r w:rsidRPr="00236EEF">
        <w:rPr>
          <w:rFonts w:ascii="Arial" w:hAnsi="Arial" w:cs="Arial"/>
          <w:noProof/>
          <w:sz w:val="22"/>
        </w:rPr>
        <w:t>: 362–369. [online] http://www.ncbi.nlm.nih.gov/pubmed/16990457 (Accessed July 19, 2019).</w:t>
      </w:r>
      <w:r w:rsidRPr="00236EEF">
        <w:rPr>
          <w:rFonts w:ascii="Arial" w:hAnsi="Arial" w:cs="Arial"/>
          <w:noProof/>
          <w:sz w:val="22"/>
        </w:rPr>
        <w:tab/>
      </w:r>
    </w:p>
    <w:p w14:paraId="24C60DC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19. Catania, C., E. Binder, and D. Cota. 2011. mTORC1 signaling in energy balance and metabolic disease. </w:t>
      </w:r>
      <w:r w:rsidRPr="00236EEF">
        <w:rPr>
          <w:rFonts w:ascii="Arial" w:hAnsi="Arial" w:cs="Arial"/>
          <w:i/>
          <w:iCs/>
          <w:noProof/>
          <w:sz w:val="22"/>
        </w:rPr>
        <w:t>Int. J. Obes.</w:t>
      </w:r>
      <w:r w:rsidRPr="00236EEF">
        <w:rPr>
          <w:rFonts w:ascii="Arial" w:hAnsi="Arial" w:cs="Arial"/>
          <w:noProof/>
          <w:sz w:val="22"/>
        </w:rPr>
        <w:t xml:space="preserve"> </w:t>
      </w:r>
      <w:r w:rsidRPr="00236EEF">
        <w:rPr>
          <w:rFonts w:ascii="Arial" w:hAnsi="Arial" w:cs="Arial"/>
          <w:b/>
          <w:bCs/>
          <w:noProof/>
          <w:sz w:val="22"/>
        </w:rPr>
        <w:t>35</w:t>
      </w:r>
      <w:r w:rsidRPr="00236EEF">
        <w:rPr>
          <w:rFonts w:ascii="Arial" w:hAnsi="Arial" w:cs="Arial"/>
          <w:noProof/>
          <w:sz w:val="22"/>
        </w:rPr>
        <w:t>: 751–761. [online] http://www.nature.com/articles/ijo2010208 (Accessed July 19, 2019).</w:t>
      </w:r>
      <w:r w:rsidRPr="00236EEF">
        <w:rPr>
          <w:rFonts w:ascii="Arial" w:hAnsi="Arial" w:cs="Arial"/>
          <w:noProof/>
          <w:sz w:val="22"/>
        </w:rPr>
        <w:tab/>
      </w:r>
    </w:p>
    <w:p w14:paraId="5D0B704B"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20. Laplante, M., and D. M. Sabatini. 2009. An Emerging Role of mTOR in Lipid Biosynthesis. </w:t>
      </w:r>
      <w:r w:rsidRPr="00236EEF">
        <w:rPr>
          <w:rFonts w:ascii="Arial" w:hAnsi="Arial" w:cs="Arial"/>
          <w:i/>
          <w:iCs/>
          <w:noProof/>
          <w:sz w:val="22"/>
        </w:rPr>
        <w:t>Curr. Biol.</w:t>
      </w:r>
      <w:r w:rsidRPr="00236EEF">
        <w:rPr>
          <w:rFonts w:ascii="Arial" w:hAnsi="Arial" w:cs="Arial"/>
          <w:noProof/>
          <w:sz w:val="22"/>
        </w:rPr>
        <w:t xml:space="preserve"> </w:t>
      </w:r>
      <w:r w:rsidRPr="00236EEF">
        <w:rPr>
          <w:rFonts w:ascii="Arial" w:hAnsi="Arial" w:cs="Arial"/>
          <w:b/>
          <w:bCs/>
          <w:noProof/>
          <w:sz w:val="22"/>
        </w:rPr>
        <w:t>19</w:t>
      </w:r>
      <w:r w:rsidRPr="00236EEF">
        <w:rPr>
          <w:rFonts w:ascii="Arial" w:hAnsi="Arial" w:cs="Arial"/>
          <w:noProof/>
          <w:sz w:val="22"/>
        </w:rPr>
        <w:t>: R1046–R1052. [online] http://www.ncbi.nlm.nih.gov/pubmed/19948145 (Accessed July 25, 2019).</w:t>
      </w:r>
      <w:r w:rsidRPr="00236EEF">
        <w:rPr>
          <w:rFonts w:ascii="Arial" w:hAnsi="Arial" w:cs="Arial"/>
          <w:noProof/>
          <w:sz w:val="22"/>
        </w:rPr>
        <w:tab/>
      </w:r>
    </w:p>
    <w:p w14:paraId="1ADFE7C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21. Chen, Y., H. Wei, F. Liu, and J.-L. Guan. 2014. Hyperactivation of mammalian target of rapamycin complex 1 (mTORC1) promotes breast cancer progression through enhancing glucose starvation-induced autophagy and Akt signaling. </w:t>
      </w:r>
      <w:r w:rsidRPr="00236EEF">
        <w:rPr>
          <w:rFonts w:ascii="Arial" w:hAnsi="Arial" w:cs="Arial"/>
          <w:i/>
          <w:iCs/>
          <w:noProof/>
          <w:sz w:val="22"/>
        </w:rPr>
        <w:t>J. Biol. Chem.</w:t>
      </w:r>
      <w:r w:rsidRPr="00236EEF">
        <w:rPr>
          <w:rFonts w:ascii="Arial" w:hAnsi="Arial" w:cs="Arial"/>
          <w:noProof/>
          <w:sz w:val="22"/>
        </w:rPr>
        <w:t xml:space="preserve"> </w:t>
      </w:r>
      <w:r w:rsidRPr="00236EEF">
        <w:rPr>
          <w:rFonts w:ascii="Arial" w:hAnsi="Arial" w:cs="Arial"/>
          <w:b/>
          <w:bCs/>
          <w:noProof/>
          <w:sz w:val="22"/>
        </w:rPr>
        <w:t>289</w:t>
      </w:r>
      <w:r w:rsidRPr="00236EEF">
        <w:rPr>
          <w:rFonts w:ascii="Arial" w:hAnsi="Arial" w:cs="Arial"/>
          <w:noProof/>
          <w:sz w:val="22"/>
        </w:rPr>
        <w:t>: 1164–73. [online] http://www.ncbi.nlm.nih.gov/pubmed/24275666 (Accessed February 14, 2020).</w:t>
      </w:r>
      <w:r w:rsidRPr="00236EEF">
        <w:rPr>
          <w:rFonts w:ascii="Arial" w:hAnsi="Arial" w:cs="Arial"/>
          <w:noProof/>
          <w:sz w:val="22"/>
        </w:rPr>
        <w:tab/>
      </w:r>
    </w:p>
    <w:p w14:paraId="1ACAB04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22. Rezaei, R., Z. Wu, Y. Hou, F. W. Bazer, and G. Wu. 2016. Amino acids and mammary gland development: nutritional implications for milk production and neonatal growth. </w:t>
      </w:r>
      <w:r w:rsidRPr="00236EEF">
        <w:rPr>
          <w:rFonts w:ascii="Arial" w:hAnsi="Arial" w:cs="Arial"/>
          <w:i/>
          <w:iCs/>
          <w:noProof/>
          <w:sz w:val="22"/>
        </w:rPr>
        <w:t>J. Anim. Sci. Biotechnol.</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20. [online] http://www.ncbi.nlm.nih.gov/pubmed/27042295 (Accessed July 10, 2019).</w:t>
      </w:r>
      <w:r w:rsidRPr="00236EEF">
        <w:rPr>
          <w:rFonts w:ascii="Arial" w:hAnsi="Arial" w:cs="Arial"/>
          <w:noProof/>
          <w:sz w:val="22"/>
        </w:rPr>
        <w:tab/>
      </w:r>
    </w:p>
    <w:p w14:paraId="6CD9737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236EEF">
        <w:rPr>
          <w:rFonts w:ascii="Arial" w:hAnsi="Arial" w:cs="Arial"/>
          <w:i/>
          <w:iCs/>
          <w:noProof/>
          <w:sz w:val="22"/>
        </w:rPr>
        <w:t>Hum. Mol. Genet.</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525–534. [online] https://academic.oup.com/hmg/article-lookup/doi/10.1093/hmg/11.5.525 (Accessed July 11, 2019).</w:t>
      </w:r>
      <w:r w:rsidRPr="00236EEF">
        <w:rPr>
          <w:rFonts w:ascii="Arial" w:hAnsi="Arial" w:cs="Arial"/>
          <w:noProof/>
          <w:sz w:val="22"/>
        </w:rPr>
        <w:tab/>
      </w:r>
    </w:p>
    <w:p w14:paraId="6D2FE76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24. Eguchi, J., Q.-W. Yan, D. E. Schones, M. Kamal, C.-H. Hsu, M. Q. Zhang, G. E. Crawford, and E. D. Rosen. 2008. Interferon Regulatory Factors Are Transcriptional Regulators of Adipogenesis.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86–94. [online] http://www.ncbi.nlm.nih.gov/pubmed/18177728 (Accessed July 25, 2019).</w:t>
      </w:r>
      <w:r w:rsidRPr="00236EEF">
        <w:rPr>
          <w:rFonts w:ascii="Arial" w:hAnsi="Arial" w:cs="Arial"/>
          <w:noProof/>
          <w:sz w:val="22"/>
        </w:rPr>
        <w:tab/>
      </w:r>
    </w:p>
    <w:p w14:paraId="61CE7E8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25. Wang, F., S. E. Mullican, J. R. DiSpirito, L. C. Peed, and M. A. Lazar. 2013. Lipoatrophy and severe metabolic disturbance in mice with fat-specific deletion of PPARγ. </w:t>
      </w:r>
      <w:r w:rsidRPr="00236EEF">
        <w:rPr>
          <w:rFonts w:ascii="Arial" w:hAnsi="Arial" w:cs="Arial"/>
          <w:i/>
          <w:iCs/>
          <w:noProof/>
          <w:sz w:val="22"/>
        </w:rPr>
        <w:t>Proc. Natl. Acad. Sci. U. S. A.</w:t>
      </w:r>
      <w:r w:rsidRPr="00236EEF">
        <w:rPr>
          <w:rFonts w:ascii="Arial" w:hAnsi="Arial" w:cs="Arial"/>
          <w:noProof/>
          <w:sz w:val="22"/>
        </w:rPr>
        <w:t xml:space="preserve"> </w:t>
      </w:r>
      <w:r w:rsidRPr="00236EEF">
        <w:rPr>
          <w:rFonts w:ascii="Arial" w:hAnsi="Arial" w:cs="Arial"/>
          <w:b/>
          <w:bCs/>
          <w:noProof/>
          <w:sz w:val="22"/>
        </w:rPr>
        <w:t>110</w:t>
      </w:r>
      <w:r w:rsidRPr="00236EEF">
        <w:rPr>
          <w:rFonts w:ascii="Arial" w:hAnsi="Arial" w:cs="Arial"/>
          <w:noProof/>
          <w:sz w:val="22"/>
        </w:rPr>
        <w:t>: 18656–18661. [online] http://www.pnas.org/cgi/doi/10.1073/pnas.1314863110 (Accessed July 15, 2019).</w:t>
      </w:r>
      <w:r w:rsidRPr="00236EEF">
        <w:rPr>
          <w:rFonts w:ascii="Arial" w:hAnsi="Arial" w:cs="Arial"/>
          <w:noProof/>
          <w:sz w:val="22"/>
        </w:rPr>
        <w:tab/>
      </w:r>
    </w:p>
    <w:p w14:paraId="49D95F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26. Wang, Q. A., A. Song, R. K. Gupta, B. Deplancke, and P. E. Scherer. 2018. Reversible De-differentiation of Mature White Adipocytes into Preadipocyte-like Precursors during Lactation.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28</w:t>
      </w:r>
      <w:r w:rsidRPr="00236EEF">
        <w:rPr>
          <w:rFonts w:ascii="Arial" w:hAnsi="Arial" w:cs="Arial"/>
          <w:noProof/>
          <w:sz w:val="22"/>
        </w:rPr>
        <w:t>: 282-288.e3. [online] https://doi.org/10.1016/j.cmet.2018.05.022 (Accessed July 10, 2019).</w:t>
      </w:r>
      <w:r w:rsidRPr="00236EEF">
        <w:rPr>
          <w:rFonts w:ascii="Arial" w:hAnsi="Arial" w:cs="Arial"/>
          <w:noProof/>
          <w:sz w:val="22"/>
        </w:rPr>
        <w:tab/>
      </w:r>
    </w:p>
    <w:p w14:paraId="33377C9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236EEF">
        <w:rPr>
          <w:rFonts w:ascii="Arial" w:hAnsi="Arial" w:cs="Arial"/>
          <w:noProof/>
          <w:sz w:val="22"/>
        </w:rPr>
        <w:tab/>
      </w:r>
    </w:p>
    <w:p w14:paraId="72B4389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28. Collares, F. P., C. V. Gonçalves, and J. S. Ferreira. 1997. Creamatocrit as a rapid method to estimate the contents of total milk lipids. </w:t>
      </w:r>
      <w:r w:rsidRPr="00236EEF">
        <w:rPr>
          <w:rFonts w:ascii="Arial" w:hAnsi="Arial" w:cs="Arial"/>
          <w:i/>
          <w:iCs/>
          <w:noProof/>
          <w:sz w:val="22"/>
        </w:rPr>
        <w:t>Food Chem.</w:t>
      </w:r>
      <w:r w:rsidRPr="00236EEF">
        <w:rPr>
          <w:rFonts w:ascii="Arial" w:hAnsi="Arial" w:cs="Arial"/>
          <w:noProof/>
          <w:sz w:val="22"/>
        </w:rPr>
        <w:t xml:space="preserve"> </w:t>
      </w:r>
      <w:r w:rsidRPr="00236EEF">
        <w:rPr>
          <w:rFonts w:ascii="Arial" w:hAnsi="Arial" w:cs="Arial"/>
          <w:b/>
          <w:bCs/>
          <w:noProof/>
          <w:sz w:val="22"/>
        </w:rPr>
        <w:t>60</w:t>
      </w:r>
      <w:r w:rsidRPr="00236EEF">
        <w:rPr>
          <w:rFonts w:ascii="Arial" w:hAnsi="Arial" w:cs="Arial"/>
          <w:noProof/>
          <w:sz w:val="22"/>
        </w:rPr>
        <w:t>: 465–467. [online] https://www.sciencedirect.com/science/article/pii/S0308814697000149 (Accessed February 19, 2020).</w:t>
      </w:r>
      <w:r w:rsidRPr="00236EEF">
        <w:rPr>
          <w:rFonts w:ascii="Arial" w:hAnsi="Arial" w:cs="Arial"/>
          <w:noProof/>
          <w:sz w:val="22"/>
        </w:rPr>
        <w:tab/>
      </w:r>
    </w:p>
    <w:p w14:paraId="06EB395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29. Patro, R., G. Duggal, M. I. Love, R. A. Irizarry, and C. Kingsford. 2017. Salmon provides fast and bias-aware quantification of transcript expression. </w:t>
      </w:r>
      <w:r w:rsidRPr="00236EEF">
        <w:rPr>
          <w:rFonts w:ascii="Arial" w:hAnsi="Arial" w:cs="Arial"/>
          <w:i/>
          <w:iCs/>
          <w:noProof/>
          <w:sz w:val="22"/>
        </w:rPr>
        <w:t>Nat. Methods</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417–419.</w:t>
      </w:r>
      <w:r w:rsidRPr="00236EEF">
        <w:rPr>
          <w:rFonts w:ascii="Arial" w:hAnsi="Arial" w:cs="Arial"/>
          <w:noProof/>
          <w:sz w:val="22"/>
        </w:rPr>
        <w:tab/>
      </w:r>
    </w:p>
    <w:p w14:paraId="0902B1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236EEF">
        <w:rPr>
          <w:rFonts w:ascii="Arial" w:hAnsi="Arial" w:cs="Arial"/>
          <w:i/>
          <w:iCs/>
          <w:noProof/>
          <w:sz w:val="22"/>
        </w:rPr>
        <w:t>PLoS Comput. Biol.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1–13.</w:t>
      </w:r>
      <w:r w:rsidRPr="00236EEF">
        <w:rPr>
          <w:rFonts w:ascii="Arial" w:hAnsi="Arial" w:cs="Arial"/>
          <w:noProof/>
          <w:sz w:val="22"/>
        </w:rPr>
        <w:tab/>
      </w:r>
    </w:p>
    <w:p w14:paraId="474FAE7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31. Soneson, C., M. I. Love, and M. D. Robinson. 2016. Differential analyses for RNA-seq: Transcript-level estimates improve gene-level inferences [version 2; referees: 2 approved]. </w:t>
      </w:r>
      <w:r w:rsidRPr="00236EEF">
        <w:rPr>
          <w:rFonts w:ascii="Arial" w:hAnsi="Arial" w:cs="Arial"/>
          <w:i/>
          <w:iCs/>
          <w:noProof/>
          <w:sz w:val="22"/>
        </w:rPr>
        <w:t>F1000Research</w:t>
      </w:r>
      <w:r w:rsidRPr="00236EEF">
        <w:rPr>
          <w:rFonts w:ascii="Arial" w:hAnsi="Arial" w:cs="Arial"/>
          <w:noProof/>
          <w:sz w:val="22"/>
        </w:rPr>
        <w:t xml:space="preserve">. </w:t>
      </w:r>
      <w:r w:rsidRPr="00236EEF">
        <w:rPr>
          <w:rFonts w:ascii="Arial" w:hAnsi="Arial" w:cs="Arial"/>
          <w:b/>
          <w:bCs/>
          <w:noProof/>
          <w:sz w:val="22"/>
        </w:rPr>
        <w:t>4</w:t>
      </w:r>
      <w:r w:rsidRPr="00236EEF">
        <w:rPr>
          <w:rFonts w:ascii="Arial" w:hAnsi="Arial" w:cs="Arial"/>
          <w:noProof/>
          <w:sz w:val="22"/>
        </w:rPr>
        <w:t>: 1–23.</w:t>
      </w:r>
      <w:r w:rsidRPr="00236EEF">
        <w:rPr>
          <w:rFonts w:ascii="Arial" w:hAnsi="Arial" w:cs="Arial"/>
          <w:noProof/>
          <w:sz w:val="22"/>
        </w:rPr>
        <w:tab/>
      </w:r>
    </w:p>
    <w:p w14:paraId="56E41A03"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32. Love, M. I., W. Huber, and S. Anders. 2014. Moderated estimation of fold change and dispersion for RNA-seq data with DESeq2. </w:t>
      </w:r>
      <w:r w:rsidRPr="00236EEF">
        <w:rPr>
          <w:rFonts w:ascii="Arial" w:hAnsi="Arial" w:cs="Arial"/>
          <w:i/>
          <w:iCs/>
          <w:noProof/>
          <w:sz w:val="22"/>
        </w:rPr>
        <w:t>Genome Biol.</w:t>
      </w:r>
      <w:r w:rsidRPr="00236EEF">
        <w:rPr>
          <w:rFonts w:ascii="Arial" w:hAnsi="Arial" w:cs="Arial"/>
          <w:noProof/>
          <w:sz w:val="22"/>
        </w:rPr>
        <w:t xml:space="preserve"> </w:t>
      </w:r>
      <w:r w:rsidRPr="00236EEF">
        <w:rPr>
          <w:rFonts w:ascii="Arial" w:hAnsi="Arial" w:cs="Arial"/>
          <w:b/>
          <w:bCs/>
          <w:noProof/>
          <w:sz w:val="22"/>
        </w:rPr>
        <w:t>15</w:t>
      </w:r>
      <w:r w:rsidRPr="00236EEF">
        <w:rPr>
          <w:rFonts w:ascii="Arial" w:hAnsi="Arial" w:cs="Arial"/>
          <w:noProof/>
          <w:sz w:val="22"/>
        </w:rPr>
        <w:t>: 550.</w:t>
      </w:r>
      <w:r w:rsidRPr="00236EEF">
        <w:rPr>
          <w:rFonts w:ascii="Arial" w:hAnsi="Arial" w:cs="Arial"/>
          <w:noProof/>
          <w:sz w:val="22"/>
        </w:rPr>
        <w:tab/>
      </w:r>
    </w:p>
    <w:p w14:paraId="07C6D3B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33. Schwertfeger, K. L., J. L. McManaman, C. A. Palmer, M. C. Neville, and S. M. Anderson. 2003. Expression of constitutively activated Akt in the mammary gland leads to excess lipid synthesis during pregnancy and lactation. </w:t>
      </w:r>
      <w:r w:rsidRPr="00236EEF">
        <w:rPr>
          <w:rFonts w:ascii="Arial" w:hAnsi="Arial" w:cs="Arial"/>
          <w:i/>
          <w:iCs/>
          <w:noProof/>
          <w:sz w:val="22"/>
        </w:rPr>
        <w:t>J. Lipid Res.</w:t>
      </w:r>
      <w:r w:rsidRPr="00236EEF">
        <w:rPr>
          <w:rFonts w:ascii="Arial" w:hAnsi="Arial" w:cs="Arial"/>
          <w:noProof/>
          <w:sz w:val="22"/>
        </w:rPr>
        <w:t xml:space="preserve"> </w:t>
      </w:r>
      <w:r w:rsidRPr="00236EEF">
        <w:rPr>
          <w:rFonts w:ascii="Arial" w:hAnsi="Arial" w:cs="Arial"/>
          <w:b/>
          <w:bCs/>
          <w:noProof/>
          <w:sz w:val="22"/>
        </w:rPr>
        <w:t>44</w:t>
      </w:r>
      <w:r w:rsidRPr="00236EEF">
        <w:rPr>
          <w:rFonts w:ascii="Arial" w:hAnsi="Arial" w:cs="Arial"/>
          <w:noProof/>
          <w:sz w:val="22"/>
        </w:rPr>
        <w:t>: 1100–12. [online] http://www.ncbi.nlm.nih.gov/pubmed/12700340 (Accessed July 17, 2019).</w:t>
      </w:r>
      <w:r w:rsidRPr="00236EEF">
        <w:rPr>
          <w:rFonts w:ascii="Arial" w:hAnsi="Arial" w:cs="Arial"/>
          <w:noProof/>
          <w:sz w:val="22"/>
        </w:rPr>
        <w:tab/>
      </w:r>
    </w:p>
    <w:p w14:paraId="71B3BE4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34. Che, L., M. Xu, K. Gao, C. Zhu, L. Wang, X. Yang, X. Wen, H. Xiao, Z. Jiang, and D. Wu. 2019. Valine increases milk fat synthesis in mammary gland of gilts through stimulating AKT/MTOR/SREBP1 pathway†. </w:t>
      </w:r>
      <w:r w:rsidRPr="00236EEF">
        <w:rPr>
          <w:rFonts w:ascii="Arial" w:hAnsi="Arial" w:cs="Arial"/>
          <w:i/>
          <w:iCs/>
          <w:noProof/>
          <w:sz w:val="22"/>
        </w:rPr>
        <w:t>Biol. Reprod.</w:t>
      </w:r>
      <w:r w:rsidRPr="00236EEF">
        <w:rPr>
          <w:rFonts w:ascii="Arial" w:hAnsi="Arial" w:cs="Arial"/>
          <w:noProof/>
          <w:sz w:val="22"/>
        </w:rPr>
        <w:t xml:space="preserve"> </w:t>
      </w:r>
      <w:r w:rsidRPr="00236EEF">
        <w:rPr>
          <w:rFonts w:ascii="Arial" w:hAnsi="Arial" w:cs="Arial"/>
          <w:b/>
          <w:bCs/>
          <w:noProof/>
          <w:sz w:val="22"/>
        </w:rPr>
        <w:t>101</w:t>
      </w:r>
      <w:r w:rsidRPr="00236EEF">
        <w:rPr>
          <w:rFonts w:ascii="Arial" w:hAnsi="Arial" w:cs="Arial"/>
          <w:noProof/>
          <w:sz w:val="22"/>
        </w:rPr>
        <w:t>: 126–137. [online] https://academic.oup.com/biolreprod/article/101/1/126/5462648 (Accessed April 27, 2021).</w:t>
      </w:r>
      <w:r w:rsidRPr="00236EEF">
        <w:rPr>
          <w:rFonts w:ascii="Arial" w:hAnsi="Arial" w:cs="Arial"/>
          <w:noProof/>
          <w:sz w:val="22"/>
        </w:rPr>
        <w:tab/>
      </w:r>
    </w:p>
    <w:p w14:paraId="1798BF7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35. Lee, P. L., Y. Tang, H. Li, and D. A. Guertin. 2016. Raptor/mTORC1 loss in adipocytes causes progressive lipodystrophy and fatty liver disease.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5</w:t>
      </w:r>
      <w:r w:rsidRPr="00236EEF">
        <w:rPr>
          <w:rFonts w:ascii="Arial" w:hAnsi="Arial" w:cs="Arial"/>
          <w:noProof/>
          <w:sz w:val="22"/>
        </w:rPr>
        <w:t>: 422–432. [online] /pmc/articles/PMC4877665/ (Accessed April 27, 2021).</w:t>
      </w:r>
      <w:r w:rsidRPr="00236EEF">
        <w:rPr>
          <w:rFonts w:ascii="Arial" w:hAnsi="Arial" w:cs="Arial"/>
          <w:noProof/>
          <w:sz w:val="22"/>
        </w:rPr>
        <w:tab/>
      </w:r>
    </w:p>
    <w:p w14:paraId="59F5AE9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36. Gouon-Evans, V., and J. W. Pollard. 2002. Unexpected Deposition of Brown Fat in Mammary Gland During Postnatal Development. </w:t>
      </w:r>
      <w:r w:rsidRPr="00236EEF">
        <w:rPr>
          <w:rFonts w:ascii="Arial" w:hAnsi="Arial" w:cs="Arial"/>
          <w:i/>
          <w:iCs/>
          <w:noProof/>
          <w:sz w:val="22"/>
        </w:rPr>
        <w:t>Mol. Endocrinol.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xml:space="preserve">: 2618–2627. </w:t>
      </w:r>
      <w:r w:rsidRPr="00236EEF">
        <w:rPr>
          <w:rFonts w:ascii="Arial" w:hAnsi="Arial" w:cs="Arial"/>
          <w:noProof/>
          <w:sz w:val="22"/>
        </w:rPr>
        <w:lastRenderedPageBreak/>
        <w:t>[online] https://academic.oup.com/mend/article/16/11/2618/2741818 (Accessed April 27, 2021).</w:t>
      </w:r>
      <w:r w:rsidRPr="00236EEF">
        <w:rPr>
          <w:rFonts w:ascii="Arial" w:hAnsi="Arial" w:cs="Arial"/>
          <w:noProof/>
          <w:sz w:val="22"/>
        </w:rPr>
        <w:tab/>
      </w:r>
    </w:p>
    <w:p w14:paraId="4136B9F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37. Li, L., B. Li, M. Li, C. Niu, G. Wang, T. Li, E. Król, W. Jin, and J. R. Speakman. 2017. Brown adipocytes can display a mammary basal myoepithelial cell phenotype in vivo.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1198–1211. [online] /pmc/articles/PMC5641686/ (Accessed April 27, 2021).</w:t>
      </w:r>
      <w:r w:rsidRPr="00236EEF">
        <w:rPr>
          <w:rFonts w:ascii="Arial" w:hAnsi="Arial" w:cs="Arial"/>
          <w:noProof/>
          <w:sz w:val="22"/>
        </w:rPr>
        <w:tab/>
      </w:r>
    </w:p>
    <w:p w14:paraId="6B88B83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38. Tran, C. M., S. Mukherjee, L. Ye, D. W. Frederick, M. Kissig, J. G. Davis, D. W. Lamming, P. Seale, and J. A. Baur. 2016. Rapamycin blocks induction of the thermogenic program in white adipose tissue. </w:t>
      </w:r>
      <w:r w:rsidRPr="00236EEF">
        <w:rPr>
          <w:rFonts w:ascii="Arial" w:hAnsi="Arial" w:cs="Arial"/>
          <w:i/>
          <w:iCs/>
          <w:noProof/>
          <w:sz w:val="22"/>
        </w:rPr>
        <w:t>Diabetes</w:t>
      </w:r>
      <w:r w:rsidRPr="00236EEF">
        <w:rPr>
          <w:rFonts w:ascii="Arial" w:hAnsi="Arial" w:cs="Arial"/>
          <w:noProof/>
          <w:sz w:val="22"/>
        </w:rPr>
        <w:t xml:space="preserve">. </w:t>
      </w:r>
      <w:r w:rsidRPr="00236EEF">
        <w:rPr>
          <w:rFonts w:ascii="Arial" w:hAnsi="Arial" w:cs="Arial"/>
          <w:b/>
          <w:bCs/>
          <w:noProof/>
          <w:sz w:val="22"/>
        </w:rPr>
        <w:t>65</w:t>
      </w:r>
      <w:r w:rsidRPr="00236EEF">
        <w:rPr>
          <w:rFonts w:ascii="Arial" w:hAnsi="Arial" w:cs="Arial"/>
          <w:noProof/>
          <w:sz w:val="22"/>
        </w:rPr>
        <w:t>: 927–941. [online] /pmc/articles/PMC4806661/ (Accessed April 27, 2021).</w:t>
      </w:r>
      <w:r w:rsidRPr="00236EEF">
        <w:rPr>
          <w:rFonts w:ascii="Arial" w:hAnsi="Arial" w:cs="Arial"/>
          <w:noProof/>
          <w:sz w:val="22"/>
        </w:rPr>
        <w:tab/>
      </w:r>
    </w:p>
    <w:p w14:paraId="770F98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39. Liu, D., M. Bordicchia, C. Zhang, H. Fang, W. Wei, J. L. Li, A. Guilherme, K. Guntur, M. P. Czech, and S. Collins. 2016. Activation of mTORC1 is essential for β-adrenergic stimulation of adipose browning. </w:t>
      </w:r>
      <w:r w:rsidRPr="00236EEF">
        <w:rPr>
          <w:rFonts w:ascii="Arial" w:hAnsi="Arial" w:cs="Arial"/>
          <w:i/>
          <w:iCs/>
          <w:noProof/>
          <w:sz w:val="22"/>
        </w:rPr>
        <w:t>J. Clin. Invest.</w:t>
      </w:r>
      <w:r w:rsidRPr="00236EEF">
        <w:rPr>
          <w:rFonts w:ascii="Arial" w:hAnsi="Arial" w:cs="Arial"/>
          <w:noProof/>
          <w:sz w:val="22"/>
        </w:rPr>
        <w:t xml:space="preserve"> </w:t>
      </w:r>
      <w:r w:rsidRPr="00236EEF">
        <w:rPr>
          <w:rFonts w:ascii="Arial" w:hAnsi="Arial" w:cs="Arial"/>
          <w:b/>
          <w:bCs/>
          <w:noProof/>
          <w:sz w:val="22"/>
        </w:rPr>
        <w:t>126</w:t>
      </w:r>
      <w:r w:rsidRPr="00236EEF">
        <w:rPr>
          <w:rFonts w:ascii="Arial" w:hAnsi="Arial" w:cs="Arial"/>
          <w:noProof/>
          <w:sz w:val="22"/>
        </w:rPr>
        <w:t>: 1704–1716.</w:t>
      </w:r>
      <w:r w:rsidRPr="00236EEF">
        <w:rPr>
          <w:rFonts w:ascii="Arial" w:hAnsi="Arial" w:cs="Arial"/>
          <w:noProof/>
          <w:sz w:val="22"/>
        </w:rPr>
        <w:tab/>
      </w:r>
    </w:p>
    <w:p w14:paraId="2C61135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40. Labbé, S. M., M. Mouchiroud, A. Caron, B. Secco, E. Freinkman, G. Lamoureux, Y. Gélinas, R. Lecomte, Y. Bossé, P. Chimin, W. T. Festuccia, D. Richard, and M. Laplante. 2016. MTORC1 is Required for Brown Adipose Tissue Recruitment and Metabolic Adaptation to Cold. </w:t>
      </w:r>
      <w:r w:rsidRPr="00236EEF">
        <w:rPr>
          <w:rFonts w:ascii="Arial" w:hAnsi="Arial" w:cs="Arial"/>
          <w:i/>
          <w:iCs/>
          <w:noProof/>
          <w:sz w:val="22"/>
        </w:rPr>
        <w:t>Sci. Rep.</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[online] /pmc/articles/PMC5120333/ (Accessed April 27, 2021).</w:t>
      </w:r>
      <w:r w:rsidRPr="00236EEF">
        <w:rPr>
          <w:rFonts w:ascii="Arial" w:hAnsi="Arial" w:cs="Arial"/>
          <w:noProof/>
          <w:sz w:val="22"/>
        </w:rPr>
        <w:tab/>
      </w:r>
    </w:p>
    <w:p w14:paraId="2330D3F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41.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236EEF">
        <w:rPr>
          <w:rFonts w:ascii="Arial" w:hAnsi="Arial" w:cs="Arial"/>
          <w:i/>
          <w:iCs/>
          <w:noProof/>
          <w:sz w:val="22"/>
        </w:rPr>
        <w:t>Biochim. Biophys. Acta - Mol. Cell Biol. Lipids</w:t>
      </w:r>
      <w:r w:rsidRPr="00236EEF">
        <w:rPr>
          <w:rFonts w:ascii="Arial" w:hAnsi="Arial" w:cs="Arial"/>
          <w:noProof/>
          <w:sz w:val="22"/>
        </w:rPr>
        <w:t xml:space="preserve">. </w:t>
      </w:r>
      <w:r w:rsidRPr="00236EEF">
        <w:rPr>
          <w:rFonts w:ascii="Arial" w:hAnsi="Arial" w:cs="Arial"/>
          <w:b/>
          <w:bCs/>
          <w:noProof/>
          <w:sz w:val="22"/>
        </w:rPr>
        <w:t>1861</w:t>
      </w:r>
      <w:r w:rsidRPr="00236EEF">
        <w:rPr>
          <w:rFonts w:ascii="Arial" w:hAnsi="Arial" w:cs="Arial"/>
          <w:noProof/>
          <w:sz w:val="22"/>
        </w:rPr>
        <w:t>: 430–438.</w:t>
      </w:r>
      <w:r w:rsidRPr="00236EEF">
        <w:rPr>
          <w:rFonts w:ascii="Arial" w:hAnsi="Arial" w:cs="Arial"/>
          <w:noProof/>
          <w:sz w:val="22"/>
        </w:rPr>
        <w:tab/>
      </w:r>
    </w:p>
    <w:p w14:paraId="4A00B6D0" w14:textId="0EE76661" w:rsidR="0085513B" w:rsidRDefault="001745BF" w:rsidP="00236EEF">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2B2914B2" w:rsidR="0085513B" w:rsidRDefault="0085513B" w:rsidP="0085513B">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lastRenderedPageBreak/>
        <w:t>9.0 Figure Legends</w:t>
      </w:r>
    </w:p>
    <w:p w14:paraId="620BB43F" w14:textId="77777777" w:rsidR="0085513B" w:rsidRDefault="0085513B">
      <w:pPr>
        <w:widowControl w:val="0"/>
        <w:autoSpaceDE w:val="0"/>
        <w:autoSpaceDN w:val="0"/>
        <w:adjustRightInd w:val="0"/>
        <w:spacing w:before="480"/>
        <w:ind w:left="640" w:hanging="640"/>
        <w:rPr>
          <w:rFonts w:ascii="Arial" w:eastAsia="MS PMincho" w:hAnsi="Arial" w:cs="Arial"/>
          <w:b/>
          <w:bCs/>
          <w:color w:val="000000" w:themeColor="text1"/>
          <w:sz w:val="22"/>
          <w:szCs w:val="22"/>
        </w:rPr>
      </w:pPr>
    </w:p>
    <w:p w14:paraId="64F03CAA" w14:textId="4FA6C2E2" w:rsidR="0085513B" w:rsidRDefault="0085513B" w:rsidP="0085513B">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Dams and pups were monitored throughout lactation. Pup births and weights were measured on postnatal day (PND) 0.5. Pups were culled at PND4. Pups weights were assessed on PND7.5, 14.5 and 16.5. Milk volume was measured on PND10.5 using the weigh-suckle-weigh method. On PND16.5,milk was collected from dams and mammary glands extracted. Maternal body composition was measured on PND0.5 after delivery and every Monday, Wednesday, and Friday thereafter until and including PND16.5. </w:t>
      </w:r>
    </w:p>
    <w:p w14:paraId="4B8F3191" w14:textId="77777777" w:rsidR="0085513B" w:rsidRPr="00AF1420" w:rsidRDefault="0085513B" w:rsidP="009833B6"/>
    <w:p w14:paraId="7F9704C4" w14:textId="77777777" w:rsidR="0085513B" w:rsidRPr="00716CFA" w:rsidRDefault="0085513B" w:rsidP="0085513B">
      <w:pPr>
        <w:pStyle w:val="Caption"/>
        <w:rPr>
          <w:rFonts w:ascii="Arial" w:hAnsi="Arial" w:cs="Arial"/>
          <w:color w:val="000000" w:themeColor="text1"/>
          <w:sz w:val="22"/>
          <w:szCs w:val="22"/>
        </w:rPr>
      </w:pPr>
      <w:r>
        <w:t xml:space="preserve">Figure </w:t>
      </w:r>
      <w:r>
        <w:fldChar w:fldCharType="begin"/>
      </w:r>
      <w:r>
        <w:instrText xml:space="preserve"> SEQ Figure \* ARABIC </w:instrText>
      </w:r>
      <w:r>
        <w:fldChar w:fldCharType="separate"/>
      </w:r>
      <w:r>
        <w:rPr>
          <w:noProof/>
        </w:rPr>
        <w:t>2</w:t>
      </w:r>
      <w:r>
        <w:rPr>
          <w:noProof/>
        </w:rPr>
        <w:fldChar w:fldCharType="end"/>
      </w:r>
      <w:r>
        <w:t>: Maternal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5F9EDB92" w14:textId="77777777" w:rsidR="0085513B" w:rsidRDefault="0085513B" w:rsidP="0085513B">
      <w:pPr>
        <w:pStyle w:val="Heading2"/>
      </w:pPr>
    </w:p>
    <w:p w14:paraId="6C5A605B" w14:textId="77777777" w:rsidR="0085513B" w:rsidRDefault="0085513B" w:rsidP="0085513B">
      <w:pPr>
        <w:pStyle w:val="Caption"/>
      </w:pPr>
      <w:r>
        <w:t>Figure 3: Mammary glands collected from lactating WT and KO dams on PND16.5 showing significant reductions in weight of left and right mammary glands of KO dams.</w:t>
      </w:r>
    </w:p>
    <w:p w14:paraId="622F679C" w14:textId="117C44FB" w:rsidR="0085513B" w:rsidRDefault="0085513B" w:rsidP="0085513B">
      <w:pPr>
        <w:pStyle w:val="Caption"/>
      </w:pPr>
      <w:r>
        <w:t>Figure 4: Mammary glands collected from lactating WT and KO dams on PND16.5 and stained using hematoxylin and eosin for adipocyte counting, sizing, and percent area measurement. Adipocyte assessment shows increased adipocyte count in KO glands and a trend towards increased adipocyte total and percentage  area.</w:t>
      </w:r>
    </w:p>
    <w:p w14:paraId="676F0269" w14:textId="77777777" w:rsidR="0085513B" w:rsidRPr="00AF1420" w:rsidRDefault="0085513B" w:rsidP="009833B6"/>
    <w:p w14:paraId="6DA89D45" w14:textId="77777777" w:rsidR="0085513B" w:rsidRDefault="0085513B" w:rsidP="0085513B">
      <w:pPr>
        <w:pStyle w:val="Caption"/>
        <w:rPr>
          <w:rFonts w:ascii="Arial" w:hAnsi="Arial" w:cs="Arial"/>
          <w:color w:val="000000" w:themeColor="text1"/>
          <w:sz w:val="22"/>
          <w:szCs w:val="22"/>
        </w:rPr>
      </w:pPr>
      <w:r>
        <w:t>Figure 5</w:t>
      </w:r>
      <w:r w:rsidRPr="001B33DF">
        <w:t xml:space="preserve">: Pup weights during lactation. Weights of male and female offspring of WT and KO dams </w:t>
      </w:r>
      <w:r>
        <w:t>at</w:t>
      </w:r>
      <w:r w:rsidRPr="001B33DF">
        <w:t xml:space="preserve"> PND7.5.</w:t>
      </w:r>
    </w:p>
    <w:p w14:paraId="78A65CAB" w14:textId="77777777" w:rsidR="0085513B" w:rsidRDefault="0085513B" w:rsidP="0085513B">
      <w:pPr>
        <w:rPr>
          <w:rFonts w:ascii="Arial" w:hAnsi="Arial" w:cs="Arial"/>
          <w:color w:val="000000" w:themeColor="text1"/>
          <w:sz w:val="22"/>
          <w:szCs w:val="22"/>
        </w:rPr>
      </w:pPr>
    </w:p>
    <w:p w14:paraId="213E0F06" w14:textId="28BC5CF3" w:rsidR="0085513B" w:rsidRDefault="0085513B" w:rsidP="0085513B">
      <w:pPr>
        <w:pStyle w:val="Caption"/>
      </w:pPr>
      <w:r>
        <w:t xml:space="preserve">Figure 6: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5D4691D8" w14:textId="77777777" w:rsidR="0085513B" w:rsidRPr="00AF1420" w:rsidRDefault="0085513B" w:rsidP="009833B6"/>
    <w:p w14:paraId="64D3193E" w14:textId="77777777" w:rsidR="0085513B" w:rsidRPr="000351B7" w:rsidRDefault="0085513B" w:rsidP="0085513B">
      <w:pPr>
        <w:pStyle w:val="Caption"/>
      </w:pPr>
      <w:r>
        <w:t>Figure 7: Milk fat lipidomic analysis. (A) Lower average %SFA in milk of KO. (B) Higher average %MUFA in milk of KO. (C)Similar average %PUFA in milk of KO and WT. (D) Higher MUFA/SFA ratio in milk of KO. (E) Higher %omega-3 fatty acids in milk of KO. (F)Higher %</w:t>
      </w:r>
      <w:r w:rsidRPr="00A21216">
        <w:t>Docosahexaenoic acid</w:t>
      </w:r>
      <w:r>
        <w:t xml:space="preserve"> (DHA), an omega-3 metabolite, in milk of KO. (G) Comparable omega-6 fatty acid composition in milk of KO and WT. (H) Lower omega-6:omega-3 ratio in milk of KO.</w:t>
      </w:r>
    </w:p>
    <w:p w14:paraId="31909EA5" w14:textId="1422EC4C" w:rsidR="0085513B" w:rsidRDefault="0085513B" w:rsidP="0085513B"/>
    <w:p w14:paraId="1ACFD69C" w14:textId="77777777" w:rsidR="0085513B" w:rsidRPr="00AF1420" w:rsidRDefault="0085513B" w:rsidP="009833B6"/>
    <w:p w14:paraId="562FB747" w14:textId="77777777" w:rsidR="0085513B" w:rsidRPr="00AF1420" w:rsidRDefault="0085513B" w:rsidP="009833B6"/>
    <w:p w14:paraId="3125EFA2" w14:textId="77777777" w:rsidR="0085513B" w:rsidRPr="009833B6" w:rsidRDefault="0085513B" w:rsidP="009833B6"/>
    <w:p w14:paraId="7C4101D5" w14:textId="77777777" w:rsidR="0085513B" w:rsidRPr="001745BF" w:rsidRDefault="0085513B" w:rsidP="00236EEF">
      <w:pPr>
        <w:widowControl w:val="0"/>
        <w:autoSpaceDE w:val="0"/>
        <w:autoSpaceDN w:val="0"/>
        <w:adjustRightInd w:val="0"/>
        <w:spacing w:before="480"/>
        <w:ind w:left="640" w:hanging="640"/>
        <w:rPr>
          <w:rFonts w:ascii="Arial" w:eastAsia="MS PMincho" w:hAnsi="Arial" w:cs="Arial"/>
          <w:b/>
          <w:bCs/>
          <w:color w:val="000000" w:themeColor="text1"/>
          <w:sz w:val="22"/>
          <w:szCs w:val="22"/>
        </w:rPr>
      </w:pPr>
    </w:p>
    <w:sectPr w:rsidR="0085513B"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Dave Bridges" w:date="2021-04-02T10:19:00Z" w:initials="DB">
    <w:p w14:paraId="709A879C" w14:textId="178A71B2" w:rsidR="00D25C77" w:rsidRDefault="00D25C77">
      <w:pPr>
        <w:pStyle w:val="CommentText"/>
      </w:pPr>
      <w:r>
        <w:rPr>
          <w:rStyle w:val="CommentReference"/>
        </w:rPr>
        <w:annotationRef/>
      </w:r>
      <w:r>
        <w:t>need details on which sequencer.</w:t>
      </w:r>
    </w:p>
  </w:comment>
  <w:comment w:id="8" w:author="Dave Bridges" w:date="2021-03-12T10:21:00Z" w:initials="DB">
    <w:p w14:paraId="25A6239C" w14:textId="77777777" w:rsidR="00D25C77" w:rsidRPr="00D62FC3" w:rsidRDefault="00D25C77"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D25C77" w:rsidRDefault="00D25C77" w:rsidP="00A47D44">
      <w:pPr>
        <w:pStyle w:val="CommentText"/>
      </w:pPr>
    </w:p>
  </w:comment>
  <w:comment w:id="10" w:author="Dave Bridges" w:date="2021-03-12T11:05:00Z" w:initials="DB">
    <w:p w14:paraId="5A547272" w14:textId="77777777" w:rsidR="00D25C77" w:rsidRDefault="00D25C77" w:rsidP="00A47D44">
      <w:pPr>
        <w:pStyle w:val="CommentText"/>
      </w:pPr>
      <w:r>
        <w:rPr>
          <w:rStyle w:val="CommentReference"/>
        </w:rPr>
        <w:annotationRef/>
      </w:r>
      <w:r>
        <w:t>add provisional GSE number</w:t>
      </w:r>
    </w:p>
  </w:comment>
  <w:comment w:id="11" w:author="Noura El Habbal" w:date="2020-06-03T13:03:00Z" w:initials="NEH">
    <w:p w14:paraId="2ACB19DE" w14:textId="67654E33" w:rsidR="00D25C77" w:rsidRDefault="00D25C77">
      <w:pPr>
        <w:pStyle w:val="CommentText"/>
      </w:pPr>
      <w:r>
        <w:rPr>
          <w:rStyle w:val="CommentReference"/>
        </w:rPr>
        <w:annotationRef/>
      </w:r>
      <w:r>
        <w:t>Methods from Brigid.</w:t>
      </w:r>
    </w:p>
  </w:comment>
  <w:comment w:id="12" w:author="Noura El Habbal" w:date="2021-05-02T13:33:00Z" w:initials="NEH">
    <w:p w14:paraId="5190A261" w14:textId="6B57ED0F" w:rsidR="00D25C77" w:rsidRDefault="00D25C77">
      <w:pPr>
        <w:pStyle w:val="CommentText"/>
      </w:pPr>
      <w:r>
        <w:rPr>
          <w:rStyle w:val="CommentReference"/>
        </w:rPr>
        <w:annotationRef/>
      </w:r>
      <w:r>
        <w:t xml:space="preserve">Brigid’s p16 paper which was recently shared had different methods. Should I stick to this or copy hers given the methods are the same? </w:t>
      </w:r>
    </w:p>
  </w:comment>
  <w:comment w:id="13" w:author="Noura El Habbal" w:date="2021-04-15T06:05:00Z" w:initials="NEH">
    <w:p w14:paraId="05CF8F78" w14:textId="6C9D9B08" w:rsidR="00D25C77" w:rsidRDefault="00D25C77">
      <w:pPr>
        <w:pStyle w:val="CommentText"/>
      </w:pPr>
      <w:r>
        <w:rPr>
          <w:rStyle w:val="CommentReference"/>
        </w:rPr>
        <w:annotationRef/>
      </w:r>
      <w:r>
        <w:t>Allison wrote this part</w:t>
      </w:r>
    </w:p>
  </w:comment>
  <w:comment w:id="14" w:author="Noura El Habbal" w:date="2021-05-11T00:33:00Z" w:initials="NEH">
    <w:p w14:paraId="3D1ADD29" w14:textId="302EB280" w:rsidR="00D25C77" w:rsidRPr="00E052F8" w:rsidRDefault="00D25C77">
      <w:pPr>
        <w:pStyle w:val="CommentText"/>
        <w:rPr>
          <w:i/>
        </w:rPr>
      </w:pPr>
      <w:r>
        <w:rPr>
          <w:rStyle w:val="CommentReference"/>
        </w:rPr>
        <w:annotationRef/>
      </w:r>
      <w:r>
        <w:t xml:space="preserve">Should this be </w:t>
      </w:r>
      <w:r>
        <w:rPr>
          <w:i/>
        </w:rPr>
        <w:t>Tsc1</w:t>
      </w:r>
      <w:r>
        <w:t xml:space="preserve"> or not ?</w:t>
      </w:r>
      <w:r>
        <w:rPr>
          <w:i/>
        </w:rPr>
        <w:t xml:space="preserve">  </w:t>
      </w:r>
    </w:p>
  </w:comment>
  <w:comment w:id="15" w:author="Noura El Habbal" w:date="2021-05-11T01:07:00Z" w:initials="NEH">
    <w:p w14:paraId="221642DB" w14:textId="26EEE0D9" w:rsidR="00D25C77" w:rsidRDefault="00D25C77">
      <w:pPr>
        <w:pStyle w:val="CommentText"/>
      </w:pPr>
      <w:r>
        <w:rPr>
          <w:rStyle w:val="CommentReference"/>
        </w:rPr>
        <w:annotationRef/>
      </w:r>
      <w:r>
        <w:t xml:space="preserve">Incomplete sentence. Suggesting what here? We know EPA to DHA conversion is not increased based on </w:t>
      </w:r>
      <w:proofErr w:type="spellStart"/>
      <w:r>
        <w:t>rnaseq</w:t>
      </w:r>
      <w:proofErr w:type="spellEnd"/>
      <w:r>
        <w:t xml:space="preserve"> unless this is not full picture</w:t>
      </w:r>
    </w:p>
  </w:comment>
  <w:comment w:id="16" w:author="Noura El Habbal" w:date="2021-05-11T01:11:00Z" w:initials="NEH">
    <w:p w14:paraId="41323CAB" w14:textId="50692D62" w:rsidR="006E1624" w:rsidRDefault="006E1624">
      <w:pPr>
        <w:pStyle w:val="CommentText"/>
      </w:pPr>
      <w:r>
        <w:rPr>
          <w:rStyle w:val="CommentReference"/>
        </w:rPr>
        <w:annotationRef/>
      </w:r>
      <w:r>
        <w:t xml:space="preserve">Is this </w:t>
      </w:r>
      <w:proofErr w:type="spellStart"/>
      <w:r>
        <w:t>supp</w:t>
      </w:r>
      <w:proofErr w:type="spellEnd"/>
      <w:r>
        <w:t xml:space="preserve"> table 1? Or another table? If another table, should this be 2? </w:t>
      </w:r>
    </w:p>
  </w:comment>
  <w:comment w:id="17" w:author="Noura El Habbal" w:date="2021-04-26T16:53:00Z" w:initials="NEH">
    <w:p w14:paraId="470B2AD1" w14:textId="530E5E7B" w:rsidR="00D25C77" w:rsidRDefault="00D25C77">
      <w:pPr>
        <w:pStyle w:val="CommentText"/>
      </w:pPr>
      <w:r>
        <w:rPr>
          <w:rStyle w:val="CommentReference"/>
        </w:rPr>
        <w:annotationRef/>
      </w:r>
      <w:r>
        <w:t xml:space="preserve">Should we include the other downregulated pathways? Like chromatin.., sensory perception…? </w:t>
      </w:r>
    </w:p>
  </w:comment>
  <w:comment w:id="18" w:author="Dave Bridges" w:date="2021-04-28T12:00:00Z" w:initials="DB">
    <w:p w14:paraId="2A326927" w14:textId="1C5A2FEC" w:rsidR="00D25C77" w:rsidRDefault="00D25C77">
      <w:pPr>
        <w:pStyle w:val="CommentText"/>
      </w:pPr>
      <w:r>
        <w:rPr>
          <w:rStyle w:val="CommentReference"/>
        </w:rPr>
        <w:annotationRef/>
      </w:r>
      <w:r>
        <w:t xml:space="preserve">Yeah </w:t>
      </w:r>
      <w:proofErr w:type="spellStart"/>
      <w:r>
        <w:t>im</w:t>
      </w:r>
      <w:proofErr w:type="spellEnd"/>
      <w:r>
        <w:t xml:space="preserve"> not sure why they aren’t showing up on the diagram but yeah lets mention those.  I think we should elaborate more in this section though too. </w:t>
      </w:r>
      <w:proofErr w:type="spellStart"/>
      <w:r>
        <w:t>Ill</w:t>
      </w:r>
      <w:proofErr w:type="spellEnd"/>
      <w:r>
        <w:t xml:space="preserve"> do that.</w:t>
      </w:r>
    </w:p>
  </w:comment>
  <w:comment w:id="19" w:author="Noura El Habbal" w:date="2021-05-11T01:12:00Z" w:initials="NEH">
    <w:p w14:paraId="28EEFA4E" w14:textId="4E2A7E19" w:rsidR="006E1624" w:rsidRDefault="006E1624">
      <w:pPr>
        <w:pStyle w:val="CommentText"/>
      </w:pPr>
      <w:r>
        <w:rPr>
          <w:rStyle w:val="CommentReference"/>
        </w:rPr>
        <w:annotationRef/>
      </w:r>
      <w:r>
        <w:t>Effect size mentioned here. Would be worth adding it to the other pathways that were downregulated once these are added (comment above)</w:t>
      </w:r>
    </w:p>
  </w:comment>
  <w:comment w:id="21" w:author="Dave Bridges" w:date="2021-04-28T12:02:00Z" w:initials="DB">
    <w:p w14:paraId="51FFAC1F" w14:textId="6E5C6438" w:rsidR="00D25C77" w:rsidRDefault="00D25C77">
      <w:pPr>
        <w:pStyle w:val="CommentText"/>
      </w:pPr>
      <w:r>
        <w:rPr>
          <w:rStyle w:val="CommentReference"/>
        </w:rPr>
        <w:annotationRef/>
      </w:r>
      <w:r>
        <w:t>Add ref</w:t>
      </w:r>
    </w:p>
  </w:comment>
  <w:comment w:id="22" w:author="Dave Bridges" w:date="2021-04-28T12:10:00Z" w:initials="DB">
    <w:p w14:paraId="2A8FBB06" w14:textId="77777777" w:rsidR="00D25C77" w:rsidRDefault="00D25C77"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438DB785" w:rsidR="00D25C77" w:rsidRDefault="00D25C77" w:rsidP="00406B32">
      <w:pPr>
        <w:pStyle w:val="CommentText"/>
      </w:pPr>
      <w:r>
        <w:rPr>
          <w:rFonts w:ascii="Times New Roman" w:hAnsi="Times New Roman" w:cs="Times New Roman"/>
          <w:sz w:val="22"/>
          <w:szCs w:val="22"/>
        </w:rPr>
        <w:t xml:space="preserve">1995; Bell et al., 2000; Gagnon et al., 2001; Kim and Chen, 2004; Cho et al., 2004; </w:t>
      </w:r>
    </w:p>
  </w:comment>
  <w:comment w:id="23" w:author="Dave Bridges" w:date="2021-04-28T12:10:00Z" w:initials="DB">
    <w:p w14:paraId="45A96A03" w14:textId="2EE5F6D6" w:rsidR="00D25C77" w:rsidRDefault="00D25C77">
      <w:pPr>
        <w:pStyle w:val="CommentText"/>
      </w:pPr>
      <w:r>
        <w:rPr>
          <w:rStyle w:val="CommentReference"/>
        </w:rPr>
        <w:annotationRef/>
      </w:r>
      <w:r>
        <w:t>Add refs</w:t>
      </w:r>
    </w:p>
  </w:comment>
  <w:comment w:id="25" w:author="Dave Bridges" w:date="2021-04-28T12:38:00Z" w:initials="DB">
    <w:p w14:paraId="6C1EE19A" w14:textId="40E1ACD0" w:rsidR="00D25C77" w:rsidRDefault="00D25C77">
      <w:pPr>
        <w:pStyle w:val="CommentText"/>
      </w:pPr>
      <w:r>
        <w:rPr>
          <w:rStyle w:val="CommentReference"/>
        </w:rPr>
        <w:annotationRef/>
      </w:r>
      <w:r>
        <w:t>Polka and lee</w:t>
      </w:r>
    </w:p>
  </w:comment>
  <w:comment w:id="26" w:author="Dave Bridges" w:date="2021-04-28T12:47:00Z" w:initials="DB">
    <w:p w14:paraId="295EE00F" w14:textId="33F26D7B" w:rsidR="00D25C77" w:rsidRDefault="00D25C77">
      <w:pPr>
        <w:pStyle w:val="CommentText"/>
      </w:pPr>
      <w:r>
        <w:rPr>
          <w:rStyle w:val="CommentReference"/>
        </w:rPr>
        <w:annotationRef/>
      </w:r>
      <w:proofErr w:type="spellStart"/>
      <w:r>
        <w:t>magdalon</w:t>
      </w:r>
      <w:proofErr w:type="spellEnd"/>
    </w:p>
  </w:comment>
  <w:comment w:id="27" w:author="Dave Bridges" w:date="2021-04-28T14:52:00Z" w:initials="DB">
    <w:p w14:paraId="25E750A6" w14:textId="57B3C5E0" w:rsidR="00D25C77" w:rsidRDefault="00D25C77">
      <w:pPr>
        <w:pStyle w:val="CommentText"/>
      </w:pPr>
      <w:r>
        <w:rPr>
          <w:rStyle w:val="CommentReference"/>
        </w:rPr>
        <w:annotationRef/>
      </w:r>
      <w:r>
        <w:t>Dave revise</w:t>
      </w:r>
    </w:p>
  </w:comment>
  <w:comment w:id="28" w:author="Dave Bridges" w:date="2021-04-28T14:59:00Z" w:initials="DB">
    <w:p w14:paraId="1C40EF3F" w14:textId="498DC97F" w:rsidR="00D25C77" w:rsidRDefault="00D25C77">
      <w:pPr>
        <w:pStyle w:val="CommentText"/>
      </w:pPr>
      <w:r>
        <w:rPr>
          <w:rStyle w:val="CommentReference"/>
        </w:rPr>
        <w:annotationRef/>
      </w:r>
      <w:r>
        <w:t>Add pup growth, and adipocyte area/mammary gland mass/total fat mass</w:t>
      </w:r>
    </w:p>
  </w:comment>
  <w:comment w:id="29" w:author="Dave Bridges" w:date="2021-04-28T14:54:00Z" w:initials="DB">
    <w:p w14:paraId="7983658E" w14:textId="5CF124FB" w:rsidR="00D25C77" w:rsidRDefault="00D25C77">
      <w:pPr>
        <w:pStyle w:val="CommentText"/>
      </w:pPr>
      <w:r>
        <w:rPr>
          <w:rStyle w:val="CommentReference"/>
        </w:rPr>
        <w:annotationRef/>
      </w:r>
      <w:r>
        <w:t>Add MMTV-</w:t>
      </w:r>
      <w:proofErr w:type="spellStart"/>
      <w:r>
        <w:t>Cre</w:t>
      </w:r>
      <w:proofErr w:type="spellEnd"/>
      <w:r>
        <w:t xml:space="preserve"> TSC knockout</w:t>
      </w:r>
    </w:p>
  </w:comment>
  <w:comment w:id="30" w:author="Dave Bridges" w:date="2021-04-28T13:10:00Z" w:initials="DB">
    <w:p w14:paraId="49905DA3" w14:textId="272473FD" w:rsidR="00D25C77" w:rsidRDefault="00D25C77">
      <w:pPr>
        <w:pStyle w:val="CommentText"/>
      </w:pPr>
      <w:r>
        <w:rPr>
          <w:rStyle w:val="CommentReference"/>
        </w:rPr>
        <w:annotationRef/>
      </w:r>
      <w:r>
        <w:t>Talk about things that are relevant to DHA benefits</w:t>
      </w:r>
    </w:p>
  </w:comment>
  <w:comment w:id="32" w:author="Dave Bridges" w:date="2021-04-28T13:11:00Z" w:initials="DB">
    <w:p w14:paraId="1FDBF7FA" w14:textId="0FE445F2" w:rsidR="00D25C77" w:rsidRDefault="00D25C77">
      <w:pPr>
        <w:pStyle w:val="CommentText"/>
      </w:pPr>
      <w:r>
        <w:rPr>
          <w:rStyle w:val="CommentReference"/>
        </w:rPr>
        <w:annotationRef/>
      </w:r>
      <w:r>
        <w:t>Add ref</w:t>
      </w:r>
    </w:p>
  </w:comment>
  <w:comment w:id="31" w:author="Dave Bridges" w:date="2021-04-28T14:58:00Z" w:initials="DB">
    <w:p w14:paraId="52D0ADE8" w14:textId="15D35FDC" w:rsidR="00D25C77" w:rsidRDefault="00D25C77">
      <w:pPr>
        <w:pStyle w:val="CommentText"/>
      </w:pPr>
      <w:r>
        <w:rPr>
          <w:rStyle w:val="CommentReference"/>
        </w:rPr>
        <w:annotationRef/>
      </w:r>
      <w:r>
        <w:t>Also talk about other EPA-&gt;DHA genes not being different.</w:t>
      </w:r>
    </w:p>
  </w:comment>
  <w:comment w:id="33" w:author="Noura El Habbal" w:date="2021-05-11T01:20:00Z" w:initials="NEH">
    <w:p w14:paraId="046B2136" w14:textId="787E214E" w:rsidR="008E6335" w:rsidRDefault="008E6335">
      <w:pPr>
        <w:pStyle w:val="CommentText"/>
      </w:pPr>
      <w:r>
        <w:rPr>
          <w:rStyle w:val="CommentReference"/>
        </w:rPr>
        <w:annotationRef/>
      </w:r>
      <w:r>
        <w:t>Including …? Which enzymes?</w:t>
      </w:r>
    </w:p>
  </w:comment>
  <w:comment w:id="35" w:author="Noura El Habbal" w:date="2021-04-27T19:42:00Z" w:initials="NEH">
    <w:p w14:paraId="72291C07" w14:textId="623B358F" w:rsidR="00D25C77" w:rsidRDefault="00D25C77">
      <w:pPr>
        <w:pStyle w:val="CommentText"/>
      </w:pPr>
      <w:r>
        <w:rPr>
          <w:rStyle w:val="CommentReference"/>
        </w:rPr>
        <w:annotationRef/>
      </w:r>
      <w:r>
        <w:t xml:space="preserve">I feel like we are going on a tangent here or I am just not good at connecting this to our findings, since we did not look at </w:t>
      </w:r>
      <w:proofErr w:type="spellStart"/>
      <w:r>
        <w:t>Ucp</w:t>
      </w:r>
      <w:proofErr w:type="spellEnd"/>
      <w:r>
        <w:t xml:space="preserve"> or other thermogenic genes (which we can, but this is not the purpose of this paper)</w:t>
      </w:r>
    </w:p>
  </w:comment>
  <w:comment w:id="36" w:author="Noura El Habbal" w:date="2021-04-27T19:49:00Z" w:initials="NEH">
    <w:p w14:paraId="37A7BDE2" w14:textId="1D7B5EE2" w:rsidR="00D25C77" w:rsidRDefault="00D25C77">
      <w:pPr>
        <w:pStyle w:val="CommentText"/>
      </w:pPr>
      <w:r>
        <w:rPr>
          <w:rStyle w:val="CommentReference"/>
        </w:rPr>
        <w:annotationRef/>
      </w:r>
      <w:r>
        <w:t xml:space="preserve">Okay I tried to link this to the fact that our </w:t>
      </w:r>
      <w:proofErr w:type="spellStart"/>
      <w:r>
        <w:t>Ko</w:t>
      </w:r>
      <w:proofErr w:type="spellEnd"/>
      <w:r>
        <w:t xml:space="preserve"> dams have less fat mass! I think this is a good connection and justifies the lower fat mass but not entirely critical. Thoughts?</w:t>
      </w:r>
    </w:p>
  </w:comment>
  <w:comment w:id="37" w:author="Noura El Habbal" w:date="2021-04-27T20:03:00Z" w:initials="NEH">
    <w:p w14:paraId="08EFB75D" w14:textId="77777777" w:rsidR="00D25C77" w:rsidRDefault="00D25C77" w:rsidP="00236EEF">
      <w:pPr>
        <w:pStyle w:val="CommentText"/>
      </w:pPr>
      <w:r>
        <w:rPr>
          <w:rStyle w:val="CommentReference"/>
        </w:rPr>
        <w:annotationRef/>
      </w:r>
      <w:r>
        <w:t xml:space="preserve">This is contradictory to what we see. Idk how to </w:t>
      </w:r>
      <w:proofErr w:type="spellStart"/>
      <w:r>
        <w:t>ake</w:t>
      </w:r>
      <w:proofErr w:type="spellEnd"/>
      <w:r>
        <w:t xml:space="preserve"> sense of this except to highlight that mice without mTORC1 were lean- which also contradicts the chunk of text before it.</w:t>
      </w:r>
    </w:p>
  </w:comment>
  <w:comment w:id="34" w:author="Dave Bridges" w:date="2021-04-28T13:24:00Z" w:initials="DB">
    <w:p w14:paraId="63747F1F" w14:textId="102A9BD2" w:rsidR="00D25C77" w:rsidRDefault="00D25C77">
      <w:pPr>
        <w:pStyle w:val="CommentText"/>
      </w:pPr>
      <w:r>
        <w:rPr>
          <w:rStyle w:val="CommentReference"/>
        </w:rPr>
        <w:annotationRef/>
      </w:r>
      <w:r>
        <w:t>I think we can stop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9A879C" w15:done="0"/>
  <w15:commentEx w15:paraId="71B0CDEB" w15:done="0"/>
  <w15:commentEx w15:paraId="5A547272" w15:done="0"/>
  <w15:commentEx w15:paraId="2ACB19DE" w15:done="0"/>
  <w15:commentEx w15:paraId="5190A261" w15:paraIdParent="2ACB19DE" w15:done="0"/>
  <w15:commentEx w15:paraId="05CF8F78" w15:done="0"/>
  <w15:commentEx w15:paraId="3D1ADD29" w15:done="0"/>
  <w15:commentEx w15:paraId="221642DB" w15:done="0"/>
  <w15:commentEx w15:paraId="41323CAB" w15:done="0"/>
  <w15:commentEx w15:paraId="470B2AD1" w15:done="0"/>
  <w15:commentEx w15:paraId="2A326927" w15:paraIdParent="470B2AD1" w15:done="0"/>
  <w15:commentEx w15:paraId="28EEFA4E" w15:done="0"/>
  <w15:commentEx w15:paraId="51FFAC1F" w15:done="0"/>
  <w15:commentEx w15:paraId="59535509" w15:done="0"/>
  <w15:commentEx w15:paraId="45A96A03" w15:done="0"/>
  <w15:commentEx w15:paraId="6C1EE19A" w15:done="0"/>
  <w15:commentEx w15:paraId="295EE00F" w15:done="0"/>
  <w15:commentEx w15:paraId="25E750A6" w15:done="0"/>
  <w15:commentEx w15:paraId="1C40EF3F" w15:done="0"/>
  <w15:commentEx w15:paraId="7983658E" w15:done="0"/>
  <w15:commentEx w15:paraId="49905DA3" w15:done="0"/>
  <w15:commentEx w15:paraId="1FDBF7FA" w15:done="0"/>
  <w15:commentEx w15:paraId="52D0ADE8" w15:done="0"/>
  <w15:commentEx w15:paraId="046B2136" w15:done="0"/>
  <w15:commentEx w15:paraId="72291C07" w15:done="0"/>
  <w15:commentEx w15:paraId="37A7BDE2" w15:paraIdParent="72291C07" w15:done="0"/>
  <w15:commentEx w15:paraId="08EFB75D" w15:done="0"/>
  <w15:commentEx w15:paraId="63747F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9A879C" w16cid:durableId="24116E2A"/>
  <w16cid:commentId w16cid:paraId="71B0CDEB" w16cid:durableId="23F5BF31"/>
  <w16cid:commentId w16cid:paraId="5A547272" w16cid:durableId="23F5C995"/>
  <w16cid:commentId w16cid:paraId="2ACB19DE" w16cid:durableId="22821E39"/>
  <w16cid:commentId w16cid:paraId="5190A261" w16cid:durableId="243928A9"/>
  <w16cid:commentId w16cid:paraId="05CF8F78" w16cid:durableId="24225632"/>
  <w16cid:commentId w16cid:paraId="3D1ADD29" w16cid:durableId="24444F65"/>
  <w16cid:commentId w16cid:paraId="221642DB" w16cid:durableId="24445763"/>
  <w16cid:commentId w16cid:paraId="41323CAB" w16cid:durableId="24445830"/>
  <w16cid:commentId w16cid:paraId="470B2AD1" w16cid:durableId="24316E83"/>
  <w16cid:commentId w16cid:paraId="2A326927" w16cid:durableId="2433CCC9"/>
  <w16cid:commentId w16cid:paraId="28EEFA4E" w16cid:durableId="24445887"/>
  <w16cid:commentId w16cid:paraId="51FFAC1F" w16cid:durableId="2433CD64"/>
  <w16cid:commentId w16cid:paraId="59535509" w16cid:durableId="2433CF41"/>
  <w16cid:commentId w16cid:paraId="45A96A03" w16cid:durableId="2433CF48"/>
  <w16cid:commentId w16cid:paraId="6C1EE19A" w16cid:durableId="2433D5D4"/>
  <w16cid:commentId w16cid:paraId="295EE00F" w16cid:durableId="2433D7DB"/>
  <w16cid:commentId w16cid:paraId="25E750A6" w16cid:durableId="2433F532"/>
  <w16cid:commentId w16cid:paraId="1C40EF3F" w16cid:durableId="2433F6CC"/>
  <w16cid:commentId w16cid:paraId="7983658E" w16cid:durableId="2433F596"/>
  <w16cid:commentId w16cid:paraId="49905DA3" w16cid:durableId="2433DD44"/>
  <w16cid:commentId w16cid:paraId="1FDBF7FA" w16cid:durableId="2433DD8D"/>
  <w16cid:commentId w16cid:paraId="52D0ADE8" w16cid:durableId="2433F67D"/>
  <w16cid:commentId w16cid:paraId="046B2136" w16cid:durableId="24445A45"/>
  <w16cid:commentId w16cid:paraId="72291C07" w16cid:durableId="2432E798"/>
  <w16cid:commentId w16cid:paraId="37A7BDE2" w16cid:durableId="2432E931"/>
  <w16cid:commentId w16cid:paraId="08EFB75D" w16cid:durableId="2432EC91"/>
  <w16cid:commentId w16cid:paraId="63747F1F" w16cid:durableId="2433E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A48D5" w14:textId="77777777" w:rsidR="00F97594" w:rsidRDefault="00F97594" w:rsidP="006E77C5">
      <w:r>
        <w:separator/>
      </w:r>
    </w:p>
  </w:endnote>
  <w:endnote w:type="continuationSeparator" w:id="0">
    <w:p w14:paraId="09181E39" w14:textId="77777777" w:rsidR="00F97594" w:rsidRDefault="00F97594"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1D32D" w14:textId="77777777" w:rsidR="00F97594" w:rsidRDefault="00F97594" w:rsidP="006E77C5">
      <w:r>
        <w:separator/>
      </w:r>
    </w:p>
  </w:footnote>
  <w:footnote w:type="continuationSeparator" w:id="0">
    <w:p w14:paraId="2D43A7D0" w14:textId="77777777" w:rsidR="00F97594" w:rsidRDefault="00F97594"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11C59"/>
    <w:rsid w:val="00012F03"/>
    <w:rsid w:val="00020EDA"/>
    <w:rsid w:val="00022D02"/>
    <w:rsid w:val="000300D1"/>
    <w:rsid w:val="000351B7"/>
    <w:rsid w:val="0004159E"/>
    <w:rsid w:val="00054A08"/>
    <w:rsid w:val="00061031"/>
    <w:rsid w:val="00061C56"/>
    <w:rsid w:val="000623C8"/>
    <w:rsid w:val="0007224B"/>
    <w:rsid w:val="00087C2F"/>
    <w:rsid w:val="0009729A"/>
    <w:rsid w:val="000A2B1A"/>
    <w:rsid w:val="000B1F07"/>
    <w:rsid w:val="000B7664"/>
    <w:rsid w:val="000C06E4"/>
    <w:rsid w:val="000D0963"/>
    <w:rsid w:val="000E46BE"/>
    <w:rsid w:val="000E797E"/>
    <w:rsid w:val="000F21A7"/>
    <w:rsid w:val="00111F09"/>
    <w:rsid w:val="00124B3B"/>
    <w:rsid w:val="00125E99"/>
    <w:rsid w:val="00127348"/>
    <w:rsid w:val="00130A99"/>
    <w:rsid w:val="00133EC4"/>
    <w:rsid w:val="0014067A"/>
    <w:rsid w:val="00143D60"/>
    <w:rsid w:val="00144346"/>
    <w:rsid w:val="0014699F"/>
    <w:rsid w:val="00160880"/>
    <w:rsid w:val="0016232F"/>
    <w:rsid w:val="00170F15"/>
    <w:rsid w:val="001745BF"/>
    <w:rsid w:val="0019645D"/>
    <w:rsid w:val="001B464E"/>
    <w:rsid w:val="001C215F"/>
    <w:rsid w:val="001C2BD3"/>
    <w:rsid w:val="001D22FF"/>
    <w:rsid w:val="001E1312"/>
    <w:rsid w:val="001E526D"/>
    <w:rsid w:val="001F55DA"/>
    <w:rsid w:val="002055DE"/>
    <w:rsid w:val="00205A66"/>
    <w:rsid w:val="0020643E"/>
    <w:rsid w:val="00212CBF"/>
    <w:rsid w:val="002134E6"/>
    <w:rsid w:val="00216186"/>
    <w:rsid w:val="00221008"/>
    <w:rsid w:val="002315F4"/>
    <w:rsid w:val="002332C8"/>
    <w:rsid w:val="00236EEF"/>
    <w:rsid w:val="0025257E"/>
    <w:rsid w:val="002539DB"/>
    <w:rsid w:val="00254644"/>
    <w:rsid w:val="00262598"/>
    <w:rsid w:val="00264FA5"/>
    <w:rsid w:val="00266802"/>
    <w:rsid w:val="00282EE9"/>
    <w:rsid w:val="002832DF"/>
    <w:rsid w:val="00294453"/>
    <w:rsid w:val="00294851"/>
    <w:rsid w:val="002A323E"/>
    <w:rsid w:val="002A4C4A"/>
    <w:rsid w:val="002B60B0"/>
    <w:rsid w:val="002C4DF5"/>
    <w:rsid w:val="002C6A8D"/>
    <w:rsid w:val="002E02E7"/>
    <w:rsid w:val="002E3892"/>
    <w:rsid w:val="002E394B"/>
    <w:rsid w:val="002E581A"/>
    <w:rsid w:val="002E7CDE"/>
    <w:rsid w:val="0031147B"/>
    <w:rsid w:val="00324B67"/>
    <w:rsid w:val="00335F77"/>
    <w:rsid w:val="003375B7"/>
    <w:rsid w:val="00344F8B"/>
    <w:rsid w:val="00345FC7"/>
    <w:rsid w:val="0034722F"/>
    <w:rsid w:val="003537E1"/>
    <w:rsid w:val="00353C47"/>
    <w:rsid w:val="00354569"/>
    <w:rsid w:val="00383D4B"/>
    <w:rsid w:val="003A077D"/>
    <w:rsid w:val="003A5362"/>
    <w:rsid w:val="003C2CE9"/>
    <w:rsid w:val="003C33B1"/>
    <w:rsid w:val="003D6E2D"/>
    <w:rsid w:val="003E1827"/>
    <w:rsid w:val="003F0902"/>
    <w:rsid w:val="00406B32"/>
    <w:rsid w:val="004125BF"/>
    <w:rsid w:val="004379EB"/>
    <w:rsid w:val="004413C9"/>
    <w:rsid w:val="00441EFD"/>
    <w:rsid w:val="00453D2A"/>
    <w:rsid w:val="00463907"/>
    <w:rsid w:val="00465E83"/>
    <w:rsid w:val="00472186"/>
    <w:rsid w:val="00472C36"/>
    <w:rsid w:val="0047727E"/>
    <w:rsid w:val="00487AC0"/>
    <w:rsid w:val="00491997"/>
    <w:rsid w:val="00494187"/>
    <w:rsid w:val="004A336B"/>
    <w:rsid w:val="004B7D4E"/>
    <w:rsid w:val="004C07F6"/>
    <w:rsid w:val="004D0A18"/>
    <w:rsid w:val="004D14AF"/>
    <w:rsid w:val="004D15A4"/>
    <w:rsid w:val="004D16AC"/>
    <w:rsid w:val="004E78CF"/>
    <w:rsid w:val="00500E81"/>
    <w:rsid w:val="00502CD7"/>
    <w:rsid w:val="00511A1A"/>
    <w:rsid w:val="00514300"/>
    <w:rsid w:val="00520024"/>
    <w:rsid w:val="005217F9"/>
    <w:rsid w:val="00523516"/>
    <w:rsid w:val="00564FF9"/>
    <w:rsid w:val="005731E4"/>
    <w:rsid w:val="0057447E"/>
    <w:rsid w:val="00577E2F"/>
    <w:rsid w:val="00580AF3"/>
    <w:rsid w:val="005911AC"/>
    <w:rsid w:val="005936B3"/>
    <w:rsid w:val="005A0878"/>
    <w:rsid w:val="005B3E34"/>
    <w:rsid w:val="005B75A8"/>
    <w:rsid w:val="005C3BBD"/>
    <w:rsid w:val="005C5118"/>
    <w:rsid w:val="005E03CE"/>
    <w:rsid w:val="005E152A"/>
    <w:rsid w:val="005F0524"/>
    <w:rsid w:val="005F0E99"/>
    <w:rsid w:val="005F2606"/>
    <w:rsid w:val="005F282B"/>
    <w:rsid w:val="005F6ADF"/>
    <w:rsid w:val="00601245"/>
    <w:rsid w:val="006164B7"/>
    <w:rsid w:val="0063716F"/>
    <w:rsid w:val="00641423"/>
    <w:rsid w:val="00645908"/>
    <w:rsid w:val="00647E73"/>
    <w:rsid w:val="00664AFB"/>
    <w:rsid w:val="00665941"/>
    <w:rsid w:val="00667C7B"/>
    <w:rsid w:val="006852AE"/>
    <w:rsid w:val="0068583E"/>
    <w:rsid w:val="006A138B"/>
    <w:rsid w:val="006A3265"/>
    <w:rsid w:val="006A5E26"/>
    <w:rsid w:val="006B12FE"/>
    <w:rsid w:val="006B3864"/>
    <w:rsid w:val="006B5D0A"/>
    <w:rsid w:val="006C1F2E"/>
    <w:rsid w:val="006D0A48"/>
    <w:rsid w:val="006E0CF0"/>
    <w:rsid w:val="006E1624"/>
    <w:rsid w:val="006E77C5"/>
    <w:rsid w:val="006F07F8"/>
    <w:rsid w:val="006F5F3E"/>
    <w:rsid w:val="006F7395"/>
    <w:rsid w:val="00704322"/>
    <w:rsid w:val="00713921"/>
    <w:rsid w:val="00722B5D"/>
    <w:rsid w:val="0072421A"/>
    <w:rsid w:val="007464D2"/>
    <w:rsid w:val="00746C90"/>
    <w:rsid w:val="00772D1C"/>
    <w:rsid w:val="007840D6"/>
    <w:rsid w:val="00785932"/>
    <w:rsid w:val="00790E70"/>
    <w:rsid w:val="007A4323"/>
    <w:rsid w:val="007C3FF7"/>
    <w:rsid w:val="007D7128"/>
    <w:rsid w:val="007E16E3"/>
    <w:rsid w:val="007E6917"/>
    <w:rsid w:val="007F588F"/>
    <w:rsid w:val="007F6809"/>
    <w:rsid w:val="008042D7"/>
    <w:rsid w:val="00805A36"/>
    <w:rsid w:val="00820794"/>
    <w:rsid w:val="008263D9"/>
    <w:rsid w:val="00833EA2"/>
    <w:rsid w:val="008352D1"/>
    <w:rsid w:val="00836F8B"/>
    <w:rsid w:val="008521C3"/>
    <w:rsid w:val="008526C0"/>
    <w:rsid w:val="0085356D"/>
    <w:rsid w:val="00853EA7"/>
    <w:rsid w:val="0085513B"/>
    <w:rsid w:val="0085583D"/>
    <w:rsid w:val="008623C4"/>
    <w:rsid w:val="00867F2A"/>
    <w:rsid w:val="00867FA3"/>
    <w:rsid w:val="00872B2E"/>
    <w:rsid w:val="00877D08"/>
    <w:rsid w:val="00883552"/>
    <w:rsid w:val="008968F6"/>
    <w:rsid w:val="008B3CA4"/>
    <w:rsid w:val="008B6201"/>
    <w:rsid w:val="008B6BD1"/>
    <w:rsid w:val="008B7F19"/>
    <w:rsid w:val="008C177E"/>
    <w:rsid w:val="008D174B"/>
    <w:rsid w:val="008D27D2"/>
    <w:rsid w:val="008D31D2"/>
    <w:rsid w:val="008E6335"/>
    <w:rsid w:val="008E6AF3"/>
    <w:rsid w:val="008E7F3D"/>
    <w:rsid w:val="008F21D8"/>
    <w:rsid w:val="008F371D"/>
    <w:rsid w:val="008F6F27"/>
    <w:rsid w:val="0091131D"/>
    <w:rsid w:val="00914BCE"/>
    <w:rsid w:val="00923CA8"/>
    <w:rsid w:val="009277E5"/>
    <w:rsid w:val="00933873"/>
    <w:rsid w:val="0093396E"/>
    <w:rsid w:val="00944B23"/>
    <w:rsid w:val="00955460"/>
    <w:rsid w:val="00962979"/>
    <w:rsid w:val="00965A52"/>
    <w:rsid w:val="009745B2"/>
    <w:rsid w:val="009833B6"/>
    <w:rsid w:val="00987774"/>
    <w:rsid w:val="00987D6A"/>
    <w:rsid w:val="0099284E"/>
    <w:rsid w:val="009970F3"/>
    <w:rsid w:val="00997DDE"/>
    <w:rsid w:val="009A1ED6"/>
    <w:rsid w:val="009B36EB"/>
    <w:rsid w:val="009D5728"/>
    <w:rsid w:val="009E34AC"/>
    <w:rsid w:val="009F262F"/>
    <w:rsid w:val="009F294F"/>
    <w:rsid w:val="009F2971"/>
    <w:rsid w:val="009F5662"/>
    <w:rsid w:val="009F626C"/>
    <w:rsid w:val="00A041C1"/>
    <w:rsid w:val="00A21216"/>
    <w:rsid w:val="00A2667E"/>
    <w:rsid w:val="00A26992"/>
    <w:rsid w:val="00A443B5"/>
    <w:rsid w:val="00A46275"/>
    <w:rsid w:val="00A47D44"/>
    <w:rsid w:val="00A518F5"/>
    <w:rsid w:val="00A56B15"/>
    <w:rsid w:val="00A71819"/>
    <w:rsid w:val="00A7312E"/>
    <w:rsid w:val="00A857D5"/>
    <w:rsid w:val="00A85F17"/>
    <w:rsid w:val="00A9054A"/>
    <w:rsid w:val="00A95095"/>
    <w:rsid w:val="00AC0A55"/>
    <w:rsid w:val="00AC395A"/>
    <w:rsid w:val="00AD1176"/>
    <w:rsid w:val="00AD149B"/>
    <w:rsid w:val="00AD2F62"/>
    <w:rsid w:val="00AD46FF"/>
    <w:rsid w:val="00AD6BBC"/>
    <w:rsid w:val="00AF094E"/>
    <w:rsid w:val="00AF0F1F"/>
    <w:rsid w:val="00AF1420"/>
    <w:rsid w:val="00B12700"/>
    <w:rsid w:val="00B3605E"/>
    <w:rsid w:val="00B41AD4"/>
    <w:rsid w:val="00B51BD4"/>
    <w:rsid w:val="00B54BBD"/>
    <w:rsid w:val="00B63146"/>
    <w:rsid w:val="00B64188"/>
    <w:rsid w:val="00B65BAA"/>
    <w:rsid w:val="00B70B18"/>
    <w:rsid w:val="00BA5ACE"/>
    <w:rsid w:val="00BB0E3A"/>
    <w:rsid w:val="00BB3B3F"/>
    <w:rsid w:val="00BB6A28"/>
    <w:rsid w:val="00BD0A0D"/>
    <w:rsid w:val="00BD31B4"/>
    <w:rsid w:val="00BD3F12"/>
    <w:rsid w:val="00BE03A9"/>
    <w:rsid w:val="00BE0544"/>
    <w:rsid w:val="00BF68F9"/>
    <w:rsid w:val="00C027FB"/>
    <w:rsid w:val="00C03F0D"/>
    <w:rsid w:val="00C05CEF"/>
    <w:rsid w:val="00C072DC"/>
    <w:rsid w:val="00C07665"/>
    <w:rsid w:val="00C0768E"/>
    <w:rsid w:val="00C22096"/>
    <w:rsid w:val="00C22A8B"/>
    <w:rsid w:val="00C2693F"/>
    <w:rsid w:val="00C2784E"/>
    <w:rsid w:val="00C33BAC"/>
    <w:rsid w:val="00C363CC"/>
    <w:rsid w:val="00C36D7B"/>
    <w:rsid w:val="00C37BB4"/>
    <w:rsid w:val="00C40699"/>
    <w:rsid w:val="00C458BA"/>
    <w:rsid w:val="00C535D7"/>
    <w:rsid w:val="00C57D5F"/>
    <w:rsid w:val="00C677E6"/>
    <w:rsid w:val="00C71A11"/>
    <w:rsid w:val="00C77FAB"/>
    <w:rsid w:val="00C82687"/>
    <w:rsid w:val="00C933EC"/>
    <w:rsid w:val="00C95521"/>
    <w:rsid w:val="00C96C3A"/>
    <w:rsid w:val="00CA0E46"/>
    <w:rsid w:val="00CA373C"/>
    <w:rsid w:val="00CA4DA9"/>
    <w:rsid w:val="00CB042A"/>
    <w:rsid w:val="00CB192F"/>
    <w:rsid w:val="00CB22E4"/>
    <w:rsid w:val="00CB298C"/>
    <w:rsid w:val="00CD0D8A"/>
    <w:rsid w:val="00CD289F"/>
    <w:rsid w:val="00CD5354"/>
    <w:rsid w:val="00CE03D6"/>
    <w:rsid w:val="00CE4AA9"/>
    <w:rsid w:val="00CE4B7C"/>
    <w:rsid w:val="00CE5071"/>
    <w:rsid w:val="00CF249B"/>
    <w:rsid w:val="00CF6A75"/>
    <w:rsid w:val="00D13EF5"/>
    <w:rsid w:val="00D15783"/>
    <w:rsid w:val="00D20420"/>
    <w:rsid w:val="00D21277"/>
    <w:rsid w:val="00D213A8"/>
    <w:rsid w:val="00D25638"/>
    <w:rsid w:val="00D25C77"/>
    <w:rsid w:val="00D2675D"/>
    <w:rsid w:val="00D30BF4"/>
    <w:rsid w:val="00D30E71"/>
    <w:rsid w:val="00D37475"/>
    <w:rsid w:val="00D41030"/>
    <w:rsid w:val="00D41270"/>
    <w:rsid w:val="00D51D9A"/>
    <w:rsid w:val="00D56DA3"/>
    <w:rsid w:val="00D60AE2"/>
    <w:rsid w:val="00D670B8"/>
    <w:rsid w:val="00D7025E"/>
    <w:rsid w:val="00D703B8"/>
    <w:rsid w:val="00D70755"/>
    <w:rsid w:val="00D80713"/>
    <w:rsid w:val="00D821FE"/>
    <w:rsid w:val="00D93ACB"/>
    <w:rsid w:val="00D947F4"/>
    <w:rsid w:val="00DA4890"/>
    <w:rsid w:val="00DA5DC2"/>
    <w:rsid w:val="00DB1ACA"/>
    <w:rsid w:val="00DB7C4E"/>
    <w:rsid w:val="00DB7DD8"/>
    <w:rsid w:val="00DD1F66"/>
    <w:rsid w:val="00DE1212"/>
    <w:rsid w:val="00DE18E7"/>
    <w:rsid w:val="00DE21AC"/>
    <w:rsid w:val="00DE6932"/>
    <w:rsid w:val="00DF0AA8"/>
    <w:rsid w:val="00DF0C53"/>
    <w:rsid w:val="00DF51A6"/>
    <w:rsid w:val="00E052F8"/>
    <w:rsid w:val="00E221BA"/>
    <w:rsid w:val="00E22414"/>
    <w:rsid w:val="00E25379"/>
    <w:rsid w:val="00E276D1"/>
    <w:rsid w:val="00E47310"/>
    <w:rsid w:val="00E54994"/>
    <w:rsid w:val="00E561D8"/>
    <w:rsid w:val="00E62A5E"/>
    <w:rsid w:val="00E72391"/>
    <w:rsid w:val="00E760CA"/>
    <w:rsid w:val="00E817C1"/>
    <w:rsid w:val="00E848AE"/>
    <w:rsid w:val="00E85DF9"/>
    <w:rsid w:val="00E90630"/>
    <w:rsid w:val="00E92110"/>
    <w:rsid w:val="00E93362"/>
    <w:rsid w:val="00E9446B"/>
    <w:rsid w:val="00EA2611"/>
    <w:rsid w:val="00EA4784"/>
    <w:rsid w:val="00EB2A6B"/>
    <w:rsid w:val="00EC6E5F"/>
    <w:rsid w:val="00ED3E7B"/>
    <w:rsid w:val="00EE05F8"/>
    <w:rsid w:val="00EE0F83"/>
    <w:rsid w:val="00EE1DFC"/>
    <w:rsid w:val="00EE1F20"/>
    <w:rsid w:val="00EF539B"/>
    <w:rsid w:val="00EF5551"/>
    <w:rsid w:val="00F06841"/>
    <w:rsid w:val="00F13216"/>
    <w:rsid w:val="00F23A33"/>
    <w:rsid w:val="00F66797"/>
    <w:rsid w:val="00F71EE5"/>
    <w:rsid w:val="00F74DD1"/>
    <w:rsid w:val="00F81572"/>
    <w:rsid w:val="00F91AFB"/>
    <w:rsid w:val="00F97594"/>
    <w:rsid w:val="00FA0F66"/>
    <w:rsid w:val="00FB33FA"/>
    <w:rsid w:val="00FC2981"/>
    <w:rsid w:val="00FC4642"/>
    <w:rsid w:val="00FD2151"/>
    <w:rsid w:val="00FD5F18"/>
    <w:rsid w:val="00FE24B3"/>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7DAF8-E0B7-E74F-BC9B-716DCAF10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17</Pages>
  <Words>26818</Words>
  <Characters>152866</Characters>
  <Application>Microsoft Office Word</Application>
  <DocSecurity>0</DocSecurity>
  <Lines>1273</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253</cp:revision>
  <dcterms:created xsi:type="dcterms:W3CDTF">2020-02-05T19:13:00Z</dcterms:created>
  <dcterms:modified xsi:type="dcterms:W3CDTF">2021-05-11T05:24:00Z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