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011A18CA"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w:t>
      </w:r>
      <w:r w:rsidR="00EE1F20" w:rsidRPr="00EE1F20">
        <w:rPr>
          <w:rFonts w:ascii="Arial" w:hAnsi="Arial" w:cs="Arial"/>
          <w:color w:val="000000" w:themeColor="text1"/>
          <w:sz w:val="22"/>
          <w:szCs w:val="22"/>
        </w:rPr>
        <w:fldChar w:fldCharType="begin"/>
      </w:r>
      <w:r w:rsidR="00EE1F20" w:rsidRPr="00EE1F20">
        <w:rPr>
          <w:rFonts w:ascii="Arial" w:hAnsi="Arial" w:cs="Arial"/>
          <w:color w:val="000000" w:themeColor="text1"/>
          <w:sz w:val="22"/>
          <w:szCs w:val="22"/>
        </w:rPr>
        <w:instrText xml:space="preserve"> ADDIN EN.CITE &lt;EndNote&gt;&lt;Cite&gt;&lt;Author&gt;Miranda&lt;/Author&gt;&lt;Year&gt;2004&lt;/Year&gt;&lt;RecNum&gt;48&lt;/RecNum&gt;&lt;DisplayText&gt;&lt;style face="superscript"&gt;2&lt;/style&gt;&lt;/DisplayText&gt;&lt;record&gt;&lt;rec-number&gt;48&lt;/rec-number&gt;&lt;foreign-keys&gt;&lt;key app="EN" db-id="xvrsr2tvfz0zr1etxxgx0xa4aw2ra0av9tae" timestamp="1572974817"&gt;48&lt;/key&gt;&lt;/foreign-keys&gt;&lt;ref-type name="Journal Article"&gt;17&lt;/ref-type&gt;&lt;contributors&gt;&lt;authors&gt;&lt;author&gt;Miranda, M.&lt;/author&gt;&lt;author&gt;Muriach, M.&lt;/author&gt;&lt;author&gt;Almansa, I.&lt;/author&gt;&lt;author&gt;Jareno, E.&lt;/author&gt;&lt;author&gt;Bosch-Morell, F.&lt;/author&gt;&lt;author&gt;Romero, F. J.&lt;/author&gt;&lt;author&gt;Silvestre, D.&lt;/author&gt;&lt;/authors&gt;&lt;/contributors&gt;&lt;auth-address&gt;Departamento de Fisiologia, Farmacologia and Toxicologia, Universidad Cardenal Herrera-CEU, Valencia, Spain.&lt;/auth-address&gt;&lt;titles&gt;&lt;title&gt;Oxidative status of human milk and its variations during cold storage&lt;/title&gt;&lt;secondary-title&gt;Biofactors&lt;/secondary-title&gt;&lt;/titles&gt;&lt;periodical&gt;&lt;full-title&gt;Biofactors&lt;/full-title&gt;&lt;/periodical&gt;&lt;pages&gt;129-37&lt;/pages&gt;&lt;volume&gt;20&lt;/volume&gt;&lt;number&gt;3&lt;/number&gt;&lt;edition&gt;2005/01/25&lt;/edition&gt;&lt;keywords&gt;&lt;keyword&gt;Adult&lt;/keyword&gt;&lt;keyword&gt;Antioxidants/analysis&lt;/keyword&gt;&lt;keyword&gt;Female&lt;/keyword&gt;&lt;keyword&gt;Food Handling/*methods&lt;/keyword&gt;&lt;keyword&gt;Food Preservation/*methods&lt;/keyword&gt;&lt;keyword&gt;Freezing&lt;/keyword&gt;&lt;keyword&gt;Glutathione Peroxidase/analysis/metabolism&lt;/keyword&gt;&lt;keyword&gt;Humans&lt;/keyword&gt;&lt;keyword&gt;Infant&lt;/keyword&gt;&lt;keyword&gt;Infant Nutritional Physiological Phenomena&lt;/keyword&gt;&lt;keyword&gt;Infant, Newborn&lt;/keyword&gt;&lt;keyword&gt;Lipid Peroxidation&lt;/keyword&gt;&lt;keyword&gt;Malondialdehyde/analysis/metabolism&lt;/keyword&gt;&lt;keyword&gt;Milk, Human/chemistry/*metabolism&lt;/keyword&gt;&lt;keyword&gt;Oxidation-Reduction&lt;/keyword&gt;&lt;keyword&gt;Refrigeration&lt;/keyword&gt;&lt;keyword&gt;Time Factors&lt;/keyword&gt;&lt;/keywords&gt;&lt;dates&gt;&lt;year&gt;2004&lt;/year&gt;&lt;/dates&gt;&lt;isbn&gt;0951-6433 (Print)&amp;#xD;0951-6433 (Linking)&lt;/isbn&gt;&lt;accession-num&gt;15665383&lt;/accession-num&gt;&lt;urls&gt;&lt;related-urls&gt;&lt;url&gt;https://www.ncbi.nlm.nih.gov/pubmed/15665383&lt;/url&gt;&lt;/related-urls&gt;&lt;/urls&gt;&lt;electronic-resource-num&gt;10.1002/biof.5520200302&lt;/electronic-resource-num&gt;&lt;/record&gt;&lt;/Cite&gt;&lt;/EndNote&gt;</w:instrText>
      </w:r>
      <w:r w:rsidR="00EE1F20" w:rsidRPr="00EE1F20">
        <w:rPr>
          <w:rFonts w:ascii="Arial" w:hAnsi="Arial" w:cs="Arial"/>
          <w:color w:val="000000" w:themeColor="text1"/>
          <w:sz w:val="22"/>
          <w:szCs w:val="22"/>
        </w:rPr>
        <w:fldChar w:fldCharType="separate"/>
      </w:r>
      <w:r w:rsidR="00EE1F20" w:rsidRPr="00EE1F20">
        <w:rPr>
          <w:rFonts w:ascii="Arial" w:hAnsi="Arial" w:cs="Arial"/>
          <w:color w:val="000000" w:themeColor="text1"/>
          <w:sz w:val="22"/>
          <w:szCs w:val="22"/>
          <w:vertAlign w:val="superscript"/>
        </w:rPr>
        <w:t>2</w:t>
      </w:r>
      <w:r w:rsidR="00EE1F20" w:rsidRPr="00EE1F20">
        <w:rPr>
          <w:rFonts w:ascii="Arial" w:hAnsi="Arial" w:cs="Arial"/>
          <w:color w:val="000000" w:themeColor="text1"/>
          <w:sz w:val="22"/>
          <w:szCs w:val="22"/>
        </w:rPr>
        <w:fldChar w:fldCharType="end"/>
      </w:r>
      <w:r w:rsidR="00EE1F20" w:rsidRPr="00EE1F20">
        <w:rPr>
          <w:rFonts w:ascii="Arial" w:hAnsi="Arial" w:cs="Arial"/>
          <w:color w:val="000000" w:themeColor="text1"/>
          <w:sz w:val="22"/>
          <w:szCs w:val="22"/>
        </w:rPr>
        <w:t xml:space="preserve">.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
      <w:r w:rsidR="00EE1F20" w:rsidRPr="00EE1F20">
        <w:rPr>
          <w:rFonts w:ascii="Arial" w:hAnsi="Arial" w:cs="Arial"/>
          <w:color w:val="000000" w:themeColor="text1"/>
          <w:sz w:val="22"/>
          <w:szCs w:val="22"/>
        </w:rPr>
        <w:t>consultation</w:t>
      </w:r>
      <w:commentRangeEnd w:id="3"/>
      <w:r w:rsidR="00CE4B7C">
        <w:rPr>
          <w:rStyle w:val="CommentReference"/>
        </w:rPr>
        <w:commentReference w:id="3"/>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lastRenderedPageBreak/>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441EFD">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w:t>
      </w:r>
      <w:r w:rsidRPr="00EF5551">
        <w:rPr>
          <w:rFonts w:ascii="Arial" w:hAnsi="Arial" w:cs="Arial"/>
          <w:color w:val="000000" w:themeColor="text1"/>
          <w:sz w:val="22"/>
          <w:szCs w:val="22"/>
        </w:rPr>
        <w:lastRenderedPageBreak/>
        <w:t xml:space="preserve">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4"/>
      <w:r w:rsidRPr="00EF5551">
        <w:rPr>
          <w:rFonts w:ascii="Arial" w:hAnsi="Arial" w:cs="Arial"/>
          <w:color w:val="000000" w:themeColor="text1"/>
          <w:sz w:val="22"/>
          <w:szCs w:val="22"/>
        </w:rPr>
        <w:t>Figure</w:t>
      </w:r>
      <w:commentRangeEnd w:id="4"/>
      <w:r w:rsidR="0025257E">
        <w:rPr>
          <w:rStyle w:val="CommentReference"/>
        </w:rPr>
        <w:commentReference w:id="4"/>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5" w:author="Dave Bridges" w:date="2020-03-25T11:01:00Z">
        <w:r w:rsidR="0025257E">
          <w:rPr>
            <w:rFonts w:ascii="Arial" w:hAnsi="Arial" w:cs="Arial"/>
            <w:color w:val="000000" w:themeColor="text1"/>
            <w:sz w:val="22"/>
            <w:szCs w:val="22"/>
          </w:rPr>
          <w:t xml:space="preserve"> (</w:t>
        </w:r>
        <w:commentRangeStart w:id="6"/>
        <w:r w:rsidR="0025257E">
          <w:rPr>
            <w:rFonts w:ascii="Arial" w:hAnsi="Arial" w:cs="Arial"/>
            <w:color w:val="000000" w:themeColor="text1"/>
            <w:sz w:val="22"/>
            <w:szCs w:val="22"/>
          </w:rPr>
          <w:t>Figure</w:t>
        </w:r>
      </w:ins>
      <w:commentRangeEnd w:id="6"/>
      <w:ins w:id="7" w:author="Dave Bridges" w:date="2020-03-25T11:02:00Z">
        <w:r w:rsidR="0025257E">
          <w:rPr>
            <w:rStyle w:val="CommentReference"/>
          </w:rPr>
          <w:commentReference w:id="6"/>
        </w:r>
      </w:ins>
      <w:ins w:id="8"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9"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5C45F317" w:rsidR="0057447E" w:rsidRDefault="00FF70C7" w:rsidP="00FF70C7">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005B322E" w:rsidR="00D21277"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7D7128">
        <w:rPr>
          <w:rFonts w:ascii="Arial" w:hAnsi="Arial" w:cs="Arial"/>
          <w:color w:val="000000" w:themeColor="text1"/>
          <w:sz w:val="22"/>
          <w:szCs w:val="22"/>
        </w:rPr>
        <w:t>3A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0"/>
      <w:r w:rsidR="008B3CA4" w:rsidRPr="00EF5551">
        <w:rPr>
          <w:rFonts w:ascii="Arial" w:hAnsi="Arial" w:cs="Arial"/>
          <w:color w:val="000000" w:themeColor="text1"/>
          <w:sz w:val="22"/>
          <w:szCs w:val="22"/>
        </w:rPr>
        <w:t>p</w:t>
      </w:r>
      <w:commentRangeEnd w:id="10"/>
      <w:r>
        <w:rPr>
          <w:rStyle w:val="CommentReference"/>
        </w:rPr>
        <w:commentReference w:id="10"/>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3B)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D21277">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4CFF7C95" w:rsidR="00D21277" w:rsidRDefault="00D21277" w:rsidP="00D21277">
      <w:pPr>
        <w:pStyle w:val="Caption"/>
        <w:rPr>
          <w:rFonts w:ascii="Arial" w:hAnsi="Arial" w:cs="Arial"/>
          <w:color w:val="000000" w:themeColor="text1"/>
          <w:sz w:val="22"/>
          <w:szCs w:val="22"/>
        </w:rPr>
      </w:pPr>
      <w:r>
        <w:t xml:space="preserve">Figure </w:t>
      </w:r>
      <w:fldSimple w:instr=" SEQ Figure \* ARABIC ">
        <w:r>
          <w:rPr>
            <w:noProof/>
          </w:rPr>
          <w:t>3</w:t>
        </w:r>
      </w:fldSimple>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1"/>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1"/>
      <w:r w:rsidR="004D16AC">
        <w:rPr>
          <w:rStyle w:val="CommentReference"/>
          <w:rFonts w:asciiTheme="minorHAnsi" w:eastAsiaTheme="minorHAnsi" w:hAnsiTheme="minorHAnsi" w:cstheme="minorBidi"/>
          <w:color w:val="auto"/>
        </w:rPr>
        <w:commentReference w:id="11"/>
      </w:r>
    </w:p>
    <w:p w14:paraId="2FAC0380" w14:textId="57D9669E"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872B2E">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12" w:author="Dave Bridges" w:date="2020-03-25T11:16:00Z">
        <w:r w:rsidR="00965A52" w:rsidRPr="00205A66">
          <w:rPr>
            <w:rFonts w:ascii="Arial" w:hAnsi="Arial" w:cs="Arial"/>
            <w:color w:val="000000" w:themeColor="text1"/>
            <w:sz w:val="22"/>
            <w:szCs w:val="22"/>
          </w:rPr>
          <w:t xml:space="preserve">Figure </w:t>
        </w:r>
      </w:ins>
      <w:r w:rsidR="00872B2E">
        <w:rPr>
          <w:rFonts w:ascii="Arial" w:hAnsi="Arial" w:cs="Arial"/>
          <w:color w:val="000000" w:themeColor="text1"/>
          <w:sz w:val="22"/>
          <w:szCs w:val="22"/>
        </w:rPr>
        <w:t>4</w:t>
      </w:r>
      <w:ins w:id="13" w:author="Dave Bridges" w:date="2020-03-25T11:16:00Z">
        <w:r w:rsidR="00965A52" w:rsidRPr="00205A66">
          <w:rPr>
            <w:rFonts w:ascii="Arial" w:hAnsi="Arial" w:cs="Arial"/>
            <w:color w:val="000000" w:themeColor="text1"/>
            <w:sz w:val="22"/>
            <w:szCs w:val="22"/>
          </w:rPr>
          <w:t xml:space="preserve">B; </w:t>
        </w:r>
      </w:ins>
      <w:commentRangeStart w:id="14"/>
      <w:r w:rsidR="008B3CA4" w:rsidRPr="00205A66">
        <w:rPr>
          <w:rFonts w:ascii="Arial" w:hAnsi="Arial" w:cs="Arial"/>
          <w:color w:val="000000" w:themeColor="text1"/>
          <w:sz w:val="22"/>
          <w:szCs w:val="22"/>
        </w:rPr>
        <w:t>p</w:t>
      </w:r>
      <w:commentRangeEnd w:id="14"/>
      <w:r w:rsidR="0034722F" w:rsidRPr="00965A52">
        <w:rPr>
          <w:rStyle w:val="CommentReference"/>
        </w:rPr>
        <w:commentReference w:id="14"/>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r w:rsidR="00965A52">
        <w:rPr>
          <w:rStyle w:val="CommentReference"/>
        </w:rPr>
        <w:commentReference w:id="15"/>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16"/>
      <w:r w:rsidR="008E6AF3">
        <w:rPr>
          <w:rFonts w:ascii="Arial" w:hAnsi="Arial" w:cs="Arial"/>
          <w:color w:val="000000" w:themeColor="text1"/>
          <w:sz w:val="22"/>
          <w:szCs w:val="22"/>
        </w:rPr>
        <w:t>XXX</w:t>
      </w:r>
      <w:commentRangeEnd w:id="16"/>
      <w:r w:rsidR="008E6AF3">
        <w:rPr>
          <w:rStyle w:val="CommentReference"/>
        </w:rPr>
        <w:commentReference w:id="16"/>
      </w:r>
      <w:r w:rsidR="008E6AF3">
        <w:rPr>
          <w:rFonts w:ascii="Arial" w:hAnsi="Arial" w:cs="Arial"/>
          <w:color w:val="000000" w:themeColor="text1"/>
          <w:sz w:val="22"/>
          <w:szCs w:val="22"/>
        </w:rPr>
        <w:t>.</w:t>
      </w:r>
      <w:r w:rsidR="002C4DF5">
        <w:rPr>
          <w:rFonts w:ascii="Arial" w:hAnsi="Arial" w:cs="Arial"/>
          <w:color w:val="000000" w:themeColor="text1"/>
          <w:sz w:val="22"/>
          <w:szCs w:val="22"/>
        </w:rPr>
        <w:t xml:space="preserve"> </w:t>
      </w:r>
      <w:r w:rsidR="008E6AF3">
        <w:rPr>
          <w:rFonts w:ascii="Arial" w:hAnsi="Arial" w:cs="Arial"/>
          <w:color w:val="000000" w:themeColor="text1"/>
          <w:sz w:val="22"/>
          <w:szCs w:val="22"/>
        </w:rPr>
        <w:t>At an individual milk protein level, milk</w:t>
      </w:r>
      <w:r w:rsidR="00266802">
        <w:rPr>
          <w:rFonts w:ascii="Arial" w:hAnsi="Arial" w:cs="Arial"/>
          <w:color w:val="000000" w:themeColor="text1"/>
          <w:sz w:val="22"/>
          <w:szCs w:val="22"/>
        </w:rPr>
        <w:t xml:space="preserve"> proteins were separated by electrophoresis and quantified by densitometry.</w:t>
      </w:r>
      <w:r w:rsidR="002C4DF5">
        <w:rPr>
          <w:rFonts w:ascii="Arial" w:hAnsi="Arial" w:cs="Arial"/>
          <w:color w:val="000000" w:themeColor="text1"/>
          <w:sz w:val="22"/>
          <w:szCs w:val="22"/>
        </w:rPr>
        <w:t xml:space="preserve">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17" w:author="Dave Bridges" w:date="2020-03-25T11:19:00Z">
        <w:r w:rsidR="00254644">
          <w:rPr>
            <w:rFonts w:ascii="Arial" w:hAnsi="Arial" w:cs="Arial"/>
            <w:color w:val="000000" w:themeColor="text1"/>
            <w:sz w:val="22"/>
            <w:szCs w:val="22"/>
          </w:rPr>
          <w:t xml:space="preserve"> In terms of milk</w:t>
        </w:r>
      </w:ins>
      <w:ins w:id="18" w:author="Dave Bridges" w:date="2020-03-25T11:20:00Z">
        <w:r w:rsidR="00254644">
          <w:rPr>
            <w:rFonts w:ascii="Arial" w:hAnsi="Arial" w:cs="Arial"/>
            <w:color w:val="000000" w:themeColor="text1"/>
            <w:sz w:val="22"/>
            <w:szCs w:val="22"/>
          </w:rPr>
          <w:t xml:space="preserve"> lactose </w:t>
        </w:r>
        <w:commentRangeStart w:id="19"/>
        <w:r w:rsidR="00254644">
          <w:rPr>
            <w:rFonts w:ascii="Arial" w:hAnsi="Arial" w:cs="Arial"/>
            <w:color w:val="000000" w:themeColor="text1"/>
            <w:sz w:val="22"/>
            <w:szCs w:val="22"/>
          </w:rPr>
          <w:t>XXX</w:t>
        </w:r>
        <w:commentRangeEnd w:id="19"/>
        <w:r w:rsidR="00254644">
          <w:rPr>
            <w:rStyle w:val="CommentReference"/>
          </w:rPr>
          <w:commentReference w:id="19"/>
        </w:r>
        <w:r w:rsidR="00254644">
          <w:rPr>
            <w:rFonts w:ascii="Arial" w:hAnsi="Arial" w:cs="Arial"/>
            <w:color w:val="000000" w:themeColor="text1"/>
            <w:sz w:val="22"/>
            <w:szCs w:val="22"/>
          </w:rPr>
          <w:t>.</w:t>
        </w:r>
      </w:ins>
    </w:p>
    <w:p w14:paraId="3D4866E6" w14:textId="2C26E3C0" w:rsidR="00FC2981" w:rsidRDefault="00FC2981"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12AEE39F" w14:textId="69EF8DEE" w:rsidR="00872B2E" w:rsidRDefault="00872B2E"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2C4DF5">
            <w:pPr>
              <w:keepNext/>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174E5462" w:rsidR="00DB7DD8" w:rsidRDefault="002C4DF5" w:rsidP="002C4DF5">
      <w:pPr>
        <w:pStyle w:val="Caption"/>
      </w:pPr>
      <w:r>
        <w:t xml:space="preserve">Figure </w:t>
      </w:r>
      <w:r w:rsidR="00836F8B">
        <w:t>4</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7FE9B75D" w14:textId="77777777" w:rsidR="00645908" w:rsidRPr="00645908" w:rsidRDefault="00645908" w:rsidP="00645908"/>
    <w:p w14:paraId="23F983E8" w14:textId="77777777" w:rsidR="0047727E" w:rsidRPr="00EF5551" w:rsidRDefault="0047727E" w:rsidP="0047727E">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p>
    <w:p w14:paraId="36462A42" w14:textId="52156A3C" w:rsidR="0047727E" w:rsidRPr="00EF5551" w:rsidRDefault="00254644" w:rsidP="0047727E">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0047727E" w:rsidRPr="00EF5551">
        <w:rPr>
          <w:rFonts w:ascii="Arial" w:hAnsi="Arial" w:cs="Arial"/>
          <w:color w:val="000000" w:themeColor="text1"/>
          <w:sz w:val="22"/>
          <w:szCs w:val="22"/>
        </w:rPr>
        <w:t xml:space="preserve">At PND16.5, the lower abdominal and inguinal mammary glands were collected and weighed from KO and WT dams. The right lower mammary glands of </w:t>
      </w:r>
      <w:r w:rsidR="0047727E" w:rsidRPr="00EF5551">
        <w:rPr>
          <w:rFonts w:ascii="Arial" w:hAnsi="Arial" w:cs="Arial"/>
          <w:color w:val="000000" w:themeColor="text1"/>
          <w:sz w:val="22"/>
          <w:szCs w:val="22"/>
        </w:rPr>
        <w:lastRenderedPageBreak/>
        <w:t>KO dams were significantly lighter than those of WT dams (p=0.042). Left lower mammary glands of KO dams significantly weighed less than those of WT dams (p=0.001).</w:t>
      </w:r>
    </w:p>
    <w:p w14:paraId="635A8DA9" w14:textId="77777777" w:rsidR="0047727E" w:rsidRPr="00EF5551" w:rsidRDefault="0047727E" w:rsidP="00EF5551">
      <w:pPr>
        <w:spacing w:line="360" w:lineRule="auto"/>
        <w:rPr>
          <w:rFonts w:ascii="Arial" w:hAnsi="Arial" w:cs="Arial"/>
          <w:color w:val="000000" w:themeColor="text1"/>
          <w:sz w:val="22"/>
          <w:szCs w:val="22"/>
        </w:rPr>
      </w:pPr>
    </w:p>
    <w:p w14:paraId="129DCBC3" w14:textId="77777777" w:rsidR="00335F77" w:rsidRDefault="005731E4" w:rsidP="00335F77">
      <w:pPr>
        <w:pStyle w:val="Heading2"/>
        <w:spacing w:line="360" w:lineRule="auto"/>
      </w:pPr>
      <w:r>
        <w:rPr>
          <w:noProof/>
        </w:rPr>
        <w:drawing>
          <wp:inline distT="0" distB="0" distL="0" distR="0" wp14:anchorId="26BC9A47" wp14:editId="3622E288">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2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86BB643" w14:textId="5452183E" w:rsidR="005731E4" w:rsidRDefault="00335F77" w:rsidP="00335F77">
      <w:pPr>
        <w:pStyle w:val="Caption"/>
        <w:rPr>
          <w:rFonts w:ascii="Arial" w:hAnsi="Arial" w:cs="Arial"/>
          <w:b/>
          <w:color w:val="000000" w:themeColor="text1"/>
          <w:sz w:val="22"/>
          <w:szCs w:val="22"/>
        </w:rPr>
      </w:pPr>
      <w:r>
        <w:t xml:space="preserve">Figure </w:t>
      </w:r>
      <w:r w:rsidR="00836F8B">
        <w:t>5</w:t>
      </w:r>
      <w:bookmarkStart w:id="20" w:name="_GoBack"/>
      <w:bookmarkEnd w:id="20"/>
      <w:r w:rsidR="00645908">
        <w:t>: Mammary glands collected from lactating WT and KO dams on PND16.5 showing significant reductions in weight of left and right mammary glands of KO dams.</w:t>
      </w:r>
    </w:p>
    <w:p w14:paraId="440A712A" w14:textId="77777777" w:rsidR="005731E4" w:rsidRDefault="005731E4" w:rsidP="00EF5551">
      <w:pPr>
        <w:pStyle w:val="Heading2"/>
        <w:spacing w:line="360" w:lineRule="auto"/>
        <w:rPr>
          <w:rFonts w:ascii="Arial" w:hAnsi="Arial" w:cs="Arial"/>
          <w:b/>
          <w:color w:val="000000" w:themeColor="text1"/>
          <w:sz w:val="22"/>
          <w:szCs w:val="22"/>
        </w:rPr>
      </w:pPr>
    </w:p>
    <w:p w14:paraId="05D7AB5F" w14:textId="33CC69FA"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w:t>
      </w:r>
      <w:r w:rsidR="00867F2A" w:rsidRPr="00EF5551">
        <w:rPr>
          <w:rFonts w:ascii="Arial" w:hAnsi="Arial" w:cs="Arial"/>
          <w:color w:val="000000" w:themeColor="text1"/>
          <w:sz w:val="22"/>
          <w:szCs w:val="22"/>
        </w:rPr>
        <w:lastRenderedPageBreak/>
        <w:t xml:space="preserve">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w:t>
      </w:r>
      <w:r w:rsidR="00144346">
        <w:rPr>
          <w:rFonts w:ascii="Arial" w:hAnsi="Arial" w:cs="Arial"/>
          <w:color w:val="000000" w:themeColor="text1"/>
          <w:sz w:val="22"/>
          <w:szCs w:val="22"/>
        </w:rPr>
        <w:lastRenderedPageBreak/>
        <w:t>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rFonts w:ascii="Arial" w:eastAsia="MS PMincho" w:hAnsi="Arial" w:cs="Arial"/>
          <w:b/>
          <w:bCs/>
          <w:color w:val="000000" w:themeColor="text1"/>
          <w:sz w:val="22"/>
          <w:szCs w:val="22"/>
        </w:rPr>
      </w:pPr>
    </w:p>
    <w:p w14:paraId="7D71DE8A" w14:textId="14A72245" w:rsidR="00772D1C" w:rsidRPr="008D27D2" w:rsidRDefault="00772D1C" w:rsidP="00EF5551">
      <w:pPr>
        <w:spacing w:line="360" w:lineRule="auto"/>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 w:author="Noura El Habbal" w:date="2020-06-03T13:03:00Z" w:initials="NEH">
    <w:p w14:paraId="2ACB19DE" w14:textId="67654E33" w:rsidR="00CE4B7C" w:rsidRDefault="00CE4B7C">
      <w:pPr>
        <w:pStyle w:val="CommentText"/>
      </w:pPr>
      <w:r>
        <w:rPr>
          <w:rStyle w:val="CommentReference"/>
        </w:rPr>
        <w:annotationRef/>
      </w:r>
      <w:r>
        <w:t>Methods from Brigid.</w:t>
      </w:r>
    </w:p>
  </w:comment>
  <w:comment w:id="4"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6"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 w:author="Dave Bridges" w:date="2020-03-25T11:09:00Z" w:initials="DB">
    <w:p w14:paraId="4A27421A" w14:textId="52EF7E01" w:rsidR="00AD6BBC" w:rsidRDefault="00AD6BBC">
      <w:pPr>
        <w:pStyle w:val="CommentText"/>
      </w:pPr>
      <w:r>
        <w:rPr>
          <w:rStyle w:val="CommentReference"/>
        </w:rPr>
        <w:annotationRef/>
      </w:r>
      <w:r>
        <w:t>Need effect sizes.</w:t>
      </w:r>
    </w:p>
  </w:comment>
  <w:comment w:id="11" w:author="Dave Bridges" w:date="2020-03-25T11:16:00Z" w:initials="DB">
    <w:p w14:paraId="72B698A6" w14:textId="688B3439" w:rsidR="004D16AC" w:rsidRDefault="004D16AC">
      <w:pPr>
        <w:pStyle w:val="CommentText"/>
      </w:pPr>
      <w:r>
        <w:rPr>
          <w:rStyle w:val="CommentReference"/>
        </w:rPr>
        <w:annotationRef/>
      </w:r>
      <w:r>
        <w:t>And maybe protein?</w:t>
      </w:r>
    </w:p>
  </w:comment>
  <w:comment w:id="14" w:author="Dave Bridges" w:date="2020-03-25T11:14:00Z" w:initials="DB">
    <w:p w14:paraId="136E77EC" w14:textId="1D56E8BD" w:rsidR="0034722F" w:rsidRDefault="0034722F">
      <w:pPr>
        <w:pStyle w:val="CommentText"/>
      </w:pPr>
      <w:r>
        <w:rPr>
          <w:rStyle w:val="CommentReference"/>
        </w:rPr>
        <w:annotationRef/>
      </w:r>
      <w:r>
        <w:t>Effect size</w:t>
      </w:r>
    </w:p>
  </w:comment>
  <w:comment w:id="15" w:author="Dave Bridges" w:date="2020-03-25T11:16:00Z" w:initials="DB">
    <w:p w14:paraId="28D2C9D8" w14:textId="7E344D50" w:rsidR="00965A52" w:rsidRDefault="00965A52">
      <w:pPr>
        <w:pStyle w:val="CommentText"/>
      </w:pPr>
      <w:r>
        <w:rPr>
          <w:rStyle w:val="CommentReference"/>
        </w:rPr>
        <w:annotationRef/>
      </w:r>
      <w:r>
        <w:t>p-value</w:t>
      </w:r>
    </w:p>
  </w:comment>
  <w:comment w:id="16"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19"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2ACB19DE"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2ACB19DE" w16cid:durableId="22821E39"/>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56B372EE" w16cid:durableId="2225BC6A"/>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1FF9" w14:textId="77777777" w:rsidR="001E1312" w:rsidRDefault="001E1312" w:rsidP="006E77C5">
      <w:r>
        <w:separator/>
      </w:r>
    </w:p>
  </w:endnote>
  <w:endnote w:type="continuationSeparator" w:id="0">
    <w:p w14:paraId="24D24BB2" w14:textId="77777777" w:rsidR="001E1312" w:rsidRDefault="001E131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40868" w14:textId="77777777" w:rsidR="001E1312" w:rsidRDefault="001E1312" w:rsidP="006E77C5">
      <w:r>
        <w:separator/>
      </w:r>
    </w:p>
  </w:footnote>
  <w:footnote w:type="continuationSeparator" w:id="0">
    <w:p w14:paraId="56DB46A4" w14:textId="77777777" w:rsidR="001E1312" w:rsidRDefault="001E131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B7664"/>
    <w:rsid w:val="000C06E4"/>
    <w:rsid w:val="00127348"/>
    <w:rsid w:val="00143D60"/>
    <w:rsid w:val="00144346"/>
    <w:rsid w:val="0016232F"/>
    <w:rsid w:val="001B464E"/>
    <w:rsid w:val="001C2BD3"/>
    <w:rsid w:val="001D22FF"/>
    <w:rsid w:val="001E1312"/>
    <w:rsid w:val="002055DE"/>
    <w:rsid w:val="00205A66"/>
    <w:rsid w:val="0020643E"/>
    <w:rsid w:val="00212CBF"/>
    <w:rsid w:val="002134E6"/>
    <w:rsid w:val="0025257E"/>
    <w:rsid w:val="002539DB"/>
    <w:rsid w:val="00254644"/>
    <w:rsid w:val="00266802"/>
    <w:rsid w:val="00294851"/>
    <w:rsid w:val="002A4C4A"/>
    <w:rsid w:val="002B60B0"/>
    <w:rsid w:val="002C4DF5"/>
    <w:rsid w:val="002E394B"/>
    <w:rsid w:val="002E7CDE"/>
    <w:rsid w:val="00335F77"/>
    <w:rsid w:val="0034722F"/>
    <w:rsid w:val="003C2CE9"/>
    <w:rsid w:val="003C33B1"/>
    <w:rsid w:val="003D6E2D"/>
    <w:rsid w:val="004125BF"/>
    <w:rsid w:val="00441EFD"/>
    <w:rsid w:val="00472C36"/>
    <w:rsid w:val="0047727E"/>
    <w:rsid w:val="00494187"/>
    <w:rsid w:val="004D14AF"/>
    <w:rsid w:val="004D16AC"/>
    <w:rsid w:val="00502CD7"/>
    <w:rsid w:val="005731E4"/>
    <w:rsid w:val="0057447E"/>
    <w:rsid w:val="00580AF3"/>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7D7128"/>
    <w:rsid w:val="00805A36"/>
    <w:rsid w:val="00820794"/>
    <w:rsid w:val="00836F8B"/>
    <w:rsid w:val="00853EA7"/>
    <w:rsid w:val="00867F2A"/>
    <w:rsid w:val="00872B2E"/>
    <w:rsid w:val="00877D08"/>
    <w:rsid w:val="008968F6"/>
    <w:rsid w:val="008B3CA4"/>
    <w:rsid w:val="008B6BD1"/>
    <w:rsid w:val="008D27D2"/>
    <w:rsid w:val="008D31D2"/>
    <w:rsid w:val="008E6AF3"/>
    <w:rsid w:val="0091131D"/>
    <w:rsid w:val="00914BCE"/>
    <w:rsid w:val="00923CA8"/>
    <w:rsid w:val="0093396E"/>
    <w:rsid w:val="00965A52"/>
    <w:rsid w:val="009970F3"/>
    <w:rsid w:val="009A1ED6"/>
    <w:rsid w:val="00A26992"/>
    <w:rsid w:val="00A56B15"/>
    <w:rsid w:val="00A71819"/>
    <w:rsid w:val="00A857D5"/>
    <w:rsid w:val="00AC395A"/>
    <w:rsid w:val="00AD1176"/>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4B7C"/>
    <w:rsid w:val="00CE5071"/>
    <w:rsid w:val="00CF249B"/>
    <w:rsid w:val="00D21277"/>
    <w:rsid w:val="00D2675D"/>
    <w:rsid w:val="00D41030"/>
    <w:rsid w:val="00D60AE2"/>
    <w:rsid w:val="00D70755"/>
    <w:rsid w:val="00D80713"/>
    <w:rsid w:val="00D93ACB"/>
    <w:rsid w:val="00DB7DD8"/>
    <w:rsid w:val="00DD1F66"/>
    <w:rsid w:val="00DE1212"/>
    <w:rsid w:val="00DE21AC"/>
    <w:rsid w:val="00DE6932"/>
    <w:rsid w:val="00DF0AA8"/>
    <w:rsid w:val="00E22414"/>
    <w:rsid w:val="00E54994"/>
    <w:rsid w:val="00E561D8"/>
    <w:rsid w:val="00E85DF9"/>
    <w:rsid w:val="00E92110"/>
    <w:rsid w:val="00E93362"/>
    <w:rsid w:val="00EA2611"/>
    <w:rsid w:val="00EE05F8"/>
    <w:rsid w:val="00EE0F83"/>
    <w:rsid w:val="00EE1F20"/>
    <w:rsid w:val="00EF5551"/>
    <w:rsid w:val="00F0684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A07CA-DDB2-0C44-B328-E660856A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23190</Words>
  <Characters>132185</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97</cp:revision>
  <dcterms:created xsi:type="dcterms:W3CDTF">2020-02-05T19:13:00Z</dcterms:created>
  <dcterms:modified xsi:type="dcterms:W3CDTF">2020-06-03T17:17:00Z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