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76184119"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del w:id="0" w:author="Dave Bridges" w:date="2021-06-16T11:16:00Z">
        <w:r w:rsidR="0061155D" w:rsidDel="001D7078">
          <w:rPr>
            <w:rFonts w:ascii="Arial" w:hAnsi="Arial" w:cs="Arial"/>
            <w:color w:val="000000" w:themeColor="text1"/>
            <w:sz w:val="22"/>
            <w:szCs w:val="22"/>
          </w:rPr>
          <w:delText xml:space="preserve"> (KO)</w:delText>
        </w:r>
      </w:del>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del w:id="1" w:author="Dave Bridges" w:date="2021-06-16T11:16:00Z">
        <w:r w:rsidR="00984874" w:rsidDel="001D7078">
          <w:rPr>
            <w:rFonts w:ascii="Arial" w:hAnsi="Arial" w:cs="Arial"/>
            <w:color w:val="000000" w:themeColor="text1"/>
            <w:sz w:val="22"/>
            <w:szCs w:val="22"/>
          </w:rPr>
          <w:delText>KO</w:delText>
        </w:r>
        <w:r w:rsidR="00407194" w:rsidDel="001D7078">
          <w:rPr>
            <w:rFonts w:ascii="Arial" w:hAnsi="Arial" w:cs="Arial"/>
            <w:color w:val="000000" w:themeColor="text1"/>
            <w:sz w:val="22"/>
            <w:szCs w:val="22"/>
          </w:rPr>
          <w:delText xml:space="preserve"> </w:delText>
        </w:r>
      </w:del>
      <w:ins w:id="2" w:author="Dave Bridges" w:date="2021-06-16T11:16:00Z">
        <w:r w:rsidR="001D7078">
          <w:rPr>
            <w:rFonts w:ascii="Arial" w:hAnsi="Arial" w:cs="Arial"/>
            <w:color w:val="000000" w:themeColor="text1"/>
            <w:sz w:val="22"/>
            <w:szCs w:val="22"/>
          </w:rPr>
          <w:t>knockout</w:t>
        </w:r>
        <w:r w:rsidR="001D7078">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del w:id="3" w:author="Dave Bridges" w:date="2021-06-16T11:16:00Z">
        <w:r w:rsidR="00A46275" w:rsidDel="001D7078">
          <w:rPr>
            <w:rFonts w:ascii="Arial" w:hAnsi="Arial" w:cs="Arial"/>
            <w:color w:val="000000" w:themeColor="text1"/>
            <w:sz w:val="22"/>
            <w:szCs w:val="22"/>
          </w:rPr>
          <w:delText xml:space="preserve">KO </w:delText>
        </w:r>
      </w:del>
      <w:ins w:id="4" w:author="Dave Bridges" w:date="2021-06-16T11:16:00Z">
        <w:r w:rsidR="001D7078">
          <w:rPr>
            <w:rFonts w:ascii="Arial" w:hAnsi="Arial" w:cs="Arial"/>
            <w:color w:val="000000" w:themeColor="text1"/>
            <w:sz w:val="22"/>
            <w:szCs w:val="22"/>
          </w:rPr>
          <w:t>knockout</w:t>
        </w:r>
        <w:r w:rsidR="001D7078">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del w:id="5" w:author="Dave Bridges" w:date="2021-06-16T11:17:00Z">
        <w:r w:rsidR="00494187" w:rsidRPr="00EF5551" w:rsidDel="001D7078">
          <w:rPr>
            <w:rFonts w:ascii="Arial" w:hAnsi="Arial" w:cs="Arial"/>
            <w:color w:val="000000" w:themeColor="text1"/>
            <w:sz w:val="22"/>
            <w:szCs w:val="22"/>
          </w:rPr>
          <w:delText>health</w:delText>
        </w:r>
      </w:del>
      <w:ins w:id="6" w:author="Dave Bridges" w:date="2021-06-16T11:17:00Z">
        <w:r w:rsidR="001D7078">
          <w:rPr>
            <w:rFonts w:ascii="Arial" w:hAnsi="Arial" w:cs="Arial"/>
            <w:color w:val="000000" w:themeColor="text1"/>
            <w:sz w:val="22"/>
            <w:szCs w:val="22"/>
          </w:rPr>
          <w:t>growth</w:t>
        </w:r>
      </w:ins>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1B8653E5"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w:t>
      </w:r>
      <w:del w:id="7" w:author="Dave Bridges" w:date="2021-06-16T11:18:00Z">
        <w:r w:rsidR="00026FE3" w:rsidDel="001D7078">
          <w:rPr>
            <w:rFonts w:ascii="Arial" w:hAnsi="Arial" w:cs="Arial"/>
            <w:color w:val="000000" w:themeColor="text1"/>
            <w:sz w:val="22"/>
            <w:szCs w:val="22"/>
          </w:rPr>
          <w:delText xml:space="preserve">mammary </w:delText>
        </w:r>
      </w:del>
      <w:r w:rsidR="00026FE3">
        <w:rPr>
          <w:rFonts w:ascii="Arial" w:hAnsi="Arial" w:cs="Arial"/>
          <w:color w:val="000000" w:themeColor="text1"/>
          <w:sz w:val="22"/>
          <w:szCs w:val="22"/>
        </w:rPr>
        <w:t xml:space="preserve">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5FBB8E99"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del w:id="8" w:author="Dave Bridges" w:date="2021-06-16T11:18:00Z">
        <w:r w:rsidR="004818E3" w:rsidRPr="00EF5551" w:rsidDel="001D7078">
          <w:rPr>
            <w:rFonts w:ascii="Arial" w:hAnsi="Arial" w:cs="Arial"/>
            <w:color w:val="000000" w:themeColor="text1"/>
            <w:sz w:val="22"/>
            <w:szCs w:val="22"/>
          </w:rPr>
          <w:delText xml:space="preserve">weaning </w:delText>
        </w:r>
      </w:del>
      <w:ins w:id="9" w:author="Dave Bridges" w:date="2021-06-16T11:18:00Z">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ins>
      <w:r w:rsidR="004818E3" w:rsidRPr="00EF5551">
        <w:rPr>
          <w:rFonts w:ascii="Arial" w:hAnsi="Arial" w:cs="Arial"/>
          <w:color w:val="000000" w:themeColor="text1"/>
          <w:sz w:val="22"/>
          <w:szCs w:val="22"/>
        </w:rPr>
        <w:t xml:space="preserve">at 3 months postpartum was </w:t>
      </w:r>
      <w:commentRangeStart w:id="10"/>
      <w:r w:rsidR="004818E3" w:rsidRPr="00EF5551">
        <w:rPr>
          <w:rFonts w:ascii="Arial" w:hAnsi="Arial" w:cs="Arial"/>
          <w:color w:val="000000" w:themeColor="text1"/>
          <w:sz w:val="22"/>
          <w:szCs w:val="22"/>
        </w:rPr>
        <w:t xml:space="preserve">highest </w:t>
      </w:r>
      <w:commentRangeEnd w:id="10"/>
      <w:r w:rsidR="001D7078">
        <w:rPr>
          <w:rStyle w:val="CommentReference"/>
        </w:rPr>
        <w:commentReference w:id="10"/>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del w:id="11" w:author="Dave Bridges" w:date="2021-06-16T11:19:00Z">
        <w:r w:rsidR="007E6948" w:rsidDel="001D7078">
          <w:rPr>
            <w:rFonts w:ascii="Arial" w:hAnsi="Arial" w:cs="Arial"/>
            <w:color w:val="000000" w:themeColor="text1"/>
            <w:sz w:val="22"/>
            <w:szCs w:val="22"/>
          </w:rPr>
          <w:delText>Additionally</w:delText>
        </w:r>
      </w:del>
      <w:ins w:id="12" w:author="Dave Bridges" w:date="2021-06-16T11:19:00Z">
        <w:r w:rsidR="001D7078">
          <w:rPr>
            <w:rFonts w:ascii="Arial" w:hAnsi="Arial" w:cs="Arial"/>
            <w:color w:val="000000" w:themeColor="text1"/>
            <w:sz w:val="22"/>
            <w:szCs w:val="22"/>
          </w:rPr>
          <w:t>In terms of milk composition,</w:t>
        </w:r>
      </w:ins>
      <w:del w:id="13" w:author="Dave Bridges" w:date="2021-06-16T11:19:00Z">
        <w:r w:rsidR="007E6948" w:rsidDel="001D7078">
          <w:rPr>
            <w:rFonts w:ascii="Arial" w:hAnsi="Arial" w:cs="Arial"/>
            <w:color w:val="000000" w:themeColor="text1"/>
            <w:sz w:val="22"/>
            <w:szCs w:val="22"/>
          </w:rPr>
          <w:delText>,</w:delText>
        </w:r>
      </w:del>
      <w:r w:rsidR="007E6948">
        <w:rPr>
          <w:rFonts w:ascii="Arial" w:hAnsi="Arial" w:cs="Arial"/>
          <w:color w:val="000000" w:themeColor="text1"/>
          <w:sz w:val="22"/>
          <w:szCs w:val="22"/>
        </w:rPr>
        <w:t xml:space="preserve"> maternal weight and body mass index were </w:t>
      </w:r>
      <w:del w:id="14" w:author="Dave Bridges" w:date="2021-06-16T11:19:00Z">
        <w:r w:rsidR="007E6948" w:rsidDel="001D7078">
          <w:rPr>
            <w:rFonts w:ascii="Arial" w:hAnsi="Arial" w:cs="Arial"/>
            <w:color w:val="000000" w:themeColor="text1"/>
            <w:sz w:val="22"/>
            <w:szCs w:val="22"/>
          </w:rPr>
          <w:delText xml:space="preserve">also </w:delText>
        </w:r>
      </w:del>
      <w:r w:rsidR="007E6948">
        <w:rPr>
          <w:rFonts w:ascii="Arial" w:hAnsi="Arial" w:cs="Arial"/>
          <w:color w:val="000000" w:themeColor="text1"/>
          <w:sz w:val="22"/>
          <w:szCs w:val="22"/>
        </w:rPr>
        <w:t xml:space="preserve">positively correlated with milk fat </w:t>
      </w:r>
      <w:del w:id="15" w:author="Dave Bridges" w:date="2021-06-16T11:19:00Z">
        <w:r w:rsidR="007E6948" w:rsidDel="001D7078">
          <w:rPr>
            <w:rFonts w:ascii="Arial" w:hAnsi="Arial" w:cs="Arial"/>
            <w:color w:val="000000" w:themeColor="text1"/>
            <w:sz w:val="22"/>
            <w:szCs w:val="22"/>
          </w:rPr>
          <w:delText xml:space="preserve">content at 1 month postpartum </w:delText>
        </w:r>
        <w:r w:rsidR="007E6948" w:rsidRPr="00EF5551" w:rsidDel="001D7078">
          <w:rPr>
            <w:rFonts w:ascii="Arial" w:hAnsi="Arial" w:cs="Arial"/>
            <w:color w:val="000000" w:themeColor="text1"/>
            <w:sz w:val="22"/>
            <w:szCs w:val="22"/>
          </w:rPr>
          <w:fldChar w:fldCharType="begin" w:fldLock="1"/>
        </w:r>
        <w:r w:rsidR="00DA5A67" w:rsidDel="001D7078">
          <w:rPr>
            <w:rFonts w:ascii="Arial" w:hAnsi="Arial" w:cs="Arial"/>
            <w:color w:val="000000" w:themeColor="text1"/>
            <w:sz w:val="22"/>
            <w:szCs w:val="22"/>
          </w:rPr>
          <w:del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delInstrText>
        </w:r>
        <w:r w:rsidR="007E6948" w:rsidRPr="00EF5551" w:rsidDel="001D7078">
          <w:rPr>
            <w:rFonts w:ascii="Arial" w:hAnsi="Arial" w:cs="Arial"/>
            <w:color w:val="000000" w:themeColor="text1"/>
            <w:sz w:val="22"/>
            <w:szCs w:val="22"/>
          </w:rPr>
          <w:fldChar w:fldCharType="separate"/>
        </w:r>
        <w:r w:rsidR="007E6948" w:rsidRPr="00F36FA6" w:rsidDel="001D7078">
          <w:rPr>
            <w:rFonts w:ascii="Arial" w:hAnsi="Arial" w:cs="Arial"/>
            <w:noProof/>
            <w:color w:val="000000" w:themeColor="text1"/>
            <w:sz w:val="22"/>
            <w:szCs w:val="22"/>
          </w:rPr>
          <w:delText>(13)</w:delText>
        </w:r>
        <w:r w:rsidR="007E6948" w:rsidRPr="00EF5551" w:rsidDel="001D7078">
          <w:rPr>
            <w:rFonts w:ascii="Arial" w:hAnsi="Arial" w:cs="Arial"/>
            <w:color w:val="000000" w:themeColor="text1"/>
            <w:sz w:val="22"/>
            <w:szCs w:val="22"/>
          </w:rPr>
          <w:fldChar w:fldCharType="end"/>
        </w:r>
        <w:r w:rsidR="007E6948" w:rsidDel="001D7078">
          <w:rPr>
            <w:rFonts w:ascii="Arial" w:hAnsi="Arial" w:cs="Arial"/>
            <w:color w:val="000000" w:themeColor="text1"/>
            <w:sz w:val="22"/>
            <w:szCs w:val="22"/>
          </w:rPr>
          <w:delText>. M</w:delText>
        </w:r>
        <w:r w:rsidR="004818E3" w:rsidRPr="00EF5551" w:rsidDel="001D7078">
          <w:rPr>
            <w:rFonts w:ascii="Arial" w:hAnsi="Arial" w:cs="Arial"/>
            <w:color w:val="000000" w:themeColor="text1"/>
            <w:sz w:val="22"/>
            <w:szCs w:val="22"/>
          </w:rPr>
          <w:delText>aternal weight</w:delText>
        </w:r>
        <w:r w:rsidR="004818E3" w:rsidDel="001D7078">
          <w:rPr>
            <w:rFonts w:ascii="Arial" w:hAnsi="Arial" w:cs="Arial"/>
            <w:color w:val="000000" w:themeColor="text1"/>
            <w:sz w:val="22"/>
            <w:szCs w:val="22"/>
          </w:rPr>
          <w:delText xml:space="preserve">, body mass index, fat mass, and fat mass percentage were </w:delText>
        </w:r>
        <w:r w:rsidR="004818E3" w:rsidRPr="00EF5551" w:rsidDel="001D7078">
          <w:rPr>
            <w:rFonts w:ascii="Arial" w:hAnsi="Arial" w:cs="Arial"/>
            <w:color w:val="000000" w:themeColor="text1"/>
            <w:sz w:val="22"/>
            <w:szCs w:val="22"/>
          </w:rPr>
          <w:delText xml:space="preserve">positively correlated with </w:delText>
        </w:r>
        <w:r w:rsidR="004818E3" w:rsidDel="001D7078">
          <w:rPr>
            <w:rFonts w:ascii="Arial" w:hAnsi="Arial" w:cs="Arial"/>
            <w:color w:val="000000" w:themeColor="text1"/>
            <w:sz w:val="22"/>
            <w:szCs w:val="22"/>
          </w:rPr>
          <w:delText>total and true</w:delText>
        </w:r>
      </w:del>
      <w:ins w:id="16" w:author="Dave Bridges" w:date="2021-06-16T11:19:00Z">
        <w:r w:rsidR="001D7078">
          <w:rPr>
            <w:rFonts w:ascii="Arial" w:hAnsi="Arial" w:cs="Arial"/>
            <w:color w:val="000000" w:themeColor="text1"/>
            <w:sz w:val="22"/>
            <w:szCs w:val="22"/>
          </w:rPr>
          <w:t>and</w:t>
        </w:r>
      </w:ins>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17"/>
      <w:del w:id="18" w:author="Dave Bridges" w:date="2021-06-16T11:19:00Z">
        <w:r w:rsidR="004818E3" w:rsidDel="001D7078">
          <w:rPr>
            <w:rFonts w:ascii="Arial" w:hAnsi="Arial" w:cs="Arial"/>
            <w:color w:val="000000" w:themeColor="text1"/>
            <w:sz w:val="22"/>
            <w:szCs w:val="22"/>
          </w:rPr>
          <w:delText xml:space="preserve">at 3 months postpartum </w:delText>
        </w:r>
      </w:del>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17"/>
      <w:r w:rsidR="001D7078">
        <w:rPr>
          <w:rStyle w:val="CommentReference"/>
        </w:rPr>
        <w:commentReference w:id="17"/>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ins w:id="19" w:author="Dave Bridges" w:date="2021-06-16T11:20:00Z">
        <w:r w:rsidR="007D0555">
          <w:rPr>
            <w:rFonts w:ascii="Arial" w:hAnsi="Arial" w:cs="Arial"/>
            <w:color w:val="000000" w:themeColor="text1"/>
            <w:sz w:val="22"/>
            <w:szCs w:val="22"/>
          </w:rPr>
          <w:t xml:space="preserve">also </w:t>
        </w:r>
      </w:ins>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5247E49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del w:id="20" w:author="Dave Bridges" w:date="2021-06-16T11:20:00Z">
        <w:r w:rsidR="009A1ED6" w:rsidRPr="00EF5551" w:rsidDel="007D0555">
          <w:rPr>
            <w:rFonts w:ascii="Arial" w:hAnsi="Arial" w:cs="Arial"/>
            <w:color w:val="000000" w:themeColor="text1"/>
            <w:sz w:val="22"/>
            <w:szCs w:val="22"/>
          </w:rPr>
          <w:delText xml:space="preserve">main </w:delText>
        </w:r>
      </w:del>
      <w:ins w:id="21" w:author="Dave Bridges" w:date="2021-06-16T11:20:00Z">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ins>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w:t>
      </w:r>
      <w:commentRangeStart w:id="22"/>
      <w:r w:rsidR="009A1ED6" w:rsidRPr="00EF5551">
        <w:rPr>
          <w:rFonts w:ascii="Arial" w:hAnsi="Arial" w:cs="Arial"/>
          <w:color w:val="000000" w:themeColor="text1"/>
          <w:sz w:val="22"/>
          <w:szCs w:val="22"/>
        </w:rPr>
        <w:t>upregulated</w:t>
      </w:r>
      <w:ins w:id="23" w:author="Dave Bridges" w:date="2021-06-16T11:20:00Z">
        <w:r w:rsidR="007D0555">
          <w:rPr>
            <w:rFonts w:ascii="Arial" w:hAnsi="Arial" w:cs="Arial"/>
            <w:color w:val="000000" w:themeColor="text1"/>
            <w:sz w:val="22"/>
            <w:szCs w:val="22"/>
          </w:rPr>
          <w:t xml:space="preserve"> </w:t>
        </w:r>
        <w:commentRangeEnd w:id="22"/>
        <w:r w:rsidR="007D0555">
          <w:rPr>
            <w:rStyle w:val="CommentReference"/>
          </w:rPr>
          <w:commentReference w:id="22"/>
        </w:r>
      </w:ins>
      <w:del w:id="24" w:author="Dave Bridges" w:date="2021-06-16T11:20:00Z">
        <w:r w:rsidR="009A1ED6" w:rsidRPr="00EF5551" w:rsidDel="007D0555">
          <w:rPr>
            <w:rFonts w:ascii="Arial" w:hAnsi="Arial" w:cs="Arial"/>
            <w:color w:val="000000" w:themeColor="text1"/>
            <w:sz w:val="22"/>
            <w:szCs w:val="22"/>
          </w:rPr>
          <w:delText xml:space="preserve"> via the Akt pathway </w:delText>
        </w:r>
      </w:del>
      <w:r w:rsidR="009A1ED6"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ins w:id="25" w:author="Dave Bridges" w:date="2021-06-16T11:24:00Z">
        <w:r w:rsidR="00B94B98">
          <w:rPr>
            <w:rFonts w:ascii="Arial" w:hAnsi="Arial" w:cs="Arial"/>
            <w:color w:val="000000" w:themeColor="text1"/>
            <w:sz w:val="22"/>
            <w:szCs w:val="22"/>
          </w:rPr>
          <w:t xml:space="preserve"> and secretion</w:t>
        </w:r>
      </w:ins>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E4BAAC9"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del w:id="26" w:author="Dave Bridges" w:date="2021-06-16T11:26:00Z">
        <w:r w:rsidR="004818E3" w:rsidDel="003F7FCF">
          <w:rPr>
            <w:rFonts w:ascii="Arial" w:hAnsi="Arial" w:cs="Arial"/>
            <w:color w:val="000000" w:themeColor="text1"/>
            <w:sz w:val="22"/>
            <w:szCs w:val="22"/>
          </w:rPr>
          <w:delText xml:space="preserve">increases </w:delText>
        </w:r>
      </w:del>
      <w:ins w:id="27" w:author="Dave Bridges" w:date="2021-06-16T11:26:00Z">
        <w:r w:rsidR="003F7FCF">
          <w:rPr>
            <w:rFonts w:ascii="Arial" w:hAnsi="Arial" w:cs="Arial"/>
            <w:color w:val="000000" w:themeColor="text1"/>
            <w:sz w:val="22"/>
            <w:szCs w:val="22"/>
          </w:rPr>
          <w:t>changes</w:t>
        </w:r>
        <w:r w:rsidR="003F7FCF">
          <w:rPr>
            <w:rFonts w:ascii="Arial" w:hAnsi="Arial" w:cs="Arial"/>
            <w:color w:val="000000" w:themeColor="text1"/>
            <w:sz w:val="22"/>
            <w:szCs w:val="22"/>
          </w:rPr>
          <w:t xml:space="preserve">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del w:id="28" w:author="Dave Bridges" w:date="2021-06-16T11:26:00Z">
        <w:r w:rsidR="00FD2151" w:rsidRPr="00EF5551" w:rsidDel="003F7FCF">
          <w:rPr>
            <w:rFonts w:ascii="Arial" w:hAnsi="Arial" w:cs="Arial"/>
            <w:color w:val="000000" w:themeColor="text1"/>
            <w:sz w:val="22"/>
            <w:szCs w:val="22"/>
          </w:rPr>
          <w:delText>composition</w:delText>
        </w:r>
        <w:r w:rsidR="007F588F" w:rsidDel="003F7FCF">
          <w:rPr>
            <w:rFonts w:ascii="Arial" w:hAnsi="Arial" w:cs="Arial"/>
            <w:color w:val="000000" w:themeColor="text1"/>
            <w:sz w:val="22"/>
            <w:szCs w:val="22"/>
          </w:rPr>
          <w:delText xml:space="preserve"> </w:delText>
        </w:r>
      </w:del>
      <w:ins w:id="29" w:author="Dave Bridges" w:date="2021-06-16T11:26:00Z">
        <w:r w:rsidR="003F7FCF">
          <w:rPr>
            <w:rFonts w:ascii="Arial" w:hAnsi="Arial" w:cs="Arial"/>
            <w:color w:val="000000" w:themeColor="text1"/>
            <w:sz w:val="22"/>
            <w:szCs w:val="22"/>
          </w:rPr>
          <w:t>levels</w:t>
        </w:r>
        <w:r w:rsidR="003F7FCF">
          <w:rPr>
            <w:rFonts w:ascii="Arial" w:hAnsi="Arial" w:cs="Arial"/>
            <w:color w:val="000000" w:themeColor="text1"/>
            <w:sz w:val="22"/>
            <w:szCs w:val="22"/>
          </w:rPr>
          <w:t xml:space="preserve"> </w:t>
        </w:r>
      </w:ins>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w:t>
      </w:r>
      <w:del w:id="30" w:author="Dave Bridges" w:date="2021-06-16T11:26:00Z">
        <w:r w:rsidR="00CA4DA9" w:rsidDel="003F7FCF">
          <w:rPr>
            <w:rFonts w:ascii="Arial" w:hAnsi="Arial" w:cs="Arial"/>
            <w:color w:val="000000" w:themeColor="text1"/>
            <w:sz w:val="22"/>
            <w:szCs w:val="22"/>
          </w:rPr>
          <w:delText xml:space="preserve">lipid </w:delText>
        </w:r>
      </w:del>
      <w:ins w:id="31" w:author="Dave Bridges" w:date="2021-06-16T11:26:00Z">
        <w:r w:rsidR="003F7FCF">
          <w:rPr>
            <w:rFonts w:ascii="Arial" w:hAnsi="Arial" w:cs="Arial"/>
            <w:color w:val="000000" w:themeColor="text1"/>
            <w:sz w:val="22"/>
            <w:szCs w:val="22"/>
          </w:rPr>
          <w:t>fatty acid</w:t>
        </w:r>
        <w:bookmarkStart w:id="32" w:name="_GoBack"/>
        <w:bookmarkEnd w:id="32"/>
        <w:r w:rsidR="003F7FCF">
          <w:rPr>
            <w:rFonts w:ascii="Arial" w:hAnsi="Arial" w:cs="Arial"/>
            <w:color w:val="000000" w:themeColor="text1"/>
            <w:sz w:val="22"/>
            <w:szCs w:val="22"/>
          </w:rPr>
          <w:t xml:space="preserve"> </w:t>
        </w:r>
      </w:ins>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ins w:id="33" w:author="Dave Bridges" w:date="2021-06-16T11:25:00Z">
        <w:r w:rsidR="00B5389F">
          <w:rPr>
            <w:rFonts w:ascii="Arial" w:hAnsi="Arial" w:cs="Arial"/>
            <w:color w:val="000000" w:themeColor="text1"/>
            <w:sz w:val="22"/>
            <w:szCs w:val="22"/>
          </w:rPr>
          <w:t xml:space="preserve"> adaptive</w:t>
        </w:r>
      </w:ins>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del w:id="34" w:author="Dave Bridges" w:date="2021-06-16T11:25:00Z">
        <w:r w:rsidR="00CA4DA9" w:rsidDel="00B5389F">
          <w:rPr>
            <w:rFonts w:ascii="Arial" w:hAnsi="Arial" w:cs="Arial"/>
            <w:color w:val="000000" w:themeColor="text1"/>
            <w:sz w:val="22"/>
            <w:szCs w:val="22"/>
          </w:rPr>
          <w:delText>response</w:delText>
        </w:r>
        <w:r w:rsidR="007F588F" w:rsidDel="00B5389F">
          <w:rPr>
            <w:rFonts w:ascii="Arial" w:hAnsi="Arial" w:cs="Arial"/>
            <w:color w:val="000000" w:themeColor="text1"/>
            <w:sz w:val="22"/>
            <w:szCs w:val="22"/>
          </w:rPr>
          <w:delText xml:space="preserve"> pathways</w:delText>
        </w:r>
      </w:del>
      <w:ins w:id="35" w:author="Dave Bridges" w:date="2021-06-16T11:25:00Z">
        <w:r w:rsidR="00B5389F">
          <w:rPr>
            <w:rFonts w:ascii="Arial" w:hAnsi="Arial" w:cs="Arial"/>
            <w:color w:val="000000" w:themeColor="text1"/>
            <w:sz w:val="22"/>
            <w:szCs w:val="22"/>
          </w:rPr>
          <w:t>cell markers</w:t>
        </w:r>
      </w:ins>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A64D57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4FEFCDB4" w:rsidR="00790E70" w:rsidRPr="002F27A1" w:rsidRDefault="00790E70" w:rsidP="00C55AF5">
      <w:r w:rsidRPr="00EF5551">
        <w:rPr>
          <w:rFonts w:ascii="Arial" w:hAnsi="Arial" w:cs="Arial"/>
          <w:color w:val="000000" w:themeColor="text1"/>
          <w:sz w:val="22"/>
          <w:szCs w:val="22"/>
        </w:rPr>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w:t>
      </w:r>
      <w:r w:rsidRPr="00EF5551">
        <w:rPr>
          <w:rFonts w:ascii="Arial" w:hAnsi="Arial" w:cs="Arial"/>
          <w:color w:val="000000" w:themeColor="text1"/>
          <w:sz w:val="22"/>
          <w:szCs w:val="22"/>
        </w:rPr>
        <w:lastRenderedPageBreak/>
        <w:t>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proofErr w:type="gramStart"/>
      <w:r>
        <w:rPr>
          <w:rFonts w:ascii="Arial" w:hAnsi="Arial" w:cs="Arial"/>
          <w:color w:val="000000" w:themeColor="text1"/>
          <w:sz w:val="22"/>
          <w:szCs w:val="22"/>
        </w:rPr>
        <w:t>offspring</w:t>
      </w:r>
      <w:proofErr w:type="gramEnd"/>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411EA959"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1ADD0842"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recorded.</w:t>
      </w:r>
      <w:r w:rsidR="006910C1">
        <w:rPr>
          <w:rFonts w:ascii="Arial" w:hAnsi="Arial" w:cs="Arial"/>
          <w:color w:val="000000" w:themeColor="text1"/>
          <w:sz w:val="22"/>
          <w:szCs w:val="22"/>
        </w:rPr>
        <w:t xml:space="preserve"> 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0CBD0173"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change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Pr>
          <w:rFonts w:ascii="Arial" w:hAnsi="Arial" w:cs="Arial"/>
          <w:color w:val="000000" w:themeColor="text1"/>
          <w:sz w:val="22"/>
          <w:szCs w:val="22"/>
        </w:rPr>
        <w:t>nursing</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2E5C3A86"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w:t>
      </w:r>
      <w:r w:rsidRPr="00EF5551">
        <w:rPr>
          <w:rFonts w:ascii="Arial" w:hAnsi="Arial" w:cs="Arial"/>
          <w:color w:val="000000" w:themeColor="text1"/>
          <w:sz w:val="22"/>
          <w:szCs w:val="22"/>
        </w:rPr>
        <w:lastRenderedPageBreak/>
        <w:t xml:space="preserve">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7412113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r w:rsidRPr="002F2B63">
        <w:rPr>
          <w:rFonts w:ascii="Arial" w:hAnsi="Arial" w:cs="Arial"/>
          <w:color w:val="000000" w:themeColor="text1"/>
          <w:sz w:val="22"/>
          <w:szCs w:val="22"/>
          <w:highlight w:val="yellow"/>
        </w:rPr>
        <w:t xml:space="preserve">Briefly,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76C0977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creamatocrit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A5A67" w:rsidRPr="00F54B10">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345F6517"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lastRenderedPageBreak/>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w:t>
      </w:r>
      <w:commentRangeStart w:id="36"/>
      <w:r w:rsidR="00BD0A0D" w:rsidRPr="009629D6">
        <w:rPr>
          <w:rFonts w:ascii="Arial" w:hAnsi="Arial" w:cs="Arial"/>
          <w:sz w:val="22"/>
          <w:szCs w:val="22"/>
        </w:rPr>
        <w:t xml:space="preserve">265 </w:t>
      </w:r>
      <w:r w:rsidR="00572314">
        <w:rPr>
          <w:rFonts w:ascii="Arial" w:hAnsi="Arial" w:cs="Arial"/>
          <w:sz w:val="22"/>
          <w:szCs w:val="22"/>
        </w:rPr>
        <w:t>DEGs</w:t>
      </w:r>
      <w:r w:rsidR="00A47D44" w:rsidRPr="009629D6">
        <w:rPr>
          <w:rFonts w:ascii="Arial" w:hAnsi="Arial" w:cs="Arial"/>
          <w:sz w:val="22"/>
          <w:szCs w:val="22"/>
        </w:rPr>
        <w:t xml:space="preserve"> </w:t>
      </w:r>
      <w:commentRangeEnd w:id="36"/>
      <w:r w:rsidR="00957BC4">
        <w:rPr>
          <w:rStyle w:val="CommentReference"/>
        </w:rPr>
        <w:commentReference w:id="36"/>
      </w:r>
      <w:r w:rsidR="00A47D44" w:rsidRPr="009629D6">
        <w:rPr>
          <w:rFonts w:ascii="Arial" w:hAnsi="Arial" w:cs="Arial"/>
          <w:sz w:val="22"/>
          <w:szCs w:val="22"/>
        </w:rPr>
        <w:t xml:space="preserve">(q&lt;0.05).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684489A1"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10x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A5A67">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7388162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A5A67" w:rsidRPr="00B04202">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A5A67" w:rsidRPr="00B04202">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4D3CCEAB"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BD5ABB">
        <w:rPr>
          <w:rFonts w:ascii="Arial" w:eastAsia="MS PMincho" w:hAnsi="Arial" w:cs="Arial"/>
          <w:bCs/>
          <w:color w:val="000000" w:themeColor="text1"/>
          <w:sz w:val="22"/>
          <w:szCs w:val="22"/>
        </w:rPr>
        <w:t>WT</w:t>
      </w:r>
      <w:r w:rsidR="00853EA7">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BD5ABB">
        <w:rPr>
          <w:rFonts w:ascii="Arial" w:eastAsia="MS PMincho" w:hAnsi="Arial" w:cs="Arial"/>
          <w:bCs/>
          <w:color w:val="000000" w:themeColor="text1"/>
          <w:sz w:val="22"/>
          <w:szCs w:val="22"/>
        </w:rPr>
        <w:t>KO</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4DE21F01"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37"/>
      <w:commentRangeStart w:id="38"/>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37"/>
      <w:r w:rsidR="00AC714A">
        <w:rPr>
          <w:rStyle w:val="CommentReference"/>
        </w:rPr>
        <w:commentReference w:id="37"/>
      </w:r>
      <w:commentRangeEnd w:id="38"/>
      <w:r w:rsidR="00624373">
        <w:rPr>
          <w:rStyle w:val="CommentReference"/>
        </w:rPr>
        <w:commentReference w:id="38"/>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719AA0B1"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137CEA">
        <w:rPr>
          <w:rFonts w:ascii="Arial" w:hAnsi="Arial" w:cs="Arial"/>
          <w:color w:val="000000" w:themeColor="text1"/>
          <w:sz w:val="22"/>
          <w:szCs w:val="22"/>
        </w:rPr>
        <w:t>KO and WT</w:t>
      </w:r>
      <w:r w:rsidR="0031147B">
        <w:rPr>
          <w:rFonts w:ascii="Arial" w:hAnsi="Arial" w:cs="Arial"/>
          <w:color w:val="000000" w:themeColor="text1"/>
          <w:sz w:val="22"/>
          <w:szCs w:val="22"/>
        </w:rPr>
        <w:t xml:space="preserve">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845743">
        <w:rPr>
          <w:rFonts w:ascii="Arial" w:hAnsi="Arial" w:cs="Arial"/>
          <w:color w:val="000000" w:themeColor="text1"/>
          <w:sz w:val="22"/>
          <w:szCs w:val="22"/>
        </w:rPr>
        <w:t>KO</w:t>
      </w:r>
      <w:r w:rsidR="00713921">
        <w:rPr>
          <w:rFonts w:ascii="Arial" w:hAnsi="Arial" w:cs="Arial"/>
          <w:color w:val="000000" w:themeColor="text1"/>
          <w:sz w:val="22"/>
          <w:szCs w:val="22"/>
        </w:rPr>
        <w:t xml:space="preserve">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581AC952"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39"/>
      <w:commentRangeStart w:id="40"/>
      <w:r>
        <w:rPr>
          <w:rFonts w:ascii="Arial" w:hAnsi="Arial" w:cs="Arial"/>
          <w:color w:val="000000" w:themeColor="text1"/>
          <w:sz w:val="22"/>
          <w:szCs w:val="22"/>
        </w:rPr>
        <w:t xml:space="preserve">nearly twice </w:t>
      </w:r>
      <w:commentRangeEnd w:id="39"/>
      <w:r w:rsidR="0060425F">
        <w:rPr>
          <w:rStyle w:val="CommentReference"/>
        </w:rPr>
        <w:commentReference w:id="39"/>
      </w:r>
      <w:commentRangeEnd w:id="40"/>
      <w:r w:rsidR="008C489C">
        <w:rPr>
          <w:rStyle w:val="CommentReference"/>
        </w:rPr>
        <w:commentReference w:id="40"/>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1D9D54"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KO and WT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4D2647">
        <w:rPr>
          <w:rFonts w:ascii="Arial" w:hAnsi="Arial" w:cs="Arial"/>
          <w:color w:val="000000" w:themeColor="text1"/>
          <w:sz w:val="22"/>
          <w:szCs w:val="22"/>
        </w:rPr>
        <w:t>Consistent with this finding,</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4B2E4911"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554083AD"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4442CF">
        <w:rPr>
          <w:rFonts w:ascii="Arial" w:hAnsi="Arial" w:cs="Arial"/>
          <w:color w:val="000000" w:themeColor="text1"/>
          <w:sz w:val="22"/>
          <w:szCs w:val="22"/>
        </w:rPr>
        <w:t xml:space="preserve"> using </w:t>
      </w:r>
      <w:r>
        <w:rPr>
          <w:rFonts w:ascii="Arial" w:hAnsi="Arial" w:cs="Arial"/>
          <w:color w:val="000000" w:themeColor="text1"/>
          <w:sz w:val="22"/>
          <w:szCs w:val="22"/>
        </w:rPr>
        <w:t>the weigh-suckle-weigh method</w:t>
      </w:r>
      <w:r w:rsidR="00AD6BBC">
        <w:rPr>
          <w:rFonts w:ascii="Arial" w:hAnsi="Arial" w:cs="Arial"/>
          <w:color w:val="000000" w:themeColor="text1"/>
          <w:sz w:val="22"/>
          <w:szCs w:val="22"/>
        </w:rPr>
        <w:t>.</w:t>
      </w:r>
      <w:r w:rsidR="004442CF">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4442CF">
        <w:rPr>
          <w:rFonts w:ascii="Arial" w:hAnsi="Arial" w:cs="Arial"/>
          <w:color w:val="000000" w:themeColor="text1"/>
          <w:sz w:val="22"/>
          <w:szCs w:val="22"/>
        </w:rPr>
        <w:t xml:space="preserve"> after a full hour of nursing</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 xml:space="preserve">dams pre- and post- </w:t>
      </w:r>
      <w:r w:rsidR="004442CF">
        <w:rPr>
          <w:rFonts w:ascii="Arial" w:hAnsi="Arial" w:cs="Arial"/>
          <w:color w:val="000000" w:themeColor="text1"/>
          <w:sz w:val="22"/>
          <w:szCs w:val="22"/>
        </w:rPr>
        <w:t xml:space="preserve">nursing for one hour </w:t>
      </w:r>
      <w:r w:rsidR="00C302BE">
        <w:rPr>
          <w:rFonts w:ascii="Arial" w:hAnsi="Arial" w:cs="Arial"/>
          <w:color w:val="000000" w:themeColor="text1"/>
          <w:sz w:val="22"/>
          <w:szCs w:val="22"/>
        </w:rPr>
        <w:t>(Supplementary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7C52E8">
        <w:rPr>
          <w:rFonts w:ascii="Arial" w:hAnsi="Arial" w:cs="Arial"/>
          <w:color w:val="000000" w:themeColor="text1"/>
          <w:sz w:val="22"/>
          <w:szCs w:val="22"/>
        </w:rPr>
        <w:t xml:space="preserve"> highlighting that the differences we saw in offspring weight were not driven by increased milk output in the KO 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creamatocrit technique </w:t>
      </w:r>
      <w:r w:rsidR="008B3CA4" w:rsidRPr="00EF5551">
        <w:rPr>
          <w:rFonts w:ascii="Arial" w:hAnsi="Arial" w:cs="Arial"/>
          <w:color w:val="000000" w:themeColor="text1"/>
          <w:sz w:val="22"/>
          <w:szCs w:val="22"/>
        </w:rPr>
        <w:t xml:space="preserve">revealed that milk of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KO 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695B8CAE"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CD289F">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2F37BFE"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xml:space="preserve">, suggesting that </w:t>
      </w:r>
      <w:r w:rsidR="00B54E9A">
        <w:rPr>
          <w:rFonts w:ascii="Arial" w:hAnsi="Arial" w:cs="Arial"/>
          <w:color w:val="000000" w:themeColor="text1"/>
          <w:sz w:val="22"/>
          <w:szCs w:val="22"/>
        </w:rPr>
        <w:t xml:space="preserve">the upstream </w:t>
      </w:r>
      <w:r>
        <w:rPr>
          <w:rFonts w:ascii="Arial" w:hAnsi="Arial" w:cs="Arial"/>
          <w:color w:val="000000" w:themeColor="text1"/>
          <w:sz w:val="22"/>
          <w:szCs w:val="22"/>
        </w:rPr>
        <w:t>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41"/>
      <w:r w:rsidR="00A0360B">
        <w:rPr>
          <w:rFonts w:ascii="Arial" w:hAnsi="Arial" w:cs="Arial"/>
          <w:color w:val="000000" w:themeColor="text1"/>
          <w:sz w:val="22"/>
          <w:szCs w:val="22"/>
        </w:rPr>
        <w:t>increased</w:t>
      </w:r>
      <w:commentRangeEnd w:id="41"/>
      <w:r w:rsidR="00686AFF">
        <w:rPr>
          <w:rFonts w:ascii="Arial" w:hAnsi="Arial" w:cs="Arial"/>
          <w:color w:val="000000" w:themeColor="text1"/>
          <w:sz w:val="22"/>
          <w:szCs w:val="22"/>
        </w:rPr>
        <w:t xml:space="preserve"> </w:t>
      </w:r>
      <w:r w:rsidR="00426914">
        <w:rPr>
          <w:rStyle w:val="CommentReference"/>
        </w:rPr>
        <w:commentReference w:id="41"/>
      </w:r>
      <w:r w:rsidR="00686AFF">
        <w:rPr>
          <w:rFonts w:ascii="Arial" w:hAnsi="Arial" w:cs="Arial"/>
          <w:color w:val="000000" w:themeColor="text1"/>
          <w:sz w:val="22"/>
          <w:szCs w:val="22"/>
        </w:rPr>
        <w:t xml:space="preserve">or selective sparing of DHA from catabolism occurs </w:t>
      </w:r>
      <w:r>
        <w:rPr>
          <w:rFonts w:ascii="Arial" w:hAnsi="Arial" w:cs="Arial"/>
          <w:color w:val="000000" w:themeColor="text1"/>
          <w:sz w:val="22"/>
          <w:szCs w:val="22"/>
        </w:rPr>
        <w:t xml:space="preserve">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100CF1A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45743">
        <w:rPr>
          <w:rFonts w:ascii="Arial" w:hAnsi="Arial" w:cs="Arial"/>
          <w:sz w:val="22"/>
        </w:rPr>
        <w:t xml:space="preserve">WT and KO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42"/>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42"/>
      <w:r w:rsidR="001E50AD">
        <w:rPr>
          <w:rStyle w:val="CommentReference"/>
        </w:rPr>
        <w:commentReference w:id="42"/>
      </w:r>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 xml:space="preserve">KO mammary glands has been shown to increase the size and number of lipid </w:t>
      </w:r>
      <w:r w:rsidR="00EA0A35" w:rsidRPr="00F32254">
        <w:rPr>
          <w:rFonts w:ascii="Arial" w:hAnsi="Arial" w:cs="Arial"/>
          <w:sz w:val="22"/>
          <w:highlight w:val="yellow"/>
        </w:rPr>
        <w:lastRenderedPageBreak/>
        <w:t>droplets in the mammary glands of lactating mice at peak lactation https://academic.oup.com/endo/article/156/4/1504/2803767</w:t>
      </w:r>
    </w:p>
    <w:p w14:paraId="012BED28" w14:textId="77777777" w:rsidR="00487AC0" w:rsidRDefault="00487AC0" w:rsidP="00C55AF5">
      <w:pPr>
        <w:rPr>
          <w:rFonts w:ascii="Arial" w:hAnsi="Arial" w:cs="Arial"/>
          <w:sz w:val="22"/>
        </w:rPr>
      </w:pPr>
    </w:p>
    <w:p w14:paraId="13C779BF" w14:textId="6517816C"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43"/>
      <w:commentRangeStart w:id="44"/>
      <w:commentRangeStart w:id="45"/>
      <w:r w:rsidR="00CB042A">
        <w:rPr>
          <w:rFonts w:ascii="Arial" w:hAnsi="Arial" w:cs="Arial"/>
          <w:sz w:val="22"/>
        </w:rPr>
        <w:t>adaptive immune cells in these mammary glands</w:t>
      </w:r>
      <w:commentRangeEnd w:id="43"/>
      <w:r w:rsidR="00F21112">
        <w:rPr>
          <w:rStyle w:val="CommentReference"/>
        </w:rPr>
        <w:commentReference w:id="43"/>
      </w:r>
      <w:commentRangeEnd w:id="44"/>
      <w:commentRangeEnd w:id="45"/>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44"/>
      </w:r>
      <w:r w:rsidR="00D635AB">
        <w:rPr>
          <w:rStyle w:val="CommentReference"/>
        </w:rPr>
        <w:commentReference w:id="45"/>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4ED793DF"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46" w:author="Noura El Habbal" w:date="2021-05-12T02:27:00Z">
        <w:r w:rsidR="009A4FDC" w:rsidRPr="00EF5551">
          <w:rPr>
            <w:rFonts w:ascii="Arial" w:hAnsi="Arial" w:cs="Arial"/>
            <w:color w:val="000000" w:themeColor="text1"/>
            <w:sz w:val="22"/>
            <w:szCs w:val="22"/>
          </w:rPr>
          <w:fldChar w:fldCharType="begin" w:fldLock="1"/>
        </w:r>
      </w:ins>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ins w:id="47"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48"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49"/>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49"/>
      <w:r w:rsidR="00146CB1">
        <w:rPr>
          <w:rStyle w:val="CommentReference"/>
        </w:rPr>
        <w:commentReference w:id="49"/>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50"/>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50"/>
      <w:r w:rsidR="00245A45">
        <w:rPr>
          <w:rStyle w:val="CommentReference"/>
        </w:rPr>
        <w:commentReference w:id="50"/>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51"/>
      <w:commentRangeStart w:id="52"/>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51"/>
      <w:r w:rsidR="00BA2274">
        <w:rPr>
          <w:rStyle w:val="CommentReference"/>
        </w:rPr>
        <w:commentReference w:id="51"/>
      </w:r>
      <w:commentRangeEnd w:id="52"/>
      <w:r w:rsidR="00146CB1">
        <w:rPr>
          <w:rStyle w:val="CommentReference"/>
        </w:rPr>
        <w:commentReference w:id="52"/>
      </w:r>
    </w:p>
    <w:p w14:paraId="6D8C972E" w14:textId="77777777" w:rsidR="00011C59" w:rsidRDefault="00011C59" w:rsidP="00C55AF5">
      <w:pPr>
        <w:rPr>
          <w:rFonts w:ascii="Arial" w:hAnsi="Arial" w:cs="Arial"/>
          <w:color w:val="000000" w:themeColor="text1"/>
          <w:sz w:val="22"/>
          <w:szCs w:val="22"/>
        </w:rPr>
      </w:pPr>
    </w:p>
    <w:p w14:paraId="6018343A" w14:textId="5D8B48E9"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53"/>
      <w:r>
        <w:rPr>
          <w:rFonts w:ascii="Arial" w:hAnsi="Arial" w:cs="Arial"/>
          <w:color w:val="000000" w:themeColor="text1"/>
          <w:sz w:val="22"/>
          <w:szCs w:val="22"/>
        </w:rPr>
        <w:t>two</w:t>
      </w:r>
      <w:commentRangeEnd w:id="53"/>
      <w:r w:rsidR="00D22AC0">
        <w:rPr>
          <w:rStyle w:val="CommentReference"/>
        </w:rPr>
        <w:commentReference w:id="53"/>
      </w:r>
      <w:r>
        <w:rPr>
          <w:rFonts w:ascii="Arial" w:hAnsi="Arial" w:cs="Arial"/>
          <w:color w:val="000000" w:themeColor="text1"/>
          <w:sz w:val="22"/>
          <w:szCs w:val="22"/>
        </w:rPr>
        <w:t xml:space="preserve"> potential explanations, </w:t>
      </w:r>
      <w:commentRangeStart w:id="54"/>
      <w:commentRangeStart w:id="55"/>
      <w:r>
        <w:rPr>
          <w:rFonts w:ascii="Arial" w:hAnsi="Arial" w:cs="Arial"/>
          <w:color w:val="000000" w:themeColor="text1"/>
          <w:sz w:val="22"/>
          <w:szCs w:val="22"/>
        </w:rPr>
        <w:t xml:space="preserve">one is that </w:t>
      </w:r>
      <w:r w:rsidR="00DE55CA">
        <w:rPr>
          <w:rFonts w:ascii="Arial" w:hAnsi="Arial" w:cs="Arial"/>
          <w:color w:val="000000" w:themeColor="text1"/>
          <w:sz w:val="22"/>
          <w:szCs w:val="22"/>
        </w:rPr>
        <w:t xml:space="preserve">in the KO </w:t>
      </w:r>
      <w:r>
        <w:rPr>
          <w:rFonts w:ascii="Arial" w:hAnsi="Arial" w:cs="Arial"/>
          <w:color w:val="000000" w:themeColor="text1"/>
          <w:sz w:val="22"/>
          <w:szCs w:val="22"/>
        </w:rPr>
        <w:t xml:space="preserve">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54"/>
      <w:r w:rsidR="000677A5">
        <w:rPr>
          <w:rStyle w:val="CommentReference"/>
        </w:rPr>
        <w:commentReference w:id="54"/>
      </w:r>
      <w:commentRangeEnd w:id="55"/>
      <w:r w:rsidR="00DE55CA">
        <w:rPr>
          <w:rFonts w:ascii="Arial" w:hAnsi="Arial" w:cs="Arial"/>
          <w:color w:val="000000" w:themeColor="text1"/>
          <w:sz w:val="22"/>
          <w:szCs w:val="22"/>
        </w:rPr>
        <w:t xml:space="preserve"> into the milk</w:t>
      </w:r>
      <w:r w:rsidR="00DC5970">
        <w:rPr>
          <w:rStyle w:val="CommentReference"/>
        </w:rPr>
        <w:commentReference w:id="55"/>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C0657D"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lastRenderedPageBreak/>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w:t>
      </w:r>
      <w:commentRangeStart w:id="56"/>
      <w:r w:rsidR="00AD46FF">
        <w:rPr>
          <w:rFonts w:ascii="Arial" w:hAnsi="Arial" w:cs="Arial"/>
          <w:color w:val="000000" w:themeColor="text1"/>
          <w:sz w:val="22"/>
          <w:szCs w:val="22"/>
        </w:rPr>
        <w:t>cell-types.</w:t>
      </w:r>
      <w:r w:rsidR="0058600C" w:rsidRPr="0058600C">
        <w:rPr>
          <w:rFonts w:ascii="Arial" w:hAnsi="Arial" w:cs="Arial"/>
          <w:color w:val="000000" w:themeColor="text1"/>
          <w:sz w:val="22"/>
          <w:szCs w:val="22"/>
        </w:rPr>
        <w:t xml:space="preserve"> </w:t>
      </w:r>
      <w:commentRangeEnd w:id="56"/>
      <w:r w:rsidR="00242C83">
        <w:rPr>
          <w:rStyle w:val="CommentReference"/>
        </w:rPr>
        <w:commentReference w:id="56"/>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00263B40"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57"/>
      <w:r w:rsidR="00955460">
        <w:rPr>
          <w:rFonts w:ascii="Arial" w:hAnsi="Arial" w:cs="Arial"/>
          <w:color w:val="000000" w:themeColor="text1"/>
          <w:sz w:val="22"/>
          <w:szCs w:val="22"/>
        </w:rPr>
        <w:t xml:space="preserve">PC-DHA </w:t>
      </w:r>
      <w:commentRangeEnd w:id="57"/>
      <w:r w:rsidR="002F4FE3">
        <w:rPr>
          <w:rStyle w:val="CommentReference"/>
        </w:rPr>
        <w:commentReference w:id="57"/>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A5A67">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58"/>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58"/>
      <w:r w:rsidR="006055B6">
        <w:rPr>
          <w:rStyle w:val="CommentReference"/>
        </w:rPr>
        <w:commentReference w:id="58"/>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59"/>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59"/>
      <w:r w:rsidR="00A32620">
        <w:rPr>
          <w:rStyle w:val="CommentReference"/>
        </w:rPr>
        <w:commentReference w:id="59"/>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lastRenderedPageBreak/>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51F1183B" w14:textId="4FD579B1" w:rsidR="001533D5" w:rsidRPr="001533D5" w:rsidRDefault="001745BF" w:rsidP="001533D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1533D5" w:rsidRPr="001533D5">
        <w:rPr>
          <w:rFonts w:ascii="Arial" w:hAnsi="Arial" w:cs="Arial"/>
          <w:noProof/>
          <w:sz w:val="22"/>
        </w:rPr>
        <w:t xml:space="preserve">1. Lessen, R., and K. Kavanagh. 2015. Position of the academy of nutrition and dietetics: Promoting and supporting breastfeeding. </w:t>
      </w:r>
      <w:r w:rsidR="001533D5" w:rsidRPr="001533D5">
        <w:rPr>
          <w:rFonts w:ascii="Arial" w:hAnsi="Arial" w:cs="Arial"/>
          <w:i/>
          <w:iCs/>
          <w:noProof/>
          <w:sz w:val="22"/>
        </w:rPr>
        <w:t>J. Acad. Nutr. Diet.</w:t>
      </w:r>
      <w:r w:rsidR="001533D5" w:rsidRPr="001533D5">
        <w:rPr>
          <w:rFonts w:ascii="Arial" w:hAnsi="Arial" w:cs="Arial"/>
          <w:noProof/>
          <w:sz w:val="22"/>
        </w:rPr>
        <w:t xml:space="preserve"> </w:t>
      </w:r>
      <w:r w:rsidR="001533D5" w:rsidRPr="001533D5">
        <w:rPr>
          <w:rFonts w:ascii="Arial" w:hAnsi="Arial" w:cs="Arial"/>
          <w:b/>
          <w:bCs/>
          <w:noProof/>
          <w:sz w:val="22"/>
        </w:rPr>
        <w:t>115</w:t>
      </w:r>
      <w:r w:rsidR="001533D5" w:rsidRPr="001533D5">
        <w:rPr>
          <w:rFonts w:ascii="Arial" w:hAnsi="Arial" w:cs="Arial"/>
          <w:noProof/>
          <w:sz w:val="22"/>
        </w:rPr>
        <w:t>: 444–449.</w:t>
      </w:r>
      <w:r w:rsidR="001533D5" w:rsidRPr="001533D5">
        <w:rPr>
          <w:rFonts w:ascii="Arial" w:hAnsi="Arial" w:cs="Arial"/>
          <w:noProof/>
          <w:sz w:val="22"/>
        </w:rPr>
        <w:tab/>
      </w:r>
    </w:p>
    <w:p w14:paraId="293B5D9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 Macias, H., and L. Hinck. 2012. Mammary gland development. </w:t>
      </w:r>
      <w:r w:rsidRPr="001533D5">
        <w:rPr>
          <w:rFonts w:ascii="Arial" w:hAnsi="Arial" w:cs="Arial"/>
          <w:i/>
          <w:iCs/>
          <w:noProof/>
          <w:sz w:val="22"/>
        </w:rPr>
        <w:t>Wiley Interdiscip. Rev. Dev. Biol.</w:t>
      </w:r>
      <w:r w:rsidRPr="001533D5">
        <w:rPr>
          <w:rFonts w:ascii="Arial" w:hAnsi="Arial" w:cs="Arial"/>
          <w:noProof/>
          <w:sz w:val="22"/>
        </w:rPr>
        <w:t xml:space="preserve"> </w:t>
      </w:r>
      <w:r w:rsidRPr="001533D5">
        <w:rPr>
          <w:rFonts w:ascii="Arial" w:hAnsi="Arial" w:cs="Arial"/>
          <w:b/>
          <w:bCs/>
          <w:noProof/>
          <w:sz w:val="22"/>
        </w:rPr>
        <w:t>1</w:t>
      </w:r>
      <w:r w:rsidRPr="001533D5">
        <w:rPr>
          <w:rFonts w:ascii="Arial" w:hAnsi="Arial" w:cs="Arial"/>
          <w:noProof/>
          <w:sz w:val="22"/>
        </w:rPr>
        <w:t>: 533–57. [online] http://www.pubmedcentral.nih.gov/articlerender.fcgi?artid=PMC3404495 (Accessed June 24, 2019).</w:t>
      </w:r>
      <w:r w:rsidRPr="001533D5">
        <w:rPr>
          <w:rFonts w:ascii="Arial" w:hAnsi="Arial" w:cs="Arial"/>
          <w:noProof/>
          <w:sz w:val="22"/>
        </w:rPr>
        <w:tab/>
      </w:r>
    </w:p>
    <w:p w14:paraId="6582084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 Hartmann, P. E., R. A. Owens, D. B. Cox, and J. C. Kent. 1996. Establishing lactation Breast development and control of milk synthesis.</w:t>
      </w:r>
      <w:r w:rsidRPr="001533D5">
        <w:rPr>
          <w:rFonts w:ascii="Arial" w:hAnsi="Arial" w:cs="Arial"/>
          <w:noProof/>
          <w:sz w:val="22"/>
        </w:rPr>
        <w:tab/>
      </w:r>
    </w:p>
    <w:p w14:paraId="48845BE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 Landskroner-Eiger, S., J. Park, D. Israel, J. W. Pollard, and P. E. Scherer. 2010. Morphogenesis of the developing mammary gland: stage-dependent impact of adipocytes. </w:t>
      </w:r>
      <w:r w:rsidRPr="001533D5">
        <w:rPr>
          <w:rFonts w:ascii="Arial" w:hAnsi="Arial" w:cs="Arial"/>
          <w:i/>
          <w:iCs/>
          <w:noProof/>
          <w:sz w:val="22"/>
        </w:rPr>
        <w:t>Dev. Biol.</w:t>
      </w:r>
      <w:r w:rsidRPr="001533D5">
        <w:rPr>
          <w:rFonts w:ascii="Arial" w:hAnsi="Arial" w:cs="Arial"/>
          <w:noProof/>
          <w:sz w:val="22"/>
        </w:rPr>
        <w:t xml:space="preserve"> </w:t>
      </w:r>
      <w:r w:rsidRPr="001533D5">
        <w:rPr>
          <w:rFonts w:ascii="Arial" w:hAnsi="Arial" w:cs="Arial"/>
          <w:b/>
          <w:bCs/>
          <w:noProof/>
          <w:sz w:val="22"/>
        </w:rPr>
        <w:t>344</w:t>
      </w:r>
      <w:r w:rsidRPr="001533D5">
        <w:rPr>
          <w:rFonts w:ascii="Arial" w:hAnsi="Arial" w:cs="Arial"/>
          <w:noProof/>
          <w:sz w:val="22"/>
        </w:rPr>
        <w:t>: 968–78. [online] http://www.ncbi.nlm.nih.gov/pubmed/20599899 (Accessed July 17, 2019).</w:t>
      </w:r>
      <w:r w:rsidRPr="001533D5">
        <w:rPr>
          <w:rFonts w:ascii="Arial" w:hAnsi="Arial" w:cs="Arial"/>
          <w:noProof/>
          <w:sz w:val="22"/>
        </w:rPr>
        <w:tab/>
      </w:r>
    </w:p>
    <w:p w14:paraId="18C61A5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5. Machino, M. 1976. Growth and Differentiation, Vo1. [online] https://onlinelibrary.wiley.com/doi/pdf/10.1111/j.1440-169X.1976.00079.x (Accessed July 17, 2019).</w:t>
      </w:r>
      <w:r w:rsidRPr="001533D5">
        <w:rPr>
          <w:rFonts w:ascii="Arial" w:hAnsi="Arial" w:cs="Arial"/>
          <w:noProof/>
          <w:sz w:val="22"/>
        </w:rPr>
        <w:tab/>
      </w:r>
    </w:p>
    <w:p w14:paraId="02ED2D4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1533D5">
        <w:rPr>
          <w:rFonts w:ascii="Arial" w:hAnsi="Arial" w:cs="Arial"/>
          <w:i/>
          <w:iCs/>
          <w:noProof/>
          <w:sz w:val="22"/>
        </w:rPr>
        <w:t>Nat. Commun.</w:t>
      </w:r>
      <w:r w:rsidRPr="001533D5">
        <w:rPr>
          <w:rFonts w:ascii="Arial" w:hAnsi="Arial" w:cs="Arial"/>
          <w:noProof/>
          <w:sz w:val="22"/>
        </w:rPr>
        <w:t xml:space="preserve"> </w:t>
      </w:r>
      <w:r w:rsidRPr="001533D5">
        <w:rPr>
          <w:rFonts w:ascii="Arial" w:hAnsi="Arial" w:cs="Arial"/>
          <w:b/>
          <w:bCs/>
          <w:noProof/>
          <w:sz w:val="22"/>
        </w:rPr>
        <w:t>9</w:t>
      </w:r>
      <w:r w:rsidRPr="001533D5">
        <w:rPr>
          <w:rFonts w:ascii="Arial" w:hAnsi="Arial" w:cs="Arial"/>
          <w:noProof/>
          <w:sz w:val="22"/>
        </w:rPr>
        <w:t>: 3592. [online] http://www.ncbi.nlm.nih.gov/pubmed/30181538 (Accessed July 10, 2019).</w:t>
      </w:r>
      <w:r w:rsidRPr="001533D5">
        <w:rPr>
          <w:rFonts w:ascii="Arial" w:hAnsi="Arial" w:cs="Arial"/>
          <w:noProof/>
          <w:sz w:val="22"/>
        </w:rPr>
        <w:tab/>
      </w:r>
    </w:p>
    <w:p w14:paraId="5FEF0D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7. Products - Data Briefs - Number 392 - November 2020. [online] https://www.cdc.gov/nchs/products/databriefs/db392.htm (Accessed April 6, 2021).</w:t>
      </w:r>
      <w:r w:rsidRPr="001533D5">
        <w:rPr>
          <w:rFonts w:ascii="Arial" w:hAnsi="Arial" w:cs="Arial"/>
          <w:noProof/>
          <w:sz w:val="22"/>
        </w:rPr>
        <w:tab/>
      </w:r>
    </w:p>
    <w:p w14:paraId="70E217F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8. Barker, D. J. P. 2007. The origins of the developmental origins theory. </w:t>
      </w:r>
      <w:r w:rsidRPr="001533D5">
        <w:rPr>
          <w:rFonts w:ascii="Arial" w:hAnsi="Arial" w:cs="Arial"/>
          <w:i/>
          <w:iCs/>
          <w:noProof/>
          <w:sz w:val="22"/>
        </w:rPr>
        <w:t>J. Intern. Med.</w:t>
      </w:r>
      <w:r w:rsidRPr="001533D5">
        <w:rPr>
          <w:rFonts w:ascii="Arial" w:hAnsi="Arial" w:cs="Arial"/>
          <w:noProof/>
          <w:sz w:val="22"/>
        </w:rPr>
        <w:t xml:space="preserve"> </w:t>
      </w:r>
      <w:r w:rsidRPr="001533D5">
        <w:rPr>
          <w:rFonts w:ascii="Arial" w:hAnsi="Arial" w:cs="Arial"/>
          <w:b/>
          <w:bCs/>
          <w:noProof/>
          <w:sz w:val="22"/>
        </w:rPr>
        <w:t>261</w:t>
      </w:r>
      <w:r w:rsidRPr="001533D5">
        <w:rPr>
          <w:rFonts w:ascii="Arial" w:hAnsi="Arial" w:cs="Arial"/>
          <w:noProof/>
          <w:sz w:val="22"/>
        </w:rPr>
        <w:t xml:space="preserve">: 412–417. [online] http://doi.wiley.com/10.1111/j.1365-2796.2007.01809.x (Accessed April </w:t>
      </w:r>
      <w:r w:rsidRPr="001533D5">
        <w:rPr>
          <w:rFonts w:ascii="Arial" w:hAnsi="Arial" w:cs="Arial"/>
          <w:noProof/>
          <w:sz w:val="22"/>
        </w:rPr>
        <w:lastRenderedPageBreak/>
        <w:t>1, 2019).</w:t>
      </w:r>
      <w:r w:rsidRPr="001533D5">
        <w:rPr>
          <w:rFonts w:ascii="Arial" w:hAnsi="Arial" w:cs="Arial"/>
          <w:noProof/>
          <w:sz w:val="22"/>
        </w:rPr>
        <w:tab/>
      </w:r>
    </w:p>
    <w:p w14:paraId="2CBF212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9. Ramji, N., J. Quinlan, P. Murphy, and J. M. G. Crane. 2016. The Impact of Maternal Obesity on Breastfeeding. </w:t>
      </w:r>
      <w:r w:rsidRPr="001533D5">
        <w:rPr>
          <w:rFonts w:ascii="Arial" w:hAnsi="Arial" w:cs="Arial"/>
          <w:i/>
          <w:iCs/>
          <w:noProof/>
          <w:sz w:val="22"/>
        </w:rPr>
        <w:t>J. Obstet. Gynaecol. Canada</w:t>
      </w:r>
      <w:r w:rsidRPr="001533D5">
        <w:rPr>
          <w:rFonts w:ascii="Arial" w:hAnsi="Arial" w:cs="Arial"/>
          <w:noProof/>
          <w:sz w:val="22"/>
        </w:rPr>
        <w:t xml:space="preserve">. </w:t>
      </w:r>
      <w:r w:rsidRPr="001533D5">
        <w:rPr>
          <w:rFonts w:ascii="Arial" w:hAnsi="Arial" w:cs="Arial"/>
          <w:b/>
          <w:bCs/>
          <w:noProof/>
          <w:sz w:val="22"/>
        </w:rPr>
        <w:t>38</w:t>
      </w:r>
      <w:r w:rsidRPr="001533D5">
        <w:rPr>
          <w:rFonts w:ascii="Arial" w:hAnsi="Arial" w:cs="Arial"/>
          <w:noProof/>
          <w:sz w:val="22"/>
        </w:rPr>
        <w:t>: 703–711. [online] http://www.ncbi.nlm.nih.gov/pubmed/27638980 (Accessed May 15, 2019).</w:t>
      </w:r>
      <w:r w:rsidRPr="001533D5">
        <w:rPr>
          <w:rFonts w:ascii="Arial" w:hAnsi="Arial" w:cs="Arial"/>
          <w:noProof/>
          <w:sz w:val="22"/>
        </w:rPr>
        <w:tab/>
      </w:r>
    </w:p>
    <w:p w14:paraId="3B67795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10. Rasmussen, K. M., and C. L. Kjolhede. 2004. Prepregnant overweight and obesity diminish the prolactin response to suckling in the first week postpartum.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113</w:t>
      </w:r>
      <w:r w:rsidRPr="001533D5">
        <w:rPr>
          <w:rFonts w:ascii="Arial" w:hAnsi="Arial" w:cs="Arial"/>
          <w:noProof/>
          <w:sz w:val="22"/>
        </w:rPr>
        <w:t>: e465-71.</w:t>
      </w:r>
      <w:r w:rsidRPr="001533D5">
        <w:rPr>
          <w:rFonts w:ascii="Arial" w:hAnsi="Arial" w:cs="Arial"/>
          <w:noProof/>
          <w:sz w:val="22"/>
        </w:rPr>
        <w:tab/>
      </w:r>
    </w:p>
    <w:p w14:paraId="0BA78E00"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1533D5">
        <w:rPr>
          <w:rFonts w:ascii="Arial" w:hAnsi="Arial" w:cs="Arial"/>
          <w:i/>
          <w:iCs/>
          <w:noProof/>
          <w:sz w:val="22"/>
        </w:rPr>
        <w:t>Pediatr. Obes.</w:t>
      </w:r>
      <w:r w:rsidRPr="001533D5">
        <w:rPr>
          <w:rFonts w:ascii="Arial" w:hAnsi="Arial" w:cs="Arial"/>
          <w:noProof/>
          <w:sz w:val="22"/>
        </w:rPr>
        <w:t xml:space="preserve"> </w:t>
      </w:r>
      <w:r w:rsidRPr="001533D5">
        <w:rPr>
          <w:rFonts w:ascii="Arial" w:hAnsi="Arial" w:cs="Arial"/>
          <w:b/>
          <w:bCs/>
          <w:noProof/>
          <w:sz w:val="22"/>
        </w:rPr>
        <w:t>12</w:t>
      </w:r>
      <w:r w:rsidRPr="001533D5">
        <w:rPr>
          <w:rFonts w:ascii="Arial" w:hAnsi="Arial" w:cs="Arial"/>
          <w:noProof/>
          <w:sz w:val="22"/>
        </w:rPr>
        <w:t>: 171–178. [online] http://doi.wiley.com/10.1111/ijpo.12125 (Accessed July 21, 2019).</w:t>
      </w:r>
      <w:r w:rsidRPr="001533D5">
        <w:rPr>
          <w:rFonts w:ascii="Arial" w:hAnsi="Arial" w:cs="Arial"/>
          <w:noProof/>
          <w:sz w:val="22"/>
        </w:rPr>
        <w:tab/>
      </w:r>
    </w:p>
    <w:p w14:paraId="35FF45B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12. Castillo, H., I. S. Santos, and A. Matijasevich. 2016. Maternal pre-pregnancy BMI, gestational weight gain and breastfeeding. </w:t>
      </w:r>
      <w:r w:rsidRPr="001533D5">
        <w:rPr>
          <w:rFonts w:ascii="Arial" w:hAnsi="Arial" w:cs="Arial"/>
          <w:i/>
          <w:iCs/>
          <w:noProof/>
          <w:sz w:val="22"/>
        </w:rPr>
        <w:t>Eur. J. Clin. Nutr.</w:t>
      </w:r>
      <w:r w:rsidRPr="001533D5">
        <w:rPr>
          <w:rFonts w:ascii="Arial" w:hAnsi="Arial" w:cs="Arial"/>
          <w:noProof/>
          <w:sz w:val="22"/>
        </w:rPr>
        <w:t xml:space="preserve"> </w:t>
      </w:r>
      <w:r w:rsidRPr="001533D5">
        <w:rPr>
          <w:rFonts w:ascii="Arial" w:hAnsi="Arial" w:cs="Arial"/>
          <w:b/>
          <w:bCs/>
          <w:noProof/>
          <w:sz w:val="22"/>
        </w:rPr>
        <w:t>70</w:t>
      </w:r>
      <w:r w:rsidRPr="001533D5">
        <w:rPr>
          <w:rFonts w:ascii="Arial" w:hAnsi="Arial" w:cs="Arial"/>
          <w:noProof/>
          <w:sz w:val="22"/>
        </w:rPr>
        <w:t>: 431–436. [online] http://www.nature.com/articles/ejcn2015232 (Accessed May 24, 2019).</w:t>
      </w:r>
      <w:r w:rsidRPr="001533D5">
        <w:rPr>
          <w:rFonts w:ascii="Arial" w:hAnsi="Arial" w:cs="Arial"/>
          <w:noProof/>
          <w:sz w:val="22"/>
        </w:rPr>
        <w:tab/>
      </w:r>
    </w:p>
    <w:p w14:paraId="1D22E57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10</w:t>
      </w:r>
      <w:r w:rsidRPr="001533D5">
        <w:rPr>
          <w:rFonts w:ascii="Arial" w:hAnsi="Arial" w:cs="Arial"/>
          <w:noProof/>
          <w:sz w:val="22"/>
        </w:rPr>
        <w:t>. [online] http://www.ncbi.nlm.nih.gov/pubmed/30262786 (Accessed May 24, 2019).</w:t>
      </w:r>
      <w:r w:rsidRPr="001533D5">
        <w:rPr>
          <w:rFonts w:ascii="Arial" w:hAnsi="Arial" w:cs="Arial"/>
          <w:noProof/>
          <w:sz w:val="22"/>
        </w:rPr>
        <w:tab/>
      </w:r>
    </w:p>
    <w:p w14:paraId="5EC9A12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[online] /pmc/articles/PMC6770754/ (Accessed April 6, 2021).</w:t>
      </w:r>
      <w:r w:rsidRPr="001533D5">
        <w:rPr>
          <w:rFonts w:ascii="Arial" w:hAnsi="Arial" w:cs="Arial"/>
          <w:noProof/>
          <w:sz w:val="22"/>
        </w:rPr>
        <w:tab/>
      </w:r>
    </w:p>
    <w:p w14:paraId="783750D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1533D5">
        <w:rPr>
          <w:rFonts w:ascii="Arial" w:hAnsi="Arial" w:cs="Arial"/>
          <w:i/>
          <w:iCs/>
          <w:noProof/>
          <w:sz w:val="22"/>
        </w:rPr>
        <w:t>Acta Diabetol.</w:t>
      </w:r>
      <w:r w:rsidRPr="001533D5">
        <w:rPr>
          <w:rFonts w:ascii="Arial" w:hAnsi="Arial" w:cs="Arial"/>
          <w:noProof/>
          <w:sz w:val="22"/>
        </w:rPr>
        <w:t xml:space="preserve"> </w:t>
      </w:r>
      <w:r w:rsidRPr="001533D5">
        <w:rPr>
          <w:rFonts w:ascii="Arial" w:hAnsi="Arial" w:cs="Arial"/>
          <w:b/>
          <w:bCs/>
          <w:noProof/>
          <w:sz w:val="22"/>
        </w:rPr>
        <w:t>52</w:t>
      </w:r>
      <w:r w:rsidRPr="001533D5">
        <w:rPr>
          <w:rFonts w:ascii="Arial" w:hAnsi="Arial" w:cs="Arial"/>
          <w:noProof/>
          <w:sz w:val="22"/>
        </w:rPr>
        <w:t>: 257–266. [online] http://link.springer.com/10.1007/s00592-014-0632-9 (Accessed July 19, 2019).</w:t>
      </w:r>
      <w:r w:rsidRPr="001533D5">
        <w:rPr>
          <w:rFonts w:ascii="Arial" w:hAnsi="Arial" w:cs="Arial"/>
          <w:noProof/>
          <w:sz w:val="22"/>
        </w:rPr>
        <w:tab/>
      </w:r>
    </w:p>
    <w:p w14:paraId="7D2550D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16. Cai, H., L. Q. Dong, and F. Liu. 2016. Recent Advances in Adipose mTOR Signaling and Function: Therapeutic Prospects. </w:t>
      </w:r>
      <w:r w:rsidRPr="001533D5">
        <w:rPr>
          <w:rFonts w:ascii="Arial" w:hAnsi="Arial" w:cs="Arial"/>
          <w:i/>
          <w:iCs/>
          <w:noProof/>
          <w:sz w:val="22"/>
        </w:rPr>
        <w:t>Trends Pharmacol. Sci.</w:t>
      </w:r>
      <w:r w:rsidRPr="001533D5">
        <w:rPr>
          <w:rFonts w:ascii="Arial" w:hAnsi="Arial" w:cs="Arial"/>
          <w:noProof/>
          <w:sz w:val="22"/>
        </w:rPr>
        <w:t xml:space="preserve"> </w:t>
      </w:r>
      <w:r w:rsidRPr="001533D5">
        <w:rPr>
          <w:rFonts w:ascii="Arial" w:hAnsi="Arial" w:cs="Arial"/>
          <w:b/>
          <w:bCs/>
          <w:noProof/>
          <w:sz w:val="22"/>
        </w:rPr>
        <w:t>37</w:t>
      </w:r>
      <w:r w:rsidRPr="001533D5">
        <w:rPr>
          <w:rFonts w:ascii="Arial" w:hAnsi="Arial" w:cs="Arial"/>
          <w:noProof/>
          <w:sz w:val="22"/>
        </w:rPr>
        <w:t>: 303–317. [online] http://www.ncbi.nlm.nih.gov/pubmed/26700098 (Accessed July 19, 2019).</w:t>
      </w:r>
      <w:r w:rsidRPr="001533D5">
        <w:rPr>
          <w:rFonts w:ascii="Arial" w:hAnsi="Arial" w:cs="Arial"/>
          <w:noProof/>
          <w:sz w:val="22"/>
        </w:rPr>
        <w:tab/>
      </w:r>
    </w:p>
    <w:p w14:paraId="1B9B81B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17. Wang, X., and C. G. Proud. 2006. The mTOR Pathway in the Control of Protein Synthesis. </w:t>
      </w:r>
      <w:r w:rsidRPr="001533D5">
        <w:rPr>
          <w:rFonts w:ascii="Arial" w:hAnsi="Arial" w:cs="Arial"/>
          <w:i/>
          <w:iCs/>
          <w:noProof/>
          <w:sz w:val="22"/>
        </w:rPr>
        <w:t>Physiology</w:t>
      </w:r>
      <w:r w:rsidRPr="001533D5">
        <w:rPr>
          <w:rFonts w:ascii="Arial" w:hAnsi="Arial" w:cs="Arial"/>
          <w:noProof/>
          <w:sz w:val="22"/>
        </w:rPr>
        <w:t xml:space="preserve">. </w:t>
      </w:r>
      <w:r w:rsidRPr="001533D5">
        <w:rPr>
          <w:rFonts w:ascii="Arial" w:hAnsi="Arial" w:cs="Arial"/>
          <w:b/>
          <w:bCs/>
          <w:noProof/>
          <w:sz w:val="22"/>
        </w:rPr>
        <w:t>21</w:t>
      </w:r>
      <w:r w:rsidRPr="001533D5">
        <w:rPr>
          <w:rFonts w:ascii="Arial" w:hAnsi="Arial" w:cs="Arial"/>
          <w:noProof/>
          <w:sz w:val="22"/>
        </w:rPr>
        <w:t>: 362–369. [online] http://www.ncbi.nlm.nih.gov/pubmed/16990457 (Accessed July 19, 2019).</w:t>
      </w:r>
      <w:r w:rsidRPr="001533D5">
        <w:rPr>
          <w:rFonts w:ascii="Arial" w:hAnsi="Arial" w:cs="Arial"/>
          <w:noProof/>
          <w:sz w:val="22"/>
        </w:rPr>
        <w:tab/>
      </w:r>
    </w:p>
    <w:p w14:paraId="37CBAD6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18. Laplante, M., and D. M. Sabatini. 2009. An Emerging Role of mTOR in Lipid Biosynthesis. </w:t>
      </w:r>
      <w:r w:rsidRPr="001533D5">
        <w:rPr>
          <w:rFonts w:ascii="Arial" w:hAnsi="Arial" w:cs="Arial"/>
          <w:i/>
          <w:iCs/>
          <w:noProof/>
          <w:sz w:val="22"/>
        </w:rPr>
        <w:t>Curr. Biol.</w:t>
      </w:r>
      <w:r w:rsidRPr="001533D5">
        <w:rPr>
          <w:rFonts w:ascii="Arial" w:hAnsi="Arial" w:cs="Arial"/>
          <w:noProof/>
          <w:sz w:val="22"/>
        </w:rPr>
        <w:t xml:space="preserve"> </w:t>
      </w:r>
      <w:r w:rsidRPr="001533D5">
        <w:rPr>
          <w:rFonts w:ascii="Arial" w:hAnsi="Arial" w:cs="Arial"/>
          <w:b/>
          <w:bCs/>
          <w:noProof/>
          <w:sz w:val="22"/>
        </w:rPr>
        <w:t>19</w:t>
      </w:r>
      <w:r w:rsidRPr="001533D5">
        <w:rPr>
          <w:rFonts w:ascii="Arial" w:hAnsi="Arial" w:cs="Arial"/>
          <w:noProof/>
          <w:sz w:val="22"/>
        </w:rPr>
        <w:t>: R1046–R1052. [online] http://www.ncbi.nlm.nih.gov/pubmed/19948145 (Accessed July 25, 2019).</w:t>
      </w:r>
      <w:r w:rsidRPr="001533D5">
        <w:rPr>
          <w:rFonts w:ascii="Arial" w:hAnsi="Arial" w:cs="Arial"/>
          <w:noProof/>
          <w:sz w:val="22"/>
        </w:rPr>
        <w:tab/>
      </w:r>
    </w:p>
    <w:p w14:paraId="1BC75E0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19. Catania, C., E. Binder, and D. Cota. 2011. mTORC1 signaling in energy balance and metabolic disease. </w:t>
      </w:r>
      <w:r w:rsidRPr="001533D5">
        <w:rPr>
          <w:rFonts w:ascii="Arial" w:hAnsi="Arial" w:cs="Arial"/>
          <w:i/>
          <w:iCs/>
          <w:noProof/>
          <w:sz w:val="22"/>
        </w:rPr>
        <w:t>Int. J. Obes.</w:t>
      </w:r>
      <w:r w:rsidRPr="001533D5">
        <w:rPr>
          <w:rFonts w:ascii="Arial" w:hAnsi="Arial" w:cs="Arial"/>
          <w:noProof/>
          <w:sz w:val="22"/>
        </w:rPr>
        <w:t xml:space="preserve"> </w:t>
      </w:r>
      <w:r w:rsidRPr="001533D5">
        <w:rPr>
          <w:rFonts w:ascii="Arial" w:hAnsi="Arial" w:cs="Arial"/>
          <w:b/>
          <w:bCs/>
          <w:noProof/>
          <w:sz w:val="22"/>
        </w:rPr>
        <w:t>35</w:t>
      </w:r>
      <w:r w:rsidRPr="001533D5">
        <w:rPr>
          <w:rFonts w:ascii="Arial" w:hAnsi="Arial" w:cs="Arial"/>
          <w:noProof/>
          <w:sz w:val="22"/>
        </w:rPr>
        <w:t>: 751–761. [online] http://www.nature.com/articles/ijo2010208 (Accessed July 19, 2019).</w:t>
      </w:r>
      <w:r w:rsidRPr="001533D5">
        <w:rPr>
          <w:rFonts w:ascii="Arial" w:hAnsi="Arial" w:cs="Arial"/>
          <w:noProof/>
          <w:sz w:val="22"/>
        </w:rPr>
        <w:tab/>
      </w:r>
    </w:p>
    <w:p w14:paraId="4A6EC25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1533D5">
        <w:rPr>
          <w:rFonts w:ascii="Arial" w:hAnsi="Arial" w:cs="Arial"/>
          <w:i/>
          <w:iCs/>
          <w:noProof/>
          <w:sz w:val="22"/>
        </w:rPr>
        <w:t>Sci. Rep.</w:t>
      </w:r>
      <w:r w:rsidRPr="001533D5">
        <w:rPr>
          <w:rFonts w:ascii="Arial" w:hAnsi="Arial" w:cs="Arial"/>
          <w:noProof/>
          <w:sz w:val="22"/>
        </w:rPr>
        <w:t xml:space="preserve"> </w:t>
      </w:r>
      <w:r w:rsidRPr="001533D5">
        <w:rPr>
          <w:rFonts w:ascii="Arial" w:hAnsi="Arial" w:cs="Arial"/>
          <w:b/>
          <w:bCs/>
          <w:noProof/>
          <w:sz w:val="22"/>
        </w:rPr>
        <w:t>6</w:t>
      </w:r>
      <w:r w:rsidRPr="001533D5">
        <w:rPr>
          <w:rFonts w:ascii="Arial" w:hAnsi="Arial" w:cs="Arial"/>
          <w:noProof/>
          <w:sz w:val="22"/>
        </w:rPr>
        <w:t>: 1–10. [online] www.nature.com/scientificreports (Accessed May 12, 2021).</w:t>
      </w:r>
      <w:r w:rsidRPr="001533D5">
        <w:rPr>
          <w:rFonts w:ascii="Arial" w:hAnsi="Arial" w:cs="Arial"/>
          <w:noProof/>
          <w:sz w:val="22"/>
        </w:rPr>
        <w:tab/>
      </w:r>
    </w:p>
    <w:p w14:paraId="1622DD0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21. Rezaei, R., Z. Wu, Y. Hou, F. W. Bazer, and G. Wu. 2016. Amino acids and mammary gland development: nutritional implications for milk production and neonatal growth. </w:t>
      </w:r>
      <w:r w:rsidRPr="001533D5">
        <w:rPr>
          <w:rFonts w:ascii="Arial" w:hAnsi="Arial" w:cs="Arial"/>
          <w:i/>
          <w:iCs/>
          <w:noProof/>
          <w:sz w:val="22"/>
        </w:rPr>
        <w:t>J. Anim. Sci. Biotechnol.</w:t>
      </w:r>
      <w:r w:rsidRPr="001533D5">
        <w:rPr>
          <w:rFonts w:ascii="Arial" w:hAnsi="Arial" w:cs="Arial"/>
          <w:noProof/>
          <w:sz w:val="22"/>
        </w:rPr>
        <w:t xml:space="preserve"> </w:t>
      </w:r>
      <w:r w:rsidRPr="001533D5">
        <w:rPr>
          <w:rFonts w:ascii="Arial" w:hAnsi="Arial" w:cs="Arial"/>
          <w:b/>
          <w:bCs/>
          <w:noProof/>
          <w:sz w:val="22"/>
        </w:rPr>
        <w:t>7</w:t>
      </w:r>
      <w:r w:rsidRPr="001533D5">
        <w:rPr>
          <w:rFonts w:ascii="Arial" w:hAnsi="Arial" w:cs="Arial"/>
          <w:noProof/>
          <w:sz w:val="22"/>
        </w:rPr>
        <w:t>: 20. [online] http://www.ncbi.nlm.nih.gov/pubmed/27042295 (Accessed July 10, 2019).</w:t>
      </w:r>
      <w:r w:rsidRPr="001533D5">
        <w:rPr>
          <w:rFonts w:ascii="Arial" w:hAnsi="Arial" w:cs="Arial"/>
          <w:noProof/>
          <w:sz w:val="22"/>
        </w:rPr>
        <w:tab/>
      </w:r>
    </w:p>
    <w:p w14:paraId="5286F3D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1533D5">
        <w:rPr>
          <w:rFonts w:ascii="Arial" w:hAnsi="Arial" w:cs="Arial"/>
          <w:i/>
          <w:iCs/>
          <w:noProof/>
          <w:sz w:val="22"/>
        </w:rPr>
        <w:t>Hum. Mol. Genet.</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525–534. [online] http://expmed.bwh.harvard.edu/ts/review/ (Accessed May 12, 2021).</w:t>
      </w:r>
      <w:r w:rsidRPr="001533D5">
        <w:rPr>
          <w:rFonts w:ascii="Arial" w:hAnsi="Arial" w:cs="Arial"/>
          <w:noProof/>
          <w:sz w:val="22"/>
        </w:rPr>
        <w:tab/>
      </w:r>
    </w:p>
    <w:p w14:paraId="1E45812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23. Eguchi, J., X. Wang, S. Yu, E. E. Kershaw, P. C. Chiu, J. Dushay, J. L. Estall, U. Klein, E. Maratos-Flier, and E. D. Rosen. 2011. Transcriptional control of adipose lipid handling by IRF4.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13</w:t>
      </w:r>
      <w:r w:rsidRPr="001533D5">
        <w:rPr>
          <w:rFonts w:ascii="Arial" w:hAnsi="Arial" w:cs="Arial"/>
          <w:noProof/>
          <w:sz w:val="22"/>
        </w:rPr>
        <w:t>: 249–259. [online] /pmc/articles/PMC3063358/ (Accessed May 12, 2021).</w:t>
      </w:r>
      <w:r w:rsidRPr="001533D5">
        <w:rPr>
          <w:rFonts w:ascii="Arial" w:hAnsi="Arial" w:cs="Arial"/>
          <w:noProof/>
          <w:sz w:val="22"/>
        </w:rPr>
        <w:tab/>
      </w:r>
    </w:p>
    <w:p w14:paraId="6B79A823"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24. Wang, F., S. E. Mullican, J. R. DiSpirito, L. C. Peed, and M. A. Lazar. 2013. Lipoatrophy and severe metabolic disturbance in mice with fat-specific deletion of PPARγ. </w:t>
      </w:r>
      <w:r w:rsidRPr="001533D5">
        <w:rPr>
          <w:rFonts w:ascii="Arial" w:hAnsi="Arial" w:cs="Arial"/>
          <w:i/>
          <w:iCs/>
          <w:noProof/>
          <w:sz w:val="22"/>
        </w:rPr>
        <w:t>Proc. Natl. Acad. Sci. U. S. A.</w:t>
      </w:r>
      <w:r w:rsidRPr="001533D5">
        <w:rPr>
          <w:rFonts w:ascii="Arial" w:hAnsi="Arial" w:cs="Arial"/>
          <w:noProof/>
          <w:sz w:val="22"/>
        </w:rPr>
        <w:t xml:space="preserve"> </w:t>
      </w:r>
      <w:r w:rsidRPr="001533D5">
        <w:rPr>
          <w:rFonts w:ascii="Arial" w:hAnsi="Arial" w:cs="Arial"/>
          <w:b/>
          <w:bCs/>
          <w:noProof/>
          <w:sz w:val="22"/>
        </w:rPr>
        <w:t>110</w:t>
      </w:r>
      <w:r w:rsidRPr="001533D5">
        <w:rPr>
          <w:rFonts w:ascii="Arial" w:hAnsi="Arial" w:cs="Arial"/>
          <w:noProof/>
          <w:sz w:val="22"/>
        </w:rPr>
        <w:t>: 18656–18661. [online] http://www.pnas.org/cgi/doi/10.1073/pnas.1314863110 (Accessed July 15, 2019).</w:t>
      </w:r>
      <w:r w:rsidRPr="001533D5">
        <w:rPr>
          <w:rFonts w:ascii="Arial" w:hAnsi="Arial" w:cs="Arial"/>
          <w:noProof/>
          <w:sz w:val="22"/>
        </w:rPr>
        <w:tab/>
      </w:r>
    </w:p>
    <w:p w14:paraId="35342C2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25. Wang, Z. V., Y. Deng, Q. A. Wang, K. Sun, and P. E. Scherer. 2010. Identification and characterization of a promoter cassette conferring adipocyte-specific gene expression. </w:t>
      </w:r>
      <w:r w:rsidRPr="001533D5">
        <w:rPr>
          <w:rFonts w:ascii="Arial" w:hAnsi="Arial" w:cs="Arial"/>
          <w:i/>
          <w:iCs/>
          <w:noProof/>
          <w:sz w:val="22"/>
        </w:rPr>
        <w:t>Endocrinology</w:t>
      </w:r>
      <w:r w:rsidRPr="001533D5">
        <w:rPr>
          <w:rFonts w:ascii="Arial" w:hAnsi="Arial" w:cs="Arial"/>
          <w:noProof/>
          <w:sz w:val="22"/>
        </w:rPr>
        <w:t xml:space="preserve">. </w:t>
      </w:r>
      <w:r w:rsidRPr="001533D5">
        <w:rPr>
          <w:rFonts w:ascii="Arial" w:hAnsi="Arial" w:cs="Arial"/>
          <w:b/>
          <w:bCs/>
          <w:noProof/>
          <w:sz w:val="22"/>
        </w:rPr>
        <w:t>151</w:t>
      </w:r>
      <w:r w:rsidRPr="001533D5">
        <w:rPr>
          <w:rFonts w:ascii="Arial" w:hAnsi="Arial" w:cs="Arial"/>
          <w:noProof/>
          <w:sz w:val="22"/>
        </w:rPr>
        <w:t>: 2933–2939. [online] /pmc/articles/PMC2875825/ (Accessed May 12, 2021).</w:t>
      </w:r>
      <w:r w:rsidRPr="001533D5">
        <w:rPr>
          <w:rFonts w:ascii="Arial" w:hAnsi="Arial" w:cs="Arial"/>
          <w:noProof/>
          <w:sz w:val="22"/>
        </w:rPr>
        <w:tab/>
      </w:r>
    </w:p>
    <w:p w14:paraId="2D8F45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26. Wang, Q. A., A. Song, R. K. Gupta, B. Deplancke, and P. E. Scherer. 2018. Reversible De-differentiation of Mature White Adipocytes into Preadipocyte-like Precursors during Lactation.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28</w:t>
      </w:r>
      <w:r w:rsidRPr="001533D5">
        <w:rPr>
          <w:rFonts w:ascii="Arial" w:hAnsi="Arial" w:cs="Arial"/>
          <w:noProof/>
          <w:sz w:val="22"/>
        </w:rPr>
        <w:t>: 282-288.e3. [online] https://doi.org/10.1016/j.cmet.2018.05.022 (Accessed July 10, 2019).</w:t>
      </w:r>
      <w:r w:rsidRPr="001533D5">
        <w:rPr>
          <w:rFonts w:ascii="Arial" w:hAnsi="Arial" w:cs="Arial"/>
          <w:noProof/>
          <w:sz w:val="22"/>
        </w:rPr>
        <w:tab/>
      </w:r>
    </w:p>
    <w:p w14:paraId="6C64CF2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1533D5">
        <w:rPr>
          <w:rFonts w:ascii="Arial" w:hAnsi="Arial" w:cs="Arial"/>
          <w:noProof/>
          <w:sz w:val="22"/>
        </w:rPr>
        <w:tab/>
      </w:r>
    </w:p>
    <w:p w14:paraId="726C319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28. Collares, F. P., C. V. Gonçalves, and J. S. Ferreira. 1997. Creamatocrit as a rapid method to estimate the contents of total milk lipids. </w:t>
      </w:r>
      <w:r w:rsidRPr="001533D5">
        <w:rPr>
          <w:rFonts w:ascii="Arial" w:hAnsi="Arial" w:cs="Arial"/>
          <w:i/>
          <w:iCs/>
          <w:noProof/>
          <w:sz w:val="22"/>
        </w:rPr>
        <w:t>Food Chem.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465–467. [online] https://www.sciencedirect.com/science/article/pii/S0308814697000149 (Accessed February 19, 2020).</w:t>
      </w:r>
      <w:r w:rsidRPr="001533D5">
        <w:rPr>
          <w:rFonts w:ascii="Arial" w:hAnsi="Arial" w:cs="Arial"/>
          <w:noProof/>
          <w:sz w:val="22"/>
        </w:rPr>
        <w:tab/>
      </w:r>
    </w:p>
    <w:p w14:paraId="3BB70B4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29. Patro, R., G. Duggal, M. I. Love, R. A. Irizarry, and C. Kingsford. 2017. Salmon provides fast and bias-aware quantification of transcript expression. </w:t>
      </w:r>
      <w:r w:rsidRPr="001533D5">
        <w:rPr>
          <w:rFonts w:ascii="Arial" w:hAnsi="Arial" w:cs="Arial"/>
          <w:i/>
          <w:iCs/>
          <w:noProof/>
          <w:sz w:val="22"/>
        </w:rPr>
        <w:t>Nat. Methods</w:t>
      </w:r>
      <w:r w:rsidRPr="001533D5">
        <w:rPr>
          <w:rFonts w:ascii="Arial" w:hAnsi="Arial" w:cs="Arial"/>
          <w:noProof/>
          <w:sz w:val="22"/>
        </w:rPr>
        <w:t xml:space="preserve">. </w:t>
      </w:r>
      <w:r w:rsidRPr="001533D5">
        <w:rPr>
          <w:rFonts w:ascii="Arial" w:hAnsi="Arial" w:cs="Arial"/>
          <w:b/>
          <w:bCs/>
          <w:noProof/>
          <w:sz w:val="22"/>
        </w:rPr>
        <w:t>14</w:t>
      </w:r>
      <w:r w:rsidRPr="001533D5">
        <w:rPr>
          <w:rFonts w:ascii="Arial" w:hAnsi="Arial" w:cs="Arial"/>
          <w:noProof/>
          <w:sz w:val="22"/>
        </w:rPr>
        <w:t>: 417–419.</w:t>
      </w:r>
      <w:r w:rsidRPr="001533D5">
        <w:rPr>
          <w:rFonts w:ascii="Arial" w:hAnsi="Arial" w:cs="Arial"/>
          <w:noProof/>
          <w:sz w:val="22"/>
        </w:rPr>
        <w:tab/>
      </w:r>
    </w:p>
    <w:p w14:paraId="783971A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1533D5">
        <w:rPr>
          <w:rFonts w:ascii="Arial" w:hAnsi="Arial" w:cs="Arial"/>
          <w:i/>
          <w:iCs/>
          <w:noProof/>
          <w:sz w:val="22"/>
        </w:rPr>
        <w:t>PLoS Comput. Biol.</w:t>
      </w:r>
      <w:r w:rsidRPr="001533D5">
        <w:rPr>
          <w:rFonts w:ascii="Arial" w:hAnsi="Arial" w:cs="Arial"/>
          <w:noProof/>
          <w:sz w:val="22"/>
        </w:rPr>
        <w:t xml:space="preserve"> </w:t>
      </w:r>
      <w:r w:rsidRPr="001533D5">
        <w:rPr>
          <w:rFonts w:ascii="Arial" w:hAnsi="Arial" w:cs="Arial"/>
          <w:b/>
          <w:bCs/>
          <w:noProof/>
          <w:sz w:val="22"/>
        </w:rPr>
        <w:t>16</w:t>
      </w:r>
      <w:r w:rsidRPr="001533D5">
        <w:rPr>
          <w:rFonts w:ascii="Arial" w:hAnsi="Arial" w:cs="Arial"/>
          <w:noProof/>
          <w:sz w:val="22"/>
        </w:rPr>
        <w:t>: 1–13.</w:t>
      </w:r>
      <w:r w:rsidRPr="001533D5">
        <w:rPr>
          <w:rFonts w:ascii="Arial" w:hAnsi="Arial" w:cs="Arial"/>
          <w:noProof/>
          <w:sz w:val="22"/>
        </w:rPr>
        <w:tab/>
      </w:r>
    </w:p>
    <w:p w14:paraId="4EC9BDA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31. Soneson, C., M. I. Love, and M. D. Robinson. 2016. Differential analyses for RNA-seq: Transcript-level estimates improve gene-level inferences [version 2; referees: 2 approved]. </w:t>
      </w:r>
      <w:r w:rsidRPr="001533D5">
        <w:rPr>
          <w:rFonts w:ascii="Arial" w:hAnsi="Arial" w:cs="Arial"/>
          <w:i/>
          <w:iCs/>
          <w:noProof/>
          <w:sz w:val="22"/>
        </w:rPr>
        <w:t>F1000Research</w:t>
      </w:r>
      <w:r w:rsidRPr="001533D5">
        <w:rPr>
          <w:rFonts w:ascii="Arial" w:hAnsi="Arial" w:cs="Arial"/>
          <w:noProof/>
          <w:sz w:val="22"/>
        </w:rPr>
        <w:t xml:space="preserve">. </w:t>
      </w:r>
      <w:r w:rsidRPr="001533D5">
        <w:rPr>
          <w:rFonts w:ascii="Arial" w:hAnsi="Arial" w:cs="Arial"/>
          <w:b/>
          <w:bCs/>
          <w:noProof/>
          <w:sz w:val="22"/>
        </w:rPr>
        <w:t>4</w:t>
      </w:r>
      <w:r w:rsidRPr="001533D5">
        <w:rPr>
          <w:rFonts w:ascii="Arial" w:hAnsi="Arial" w:cs="Arial"/>
          <w:noProof/>
          <w:sz w:val="22"/>
        </w:rPr>
        <w:t>: 1–23.</w:t>
      </w:r>
      <w:r w:rsidRPr="001533D5">
        <w:rPr>
          <w:rFonts w:ascii="Arial" w:hAnsi="Arial" w:cs="Arial"/>
          <w:noProof/>
          <w:sz w:val="22"/>
        </w:rPr>
        <w:tab/>
      </w:r>
    </w:p>
    <w:p w14:paraId="2C7C98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32. Love, M. I., W. Huber, and S. Anders. 2014. Moderated estimation of fold change and dispersion for RNA-seq data with DESeq2. </w:t>
      </w:r>
      <w:r w:rsidRPr="001533D5">
        <w:rPr>
          <w:rFonts w:ascii="Arial" w:hAnsi="Arial" w:cs="Arial"/>
          <w:i/>
          <w:iCs/>
          <w:noProof/>
          <w:sz w:val="22"/>
        </w:rPr>
        <w:t>Genome Biol.</w:t>
      </w:r>
      <w:r w:rsidRPr="001533D5">
        <w:rPr>
          <w:rFonts w:ascii="Arial" w:hAnsi="Arial" w:cs="Arial"/>
          <w:noProof/>
          <w:sz w:val="22"/>
        </w:rPr>
        <w:t xml:space="preserve"> </w:t>
      </w:r>
      <w:r w:rsidRPr="001533D5">
        <w:rPr>
          <w:rFonts w:ascii="Arial" w:hAnsi="Arial" w:cs="Arial"/>
          <w:b/>
          <w:bCs/>
          <w:noProof/>
          <w:sz w:val="22"/>
        </w:rPr>
        <w:t>15</w:t>
      </w:r>
      <w:r w:rsidRPr="001533D5">
        <w:rPr>
          <w:rFonts w:ascii="Arial" w:hAnsi="Arial" w:cs="Arial"/>
          <w:noProof/>
          <w:sz w:val="22"/>
        </w:rPr>
        <w:t>: 550.</w:t>
      </w:r>
      <w:r w:rsidRPr="001533D5">
        <w:rPr>
          <w:rFonts w:ascii="Arial" w:hAnsi="Arial" w:cs="Arial"/>
          <w:noProof/>
          <w:sz w:val="22"/>
        </w:rPr>
        <w:tab/>
      </w:r>
    </w:p>
    <w:p w14:paraId="42F4B1C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33. MontpellierRessourcesImagerie. 2020. Adipocytes Tools.</w:t>
      </w:r>
      <w:r w:rsidRPr="001533D5">
        <w:rPr>
          <w:rFonts w:ascii="Arial" w:hAnsi="Arial" w:cs="Arial"/>
          <w:noProof/>
          <w:sz w:val="22"/>
        </w:rPr>
        <w:tab/>
      </w:r>
    </w:p>
    <w:p w14:paraId="40563D9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34. R: The R Project for Statistical Computing. [online] https://www.r-project.org/ (Accessed May 12, 2021).</w:t>
      </w:r>
      <w:r w:rsidRPr="001533D5">
        <w:rPr>
          <w:rFonts w:ascii="Arial" w:hAnsi="Arial" w:cs="Arial"/>
          <w:noProof/>
          <w:sz w:val="22"/>
        </w:rPr>
        <w:tab/>
      </w:r>
    </w:p>
    <w:p w14:paraId="4784EF0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35. Bates, D., M. Mächler, B. Bolker, and S. Walker. 2014. No Title. </w:t>
      </w:r>
      <w:r w:rsidRPr="001533D5">
        <w:rPr>
          <w:rFonts w:ascii="Arial" w:hAnsi="Arial" w:cs="Arial"/>
          <w:i/>
          <w:iCs/>
          <w:noProof/>
          <w:sz w:val="22"/>
        </w:rPr>
        <w:t>ArXiv e-prints</w:t>
      </w:r>
      <w:r w:rsidRPr="001533D5">
        <w:rPr>
          <w:rFonts w:ascii="Arial" w:hAnsi="Arial" w:cs="Arial"/>
          <w:noProof/>
          <w:sz w:val="22"/>
        </w:rPr>
        <w:t xml:space="preserve">. </w:t>
      </w:r>
      <w:r w:rsidRPr="001533D5">
        <w:rPr>
          <w:rFonts w:ascii="Arial" w:hAnsi="Arial" w:cs="Arial"/>
          <w:b/>
          <w:bCs/>
          <w:noProof/>
          <w:sz w:val="22"/>
        </w:rPr>
        <w:t>arXiv:1406</w:t>
      </w:r>
      <w:r w:rsidRPr="001533D5">
        <w:rPr>
          <w:rFonts w:ascii="Arial" w:hAnsi="Arial" w:cs="Arial"/>
          <w:noProof/>
          <w:sz w:val="22"/>
        </w:rPr>
        <w:t>. [online] http://arxiv.org/abs/1406.5823 (Accessed August 13, 2019).</w:t>
      </w:r>
      <w:r w:rsidRPr="001533D5">
        <w:rPr>
          <w:rFonts w:ascii="Arial" w:hAnsi="Arial" w:cs="Arial"/>
          <w:noProof/>
          <w:sz w:val="22"/>
        </w:rPr>
        <w:tab/>
      </w:r>
    </w:p>
    <w:p w14:paraId="51D34D2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36. Ballard, O., and A. L. Morrow. 2013. Human Milk Composition. Nutrients and Bioactive Factors. </w:t>
      </w:r>
      <w:r w:rsidRPr="001533D5">
        <w:rPr>
          <w:rFonts w:ascii="Arial" w:hAnsi="Arial" w:cs="Arial"/>
          <w:i/>
          <w:iCs/>
          <w:noProof/>
          <w:sz w:val="22"/>
        </w:rPr>
        <w:t>Pediatr. Clin. North Am.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49–74. [online] /pmc/articles/PMC3586783/?report=abstract (Accessed August 22, 2020).</w:t>
      </w:r>
      <w:r w:rsidRPr="001533D5">
        <w:rPr>
          <w:rFonts w:ascii="Arial" w:hAnsi="Arial" w:cs="Arial"/>
          <w:noProof/>
          <w:sz w:val="22"/>
        </w:rPr>
        <w:tab/>
      </w:r>
    </w:p>
    <w:p w14:paraId="3243373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37. Kim, J. E., and J. Chen. 2004. Regulation of peroxisome proliferator-activated receptor-γ activity by mammalian target of rapamycin and amino acids in adipogenesis. </w:t>
      </w:r>
      <w:r w:rsidRPr="001533D5">
        <w:rPr>
          <w:rFonts w:ascii="Arial" w:hAnsi="Arial" w:cs="Arial"/>
          <w:i/>
          <w:iCs/>
          <w:noProof/>
          <w:sz w:val="22"/>
        </w:rPr>
        <w:t>Diabetes</w:t>
      </w:r>
      <w:r w:rsidRPr="001533D5">
        <w:rPr>
          <w:rFonts w:ascii="Arial" w:hAnsi="Arial" w:cs="Arial"/>
          <w:noProof/>
          <w:sz w:val="22"/>
        </w:rPr>
        <w:t xml:space="preserve">. </w:t>
      </w:r>
      <w:r w:rsidRPr="001533D5">
        <w:rPr>
          <w:rFonts w:ascii="Arial" w:hAnsi="Arial" w:cs="Arial"/>
          <w:b/>
          <w:bCs/>
          <w:noProof/>
          <w:sz w:val="22"/>
        </w:rPr>
        <w:t>53</w:t>
      </w:r>
      <w:r w:rsidRPr="001533D5">
        <w:rPr>
          <w:rFonts w:ascii="Arial" w:hAnsi="Arial" w:cs="Arial"/>
          <w:noProof/>
          <w:sz w:val="22"/>
        </w:rPr>
        <w:t>: 2748–2756. [online] https://diabetes.diabetesjournals.org/content/53/11/2748 (Accessed May 11, 2021).</w:t>
      </w:r>
      <w:r w:rsidRPr="001533D5">
        <w:rPr>
          <w:rFonts w:ascii="Arial" w:hAnsi="Arial" w:cs="Arial"/>
          <w:noProof/>
          <w:sz w:val="22"/>
        </w:rPr>
        <w:tab/>
      </w:r>
    </w:p>
    <w:p w14:paraId="57AB253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38. Cho, H. J., J. Park, H. W. Lee, Y. S. Lee, and J. B. Kim. 2004. Regulation of adipocyte differentiation and insulin action with rapamycin. </w:t>
      </w:r>
      <w:r w:rsidRPr="001533D5">
        <w:rPr>
          <w:rFonts w:ascii="Arial" w:hAnsi="Arial" w:cs="Arial"/>
          <w:i/>
          <w:iCs/>
          <w:noProof/>
          <w:sz w:val="22"/>
        </w:rPr>
        <w:t>Biochem. Biophys. Res. Commun.</w:t>
      </w:r>
      <w:r w:rsidRPr="001533D5">
        <w:rPr>
          <w:rFonts w:ascii="Arial" w:hAnsi="Arial" w:cs="Arial"/>
          <w:noProof/>
          <w:sz w:val="22"/>
        </w:rPr>
        <w:t xml:space="preserve"> </w:t>
      </w:r>
      <w:r w:rsidRPr="001533D5">
        <w:rPr>
          <w:rFonts w:ascii="Arial" w:hAnsi="Arial" w:cs="Arial"/>
          <w:b/>
          <w:bCs/>
          <w:noProof/>
          <w:sz w:val="22"/>
        </w:rPr>
        <w:t>321</w:t>
      </w:r>
      <w:r w:rsidRPr="001533D5">
        <w:rPr>
          <w:rFonts w:ascii="Arial" w:hAnsi="Arial" w:cs="Arial"/>
          <w:noProof/>
          <w:sz w:val="22"/>
        </w:rPr>
        <w:t>: 942–948.</w:t>
      </w:r>
      <w:r w:rsidRPr="001533D5">
        <w:rPr>
          <w:rFonts w:ascii="Arial" w:hAnsi="Arial" w:cs="Arial"/>
          <w:noProof/>
          <w:sz w:val="22"/>
        </w:rPr>
        <w:tab/>
      </w:r>
    </w:p>
    <w:p w14:paraId="5BBF3A5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39. Yeh, W.-C., B. E. Bierert, and S. L. Mcknightt. 1995. Rapamycin inhibits clonal expansion and adipogenic differentiation of 3T3-L1 cells.</w:t>
      </w:r>
      <w:r w:rsidRPr="001533D5">
        <w:rPr>
          <w:rFonts w:ascii="Arial" w:hAnsi="Arial" w:cs="Arial"/>
          <w:noProof/>
          <w:sz w:val="22"/>
        </w:rPr>
        <w:tab/>
      </w:r>
    </w:p>
    <w:p w14:paraId="522F19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40. Lee, P. L., Y. Tang, H. Li, and D. A. Guertin. 2016. Raptor/mTORC1 loss in adipocytes causes progressive lipodystrophy and fatty liver disease. </w:t>
      </w:r>
      <w:r w:rsidRPr="001533D5">
        <w:rPr>
          <w:rFonts w:ascii="Arial" w:hAnsi="Arial" w:cs="Arial"/>
          <w:i/>
          <w:iCs/>
          <w:noProof/>
          <w:sz w:val="22"/>
        </w:rPr>
        <w:t>Mol. Metab.</w:t>
      </w:r>
      <w:r w:rsidRPr="001533D5">
        <w:rPr>
          <w:rFonts w:ascii="Arial" w:hAnsi="Arial" w:cs="Arial"/>
          <w:noProof/>
          <w:sz w:val="22"/>
        </w:rPr>
        <w:t xml:space="preserve"> </w:t>
      </w:r>
      <w:r w:rsidRPr="001533D5">
        <w:rPr>
          <w:rFonts w:ascii="Arial" w:hAnsi="Arial" w:cs="Arial"/>
          <w:b/>
          <w:bCs/>
          <w:noProof/>
          <w:sz w:val="22"/>
        </w:rPr>
        <w:t>5</w:t>
      </w:r>
      <w:r w:rsidRPr="001533D5">
        <w:rPr>
          <w:rFonts w:ascii="Arial" w:hAnsi="Arial" w:cs="Arial"/>
          <w:noProof/>
          <w:sz w:val="22"/>
        </w:rPr>
        <w:t>: 422–432. [online] /pmc/articles/PMC4877665/ (Accessed April 27, 2021).</w:t>
      </w:r>
      <w:r w:rsidRPr="001533D5">
        <w:rPr>
          <w:rFonts w:ascii="Arial" w:hAnsi="Arial" w:cs="Arial"/>
          <w:noProof/>
          <w:sz w:val="22"/>
        </w:rPr>
        <w:tab/>
      </w:r>
    </w:p>
    <w:p w14:paraId="73ECF03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41. Polak, P., N. Cybulski, J. N. Feige, J. Auwerx, M. A. Rüegg, and M. N. Hall. 2008. Adipose-Specific Knockout of raptor Results in Lean Mice with Enhanced Mitochondrial Respiration.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8</w:t>
      </w:r>
      <w:r w:rsidRPr="001533D5">
        <w:rPr>
          <w:rFonts w:ascii="Arial" w:hAnsi="Arial" w:cs="Arial"/>
          <w:noProof/>
          <w:sz w:val="22"/>
        </w:rPr>
        <w:t>: 399–410.</w:t>
      </w:r>
      <w:r w:rsidRPr="001533D5">
        <w:rPr>
          <w:rFonts w:ascii="Arial" w:hAnsi="Arial" w:cs="Arial"/>
          <w:noProof/>
          <w:sz w:val="22"/>
        </w:rPr>
        <w:tab/>
      </w:r>
    </w:p>
    <w:p w14:paraId="63C8F3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1533D5">
        <w:rPr>
          <w:rFonts w:ascii="Arial" w:hAnsi="Arial" w:cs="Arial"/>
          <w:i/>
          <w:iCs/>
          <w:noProof/>
          <w:sz w:val="22"/>
        </w:rPr>
        <w:t>Biochim. Biophys. Acta - Mol. Cell Biol. Lipids</w:t>
      </w:r>
      <w:r w:rsidRPr="001533D5">
        <w:rPr>
          <w:rFonts w:ascii="Arial" w:hAnsi="Arial" w:cs="Arial"/>
          <w:noProof/>
          <w:sz w:val="22"/>
        </w:rPr>
        <w:t xml:space="preserve">. </w:t>
      </w:r>
      <w:r w:rsidRPr="001533D5">
        <w:rPr>
          <w:rFonts w:ascii="Arial" w:hAnsi="Arial" w:cs="Arial"/>
          <w:b/>
          <w:bCs/>
          <w:noProof/>
          <w:sz w:val="22"/>
        </w:rPr>
        <w:t>1861</w:t>
      </w:r>
      <w:r w:rsidRPr="001533D5">
        <w:rPr>
          <w:rFonts w:ascii="Arial" w:hAnsi="Arial" w:cs="Arial"/>
          <w:noProof/>
          <w:sz w:val="22"/>
        </w:rPr>
        <w:t>: 430–438.</w:t>
      </w:r>
      <w:r w:rsidRPr="001533D5">
        <w:rPr>
          <w:rFonts w:ascii="Arial" w:hAnsi="Arial" w:cs="Arial"/>
          <w:noProof/>
          <w:sz w:val="22"/>
        </w:rPr>
        <w:tab/>
      </w:r>
    </w:p>
    <w:p w14:paraId="2F2EACE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1533D5">
        <w:rPr>
          <w:rFonts w:ascii="Arial" w:hAnsi="Arial" w:cs="Arial"/>
          <w:i/>
          <w:iCs/>
          <w:noProof/>
          <w:sz w:val="22"/>
        </w:rPr>
        <w:t>J. Lipid Res.</w:t>
      </w:r>
      <w:r w:rsidRPr="001533D5">
        <w:rPr>
          <w:rFonts w:ascii="Arial" w:hAnsi="Arial" w:cs="Arial"/>
          <w:noProof/>
          <w:sz w:val="22"/>
        </w:rPr>
        <w:t xml:space="preserve"> </w:t>
      </w:r>
      <w:r w:rsidRPr="001533D5">
        <w:rPr>
          <w:rFonts w:ascii="Arial" w:hAnsi="Arial" w:cs="Arial"/>
          <w:b/>
          <w:bCs/>
          <w:noProof/>
          <w:sz w:val="22"/>
        </w:rPr>
        <w:t>44</w:t>
      </w:r>
      <w:r w:rsidRPr="001533D5">
        <w:rPr>
          <w:rFonts w:ascii="Arial" w:hAnsi="Arial" w:cs="Arial"/>
          <w:noProof/>
          <w:sz w:val="22"/>
        </w:rPr>
        <w:t>: 1100–12. [online] http://www.ncbi.nlm.nih.gov/pubmed/12700340 (Accessed July 17, 2019).</w:t>
      </w:r>
      <w:r w:rsidRPr="001533D5">
        <w:rPr>
          <w:rFonts w:ascii="Arial" w:hAnsi="Arial" w:cs="Arial"/>
          <w:noProof/>
          <w:sz w:val="22"/>
        </w:rPr>
        <w:tab/>
      </w:r>
    </w:p>
    <w:p w14:paraId="2CAB143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1533D5">
        <w:rPr>
          <w:rFonts w:ascii="Arial" w:hAnsi="Arial" w:cs="Arial"/>
          <w:i/>
          <w:iCs/>
          <w:noProof/>
          <w:sz w:val="22"/>
        </w:rPr>
        <w:t>Biol. Reprod.</w:t>
      </w:r>
      <w:r w:rsidRPr="001533D5">
        <w:rPr>
          <w:rFonts w:ascii="Arial" w:hAnsi="Arial" w:cs="Arial"/>
          <w:noProof/>
          <w:sz w:val="22"/>
        </w:rPr>
        <w:t xml:space="preserve"> </w:t>
      </w:r>
      <w:r w:rsidRPr="001533D5">
        <w:rPr>
          <w:rFonts w:ascii="Arial" w:hAnsi="Arial" w:cs="Arial"/>
          <w:b/>
          <w:bCs/>
          <w:noProof/>
          <w:sz w:val="22"/>
        </w:rPr>
        <w:t>101</w:t>
      </w:r>
      <w:r w:rsidRPr="001533D5">
        <w:rPr>
          <w:rFonts w:ascii="Arial" w:hAnsi="Arial" w:cs="Arial"/>
          <w:noProof/>
          <w:sz w:val="22"/>
        </w:rPr>
        <w:t>: 126–137. [online] https://academic.oup.com/biolreprod/article/101/1/126/5462648 (Accessed April 27, 2021).</w:t>
      </w:r>
      <w:r w:rsidRPr="001533D5">
        <w:rPr>
          <w:rFonts w:ascii="Arial" w:hAnsi="Arial" w:cs="Arial"/>
          <w:noProof/>
          <w:sz w:val="22"/>
        </w:rPr>
        <w:tab/>
      </w:r>
    </w:p>
    <w:p w14:paraId="3A348CE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122</w:t>
      </w:r>
      <w:r w:rsidRPr="001533D5">
        <w:rPr>
          <w:rFonts w:ascii="Arial" w:hAnsi="Arial" w:cs="Arial"/>
          <w:noProof/>
          <w:sz w:val="22"/>
        </w:rPr>
        <w:t>: e472–e479. [online] www.pediatrics.org/cgi/doi/10.1542/ (Accessed May 11, 2021).</w:t>
      </w:r>
      <w:r w:rsidRPr="001533D5">
        <w:rPr>
          <w:rFonts w:ascii="Arial" w:hAnsi="Arial" w:cs="Arial"/>
          <w:noProof/>
          <w:sz w:val="22"/>
        </w:rPr>
        <w:tab/>
      </w:r>
    </w:p>
    <w:p w14:paraId="0D0F4A5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82</w:t>
      </w:r>
      <w:r w:rsidRPr="001533D5">
        <w:rPr>
          <w:rFonts w:ascii="Arial" w:hAnsi="Arial" w:cs="Arial"/>
          <w:noProof/>
          <w:sz w:val="22"/>
        </w:rPr>
        <w:t>: 125–132. [online] https://academic.oup.com/ajcn/article/82/1/125/4863316 (Accessed May 11, 2021).</w:t>
      </w:r>
      <w:r w:rsidRPr="001533D5">
        <w:rPr>
          <w:rFonts w:ascii="Arial" w:hAnsi="Arial" w:cs="Arial"/>
          <w:noProof/>
          <w:sz w:val="22"/>
        </w:rPr>
        <w:tab/>
      </w:r>
    </w:p>
    <w:p w14:paraId="1EA401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91</w:t>
      </w:r>
      <w:r w:rsidRPr="001533D5">
        <w:rPr>
          <w:rFonts w:ascii="Arial" w:hAnsi="Arial" w:cs="Arial"/>
          <w:noProof/>
          <w:sz w:val="22"/>
        </w:rPr>
        <w:t>: 848–859. [online] www.cdc.gov/growthcharts/ (Accessed May 12, 2021).</w:t>
      </w:r>
      <w:r w:rsidRPr="001533D5">
        <w:rPr>
          <w:rFonts w:ascii="Arial" w:hAnsi="Arial" w:cs="Arial"/>
          <w:noProof/>
          <w:sz w:val="22"/>
        </w:rPr>
        <w:tab/>
      </w:r>
    </w:p>
    <w:p w14:paraId="14DBD05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1533D5">
        <w:rPr>
          <w:rFonts w:ascii="Arial" w:hAnsi="Arial" w:cs="Arial"/>
          <w:i/>
          <w:iCs/>
          <w:noProof/>
          <w:sz w:val="22"/>
        </w:rPr>
        <w:t>Nature</w:t>
      </w:r>
      <w:r w:rsidRPr="001533D5">
        <w:rPr>
          <w:rFonts w:ascii="Arial" w:hAnsi="Arial" w:cs="Arial"/>
          <w:noProof/>
          <w:sz w:val="22"/>
        </w:rPr>
        <w:t xml:space="preserve">. </w:t>
      </w:r>
      <w:r w:rsidRPr="001533D5">
        <w:rPr>
          <w:rFonts w:ascii="Arial" w:hAnsi="Arial" w:cs="Arial"/>
          <w:b/>
          <w:bCs/>
          <w:noProof/>
          <w:sz w:val="22"/>
        </w:rPr>
        <w:t>509</w:t>
      </w:r>
      <w:r w:rsidRPr="001533D5">
        <w:rPr>
          <w:rFonts w:ascii="Arial" w:hAnsi="Arial" w:cs="Arial"/>
          <w:noProof/>
          <w:sz w:val="22"/>
        </w:rPr>
        <w:t>: 503–506. [online] https://www.nature.com/articles/nature13241 (Accessed May 11, 2021).</w:t>
      </w:r>
      <w:r w:rsidRPr="001533D5">
        <w:rPr>
          <w:rFonts w:ascii="Arial" w:hAnsi="Arial" w:cs="Arial"/>
          <w:noProof/>
          <w:sz w:val="22"/>
        </w:rPr>
        <w:tab/>
      </w:r>
    </w:p>
    <w:p w14:paraId="4A00B6D0" w14:textId="49ED4B21" w:rsidR="0085513B" w:rsidRDefault="001745BF" w:rsidP="001533D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70F2486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t>
      </w:r>
      <w:r w:rsidR="00845743">
        <w:rPr>
          <w:rFonts w:ascii="Arial" w:hAnsi="Arial" w:cs="Arial"/>
          <w:i w:val="0"/>
          <w:iCs w:val="0"/>
          <w:sz w:val="22"/>
          <w:szCs w:val="22"/>
        </w:rPr>
        <w:t>WT</w:t>
      </w:r>
      <w:r w:rsidR="00A3627A" w:rsidRPr="000E1113">
        <w:rPr>
          <w:rFonts w:ascii="Arial" w:hAnsi="Arial" w:cs="Arial"/>
          <w:i w:val="0"/>
          <w:iCs w:val="0"/>
          <w:sz w:val="22"/>
          <w:szCs w:val="22"/>
        </w:rPr>
        <w:t xml:space="preserve"> (in green) and </w:t>
      </w:r>
      <w:r w:rsidR="00845743">
        <w:rPr>
          <w:rFonts w:ascii="Arial" w:hAnsi="Arial" w:cs="Arial"/>
          <w:i w:val="0"/>
          <w:iCs w:val="0"/>
          <w:sz w:val="22"/>
          <w:szCs w:val="22"/>
        </w:rPr>
        <w:t>KO</w:t>
      </w:r>
      <w:r w:rsidR="00A3627A" w:rsidRPr="000E1113">
        <w:rPr>
          <w:rFonts w:ascii="Arial" w:hAnsi="Arial" w:cs="Arial"/>
          <w:i w:val="0"/>
          <w:iCs w:val="0"/>
          <w:sz w:val="22"/>
          <w:szCs w:val="22"/>
        </w:rPr>
        <w:t xml:space="preserve">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KO</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D49CE0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C223AB" w:rsidRPr="00AB16E7">
        <w:rPr>
          <w:rFonts w:ascii="Arial" w:hAnsi="Arial" w:cs="Arial"/>
          <w:bCs/>
          <w:i w:val="0"/>
          <w:sz w:val="22"/>
          <w:szCs w:val="22"/>
        </w:rPr>
        <w:t xml:space="preserve">H&amp;E </w:t>
      </w:r>
      <w:r w:rsidR="00C223A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proofErr w:type="gramStart"/>
      <w:r w:rsidR="00A12BAB">
        <w:rPr>
          <w:rFonts w:ascii="Arial" w:hAnsi="Arial" w:cs="Arial"/>
          <w:i w:val="0"/>
          <w:sz w:val="22"/>
          <w:szCs w:val="22"/>
        </w:rPr>
        <w:t>offspring</w:t>
      </w:r>
      <w:proofErr w:type="gramEnd"/>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6A84EB2E"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 xml:space="preserve">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 xml:space="preserve">G) T- and B-Cell gene expression markers. Asterisks indicate q&lt;0.05, number sign indicates </w:t>
      </w:r>
      <w:commentRangeStart w:id="60"/>
      <w:r w:rsidR="002B624B">
        <w:rPr>
          <w:rFonts w:ascii="Arial" w:hAnsi="Arial" w:cs="Arial"/>
          <w:i w:val="0"/>
          <w:sz w:val="22"/>
          <w:szCs w:val="22"/>
        </w:rPr>
        <w:t>p&lt;0.05</w:t>
      </w:r>
      <w:r w:rsidR="00000782">
        <w:rPr>
          <w:rFonts w:ascii="Arial" w:hAnsi="Arial" w:cs="Arial"/>
          <w:i w:val="0"/>
          <w:sz w:val="22"/>
          <w:szCs w:val="22"/>
        </w:rPr>
        <w:t>.</w:t>
      </w:r>
      <w:commentRangeEnd w:id="60"/>
      <w:r w:rsidR="008648A8">
        <w:rPr>
          <w:rStyle w:val="CommentReference"/>
          <w:i w:val="0"/>
          <w:iCs w:val="0"/>
          <w:color w:val="auto"/>
        </w:rPr>
        <w:commentReference w:id="60"/>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21-06-16T11:18:00Z" w:initials="DB">
    <w:p w14:paraId="04BA08E3" w14:textId="358338B6" w:rsidR="001D7078" w:rsidRDefault="001D7078">
      <w:pPr>
        <w:pStyle w:val="CommentText"/>
      </w:pPr>
      <w:r>
        <w:rPr>
          <w:rStyle w:val="CommentReference"/>
        </w:rPr>
        <w:annotationRef/>
      </w:r>
      <w:r>
        <w:t>How much higher</w:t>
      </w:r>
    </w:p>
  </w:comment>
  <w:comment w:id="17" w:author="Dave Bridges" w:date="2021-06-16T11:19:00Z" w:initials="DB">
    <w:p w14:paraId="6FFF6ECB" w14:textId="5A6EFD07" w:rsidR="001D7078" w:rsidRDefault="001D7078">
      <w:pPr>
        <w:pStyle w:val="CommentText"/>
      </w:pPr>
      <w:r>
        <w:rPr>
          <w:rStyle w:val="CommentReference"/>
        </w:rPr>
        <w:annotationRef/>
      </w:r>
      <w:r>
        <w:t>If this isn’t the meta-analysis you should describe that instead.</w:t>
      </w:r>
    </w:p>
  </w:comment>
  <w:comment w:id="22" w:author="Dave Bridges" w:date="2021-06-16T11:20:00Z" w:initials="DB">
    <w:p w14:paraId="45CC24E6" w14:textId="373AE6BA" w:rsidR="007D0555" w:rsidRDefault="007D0555">
      <w:pPr>
        <w:pStyle w:val="CommentText"/>
      </w:pPr>
      <w:r>
        <w:rPr>
          <w:rStyle w:val="CommentReference"/>
        </w:rPr>
        <w:annotationRef/>
      </w:r>
      <w:r>
        <w:t xml:space="preserve">Amino acid and energy dependent mTORC1 activation is independent of </w:t>
      </w:r>
      <w:proofErr w:type="spellStart"/>
      <w:r>
        <w:t>Akt</w:t>
      </w:r>
      <w:proofErr w:type="spellEnd"/>
    </w:p>
  </w:comment>
  <w:comment w:id="36" w:author="Noura El Habbal" w:date="2021-06-10T13:14:00Z" w:initials="NEH">
    <w:p w14:paraId="330ABF09" w14:textId="74241194" w:rsidR="00957BC4" w:rsidRDefault="00957BC4">
      <w:pPr>
        <w:pStyle w:val="CommentText"/>
      </w:pPr>
      <w:r>
        <w:rPr>
          <w:rStyle w:val="CommentReference"/>
        </w:rPr>
        <w:annotationRef/>
      </w:r>
      <w:r>
        <w:t>Or 139? @</w:t>
      </w:r>
      <w:proofErr w:type="spellStart"/>
      <w:r>
        <w:t>dave</w:t>
      </w:r>
      <w:proofErr w:type="spellEnd"/>
    </w:p>
  </w:comment>
  <w:comment w:id="37"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38"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39"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40"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41" w:author="Noura El Habbal" w:date="2021-06-05T18:42:00Z" w:initials="NEH">
    <w:p w14:paraId="281B8993" w14:textId="21ECEA1C" w:rsidR="007749C7" w:rsidRDefault="007749C7">
      <w:pPr>
        <w:pStyle w:val="CommentText"/>
      </w:pPr>
      <w:r>
        <w:rPr>
          <w:rStyle w:val="CommentReference"/>
        </w:rPr>
        <w:annotationRef/>
      </w:r>
      <w:r>
        <w:t>But this seems untrue given the similar EPA levels</w:t>
      </w:r>
      <w:r w:rsidR="00686AFF">
        <w:t xml:space="preserve"> (not less EPA in KO v WT)</w:t>
      </w:r>
    </w:p>
  </w:comment>
  <w:comment w:id="42" w:author="Noura El Habbal" w:date="2021-06-10T17:46:00Z" w:initials="NEH">
    <w:p w14:paraId="5606F30D" w14:textId="08814C88" w:rsidR="001E50AD" w:rsidRDefault="001E50AD">
      <w:pPr>
        <w:pStyle w:val="CommentText"/>
      </w:pPr>
      <w:r>
        <w:rPr>
          <w:rStyle w:val="CommentReference"/>
        </w:rPr>
        <w:annotationRef/>
      </w:r>
      <w:r>
        <w:t xml:space="preserve">Which omega pathway these enzymes correspond to is unclear. Majority are for AA (w6) metabolism! Which makes this section unclear to </w:t>
      </w:r>
      <w:proofErr w:type="gramStart"/>
      <w:r>
        <w:t>me.</w:t>
      </w:r>
      <w:proofErr w:type="gramEnd"/>
    </w:p>
  </w:comment>
  <w:comment w:id="43"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44"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45" w:author="Noura El Habbal" w:date="2021-06-10T17:45:00Z" w:initials="NEH">
    <w:p w14:paraId="1A6E33F6" w14:textId="2D08D9BA" w:rsidR="00D635AB" w:rsidRDefault="00D635AB">
      <w:pPr>
        <w:pStyle w:val="CommentText"/>
      </w:pPr>
      <w:r>
        <w:rPr>
          <w:rStyle w:val="CommentReference"/>
        </w:rPr>
        <w:annotationRef/>
      </w:r>
      <w:r>
        <w:t>Cannot answer Hannah’s questions here, but added a logical link between DHA levels in milk (coming from maternal circulation) and how DHA could exert inhibitory effect on immune markers</w:t>
      </w:r>
    </w:p>
  </w:comment>
  <w:comment w:id="49"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50" w:author="Noura El Habbal" w:date="2021-06-10T18:02:00Z" w:initials="NEH">
    <w:p w14:paraId="01D674B1" w14:textId="7CACEA82" w:rsidR="00245A45" w:rsidRDefault="00245A45">
      <w:pPr>
        <w:pStyle w:val="CommentText"/>
      </w:pPr>
      <w:r>
        <w:rPr>
          <w:rStyle w:val="CommentReference"/>
        </w:rPr>
        <w:annotationRef/>
      </w:r>
      <w:r>
        <w:t xml:space="preserve">Noura needs further explanation here- what do you mean? </w:t>
      </w:r>
      <w:proofErr w:type="gramStart"/>
      <w:r>
        <w:t>Also</w:t>
      </w:r>
      <w:proofErr w:type="gramEnd"/>
      <w:r>
        <w:t xml:space="preserve"> should we refer back to adiponectin increases in </w:t>
      </w:r>
      <w:proofErr w:type="spellStart"/>
      <w:r>
        <w:t>rnaseq</w:t>
      </w:r>
      <w:proofErr w:type="spellEnd"/>
      <w:r>
        <w:t xml:space="preserve"> and how that by itself can increase lipid droplet number in epithelial cells? </w:t>
      </w:r>
    </w:p>
  </w:comment>
  <w:comment w:id="51"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52"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53" w:author="Redd, JeAnna" w:date="2021-06-02T13:28:00Z" w:initials="RJ">
    <w:p w14:paraId="18F5ED73" w14:textId="344BE84A" w:rsidR="007749C7" w:rsidRDefault="007749C7">
      <w:pPr>
        <w:pStyle w:val="CommentText"/>
      </w:pPr>
      <w:r>
        <w:rPr>
          <w:rStyle w:val="CommentReference"/>
        </w:rPr>
        <w:annotationRef/>
      </w:r>
      <w:r>
        <w:t>What’s the second?</w:t>
      </w:r>
    </w:p>
  </w:comment>
  <w:comment w:id="54"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55"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56" w:author="Noura El Habbal" w:date="2021-06-10T18:08:00Z" w:initials="NEH">
    <w:p w14:paraId="4378F8C6" w14:textId="73978312" w:rsidR="00242C83" w:rsidRDefault="00242C83">
      <w:pPr>
        <w:pStyle w:val="CommentText"/>
      </w:pPr>
      <w:r>
        <w:rPr>
          <w:rStyle w:val="CommentReference"/>
        </w:rPr>
        <w:annotationRef/>
      </w:r>
      <w:r>
        <w:t>Which cells are being referenced here? @</w:t>
      </w:r>
      <w:proofErr w:type="spellStart"/>
      <w:r>
        <w:t>dave</w:t>
      </w:r>
      <w:proofErr w:type="spellEnd"/>
    </w:p>
  </w:comment>
  <w:comment w:id="57"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58" w:author="Noura El Habbal" w:date="2021-06-10T18:10:00Z" w:initials="NEH">
    <w:p w14:paraId="6D7DCE31" w14:textId="0168CFAB" w:rsidR="006055B6" w:rsidRDefault="006055B6">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59"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 w:id="60" w:author="Noura El Habbal" w:date="2021-06-10T18:32:00Z" w:initials="NEH">
    <w:p w14:paraId="083F34B5" w14:textId="30D1ED5E" w:rsidR="008648A8" w:rsidRDefault="008648A8">
      <w:pPr>
        <w:pStyle w:val="CommentText"/>
      </w:pPr>
      <w:r>
        <w:rPr>
          <w:rStyle w:val="CommentReference"/>
        </w:rPr>
        <w:annotationRef/>
      </w:r>
      <w:r>
        <w:t>Do we need n =11</w:t>
      </w:r>
      <w:r w:rsidR="00F43DD4">
        <w:t xml:space="preserve"> or 10</w:t>
      </w:r>
      <w:r>
        <w:t xml:space="preserve"> dams?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6FFF6ECB" w15:done="0"/>
  <w15:commentEx w15:paraId="45CC24E6" w15:done="0"/>
  <w15:commentEx w15:paraId="330ABF09" w15:done="0"/>
  <w15:commentEx w15:paraId="1F3F45AD" w15:done="0"/>
  <w15:commentEx w15:paraId="2DD79EB5" w15:paraIdParent="1F3F45AD" w15:done="0"/>
  <w15:commentEx w15:paraId="13A811D0" w15:done="0"/>
  <w15:commentEx w15:paraId="6CD48D39" w15:paraIdParent="13A811D0" w15:done="0"/>
  <w15:commentEx w15:paraId="281B8993" w15:done="0"/>
  <w15:commentEx w15:paraId="5606F30D" w15:done="0"/>
  <w15:commentEx w15:paraId="0FC2FC2B" w15:done="0"/>
  <w15:commentEx w15:paraId="36E057E1" w15:paraIdParent="0FC2FC2B" w15:done="0"/>
  <w15:commentEx w15:paraId="1A6E33F6" w15:paraIdParent="0FC2FC2B" w15:done="0"/>
  <w15:commentEx w15:paraId="08037696" w15:done="0"/>
  <w15:commentEx w15:paraId="01D674B1"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378F8C6" w15:done="0"/>
  <w15:commentEx w15:paraId="6CF5D3A8" w15:done="0"/>
  <w15:commentEx w15:paraId="6D7DCE31" w15:done="0"/>
  <w15:commentEx w15:paraId="66537B91" w15:done="0"/>
  <w15:commentEx w15:paraId="083F3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6FFF6ECB" w16cid:durableId="24745CD2"/>
  <w16cid:commentId w16cid:paraId="45CC24E6" w16cid:durableId="24745D17"/>
  <w16cid:commentId w16cid:paraId="330ABF09" w16cid:durableId="246C8EC2"/>
  <w16cid:commentId w16cid:paraId="1F3F45AD" w16cid:durableId="244E4D5E"/>
  <w16cid:commentId w16cid:paraId="2DD79EB5" w16cid:durableId="24648CCC"/>
  <w16cid:commentId w16cid:paraId="13A811D0" w16cid:durableId="2461E164"/>
  <w16cid:commentId w16cid:paraId="6CD48D39" w16cid:durableId="24649BBC"/>
  <w16cid:commentId w16cid:paraId="281B8993" w16cid:durableId="24664401"/>
  <w16cid:commentId w16cid:paraId="5606F30D" w16cid:durableId="246CCE6A"/>
  <w16cid:commentId w16cid:paraId="0FC2FC2B" w16cid:durableId="244CBD1B"/>
  <w16cid:commentId w16cid:paraId="36E057E1" w16cid:durableId="24579217"/>
  <w16cid:commentId w16cid:paraId="1A6E33F6" w16cid:durableId="246CCE34"/>
  <w16cid:commentId w16cid:paraId="08037696" w16cid:durableId="24649FB3"/>
  <w16cid:commentId w16cid:paraId="01D674B1" w16cid:durableId="246CD218"/>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378F8C6" w16cid:durableId="246CD381"/>
  <w16cid:commentId w16cid:paraId="6CF5D3A8" w16cid:durableId="2464A168"/>
  <w16cid:commentId w16cid:paraId="6D7DCE31" w16cid:durableId="246CD41E"/>
  <w16cid:commentId w16cid:paraId="66537B91" w16cid:durableId="244CC050"/>
  <w16cid:commentId w16cid:paraId="083F34B5" w16cid:durableId="246CD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4EEB5" w14:textId="77777777" w:rsidR="00A40437" w:rsidRDefault="00A40437" w:rsidP="006E77C5">
      <w:r>
        <w:separator/>
      </w:r>
    </w:p>
  </w:endnote>
  <w:endnote w:type="continuationSeparator" w:id="0">
    <w:p w14:paraId="5A5D6DA1" w14:textId="77777777" w:rsidR="00A40437" w:rsidRDefault="00A4043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FF9BA" w14:textId="77777777" w:rsidR="00A40437" w:rsidRDefault="00A40437" w:rsidP="006E77C5">
      <w:r>
        <w:separator/>
      </w:r>
    </w:p>
  </w:footnote>
  <w:footnote w:type="continuationSeparator" w:id="0">
    <w:p w14:paraId="652798E1" w14:textId="77777777" w:rsidR="00A40437" w:rsidRDefault="00A4043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6EEF"/>
    <w:rsid w:val="00242C83"/>
    <w:rsid w:val="00243164"/>
    <w:rsid w:val="00245A45"/>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168A"/>
    <w:rsid w:val="003C2596"/>
    <w:rsid w:val="003C2CE9"/>
    <w:rsid w:val="003C33B1"/>
    <w:rsid w:val="003D5455"/>
    <w:rsid w:val="003D6E2D"/>
    <w:rsid w:val="003E1827"/>
    <w:rsid w:val="003F0902"/>
    <w:rsid w:val="003F4595"/>
    <w:rsid w:val="003F46B5"/>
    <w:rsid w:val="003F551A"/>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2186"/>
    <w:rsid w:val="00472C36"/>
    <w:rsid w:val="00474B99"/>
    <w:rsid w:val="0047727E"/>
    <w:rsid w:val="00477FA8"/>
    <w:rsid w:val="004818E3"/>
    <w:rsid w:val="00487AC0"/>
    <w:rsid w:val="00490A2B"/>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E78CF"/>
    <w:rsid w:val="004F2273"/>
    <w:rsid w:val="00500E81"/>
    <w:rsid w:val="00502CD7"/>
    <w:rsid w:val="00503A9A"/>
    <w:rsid w:val="00510235"/>
    <w:rsid w:val="00511A1A"/>
    <w:rsid w:val="00513603"/>
    <w:rsid w:val="00514300"/>
    <w:rsid w:val="00520024"/>
    <w:rsid w:val="005217F9"/>
    <w:rsid w:val="00521A0A"/>
    <w:rsid w:val="00523516"/>
    <w:rsid w:val="00524698"/>
    <w:rsid w:val="00536AAE"/>
    <w:rsid w:val="00545235"/>
    <w:rsid w:val="00545FBB"/>
    <w:rsid w:val="00550187"/>
    <w:rsid w:val="0055174F"/>
    <w:rsid w:val="00554447"/>
    <w:rsid w:val="005552EE"/>
    <w:rsid w:val="00563308"/>
    <w:rsid w:val="00564FF9"/>
    <w:rsid w:val="00572314"/>
    <w:rsid w:val="005731E4"/>
    <w:rsid w:val="0057447E"/>
    <w:rsid w:val="0057531F"/>
    <w:rsid w:val="00577E2F"/>
    <w:rsid w:val="00580999"/>
    <w:rsid w:val="00580AF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09A2"/>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A2D56"/>
    <w:rsid w:val="007A4323"/>
    <w:rsid w:val="007B155F"/>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D08"/>
    <w:rsid w:val="00880D08"/>
    <w:rsid w:val="008812BF"/>
    <w:rsid w:val="00883552"/>
    <w:rsid w:val="00885E82"/>
    <w:rsid w:val="0089305A"/>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37"/>
    <w:rsid w:val="00A404A1"/>
    <w:rsid w:val="00A41CA7"/>
    <w:rsid w:val="00A443B5"/>
    <w:rsid w:val="00A45904"/>
    <w:rsid w:val="00A46275"/>
    <w:rsid w:val="00A47B19"/>
    <w:rsid w:val="00A47D44"/>
    <w:rsid w:val="00A518F5"/>
    <w:rsid w:val="00A56AD7"/>
    <w:rsid w:val="00A56B15"/>
    <w:rsid w:val="00A62878"/>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7C9C"/>
    <w:rsid w:val="00B92C1B"/>
    <w:rsid w:val="00B94B98"/>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3EF5"/>
    <w:rsid w:val="00D15783"/>
    <w:rsid w:val="00D20420"/>
    <w:rsid w:val="00D21277"/>
    <w:rsid w:val="00D213A8"/>
    <w:rsid w:val="00D22582"/>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392F"/>
    <w:rsid w:val="00EF1089"/>
    <w:rsid w:val="00EF17DE"/>
    <w:rsid w:val="00EF539B"/>
    <w:rsid w:val="00EF5551"/>
    <w:rsid w:val="00EF70DB"/>
    <w:rsid w:val="00F03568"/>
    <w:rsid w:val="00F06841"/>
    <w:rsid w:val="00F10DF8"/>
    <w:rsid w:val="00F13216"/>
    <w:rsid w:val="00F132DD"/>
    <w:rsid w:val="00F21112"/>
    <w:rsid w:val="00F21796"/>
    <w:rsid w:val="00F23A33"/>
    <w:rsid w:val="00F32254"/>
    <w:rsid w:val="00F36FA6"/>
    <w:rsid w:val="00F40523"/>
    <w:rsid w:val="00F43DD4"/>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7CD2-A71B-3541-BFA2-36FBC708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18</Pages>
  <Words>26639</Words>
  <Characters>151847</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135</cp:revision>
  <dcterms:created xsi:type="dcterms:W3CDTF">2021-06-07T18:07:00Z</dcterms:created>
  <dcterms:modified xsi:type="dcterms:W3CDTF">2021-06-16T15:26:00Z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