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61B7F3C5" w:rsidR="00DF51A6" w:rsidRDefault="00124B3B"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4/15</w:t>
      </w:r>
      <w:r w:rsidR="00DF51A6">
        <w:rPr>
          <w:rFonts w:ascii="Arial" w:eastAsia="MS PMincho" w:hAnsi="Arial" w:cs="Arial"/>
          <w:b/>
          <w:bCs/>
          <w:color w:val="000000" w:themeColor="text1"/>
          <w:sz w:val="22"/>
          <w:szCs w:val="22"/>
        </w:rPr>
        <w:t xml:space="preserve">/21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785932">
      <w:pPr>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1A7AFEE" w:rsidR="00212CBF" w:rsidRPr="00EF5551" w:rsidRDefault="00212CBF" w:rsidP="00785932">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w:t>
      </w:r>
      <w:proofErr w:type="gramStart"/>
      <w:r w:rsidR="00A46275">
        <w:rPr>
          <w:rFonts w:ascii="Arial" w:hAnsi="Arial" w:cs="Arial"/>
          <w:color w:val="000000" w:themeColor="text1"/>
          <w:sz w:val="22"/>
          <w:szCs w:val="22"/>
        </w:rPr>
        <w:t>6:omega</w:t>
      </w:r>
      <w:proofErr w:type="gramEnd"/>
      <w:r w:rsidR="00A46275">
        <w:rPr>
          <w:rFonts w:ascii="Arial" w:hAnsi="Arial" w:cs="Arial"/>
          <w:color w:val="000000" w:themeColor="text1"/>
          <w:sz w:val="22"/>
          <w:szCs w:val="22"/>
        </w:rPr>
        <w:t>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1C6A73C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Maternal weight can </w:t>
      </w:r>
      <w:r w:rsidR="007464D2">
        <w:rPr>
          <w:rFonts w:ascii="Arial" w:hAnsi="Arial" w:cs="Arial"/>
          <w:color w:val="000000" w:themeColor="text1"/>
          <w:sz w:val="22"/>
          <w:szCs w:val="22"/>
        </w:rPr>
        <w:t xml:space="preserve">increase maternal mortality risk and pregnancy complications including </w:t>
      </w:r>
      <w:r w:rsidR="009F5662">
        <w:rPr>
          <w:rFonts w:ascii="Arial" w:hAnsi="Arial" w:cs="Arial"/>
          <w:color w:val="000000" w:themeColor="text1"/>
          <w:sz w:val="22"/>
          <w:szCs w:val="22"/>
        </w:rPr>
        <w:t xml:space="preserve">gestational diabetes </w:t>
      </w:r>
      <w:r w:rsidR="007464D2">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{"citationItems":[{"id":"ITEM-1","itemData":{"DOI":"10.1203/PDR.0b013e3182055ede","ISSN":"00313998","PMID":"21076366","abstract":"Obesity among pregnant women is becoming one of the most important women's health issues. Obesity is associated with increased risk of almost all pregnancy complications: gestational hypertension, preeclampsia, gestational diabetes mellitus, delivery of large-for-GA infants, and higher incidence of congenital defects all occur more frequently than in women with a normal BMI. Evidence shows that a child of an obese mother may suffer from exposure to a suboptimal in utero environment and that early life adversities may extend into adulthood. In September 2009, ILSI Europe convened a workshop with multidisciplinary expertise to review practices and science base of health and nutrition of obese pregnant women, with focus on the long-term health of the child. The consensus viewpoint of the workshop identified gaps and gave recommendations for future research on gestational weight gain, gestational diabetes, and research methodologies. The evidence available on short-and longterm health impact for mother and child currently favors actions directed at controlling prepregnancy weight and preventing obesity in women of reproductive ages. More randomized controlled trials are needed to evaluate the effects of nutritional and behavioral interventions in pregnancy outcomes. Moreover, suggestions that maternal obesity may transfer obesity risk to child through non-Mendelian (e.g. epigenetic) mechanisms require more longterm investigation. Copyright © 2011 International Pediatric Research Foundation, Inc.","author":[{"dropping-particle":"","family":"Poston","given":"Lucilla","non-dropping-particle":"","parse-names":false,"suffix":""},{"dropping-particle":"","family":"Harthoorn","given":"Lucien F.","non-dropping-particle":"","parse-names":false,"suffix":""},{"dropping-particle":"","family":"Beek","given":"Eline M.","non-dropping-particle":"Van Der","parse-names":false,"suffix":""}],"container-title":"Pediatric Research","id":"ITEM-1","issue":"2","issued":{"date-parts":[["2011","2"]]},"page":"175-180","publisher":"Nature Publishing Group","title":"Obesity in pregnancy: Implications for the mother and lifelong health of the child. A consensus statement","type":"article-journal","volume":"69"},"uris":["http://www.mendeley.com/documents/?uuid=77e3597d-e09b-38ff-ade4-ca42a51c2c8b"]}],"mendeley":{"formattedCitation":"(2)","plainTextFormattedCitation":"(2)","previouslyFormattedCitation":"(2)"},"properties":{"noteIndex":0},"schema":"https://github.com/citation-style-language/schema/raw/master/csl-citation.json"}</w:instrText>
      </w:r>
      <w:r w:rsidR="007464D2">
        <w:rPr>
          <w:rFonts w:ascii="Arial" w:hAnsi="Arial" w:cs="Arial"/>
          <w:color w:val="000000" w:themeColor="text1"/>
          <w:sz w:val="22"/>
          <w:szCs w:val="22"/>
        </w:rPr>
        <w:fldChar w:fldCharType="separate"/>
      </w:r>
      <w:r w:rsidR="007464D2" w:rsidRPr="007464D2">
        <w:rPr>
          <w:rFonts w:ascii="Arial" w:hAnsi="Arial" w:cs="Arial"/>
          <w:noProof/>
          <w:color w:val="000000" w:themeColor="text1"/>
          <w:sz w:val="22"/>
          <w:szCs w:val="22"/>
        </w:rPr>
        <w:t>(2)</w:t>
      </w:r>
      <w:r w:rsidR="007464D2">
        <w:rPr>
          <w:rFonts w:ascii="Arial" w:hAnsi="Arial" w:cs="Arial"/>
          <w:color w:val="000000" w:themeColor="text1"/>
          <w:sz w:val="22"/>
          <w:szCs w:val="22"/>
        </w:rPr>
        <w:fldChar w:fldCharType="end"/>
      </w:r>
      <w:r w:rsidR="009F5662">
        <w:rPr>
          <w:rFonts w:ascii="Arial" w:hAnsi="Arial" w:cs="Arial"/>
          <w:color w:val="000000" w:themeColor="text1"/>
          <w:sz w:val="22"/>
          <w:szCs w:val="22"/>
        </w:rPr>
        <w:t xml:space="preserve">. </w:t>
      </w:r>
      <w:r w:rsidR="007464D2" w:rsidRPr="00EF5551">
        <w:rPr>
          <w:rFonts w:ascii="Arial" w:hAnsi="Arial" w:cs="Arial"/>
          <w:color w:val="000000" w:themeColor="text1"/>
          <w:sz w:val="22"/>
          <w:szCs w:val="22"/>
        </w:rPr>
        <w:t xml:space="preserve">According to the Developmental Origins of Health and Disease theory, the health of the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(3)","plainTextFormattedCitation":"(3)","previouslyFormattedCitation":"(3)"},"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7464D2" w:rsidRPr="00C535D7">
        <w:rPr>
          <w:rFonts w:ascii="Arial" w:hAnsi="Arial" w:cs="Arial"/>
          <w:noProof/>
          <w:color w:val="000000" w:themeColor="text1"/>
          <w:sz w:val="22"/>
          <w:szCs w:val="22"/>
        </w:rPr>
        <w:t>(3)</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Maternal obesity</w:t>
      </w:r>
      <w:r w:rsidR="004125BF" w:rsidRPr="00EF5551">
        <w:rPr>
          <w:rFonts w:ascii="Arial" w:hAnsi="Arial" w:cs="Arial"/>
          <w:color w:val="000000" w:themeColor="text1"/>
          <w:sz w:val="22"/>
          <w:szCs w:val="22"/>
        </w:rPr>
        <w:t xml:space="preserve">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 xml:space="preserve">development </w:t>
      </w:r>
      <w:r w:rsidR="002832DF">
        <w:rPr>
          <w:rFonts w:ascii="Arial" w:hAnsi="Arial" w:cs="Arial"/>
          <w:color w:val="000000" w:themeColor="text1"/>
          <w:sz w:val="22"/>
          <w:szCs w:val="22"/>
        </w:rPr>
        <w:t xml:space="preserve">and can </w:t>
      </w:r>
      <w:r w:rsidR="008F21D8">
        <w:rPr>
          <w:rFonts w:ascii="Arial" w:hAnsi="Arial" w:cs="Arial"/>
          <w:color w:val="000000" w:themeColor="text1"/>
          <w:sz w:val="22"/>
          <w:szCs w:val="22"/>
        </w:rPr>
        <w:t>increase risk of</w:t>
      </w:r>
      <w:r w:rsidR="009F5662">
        <w:rPr>
          <w:rFonts w:ascii="Arial" w:hAnsi="Arial" w:cs="Arial"/>
          <w:color w:val="000000" w:themeColor="text1"/>
          <w:sz w:val="22"/>
          <w:szCs w:val="22"/>
        </w:rPr>
        <w:t xml:space="preserve"> fetal macrosomia</w:t>
      </w:r>
      <w:r w:rsidR="008F21D8">
        <w:rPr>
          <w:rFonts w:ascii="Arial" w:hAnsi="Arial" w:cs="Arial"/>
          <w:color w:val="000000" w:themeColor="text1"/>
          <w:sz w:val="22"/>
          <w:szCs w:val="22"/>
        </w:rPr>
        <w:t xml:space="preserve"> </w:t>
      </w:r>
      <w:r w:rsidR="008F21D8">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{"citationItems":[{"id":"ITEM-1","itemData":{"DOI":"10.1371/journal.pone.0221549","ISSN":"1932-6203","abstract":"Aims Gestational diabetes (GDM) is often accompanied by maternal overweight. Our aim was to evaluate the separate and concomitant effects of GDM and maternal overweight/obesity on perinatal outcomes. Methods We used the Finnish Medical Birth Register to identify all 24,577 women with a singleton pregnancy who delivered in 2009 in Finland and underwent an oral glucose tolerance test (OGTT). Women were divided into groups according to the result of OGTT (GDM/no GDM) and pre-pregnancy body mass index (BMI): normal weight (24.9 kg/m2), overweight (25.0–29.9 kg/m2), and obese (30.0 kg/m2). Primary outcomes included macrosomia, caesarean delivery, and treatment at neonatal ward. Normal weight women without GDM constituted the reference group. Results Compared to reference group, overweight or obese women without GDM had an increased risk of macrosomia [odds ratio adjusted for age, parity, smoking and socio-economic status (aOR)1.18 (95% CI 1.09–1.28) and 1.50 (95% CI 1.19–1.88)], and caesarean delivery [aORs 1.17 (95% CI 1.07–1.28) and 1.52 (95% CI 1.37–1.69)], respectively. In normal weight GDM women the risk of macrosomia [aOR 1.17 (95% CI 0.85–1.62)] and caesarean delivery [aOR 1.10 (95% CI 0.96–1.27)] was not significantly increased as compared to normal weight women without GDM. GDM increased the risk of treatment at neonatal ward in all BMI categories and maternal obesity without GDM was also a risk factor for treatment at neonatal ward. Interaction p values between BMI and GDM on these outcomes were &lt;0.001. Conclusions Maternal overweight and obesity without GDM increased the risk of macrosomia and caesarean delivery when compared to the reference group. These risks were amplified when overweight/obesity was accompanied by GDM. Obesity without GDM was a risk factor for treatment at neonatal ward; GDM increased this risk in all BMI categories. Our results suggest that especially maternal obesity should be considered as a risk factor for adverse pregnancy outcomes and GDM further amplifies this risk.","author":[{"dropping-particle":"","family":"Ijäs","given":"Hilkka","non-dropping-particle":"","parse-names":false,"suffix":""},{"dropping-particle":"","family":"Koivunen","given":"Sanna","non-dropping-particle":"","parse-names":false,"suffix":""},{"dropping-particle":"","family":"Raudaskoski","given":"Tytti","non-dropping-particle":"","parse-names":false,"suffix":""},{"dropping-particle":"","family":"Kajantie","given":"Eero","non-dropping-particle":"","parse-names":false,"suffix":""},{"dropping-particle":"","family":"Gissler","given":"Mika","non-dropping-particle":"","parse-names":false,"suffix":""},{"dropping-particle":"","family":"Vääräsmäki","given":"Marja","non-dropping-particle":"","parse-names":false,"suffix":""}],"container-title":"PLOS ONE","editor":[{"dropping-particle":"","family":"Beyerlein","given":"Andreas","non-dropping-particle":"","parse-names":false,"suffix":""}],"id":"ITEM-1","issue":"8","issued":{"date-parts":[["2019","8","29"]]},"page":"e0221549","publisher":"Public Library of Science","title":"Independent and concomitant associations of gestational diabetes and maternal obesity to perinatal outcome: A register-based study","type":"article-journal","volume":"14"},"uris":["http://www.mendeley.com/documents/?uuid=806ceb35-6293-3d64-a6be-3bedb5bf4116"]}],"mendeley":{"formattedCitation":"(4)","plainTextFormattedCitation":"(4)","previouslyFormattedCitation":"(4)"},"properties":{"noteIndex":0},"schema":"https://github.com/citation-style-language/schema/raw/master/csl-citation.json"}</w:instrText>
      </w:r>
      <w:r w:rsidR="008F21D8">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(4)</w:t>
      </w:r>
      <w:r w:rsidR="008F21D8">
        <w:rPr>
          <w:rFonts w:ascii="Arial" w:hAnsi="Arial" w:cs="Arial"/>
          <w:color w:val="000000" w:themeColor="text1"/>
          <w:sz w:val="22"/>
          <w:szCs w:val="22"/>
        </w:rPr>
        <w:fldChar w:fldCharType="end"/>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lactation window of development,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5A0878">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(5)","plainTextFormattedCitation":"(5)","previouslyFormattedCitation":"(5)"},"properties":{"noteIndex":0},"schema":"https://github.com/citation-style-language/schema/raw/master/csl-citation.json"}</w:instrText>
      </w:r>
      <w:r w:rsidR="007464D2">
        <w:rPr>
          <w:rFonts w:ascii="Arial" w:hAnsi="Arial" w:cs="Arial"/>
          <w:color w:val="000000" w:themeColor="text1"/>
          <w:sz w:val="22"/>
          <w:szCs w:val="22"/>
        </w:rPr>
        <w:fldChar w:fldCharType="separate"/>
      </w:r>
      <w:r w:rsidR="008F21D8" w:rsidRPr="008F21D8">
        <w:rPr>
          <w:rFonts w:ascii="Arial" w:hAnsi="Arial" w:cs="Arial"/>
          <w:noProof/>
          <w:color w:val="000000" w:themeColor="text1"/>
          <w:sz w:val="22"/>
          <w:szCs w:val="22"/>
        </w:rPr>
        <w:t>(5)</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 However, the mechanisms by which</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lactation</w:t>
      </w:r>
      <w:r w:rsidR="007464D2">
        <w:rPr>
          <w:rFonts w:ascii="Arial" w:hAnsi="Arial" w:cs="Arial"/>
          <w:color w:val="000000" w:themeColor="text1"/>
          <w:sz w:val="22"/>
          <w:szCs w:val="22"/>
        </w:rPr>
        <w:t xml:space="preserve"> ability</w:t>
      </w:r>
      <w:r w:rsidR="004125BF" w:rsidRPr="00EF5551">
        <w:rPr>
          <w:rFonts w:ascii="Arial" w:hAnsi="Arial" w:cs="Arial"/>
          <w:color w:val="000000" w:themeColor="text1"/>
          <w:sz w:val="22"/>
          <w:szCs w:val="22"/>
        </w:rPr>
        <w:t xml:space="preserve"> and </w:t>
      </w:r>
      <w:r w:rsidRPr="00EF5551">
        <w:rPr>
          <w:rFonts w:ascii="Arial" w:hAnsi="Arial" w:cs="Arial"/>
          <w:color w:val="000000" w:themeColor="text1"/>
          <w:sz w:val="22"/>
          <w:szCs w:val="22"/>
        </w:rPr>
        <w:t xml:space="preserve">offspring health </w:t>
      </w:r>
      <w:r w:rsidR="007464D2">
        <w:rPr>
          <w:rFonts w:ascii="Arial" w:hAnsi="Arial" w:cs="Arial"/>
          <w:color w:val="000000" w:themeColor="text1"/>
          <w:sz w:val="22"/>
          <w:szCs w:val="22"/>
        </w:rPr>
        <w:t xml:space="preserve">during lactation </w:t>
      </w:r>
      <w:r w:rsidR="004125BF" w:rsidRPr="00EF5551">
        <w:rPr>
          <w:rFonts w:ascii="Arial" w:hAnsi="Arial" w:cs="Arial"/>
          <w:color w:val="000000" w:themeColor="text1"/>
          <w:sz w:val="22"/>
          <w:szCs w:val="22"/>
        </w:rPr>
        <w:t>remain less clear.</w:t>
      </w:r>
      <w:r w:rsidR="00E25379">
        <w:rPr>
          <w:rFonts w:ascii="Arial" w:hAnsi="Arial" w:cs="Arial"/>
          <w:color w:val="000000" w:themeColor="text1"/>
          <w:sz w:val="22"/>
          <w:szCs w:val="22"/>
        </w:rPr>
        <w:t xml:space="preserve"> </w:t>
      </w:r>
    </w:p>
    <w:p w14:paraId="0D292D01" w14:textId="7FB02BDE" w:rsidR="00FD2151" w:rsidRPr="00EF5551" w:rsidRDefault="00FD2151" w:rsidP="00785932">
      <w:pPr>
        <w:rPr>
          <w:rFonts w:ascii="Arial" w:hAnsi="Arial" w:cs="Arial"/>
          <w:color w:val="000000" w:themeColor="text1"/>
          <w:sz w:val="22"/>
          <w:szCs w:val="22"/>
        </w:rPr>
      </w:pPr>
    </w:p>
    <w:p w14:paraId="08E001FC" w14:textId="2636FC38" w:rsidR="00C027FB" w:rsidRPr="00EF5551" w:rsidRDefault="002332C8" w:rsidP="00C027FB">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full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491997">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synthesis","type":"report","volume":"17"},"uris":["http://www.mendeley.com/documents/?uuid=4553ddbb-de0f-31ed-a4ad-fdd580033f05"]}],"mendeley":{"formattedCitation":"(6, 7)","plainTextFormattedCitation":"(6, 7)","previouslyFormattedCitation":"(6, 7)"},"properties":{"noteIndex":0},"schema":"https://github.com/citation-style-language/schema/raw/master/csl-citation.json"}</w:instrText>
      </w:r>
      <w:r w:rsidR="005A0878">
        <w:rPr>
          <w:rFonts w:ascii="Arial" w:hAnsi="Arial" w:cs="Arial"/>
          <w:color w:val="000000" w:themeColor="text1"/>
          <w:sz w:val="22"/>
          <w:szCs w:val="22"/>
        </w:rPr>
        <w:fldChar w:fldCharType="separate"/>
      </w:r>
      <w:r w:rsidR="005A0878" w:rsidRPr="005A0878">
        <w:rPr>
          <w:rFonts w:ascii="Arial" w:hAnsi="Arial" w:cs="Arial"/>
          <w:noProof/>
          <w:color w:val="000000" w:themeColor="text1"/>
          <w:sz w:val="22"/>
          <w:szCs w:val="22"/>
        </w:rPr>
        <w:t>(6, 7)</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Vo1","type":"report","volume":"18"},"uris":["http://www.mendeley.com/documents/?uuid=4c8aa891-179b-3206-adbe-0aed053f2906"]}],"mendeley":{"formattedCitation":"(8, 9)","plainTextFormattedCitation":"(8, 9)","previouslyFormattedCitation":"(8, 9)"},"properties":{"noteIndex":0},"schema":"https://github.com/citation-style-language/schema/raw/master/csl-citation.json"}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(8, 9)</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During pregnancy and lactation, the mammary adipocytes undergo transformation and almost disappear </w:t>
      </w:r>
      <w:r w:rsidR="00C027FB">
        <w:rPr>
          <w:rFonts w:ascii="Arial" w:hAnsi="Arial" w:cs="Arial"/>
          <w:color w:val="000000" w:themeColor="text1"/>
          <w:sz w:val="22"/>
          <w:szCs w:val="22"/>
        </w:rPr>
        <w:t xml:space="preserve">due to de-differentiation </w:t>
      </w:r>
      <w:r w:rsidR="00C027FB" w:rsidRPr="00EF5551">
        <w:rPr>
          <w:rFonts w:ascii="Arial" w:hAnsi="Arial" w:cs="Arial"/>
          <w:color w:val="000000" w:themeColor="text1"/>
          <w:sz w:val="22"/>
          <w:szCs w:val="22"/>
        </w:rPr>
        <w:t xml:space="preserve">to support lactation and epithelial cell expansion </w:t>
      </w:r>
      <w:r w:rsidR="00C027FB">
        <w:rPr>
          <w:rFonts w:ascii="Arial" w:hAnsi="Arial" w:cs="Arial"/>
          <w:color w:val="000000" w:themeColor="text1"/>
          <w:sz w:val="22"/>
          <w:szCs w:val="22"/>
        </w:rPr>
        <w:t xml:space="preserve">at the expense of the mammary fat pad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within closer proximity to the alveolar epithelial cells are thought to provide a primary source of lipids for milk production </w:t>
      </w:r>
      <w:r w:rsidR="00E817C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C027FB">
        <w:rPr>
          <w:rFonts w:ascii="Arial" w:hAnsi="Arial" w:cs="Arial"/>
          <w:color w:val="000000" w:themeColor="text1"/>
          <w:sz w:val="22"/>
          <w:szCs w:val="22"/>
        </w:rPr>
        <w:t xml:space="preserve">When the offspring is weaned or lactation is ceased, the mammary adipocytes </w:t>
      </w:r>
      <w:r w:rsidR="00C027FB" w:rsidRPr="00EF5551">
        <w:rPr>
          <w:rFonts w:ascii="Arial" w:hAnsi="Arial" w:cs="Arial"/>
          <w:color w:val="000000" w:themeColor="text1"/>
          <w:sz w:val="22"/>
          <w:szCs w:val="22"/>
        </w:rPr>
        <w:t xml:space="preserve">then </w:t>
      </w:r>
      <w:r w:rsidR="00C027FB">
        <w:rPr>
          <w:rFonts w:ascii="Arial" w:hAnsi="Arial" w:cs="Arial"/>
          <w:color w:val="000000" w:themeColor="text1"/>
          <w:sz w:val="22"/>
          <w:szCs w:val="22"/>
        </w:rPr>
        <w:t xml:space="preserve">re-differentiate and expand </w:t>
      </w:r>
      <w:r w:rsidR="00C027FB" w:rsidRPr="00EF5551">
        <w:rPr>
          <w:rFonts w:ascii="Arial" w:hAnsi="Arial" w:cs="Arial"/>
          <w:color w:val="000000" w:themeColor="text1"/>
          <w:sz w:val="22"/>
          <w:szCs w:val="22"/>
        </w:rPr>
        <w:t>revert</w:t>
      </w:r>
      <w:r w:rsidR="00C027FB">
        <w:rPr>
          <w:rFonts w:ascii="Arial" w:hAnsi="Arial" w:cs="Arial"/>
          <w:color w:val="000000" w:themeColor="text1"/>
          <w:sz w:val="22"/>
          <w:szCs w:val="22"/>
        </w:rPr>
        <w:t>ing</w:t>
      </w:r>
      <w:r w:rsidR="00C027FB" w:rsidRPr="00EF5551">
        <w:rPr>
          <w:rFonts w:ascii="Arial" w:hAnsi="Arial" w:cs="Arial"/>
          <w:color w:val="000000" w:themeColor="text1"/>
          <w:sz w:val="22"/>
          <w:szCs w:val="22"/>
        </w:rPr>
        <w:t xml:space="preserve"> to their original </w:t>
      </w:r>
      <w:r w:rsidR="00E817C1">
        <w:rPr>
          <w:rFonts w:ascii="Arial" w:hAnsi="Arial" w:cs="Arial"/>
          <w:color w:val="000000" w:themeColor="text1"/>
          <w:sz w:val="22"/>
          <w:szCs w:val="22"/>
        </w:rPr>
        <w:t xml:space="preserve">form </w:t>
      </w:r>
      <w:r w:rsidR="00C027FB">
        <w:rPr>
          <w:rFonts w:ascii="Arial" w:hAnsi="Arial" w:cs="Arial"/>
          <w:color w:val="000000" w:themeColor="text1"/>
          <w:sz w:val="22"/>
          <w:szCs w:val="22"/>
        </w:rPr>
        <w:t>during</w:t>
      </w:r>
      <w:r w:rsidR="00C027FB" w:rsidRPr="00EF5551">
        <w:rPr>
          <w:rFonts w:ascii="Arial" w:hAnsi="Arial" w:cs="Arial"/>
          <w:color w:val="000000" w:themeColor="text1"/>
          <w:sz w:val="22"/>
          <w:szCs w:val="22"/>
        </w:rPr>
        <w:t xml:space="preserve"> the involution process </w:t>
      </w:r>
      <w:r w:rsidR="00C027FB"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(10)","plainTextFormattedCitation":"(10)","previouslyFormattedCitation":"(10)"},"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(10)</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Although the mammary fat pad undergoes restructuring during pregnancy and lactation, the exact fate of these fat cells and the mechanisms regulating their transformation are less </w:t>
      </w:r>
      <w:r w:rsidR="00C027FB">
        <w:rPr>
          <w:rFonts w:ascii="Arial" w:hAnsi="Arial" w:cs="Arial"/>
          <w:color w:val="000000" w:themeColor="text1"/>
          <w:sz w:val="22"/>
          <w:szCs w:val="22"/>
        </w:rPr>
        <w:t>clear</w:t>
      </w:r>
      <w:r w:rsidR="00C027FB" w:rsidRPr="00EF5551">
        <w:rPr>
          <w:rFonts w:ascii="Arial" w:hAnsi="Arial" w:cs="Arial"/>
          <w:color w:val="000000" w:themeColor="text1"/>
          <w:sz w:val="22"/>
          <w:szCs w:val="22"/>
        </w:rPr>
        <w:t xml:space="preserve">. </w:t>
      </w:r>
    </w:p>
    <w:p w14:paraId="749C9B98" w14:textId="77777777" w:rsidR="00C027FB" w:rsidRDefault="00C027FB" w:rsidP="00785932">
      <w:pPr>
        <w:rPr>
          <w:rFonts w:ascii="Arial" w:hAnsi="Arial" w:cs="Arial"/>
          <w:color w:val="000000" w:themeColor="text1"/>
          <w:sz w:val="22"/>
          <w:szCs w:val="22"/>
        </w:rPr>
      </w:pPr>
    </w:p>
    <w:p w14:paraId="248FDFCE" w14:textId="01355C1C" w:rsidR="00FD2151" w:rsidRPr="00EF5551" w:rsidRDefault="00111F09" w:rsidP="00785932">
      <w:pPr>
        <w:rPr>
          <w:rFonts w:ascii="Arial" w:hAnsi="Arial" w:cs="Arial"/>
          <w:color w:val="000000" w:themeColor="text1"/>
          <w:sz w:val="22"/>
          <w:szCs w:val="22"/>
        </w:rPr>
      </w:pPr>
      <w:r>
        <w:rPr>
          <w:rFonts w:ascii="Arial" w:hAnsi="Arial" w:cs="Arial"/>
          <w:color w:val="000000" w:themeColor="text1"/>
          <w:sz w:val="22"/>
          <w:szCs w:val="22"/>
        </w:rPr>
        <w:t xml:space="preserve">Given their role in maturation, development, and function of the mammary gland, mammary adipocytes are crucial for successful lactation. </w:t>
      </w:r>
      <w:r w:rsidR="00FD2151" w:rsidRPr="00EF5551">
        <w:rPr>
          <w:rFonts w:ascii="Arial" w:hAnsi="Arial" w:cs="Arial"/>
          <w:color w:val="000000" w:themeColor="text1"/>
          <w:sz w:val="22"/>
          <w:szCs w:val="22"/>
        </w:rPr>
        <w:t xml:space="preserve">Maternal obesity can </w:t>
      </w:r>
      <w:r w:rsidR="005A0878">
        <w:rPr>
          <w:rFonts w:ascii="Arial" w:hAnsi="Arial" w:cs="Arial"/>
          <w:color w:val="000000" w:themeColor="text1"/>
          <w:sz w:val="22"/>
          <w:szCs w:val="22"/>
        </w:rPr>
        <w:t>affect</w:t>
      </w:r>
      <w:r w:rsidR="00FD2151" w:rsidRPr="00EF5551">
        <w:rPr>
          <w:rFonts w:ascii="Arial" w:hAnsi="Arial" w:cs="Arial"/>
          <w:color w:val="000000" w:themeColor="text1"/>
          <w:sz w:val="22"/>
          <w:szCs w:val="22"/>
        </w:rPr>
        <w:t xml:space="preserve"> </w:t>
      </w:r>
      <w:r w:rsidR="006C1F2E">
        <w:rPr>
          <w:rFonts w:ascii="Arial" w:hAnsi="Arial" w:cs="Arial"/>
          <w:color w:val="000000" w:themeColor="text1"/>
          <w:sz w:val="22"/>
          <w:szCs w:val="22"/>
        </w:rPr>
        <w:t xml:space="preserve">lactation onset and duration. </w:t>
      </w:r>
      <w:r w:rsidR="00FD2151" w:rsidRPr="00EF5551">
        <w:rPr>
          <w:rFonts w:ascii="Arial" w:hAnsi="Arial" w:cs="Arial"/>
          <w:color w:val="000000" w:themeColor="text1"/>
          <w:sz w:val="22"/>
          <w:szCs w:val="22"/>
        </w:rPr>
        <w:t xml:space="preserve">Initiation of lactation </w:t>
      </w:r>
      <w:r w:rsidR="00CB192F">
        <w:rPr>
          <w:rFonts w:ascii="Arial" w:hAnsi="Arial" w:cs="Arial"/>
          <w:color w:val="000000" w:themeColor="text1"/>
          <w:sz w:val="22"/>
          <w:szCs w:val="22"/>
        </w:rPr>
        <w:t>is delayed in</w:t>
      </w:r>
      <w:r w:rsidR="00FD2151"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00FD2151"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(11)","plainTextFormattedCitation":"(11)","previouslyFormattedCitation":"(11)"},"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(11)</w:t>
      </w:r>
      <w:r w:rsidR="00FD2151"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xml:space="preserve"> while the duration of breastfeeding for</w:t>
      </w:r>
      <w:r w:rsidR="00FD2151"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w:t>
      </w:r>
      <w:r w:rsidR="006C1F2E">
        <w:rPr>
          <w:rFonts w:ascii="Arial" w:hAnsi="Arial" w:cs="Arial"/>
          <w:color w:val="000000" w:themeColor="text1"/>
          <w:sz w:val="22"/>
          <w:szCs w:val="22"/>
        </w:rPr>
        <w:t>shorter</w:t>
      </w:r>
      <w:r w:rsidR="00CB192F">
        <w:rPr>
          <w:rFonts w:ascii="Arial" w:hAnsi="Arial" w:cs="Arial"/>
          <w:color w:val="000000" w:themeColor="text1"/>
          <w:sz w:val="22"/>
          <w:szCs w:val="22"/>
        </w:rPr>
        <w:t xml:space="preserve">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(12)","plainTextFormattedCitation":"(12)","previouslyFormattedCitation":"(12)"},"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(12)</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 xml:space="preserve">. The probability of early weaning at 3 months postpartum was highest for infants of obese mothers </w:t>
      </w:r>
      <w:r w:rsidR="00FD2151"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(13)","plainTextFormattedCitation":"(13)","previouslyFormattedCitation":"(13)"},"properties":{"noteIndex":0},"schema":"https://github.com/citation-style-language/schema/raw/master/csl-citation.json"}</w:instrText>
      </w:r>
      <w:r w:rsidR="00FD2151"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(13)</w:t>
      </w:r>
      <w:r w:rsidR="00FD2151" w:rsidRPr="00EF5551">
        <w:rPr>
          <w:rFonts w:ascii="Arial" w:hAnsi="Arial" w:cs="Arial"/>
          <w:color w:val="000000" w:themeColor="text1"/>
          <w:sz w:val="22"/>
          <w:szCs w:val="22"/>
        </w:rPr>
        <w:fldChar w:fldCharType="end"/>
      </w:r>
      <w:r w:rsidR="00FD2151" w:rsidRPr="00EF5551">
        <w:rPr>
          <w:rFonts w:ascii="Arial" w:hAnsi="Arial" w:cs="Arial"/>
          <w:color w:val="000000" w:themeColor="text1"/>
          <w:sz w:val="22"/>
          <w:szCs w:val="22"/>
        </w:rPr>
        <w:t>.</w:t>
      </w:r>
      <w:r w:rsidR="006C1F2E">
        <w:rPr>
          <w:rFonts w:ascii="Arial" w:hAnsi="Arial" w:cs="Arial"/>
          <w:color w:val="000000" w:themeColor="text1"/>
          <w:sz w:val="22"/>
          <w:szCs w:val="22"/>
        </w:rPr>
        <w:t xml:space="preserve"> </w:t>
      </w:r>
      <w:r w:rsidR="003537E1">
        <w:rPr>
          <w:rFonts w:ascii="Arial" w:hAnsi="Arial" w:cs="Arial"/>
          <w:color w:val="000000" w:themeColor="text1"/>
          <w:sz w:val="22"/>
          <w:szCs w:val="22"/>
        </w:rPr>
        <w:t xml:space="preserve">In addition to altering lactation initiation and duration, maternal obesity </w:t>
      </w:r>
      <w:r w:rsidR="007E16E3">
        <w:rPr>
          <w:rFonts w:ascii="Arial" w:hAnsi="Arial" w:cs="Arial"/>
          <w:color w:val="000000" w:themeColor="text1"/>
          <w:sz w:val="22"/>
          <w:szCs w:val="22"/>
        </w:rPr>
        <w:t>can impact</w:t>
      </w:r>
      <w:r w:rsidR="006C1F2E">
        <w:rPr>
          <w:rFonts w:ascii="Arial" w:hAnsi="Arial" w:cs="Arial"/>
          <w:color w:val="000000" w:themeColor="text1"/>
          <w:sz w:val="22"/>
          <w:szCs w:val="22"/>
        </w:rPr>
        <w:t xml:space="preserve"> milk composition. </w:t>
      </w:r>
      <w:r w:rsidR="006C1F2E" w:rsidRPr="00EF5551">
        <w:rPr>
          <w:rFonts w:ascii="Arial" w:hAnsi="Arial" w:cs="Arial"/>
          <w:color w:val="000000" w:themeColor="text1"/>
          <w:sz w:val="22"/>
          <w:szCs w:val="22"/>
        </w:rPr>
        <w:t>Maternal weight</w:t>
      </w:r>
      <w:r w:rsidR="006C1F2E">
        <w:rPr>
          <w:rFonts w:ascii="Arial" w:hAnsi="Arial" w:cs="Arial"/>
          <w:color w:val="000000" w:themeColor="text1"/>
          <w:sz w:val="22"/>
          <w:szCs w:val="22"/>
        </w:rPr>
        <w:t xml:space="preserve">, body mass index, fat mass, and fat mass percentage were </w:t>
      </w:r>
      <w:r w:rsidR="006C1F2E" w:rsidRPr="00EF5551">
        <w:rPr>
          <w:rFonts w:ascii="Arial" w:hAnsi="Arial" w:cs="Arial"/>
          <w:color w:val="000000" w:themeColor="text1"/>
          <w:sz w:val="22"/>
          <w:szCs w:val="22"/>
        </w:rPr>
        <w:t xml:space="preserve">positively correlated with </w:t>
      </w:r>
      <w:r w:rsidR="006C1F2E">
        <w:rPr>
          <w:rFonts w:ascii="Arial" w:hAnsi="Arial" w:cs="Arial"/>
          <w:color w:val="000000" w:themeColor="text1"/>
          <w:sz w:val="22"/>
          <w:szCs w:val="22"/>
        </w:rPr>
        <w:t xml:space="preserve">total and true </w:t>
      </w:r>
      <w:r w:rsidR="006C1F2E" w:rsidRPr="00EF5551">
        <w:rPr>
          <w:rFonts w:ascii="Arial" w:hAnsi="Arial" w:cs="Arial"/>
          <w:color w:val="000000" w:themeColor="text1"/>
          <w:sz w:val="22"/>
          <w:szCs w:val="22"/>
        </w:rPr>
        <w:t xml:space="preserve">milk protein </w:t>
      </w:r>
      <w:r w:rsidR="00AF094E">
        <w:rPr>
          <w:rFonts w:ascii="Arial" w:hAnsi="Arial" w:cs="Arial"/>
          <w:color w:val="000000" w:themeColor="text1"/>
          <w:sz w:val="22"/>
          <w:szCs w:val="22"/>
        </w:rPr>
        <w:t xml:space="preserve">content at 3 months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sidRPr="00EF5551">
        <w:rPr>
          <w:rFonts w:ascii="Arial" w:hAnsi="Arial" w:cs="Arial"/>
          <w:color w:val="000000" w:themeColor="text1"/>
          <w:sz w:val="22"/>
          <w:szCs w:val="22"/>
        </w:rPr>
        <w:t>.</w:t>
      </w:r>
      <w:r w:rsidR="00AF094E">
        <w:rPr>
          <w:rFonts w:ascii="Arial" w:hAnsi="Arial" w:cs="Arial"/>
          <w:color w:val="000000" w:themeColor="text1"/>
          <w:sz w:val="22"/>
          <w:szCs w:val="22"/>
        </w:rPr>
        <w:t xml:space="preserve"> Maternal weight and body mass index were positively correlated with milk fat content at 1 month postpartum </w:t>
      </w:r>
      <w:r w:rsidR="00AF094E"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(14)","plainTextFormattedCitation":"(14)","previouslyFormattedCitation":"(14)"},"properties":{"noteIndex":0},"schema":"https://github.com/citation-style-language/schema/raw/master/csl-citation.json"}</w:instrText>
      </w:r>
      <w:r w:rsidR="00AF094E"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(14)</w:t>
      </w:r>
      <w:r w:rsidR="00AF094E" w:rsidRPr="00EF5551">
        <w:rPr>
          <w:rFonts w:ascii="Arial" w:hAnsi="Arial" w:cs="Arial"/>
          <w:color w:val="000000" w:themeColor="text1"/>
          <w:sz w:val="22"/>
          <w:szCs w:val="22"/>
        </w:rPr>
        <w:fldChar w:fldCharType="end"/>
      </w:r>
      <w:r w:rsidR="00AF094E">
        <w:rPr>
          <w:rFonts w:ascii="Arial" w:hAnsi="Arial" w:cs="Arial"/>
          <w:color w:val="000000" w:themeColor="text1"/>
          <w:sz w:val="22"/>
          <w:szCs w:val="22"/>
        </w:rPr>
        <w:t>. Furthermore, the fatty acid composition showed a higher omega6:omega3 ratio in milk of obese women compared to their non-obese counterparts</w:t>
      </w:r>
      <w:r w:rsidR="00933873">
        <w:rPr>
          <w:rFonts w:ascii="Arial" w:hAnsi="Arial" w:cs="Arial"/>
          <w:color w:val="000000" w:themeColor="text1"/>
          <w:sz w:val="22"/>
          <w:szCs w:val="22"/>
        </w:rPr>
        <w:t xml:space="preserve"> </w:t>
      </w:r>
      <w:r w:rsidR="00491997">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(15)","plainTextFormattedCitation":"(15)","previouslyFormattedCitation":"(15)"},"properties":{"noteIndex":0},"schema":"https://github.com/citation-style-language/schema/raw/master/csl-citation.json"}</w:instrText>
      </w:r>
      <w:r w:rsidR="00491997">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(15)</w:t>
      </w:r>
      <w:r w:rsidR="00491997">
        <w:rPr>
          <w:rFonts w:ascii="Arial" w:hAnsi="Arial" w:cs="Arial"/>
          <w:color w:val="000000" w:themeColor="text1"/>
          <w:sz w:val="22"/>
          <w:szCs w:val="22"/>
        </w:rPr>
        <w:fldChar w:fldCharType="end"/>
      </w:r>
      <w:r w:rsidR="00933873">
        <w:rPr>
          <w:rFonts w:ascii="Arial" w:hAnsi="Arial" w:cs="Arial"/>
          <w:color w:val="000000" w:themeColor="text1"/>
          <w:sz w:val="22"/>
          <w:szCs w:val="22"/>
        </w:rPr>
        <w:t>.</w:t>
      </w:r>
      <w:r w:rsidR="00933873" w:rsidRPr="00EF5551">
        <w:rPr>
          <w:rFonts w:ascii="Arial" w:hAnsi="Arial" w:cs="Arial"/>
          <w:color w:val="000000" w:themeColor="text1"/>
          <w:sz w:val="22"/>
          <w:szCs w:val="22"/>
        </w:rPr>
        <w:t xml:space="preserve"> </w:t>
      </w:r>
    </w:p>
    <w:p w14:paraId="07E2E096" w14:textId="20621247" w:rsidR="009A1ED6" w:rsidRPr="00EF5551" w:rsidRDefault="009A1ED6" w:rsidP="00785932">
      <w:pPr>
        <w:rPr>
          <w:rFonts w:ascii="Arial" w:hAnsi="Arial" w:cs="Arial"/>
          <w:color w:val="000000" w:themeColor="text1"/>
          <w:sz w:val="22"/>
          <w:szCs w:val="22"/>
        </w:rPr>
      </w:pPr>
    </w:p>
    <w:p w14:paraId="67DAD834" w14:textId="5B0FC081" w:rsidR="00472C36" w:rsidRPr="00EF5551" w:rsidRDefault="003375B7" w:rsidP="00785932">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that </w:t>
      </w:r>
      <w:r>
        <w:rPr>
          <w:rFonts w:ascii="Arial" w:hAnsi="Arial" w:cs="Arial"/>
          <w:color w:val="000000" w:themeColor="text1"/>
          <w:sz w:val="22"/>
          <w:szCs w:val="22"/>
        </w:rPr>
        <w:t>had</w:t>
      </w:r>
      <w:r w:rsidRPr="00EF5551">
        <w:rPr>
          <w:rFonts w:ascii="Arial" w:hAnsi="Arial" w:cs="Arial"/>
          <w:color w:val="000000" w:themeColor="text1"/>
          <w:sz w:val="22"/>
          <w:szCs w:val="22"/>
        </w:rPr>
        <w:t xml:space="preserve"> excess fat mass </w:t>
      </w:r>
      <w:r>
        <w:rPr>
          <w:rFonts w:ascii="Arial" w:hAnsi="Arial" w:cs="Arial"/>
          <w:color w:val="000000" w:themeColor="text1"/>
          <w:sz w:val="22"/>
          <w:szCs w:val="22"/>
        </w:rPr>
        <w:t xml:space="preserve">showed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(16)","plainTextFormattedCitation":"(16)","previouslyFormattedCitation":"(20)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Synthesis","type":"article-journal","volume":"21"},"uris":["http://www.mendeley.com/documents/?uuid=24225e69-d780-36ab-8ed7-61e2a9785f96"]}],"mendeley":{"formattedCitation":"(17, 18)","plainTextFormattedCitation":"(17, 18)","previouslyFormattedCitation":"(16,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Prospects.","type":"article-journal","volume":"37"},"uris":["http://www.mendeley.com/documents/?uuid=83694779-bfb7-323d-ba26-cfa75aa30d5c"]}],"mendeley":{"formattedCitation":"(17, 20)","plainTextFormattedCitation":"(17, 20)","previouslyFormattedCitation":"(16, 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Pr="003375B7">
        <w:rPr>
          <w:rFonts w:ascii="Arial" w:hAnsi="Arial" w:cs="Arial"/>
          <w:noProof/>
          <w:color w:val="000000" w:themeColor="text1"/>
          <w:sz w:val="22"/>
          <w:szCs w:val="22"/>
        </w:rPr>
        <w:t>(17, 20)</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glands has been studied in the context of breast cancer </w:t>
      </w:r>
      <w:r w:rsidR="00E54994"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(21)","plainTextFormattedCitation":"(21)","previouslyFormattedCitation":"(21)"},"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(21)</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(22)","plainTextFormattedCitation":"(22)","previouslyFormattedCitation":"(22)"},"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(22)</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Using a murine genetic model, w</w:t>
      </w:r>
      <w:r w:rsidR="00FD2151" w:rsidRPr="00EF5551">
        <w:rPr>
          <w:rFonts w:ascii="Arial" w:hAnsi="Arial" w:cs="Arial"/>
          <w:color w:val="000000" w:themeColor="text1"/>
          <w:sz w:val="22"/>
          <w:szCs w:val="22"/>
        </w:rPr>
        <w:t xml:space="preserve">e show that chronic mTORC1 activation in maternal adipocytes via deletion of its upstream negative regulator, </w:t>
      </w:r>
      <w:r w:rsidR="00FD2151" w:rsidRPr="00EF5551">
        <w:rPr>
          <w:rFonts w:ascii="Arial" w:hAnsi="Arial" w:cs="Arial"/>
          <w:i/>
          <w:color w:val="000000" w:themeColor="text1"/>
          <w:sz w:val="22"/>
          <w:szCs w:val="22"/>
        </w:rPr>
        <w:t>Tsc1</w:t>
      </w:r>
      <w:r w:rsidR="00FD2151" w:rsidRPr="00EF5551">
        <w:rPr>
          <w:rFonts w:ascii="Arial" w:hAnsi="Arial" w:cs="Arial"/>
          <w:color w:val="000000" w:themeColor="text1"/>
          <w:sz w:val="22"/>
          <w:szCs w:val="22"/>
        </w:rPr>
        <w:t>, increase</w:t>
      </w:r>
      <w:r>
        <w:rPr>
          <w:rFonts w:ascii="Arial" w:hAnsi="Arial" w:cs="Arial"/>
          <w:color w:val="000000" w:themeColor="text1"/>
          <w:sz w:val="22"/>
          <w:szCs w:val="22"/>
        </w:rPr>
        <w:t>d</w:t>
      </w:r>
      <w:r w:rsidR="00FD2151" w:rsidRPr="00EF5551">
        <w:rPr>
          <w:rFonts w:ascii="Arial" w:hAnsi="Arial" w:cs="Arial"/>
          <w:color w:val="000000" w:themeColor="text1"/>
          <w:sz w:val="22"/>
          <w:szCs w:val="22"/>
        </w:rPr>
        <w:t xml:space="preserve"> 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profile</w:t>
      </w:r>
      <w:r w:rsidR="007F588F">
        <w:rPr>
          <w:rFonts w:ascii="Arial" w:hAnsi="Arial" w:cs="Arial"/>
          <w:color w:val="000000" w:themeColor="text1"/>
          <w:sz w:val="22"/>
          <w:szCs w:val="22"/>
        </w:rPr>
        <w:t>,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4887C6B0"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(23, 24)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(25)","plainTextFormattedCitation":"(25)","previouslyFormattedCitation":"(25)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3AAF7565"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23C20EEF"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09B7BC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(26)</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028EF28D"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3375B7">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997DDE" w:rsidRPr="00997DDE">
        <w:rPr>
          <w:rFonts w:ascii="Arial" w:hAnsi="Arial" w:cs="Arial"/>
          <w:noProof/>
          <w:color w:val="000000" w:themeColor="text1"/>
          <w:sz w:val="22"/>
          <w:szCs w:val="22"/>
        </w:rPr>
        <w:t>(28)</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52D71B84"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w:t>
      </w:r>
      <w:proofErr w:type="gramStart"/>
      <w:r w:rsidR="00A47D44">
        <w:rPr>
          <w:rFonts w:ascii="Arial" w:hAnsi="Arial" w:cs="Arial"/>
          <w:color w:val="000000" w:themeColor="text1"/>
          <w:sz w:val="22"/>
          <w:szCs w:val="22"/>
        </w:rPr>
        <w:t>a</w:t>
      </w:r>
      <w:proofErr w:type="gramEnd"/>
      <w:r w:rsidR="00A47D44">
        <w:rPr>
          <w:rFonts w:ascii="Arial" w:hAnsi="Arial" w:cs="Arial"/>
          <w:color w:val="000000" w:themeColor="text1"/>
          <w:sz w:val="22"/>
          <w:szCs w:val="22"/>
        </w:rPr>
        <w:t xml:space="preserve"> RNA integrity number (RIN) higher than </w:t>
      </w:r>
      <w:commentRangeStart w:id="0"/>
      <w:commentRangeStart w:id="1"/>
      <w:r w:rsidR="00A47D44">
        <w:rPr>
          <w:rFonts w:ascii="Arial" w:hAnsi="Arial" w:cs="Arial"/>
          <w:color w:val="000000" w:themeColor="text1"/>
          <w:sz w:val="22"/>
          <w:szCs w:val="22"/>
        </w:rPr>
        <w:t>7.5</w:t>
      </w:r>
      <w:commentRangeEnd w:id="0"/>
      <w:r w:rsidR="00A47D44">
        <w:rPr>
          <w:rStyle w:val="CommentReference"/>
        </w:rPr>
        <w:commentReference w:id="0"/>
      </w:r>
      <w:commentRangeEnd w:id="1"/>
      <w:r w:rsidR="00BE0544">
        <w:rPr>
          <w:rStyle w:val="CommentReference"/>
        </w:rPr>
        <w:commentReference w:id="1"/>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2"/>
      <w:r w:rsidR="00A47D44">
        <w:rPr>
          <w:rFonts w:ascii="Arial" w:hAnsi="Arial" w:cs="Arial"/>
        </w:rPr>
        <w:t>platform</w:t>
      </w:r>
      <w:commentRangeEnd w:id="2"/>
      <w:r w:rsidR="000300D1">
        <w:rPr>
          <w:rStyle w:val="CommentReference"/>
        </w:rPr>
        <w:commentReference w:id="2"/>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3"/>
      <w:r w:rsidR="00A47D44">
        <w:rPr>
          <w:rFonts w:ascii="Arial" w:hAnsi="Arial" w:cs="Arial"/>
        </w:rPr>
        <w:t>Salmon v 1.3.0</w:t>
      </w:r>
      <w:commentRangeEnd w:id="3"/>
      <w:r w:rsidR="00A47D44">
        <w:rPr>
          <w:rStyle w:val="CommentReference"/>
        </w:rPr>
        <w:commentReference w:id="3"/>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plainTextFormattedCitation":"(29)","previouslyFormattedCitation":"(29)"},"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(29)</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(30)</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3375B7">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Pr>
          <w:rFonts w:ascii="Arial" w:hAnsi="Arial" w:cs="Arial"/>
        </w:rPr>
        <w:fldChar w:fldCharType="separate"/>
      </w:r>
      <w:r w:rsidR="00997DDE" w:rsidRPr="00997DDE">
        <w:rPr>
          <w:rFonts w:ascii="Arial" w:hAnsi="Arial" w:cs="Arial"/>
          <w:noProof/>
        </w:rPr>
        <w:t>(31)</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3375B7">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Pr>
          <w:rFonts w:ascii="Arial" w:hAnsi="Arial" w:cs="Arial"/>
        </w:rPr>
        <w:fldChar w:fldCharType="separate"/>
      </w:r>
      <w:r w:rsidR="00997DDE" w:rsidRPr="00997DDE">
        <w:rPr>
          <w:rFonts w:ascii="Arial" w:hAnsi="Arial" w:cs="Arial"/>
          <w:noProof/>
        </w:rPr>
        <w:t>(32)</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by fold change</w:t>
      </w:r>
      <w:r w:rsidR="005F2606">
        <w:rPr>
          <w:rFonts w:ascii="Arial" w:hAnsi="Arial" w:cs="Arial"/>
        </w:rPr>
        <w:t xml:space="preserve"> and analyzing relative to Gene Ontologies.  Similarities between enriched gene sets were calculated by Jaccard distances</w:t>
      </w:r>
      <w:r w:rsidR="00A47D44">
        <w:rPr>
          <w:rFonts w:ascii="Arial" w:hAnsi="Arial" w:cs="Arial"/>
        </w:rPr>
        <w:t xml:space="preserve">.  Gene set enrichment results are presented in Supplementary Table 2.  Data are available from GEO at accession number </w:t>
      </w:r>
      <w:commentRangeStart w:id="4"/>
      <w:r w:rsidR="00A47D44">
        <w:rPr>
          <w:rFonts w:ascii="Arial" w:hAnsi="Arial" w:cs="Arial"/>
        </w:rPr>
        <w:t>XXXX</w:t>
      </w:r>
      <w:commentRangeEnd w:id="4"/>
      <w:r w:rsidR="00A47D44">
        <w:rPr>
          <w:rStyle w:val="CommentReference"/>
        </w:rPr>
        <w:commentReference w:id="4"/>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5"/>
      <w:commentRangeStart w:id="6"/>
      <w:r w:rsidRPr="00EF5551">
        <w:rPr>
          <w:rFonts w:ascii="Arial" w:hAnsi="Arial" w:cs="Arial"/>
          <w:b/>
          <w:color w:val="000000" w:themeColor="text1"/>
          <w:sz w:val="22"/>
          <w:szCs w:val="22"/>
        </w:rPr>
        <w:t xml:space="preserve">Western </w:t>
      </w:r>
      <w:commentRangeEnd w:id="5"/>
      <w:r w:rsidR="008D174B">
        <w:rPr>
          <w:rStyle w:val="CommentReference"/>
          <w:rFonts w:asciiTheme="minorHAnsi" w:eastAsiaTheme="minorHAnsi" w:hAnsiTheme="minorHAnsi" w:cstheme="minorBidi"/>
          <w:color w:val="auto"/>
        </w:rPr>
        <w:commentReference w:id="5"/>
      </w:r>
      <w:commentRangeEnd w:id="6"/>
      <w:r w:rsidR="00D30BF4">
        <w:rPr>
          <w:rStyle w:val="CommentReference"/>
          <w:rFonts w:asciiTheme="minorHAnsi" w:eastAsiaTheme="minorHAnsi" w:hAnsiTheme="minorHAnsi" w:cstheme="minorBidi"/>
          <w:color w:val="auto"/>
        </w:rPr>
        <w:commentReference w:id="6"/>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B905AEF"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7"/>
      <w:r w:rsidR="00EE1F20" w:rsidRPr="00EE1F20">
        <w:rPr>
          <w:rFonts w:ascii="Arial" w:hAnsi="Arial" w:cs="Arial"/>
          <w:color w:val="000000" w:themeColor="text1"/>
          <w:sz w:val="22"/>
          <w:szCs w:val="22"/>
        </w:rPr>
        <w:t>consultation</w:t>
      </w:r>
      <w:commentRangeEnd w:id="7"/>
      <w:r w:rsidR="00CE4B7C">
        <w:rPr>
          <w:rStyle w:val="CommentReference"/>
        </w:rPr>
        <w:commentReference w:id="7"/>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lastRenderedPageBreak/>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r w:rsidR="00D30BF4" w:rsidRPr="00EE1F20">
        <w:rPr>
          <w:rFonts w:ascii="Arial" w:hAnsi="Arial" w:cs="Arial"/>
          <w:color w:val="000000" w:themeColor="text1"/>
          <w:sz w:val="22"/>
          <w:szCs w:val="22"/>
        </w:rPr>
        <w:t>derivatization</w:t>
      </w:r>
      <w:r w:rsidR="00EE1F20" w:rsidRPr="00EE1F20">
        <w:rPr>
          <w:rFonts w:ascii="Arial" w:hAnsi="Arial" w:cs="Arial"/>
          <w:color w:val="000000" w:themeColor="text1"/>
          <w:sz w:val="22"/>
          <w:szCs w:val="22"/>
        </w:rPr>
        <w:t xml:space="preserve"> followed by fatty acid measurement by gas chromatography </w:t>
      </w:r>
      <w:r w:rsidR="00D30BF4">
        <w:rPr>
          <w:rFonts w:ascii="Arial" w:hAnsi="Arial" w:cs="Arial"/>
          <w:color w:val="000000" w:themeColor="text1"/>
          <w:sz w:val="22"/>
          <w:szCs w:val="22"/>
        </w:rPr>
        <w:t xml:space="preserve">(GC) </w:t>
      </w:r>
      <w:r w:rsidR="00EE1F20" w:rsidRPr="00EE1F20">
        <w:rPr>
          <w:rFonts w:ascii="Arial" w:hAnsi="Arial" w:cs="Arial"/>
          <w:color w:val="000000" w:themeColor="text1"/>
          <w:sz w:val="22"/>
          <w:szCs w:val="22"/>
        </w:rPr>
        <w:t xml:space="preserve">using an </w:t>
      </w:r>
      <w:r w:rsidR="00D30BF4" w:rsidRPr="00EE1F20">
        <w:rPr>
          <w:rFonts w:ascii="Arial" w:hAnsi="Arial" w:cs="Arial"/>
          <w:color w:val="000000" w:themeColor="text1"/>
          <w:sz w:val="22"/>
          <w:szCs w:val="22"/>
        </w:rPr>
        <w:t>Agilent</w:t>
      </w:r>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23C0D24"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sidR="00D30BF4">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 </w:t>
      </w:r>
    </w:p>
    <w:p w14:paraId="04D123E7" w14:textId="665B1847" w:rsidR="009D5728" w:rsidRDefault="009D5728" w:rsidP="00785932">
      <w:pPr>
        <w:rPr>
          <w:rFonts w:ascii="Arial" w:hAnsi="Arial" w:cs="Arial"/>
          <w:color w:val="000000" w:themeColor="text1"/>
          <w:sz w:val="22"/>
          <w:szCs w:val="22"/>
        </w:rPr>
      </w:pPr>
    </w:p>
    <w:p w14:paraId="64264347" w14:textId="4A464B9C" w:rsidR="009D5728" w:rsidRDefault="009D5728" w:rsidP="009D5728">
      <w:pPr>
        <w:rPr>
          <w:rFonts w:ascii="Arial" w:hAnsi="Arial" w:cs="Arial"/>
          <w:b/>
          <w:color w:val="000000" w:themeColor="text1"/>
          <w:sz w:val="22"/>
          <w:szCs w:val="22"/>
        </w:rPr>
      </w:pPr>
      <w:r w:rsidRPr="00EF5551">
        <w:rPr>
          <w:rFonts w:ascii="Arial" w:hAnsi="Arial" w:cs="Arial"/>
          <w:b/>
          <w:color w:val="000000" w:themeColor="text1"/>
          <w:sz w:val="22"/>
          <w:szCs w:val="22"/>
        </w:rPr>
        <w:t>2.1</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Mammary Gland Adipocyte Sizing and </w:t>
      </w:r>
      <w:commentRangeStart w:id="8"/>
      <w:r>
        <w:rPr>
          <w:rFonts w:ascii="Arial" w:hAnsi="Arial" w:cs="Arial"/>
          <w:b/>
          <w:color w:val="000000" w:themeColor="text1"/>
          <w:sz w:val="22"/>
          <w:szCs w:val="22"/>
        </w:rPr>
        <w:t>Counting</w:t>
      </w:r>
      <w:commentRangeEnd w:id="8"/>
      <w:r>
        <w:rPr>
          <w:rStyle w:val="CommentReference"/>
        </w:rPr>
        <w:commentReference w:id="8"/>
      </w:r>
    </w:p>
    <w:p w14:paraId="5F7A3C63" w14:textId="743659F7" w:rsidR="009D5728" w:rsidRPr="009D5728" w:rsidRDefault="009D5728" w:rsidP="009D5728">
      <w:pPr>
        <w:rPr>
          <w:rFonts w:ascii="Times New Roman" w:eastAsia="Times New Roman" w:hAnsi="Times New Roman" w:cs="Times New Roman"/>
        </w:rPr>
      </w:pPr>
      <w:r w:rsidRPr="009D5728">
        <w:rPr>
          <w:rFonts w:ascii="Arial" w:eastAsia="Times New Roman" w:hAnsi="Arial" w:cs="Arial"/>
          <w:color w:val="000000"/>
          <w:sz w:val="22"/>
          <w:szCs w:val="22"/>
        </w:rPr>
        <w:t xml:space="preserve">Mammary gland adipocytes were quantified using the software Image J. The adipocyte tools plugin was also downloaded and added to the program. This plugin provided the parameters p, processing adipocyte segmentations options, and s, simple adipocyte segmentation options. In analyzing our </w:t>
      </w:r>
      <w:proofErr w:type="gramStart"/>
      <w:r w:rsidRPr="009D5728">
        <w:rPr>
          <w:rFonts w:ascii="Arial" w:eastAsia="Times New Roman" w:hAnsi="Arial" w:cs="Arial"/>
          <w:color w:val="000000"/>
          <w:sz w:val="22"/>
          <w:szCs w:val="22"/>
        </w:rPr>
        <w:t>images</w:t>
      </w:r>
      <w:proofErr w:type="gramEnd"/>
      <w:r w:rsidRPr="009D5728">
        <w:rPr>
          <w:rFonts w:ascii="Arial" w:eastAsia="Times New Roman" w:hAnsi="Arial" w:cs="Arial"/>
          <w:color w:val="000000"/>
          <w:sz w:val="22"/>
          <w:szCs w:val="22"/>
        </w:rPr>
        <w:t xml:space="preserve"> the parameters for p were set at min 40, max 1000, and dilates 30, and the parameters for s were set at min 600 and max 1500. First, p was used to process the image, and then s was subsequently used. Once these two parameters were set on the image, manual addition and deletion were performed to ensure adipocytes were properly counted. Once all the adipocytes were accounted for, they were quantified using the measurement method within Image J. The numbers provided were then used to assess if there were any differences between KO and WT adipocytes within the mammary gland. </w:t>
      </w:r>
    </w:p>
    <w:p w14:paraId="4FBF40F2" w14:textId="77777777" w:rsidR="009D5728" w:rsidRPr="00EF5551" w:rsidRDefault="009D5728" w:rsidP="00785932">
      <w:pPr>
        <w:rPr>
          <w:rFonts w:ascii="Arial" w:hAnsi="Arial" w:cs="Arial"/>
          <w:color w:val="000000" w:themeColor="text1"/>
          <w:sz w:val="22"/>
          <w:szCs w:val="22"/>
        </w:rPr>
      </w:pPr>
    </w:p>
    <w:p w14:paraId="66880387" w14:textId="77777777" w:rsidR="00790E70" w:rsidRPr="00EF5551" w:rsidRDefault="00790E70" w:rsidP="00785932">
      <w:pPr>
        <w:rPr>
          <w:rFonts w:ascii="Arial" w:hAnsi="Arial" w:cs="Arial"/>
          <w:color w:val="000000" w:themeColor="text1"/>
          <w:sz w:val="22"/>
          <w:szCs w:val="22"/>
        </w:rPr>
      </w:pPr>
    </w:p>
    <w:p w14:paraId="0AFC4151" w14:textId="3ED7B48D"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2.1</w:t>
      </w:r>
      <w:r w:rsidR="009D5728">
        <w:rPr>
          <w:rFonts w:ascii="Arial" w:hAnsi="Arial" w:cs="Arial"/>
          <w:b/>
          <w:color w:val="000000" w:themeColor="text1"/>
          <w:sz w:val="22"/>
          <w:szCs w:val="22"/>
        </w:rPr>
        <w:t>3</w:t>
      </w:r>
      <w:r w:rsidRPr="00D93ACB">
        <w:rPr>
          <w:rFonts w:ascii="Arial" w:hAnsi="Arial" w:cs="Arial"/>
          <w:b/>
          <w:color w:val="000000" w:themeColor="text1"/>
          <w:sz w:val="22"/>
          <w:szCs w:val="22"/>
        </w:rPr>
        <w:t xml:space="preserve"> </w:t>
      </w:r>
      <w:r w:rsidR="00790E70" w:rsidRPr="00D93ACB">
        <w:rPr>
          <w:rFonts w:ascii="Arial" w:hAnsi="Arial" w:cs="Arial"/>
          <w:b/>
          <w:color w:val="000000" w:themeColor="text1"/>
          <w:sz w:val="22"/>
          <w:szCs w:val="22"/>
        </w:rPr>
        <w:t>Statistical Analysis</w:t>
      </w:r>
    </w:p>
    <w:p w14:paraId="150991C8" w14:textId="6B97801D" w:rsidR="008B3CA4" w:rsidRPr="00EF5551" w:rsidRDefault="00B41AD4" w:rsidP="009F294F">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00E62A5E">
        <w:rPr>
          <w:rFonts w:ascii="Arial" w:hAnsi="Arial" w:cs="Arial"/>
          <w:color w:val="000000" w:themeColor="text1"/>
          <w:sz w:val="22"/>
          <w:szCs w:val="22"/>
        </w:rPr>
        <w:t xml:space="preserve">only </w:t>
      </w:r>
      <w:r w:rsidRPr="00D93ACB">
        <w:rPr>
          <w:rFonts w:ascii="Arial" w:hAnsi="Arial" w:cs="Arial"/>
          <w:color w:val="000000" w:themeColor="text1"/>
          <w:sz w:val="22"/>
          <w:szCs w:val="22"/>
        </w:rPr>
        <w:t>when significant.</w:t>
      </w: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620FBD55"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xml:space="preserve">. In this model all adipocytes, including all white and brown adipocyte depots </w:t>
      </w:r>
      <w:r w:rsidR="009F294F">
        <w:rPr>
          <w:rFonts w:ascii="Arial" w:eastAsia="MS PMincho" w:hAnsi="Arial" w:cs="Arial"/>
          <w:bCs/>
          <w:color w:val="000000" w:themeColor="text1"/>
          <w:sz w:val="22"/>
          <w:szCs w:val="22"/>
        </w:rPr>
        <w:t>and</w:t>
      </w:r>
      <w:r w:rsidR="00853EA7">
        <w:rPr>
          <w:rFonts w:ascii="Arial" w:eastAsia="MS PMincho" w:hAnsi="Arial" w:cs="Arial"/>
          <w:bCs/>
          <w:color w:val="000000" w:themeColor="text1"/>
          <w:sz w:val="22"/>
          <w:szCs w:val="22"/>
        </w:rPr>
        <w:t xml:space="preserve"> mammary adipocytes are ablated for TSC1 and are predicted to have activation of mTORC1.</w:t>
      </w:r>
      <w:r w:rsidR="0091131D">
        <w:rPr>
          <w:rFonts w:ascii="Arial" w:eastAsia="MS PMincho" w:hAnsi="Arial" w:cs="Arial"/>
          <w:bCs/>
          <w:color w:val="000000" w:themeColor="text1"/>
          <w:sz w:val="22"/>
          <w:szCs w:val="22"/>
        </w:rPr>
        <w:t xml:space="preserve"> </w:t>
      </w:r>
      <w:r w:rsidR="009F294F">
        <w:rPr>
          <w:rFonts w:ascii="Arial" w:eastAsia="MS PMincho" w:hAnsi="Arial" w:cs="Arial"/>
          <w:bCs/>
          <w:color w:val="000000" w:themeColor="text1"/>
          <w:sz w:val="22"/>
          <w:szCs w:val="22"/>
        </w:rPr>
        <w:t>KO</w:t>
      </w:r>
      <w:r w:rsidR="00511A1A">
        <w:rPr>
          <w:rFonts w:ascii="Arial" w:eastAsia="MS PMincho" w:hAnsi="Arial" w:cs="Arial"/>
          <w:bCs/>
          <w:color w:val="000000" w:themeColor="text1"/>
          <w:sz w:val="22"/>
          <w:szCs w:val="22"/>
        </w:rPr>
        <w:t xml:space="preserve"> (n=6)</w:t>
      </w:r>
      <w:r w:rsidR="009F294F">
        <w:rPr>
          <w:rFonts w:ascii="Arial" w:eastAsia="MS PMincho" w:hAnsi="Arial" w:cs="Arial"/>
          <w:bCs/>
          <w:color w:val="000000" w:themeColor="text1"/>
          <w:sz w:val="22"/>
          <w:szCs w:val="22"/>
        </w:rPr>
        <w:t xml:space="preserve"> and WT</w:t>
      </w:r>
      <w:r w:rsidR="00511A1A">
        <w:rPr>
          <w:rFonts w:ascii="Arial" w:eastAsia="MS PMincho" w:hAnsi="Arial" w:cs="Arial"/>
          <w:bCs/>
          <w:color w:val="000000" w:themeColor="text1"/>
          <w:sz w:val="22"/>
          <w:szCs w:val="22"/>
        </w:rPr>
        <w:t xml:space="preserve"> (n=5)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 xml:space="preserve">having the opposite genotype, </w:t>
      </w:r>
      <w:r w:rsidR="0091131D">
        <w:rPr>
          <w:rFonts w:ascii="Arial" w:eastAsia="MS PMincho" w:hAnsi="Arial" w:cs="Arial"/>
          <w:bCs/>
          <w:color w:val="000000" w:themeColor="text1"/>
          <w:sz w:val="22"/>
          <w:szCs w:val="22"/>
        </w:rPr>
        <w:t>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r w:rsidR="00491CDF">
        <w:fldChar w:fldCharType="begin"/>
      </w:r>
      <w:r w:rsidR="00491CDF">
        <w:instrText xml:space="preserve"> SEQ Figure \* ARABIC </w:instrText>
      </w:r>
      <w:r w:rsidR="00491CDF">
        <w:fldChar w:fldCharType="separate"/>
      </w:r>
      <w:r w:rsidR="00D21277">
        <w:rPr>
          <w:noProof/>
        </w:rPr>
        <w:t>1</w:t>
      </w:r>
      <w:r w:rsidR="00491CDF">
        <w:rPr>
          <w:noProof/>
        </w:rP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w:t>
      </w:r>
      <w:proofErr w:type="gramStart"/>
      <w:r w:rsidR="0009729A">
        <w:t>5,</w:t>
      </w:r>
      <w:r w:rsidR="005936B3">
        <w:t>milk</w:t>
      </w:r>
      <w:proofErr w:type="gramEnd"/>
      <w:r w:rsidR="005936B3">
        <w:t xml:space="preserve">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6167E2B0"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Lean mass was also comparable between KO 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xml:space="preserve">). While WT dams lost fat mass gradually during lactation, KO dams gained fat mass (Figure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054A08">
        <w:rPr>
          <w:rFonts w:ascii="Arial" w:hAnsi="Arial" w:cs="Arial"/>
          <w:color w:val="000000" w:themeColor="text1"/>
          <w:sz w:val="22"/>
          <w:szCs w:val="22"/>
        </w:rPr>
        <w:t>H</w:t>
      </w:r>
      <w:r w:rsidR="0025257E">
        <w:rPr>
          <w:rFonts w:ascii="Arial" w:hAnsi="Arial" w:cs="Arial"/>
          <w:color w:val="000000" w:themeColor="text1"/>
          <w:sz w:val="22"/>
          <w:szCs w:val="22"/>
        </w:rPr>
        <w:t>owever</w:t>
      </w:r>
      <w:r w:rsidR="00054A08">
        <w:rPr>
          <w:rFonts w:ascii="Arial" w:hAnsi="Arial" w:cs="Arial"/>
          <w:color w:val="000000" w:themeColor="text1"/>
          <w:sz w:val="22"/>
          <w:szCs w:val="22"/>
        </w:rPr>
        <w:t>,</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9"/>
      <w:commentRangeStart w:id="10"/>
      <w:r w:rsidR="00EF5551" w:rsidRPr="0020643E">
        <w:rPr>
          <w:rFonts w:ascii="Arial" w:hAnsi="Arial" w:cs="Arial"/>
          <w:color w:val="000000" w:themeColor="text1"/>
          <w:sz w:val="22"/>
          <w:szCs w:val="22"/>
        </w:rPr>
        <w:t xml:space="preserve"> </w:t>
      </w:r>
      <w:commentRangeEnd w:id="9"/>
      <w:r w:rsidR="0007224B">
        <w:rPr>
          <w:rStyle w:val="CommentReference"/>
        </w:rPr>
        <w:commentReference w:id="9"/>
      </w:r>
      <w:commentRangeEnd w:id="10"/>
      <w:r w:rsidR="00F13216">
        <w:rPr>
          <w:rStyle w:val="CommentReference"/>
        </w:rPr>
        <w:commentReference w:id="10"/>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r w:rsidR="0025257E">
        <w:rPr>
          <w:rFonts w:ascii="Arial" w:hAnsi="Arial" w:cs="Arial"/>
          <w:color w:val="000000" w:themeColor="text1"/>
          <w:sz w:val="22"/>
          <w:szCs w:val="22"/>
        </w:rPr>
        <w:t xml:space="preserve"> (Figure 2</w:t>
      </w:r>
      <w:r w:rsidR="005936B3">
        <w:rPr>
          <w:rFonts w:ascii="Arial" w:hAnsi="Arial" w:cs="Arial"/>
          <w:color w:val="000000" w:themeColor="text1"/>
          <w:sz w:val="22"/>
          <w:szCs w:val="22"/>
        </w:rPr>
        <w:t>E</w:t>
      </w:r>
      <w:r w:rsidR="00F13216">
        <w:rPr>
          <w:rFonts w:ascii="Arial" w:hAnsi="Arial" w:cs="Arial"/>
          <w:color w:val="000000" w:themeColor="text1"/>
          <w:sz w:val="22"/>
          <w:szCs w:val="22"/>
        </w:rPr>
        <w:t>, d=6.34g/day, p=0.0113</w:t>
      </w:r>
      <w:r w:rsidR="0025257E">
        <w:rPr>
          <w:rFonts w:ascii="Arial" w:hAnsi="Arial" w:cs="Arial"/>
          <w:color w:val="000000" w:themeColor="text1"/>
          <w:sz w:val="22"/>
          <w:szCs w:val="22"/>
        </w:rPr>
        <w:t>)</w:t>
      </w:r>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054A08">
        <w:rPr>
          <w:rFonts w:ascii="Arial" w:hAnsi="Arial" w:cs="Arial"/>
          <w:color w:val="000000" w:themeColor="text1"/>
          <w:sz w:val="22"/>
          <w:szCs w:val="22"/>
        </w:rPr>
        <w:t>We assessed litter sizes by which t</w:t>
      </w:r>
      <w:r w:rsidR="005936B3">
        <w:rPr>
          <w:rFonts w:ascii="Arial" w:hAnsi="Arial" w:cs="Arial"/>
          <w:color w:val="000000" w:themeColor="text1"/>
          <w:sz w:val="22"/>
          <w:szCs w:val="22"/>
        </w:rPr>
        <w:t xml:space="preserve">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r w:rsidR="00491CDF">
        <w:fldChar w:fldCharType="begin"/>
      </w:r>
      <w:r w:rsidR="00491CDF">
        <w:instrText xml:space="preserve"> SEQ Figure \* ARABIC </w:instrText>
      </w:r>
      <w:r w:rsidR="00491CDF">
        <w:fldChar w:fldCharType="separate"/>
      </w:r>
      <w:r w:rsidR="00D21277">
        <w:rPr>
          <w:noProof/>
        </w:rPr>
        <w:t>2</w:t>
      </w:r>
      <w:r w:rsidR="00491CDF">
        <w:rPr>
          <w:noProof/>
        </w:rP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34DAC8E5" w14:textId="2F78CFE2" w:rsidR="0031147B" w:rsidRPr="00EF555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 xml:space="preserve">At PND16.5, the lower abdominal and inguinal mammary glands were collected and weighed from KO and WT dams. The right lower mammary glands </w:t>
      </w:r>
      <w:r w:rsidR="00D670B8">
        <w:rPr>
          <w:rFonts w:ascii="Arial" w:hAnsi="Arial" w:cs="Arial"/>
          <w:color w:val="000000" w:themeColor="text1"/>
          <w:sz w:val="22"/>
          <w:szCs w:val="22"/>
        </w:rPr>
        <w:t xml:space="preserve">were 21% lighter than … </w:t>
      </w:r>
      <w:r w:rsidRPr="00EF5551">
        <w:rPr>
          <w:rFonts w:ascii="Arial" w:hAnsi="Arial" w:cs="Arial"/>
          <w:color w:val="000000" w:themeColor="text1"/>
          <w:sz w:val="22"/>
          <w:szCs w:val="22"/>
        </w:rPr>
        <w:t>of KO dams were significantly lighter than those of WT dams (</w:t>
      </w:r>
      <w:r>
        <w:rPr>
          <w:rFonts w:ascii="Arial" w:hAnsi="Arial" w:cs="Arial"/>
          <w:color w:val="000000" w:themeColor="text1"/>
          <w:sz w:val="22"/>
          <w:szCs w:val="22"/>
        </w:rPr>
        <w:t xml:space="preserve">Figure 3, d=20.68%, </w:t>
      </w:r>
      <w:r w:rsidRPr="00EF5551">
        <w:rPr>
          <w:rFonts w:ascii="Arial" w:hAnsi="Arial" w:cs="Arial"/>
          <w:color w:val="000000" w:themeColor="text1"/>
          <w:sz w:val="22"/>
          <w:szCs w:val="22"/>
        </w:rPr>
        <w:t>p=0.042). Left lower mammary glands of KO dams significantly weighed less than those of WT dams (</w:t>
      </w:r>
      <w:r>
        <w:rPr>
          <w:rFonts w:ascii="Arial" w:hAnsi="Arial" w:cs="Arial"/>
          <w:color w:val="000000" w:themeColor="text1"/>
          <w:sz w:val="22"/>
          <w:szCs w:val="22"/>
        </w:rPr>
        <w:t xml:space="preserve">Figure 3, d= 28.75%, </w:t>
      </w:r>
      <w:r w:rsidRPr="00EF5551">
        <w:rPr>
          <w:rFonts w:ascii="Arial" w:hAnsi="Arial" w:cs="Arial"/>
          <w:color w:val="000000" w:themeColor="text1"/>
          <w:sz w:val="22"/>
          <w:szCs w:val="22"/>
        </w:rPr>
        <w:t>p=0.001).</w:t>
      </w:r>
    </w:p>
    <w:p w14:paraId="4859BFB3" w14:textId="77777777" w:rsidR="0031147B" w:rsidRPr="00EF5551" w:rsidRDefault="0031147B"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689276A"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w:t>
      </w:r>
      <w:r w:rsidR="005C5118">
        <w:rPr>
          <w:rFonts w:ascii="Arial" w:hAnsi="Arial" w:cs="Arial"/>
          <w:b/>
          <w:color w:val="000000" w:themeColor="text1"/>
          <w:sz w:val="22"/>
          <w:szCs w:val="22"/>
        </w:rPr>
        <w:t xml:space="preserve">, </w:t>
      </w:r>
      <w:r>
        <w:rPr>
          <w:rFonts w:ascii="Arial" w:hAnsi="Arial" w:cs="Arial"/>
          <w:b/>
          <w:color w:val="000000" w:themeColor="text1"/>
          <w:sz w:val="22"/>
          <w:szCs w:val="22"/>
        </w:rPr>
        <w:t>Count</w:t>
      </w:r>
      <w:r w:rsidR="005C5118">
        <w:rPr>
          <w:rFonts w:ascii="Arial" w:hAnsi="Arial" w:cs="Arial"/>
          <w:b/>
          <w:color w:val="000000" w:themeColor="text1"/>
          <w:sz w:val="22"/>
          <w:szCs w:val="22"/>
        </w:rPr>
        <w:t xml:space="preserve">, and Area </w:t>
      </w:r>
    </w:p>
    <w:p w14:paraId="7A56E704" w14:textId="2F585755" w:rsidR="00125E99" w:rsidRPr="00EF5551" w:rsidRDefault="00CD0D8A" w:rsidP="00785932">
      <w:pPr>
        <w:rPr>
          <w:rFonts w:ascii="Arial" w:hAnsi="Arial" w:cs="Arial"/>
          <w:color w:val="000000" w:themeColor="text1"/>
          <w:sz w:val="22"/>
          <w:szCs w:val="22"/>
        </w:rPr>
      </w:pPr>
      <w:r>
        <w:rPr>
          <w:rFonts w:ascii="Arial" w:hAnsi="Arial" w:cs="Arial"/>
          <w:color w:val="000000" w:themeColor="text1"/>
          <w:sz w:val="22"/>
          <w:szCs w:val="22"/>
          <w:highlight w:val="yellow"/>
        </w:rPr>
        <w:t xml:space="preserve">After determining differences in mammary gland weights, we then performed histological </w:t>
      </w:r>
      <w:commentRangeStart w:id="11"/>
      <w:r>
        <w:rPr>
          <w:rFonts w:ascii="Arial" w:hAnsi="Arial" w:cs="Arial"/>
          <w:color w:val="000000" w:themeColor="text1"/>
          <w:sz w:val="22"/>
          <w:szCs w:val="22"/>
          <w:highlight w:val="yellow"/>
        </w:rPr>
        <w:t>analyses</w:t>
      </w:r>
      <w:commentRangeEnd w:id="11"/>
      <w:r w:rsidR="005C5118">
        <w:rPr>
          <w:rStyle w:val="CommentReference"/>
        </w:rPr>
        <w:commentReference w:id="11"/>
      </w:r>
      <w:r>
        <w:rPr>
          <w:rFonts w:ascii="Arial" w:hAnsi="Arial" w:cs="Arial"/>
          <w:color w:val="000000" w:themeColor="text1"/>
          <w:sz w:val="22"/>
          <w:szCs w:val="22"/>
          <w:highlight w:val="yellow"/>
        </w:rPr>
        <w:t xml:space="preserve"> to quantify </w:t>
      </w:r>
      <w:r w:rsidR="005C5118">
        <w:rPr>
          <w:rFonts w:ascii="Arial" w:hAnsi="Arial" w:cs="Arial"/>
          <w:color w:val="000000" w:themeColor="text1"/>
          <w:sz w:val="22"/>
          <w:szCs w:val="22"/>
          <w:highlight w:val="yellow"/>
        </w:rPr>
        <w:t xml:space="preserve">the number of </w:t>
      </w:r>
      <w:r>
        <w:rPr>
          <w:rFonts w:ascii="Arial" w:hAnsi="Arial" w:cs="Arial"/>
          <w:color w:val="000000" w:themeColor="text1"/>
          <w:sz w:val="22"/>
          <w:szCs w:val="22"/>
          <w:highlight w:val="yellow"/>
        </w:rPr>
        <w:t>mammary gland adipocytes</w:t>
      </w:r>
      <w:r w:rsidR="005C5118">
        <w:rPr>
          <w:rFonts w:ascii="Arial" w:hAnsi="Arial" w:cs="Arial"/>
          <w:color w:val="000000" w:themeColor="text1"/>
          <w:sz w:val="22"/>
          <w:szCs w:val="22"/>
          <w:highlight w:val="yellow"/>
        </w:rPr>
        <w:t>, measure their size, and calculate their area</w:t>
      </w:r>
      <w:r>
        <w:rPr>
          <w:rFonts w:ascii="Arial" w:hAnsi="Arial" w:cs="Arial"/>
          <w:color w:val="000000" w:themeColor="text1"/>
          <w:sz w:val="22"/>
          <w:szCs w:val="22"/>
          <w:highlight w:val="yellow"/>
        </w:rPr>
        <w:t xml:space="preserve">. Using ImageJ Software, </w:t>
      </w:r>
      <w:r w:rsidR="00125E99" w:rsidRPr="00EF5551">
        <w:rPr>
          <w:rFonts w:ascii="Arial" w:hAnsi="Arial" w:cs="Arial"/>
          <w:color w:val="000000" w:themeColor="text1"/>
          <w:sz w:val="22"/>
          <w:szCs w:val="22"/>
          <w:highlight w:val="yellow"/>
        </w:rPr>
        <w:t xml:space="preserve">KO </w:t>
      </w:r>
      <w:r w:rsidR="005C5118">
        <w:rPr>
          <w:rFonts w:ascii="Arial" w:hAnsi="Arial" w:cs="Arial"/>
          <w:color w:val="000000" w:themeColor="text1"/>
          <w:sz w:val="22"/>
          <w:szCs w:val="22"/>
          <w:highlight w:val="yellow"/>
        </w:rPr>
        <w:t>mammary glands</w:t>
      </w:r>
      <w:r w:rsidR="00125E99" w:rsidRPr="00EF5551">
        <w:rPr>
          <w:rFonts w:ascii="Arial" w:hAnsi="Arial" w:cs="Arial"/>
          <w:color w:val="000000" w:themeColor="text1"/>
          <w:sz w:val="22"/>
          <w:szCs w:val="22"/>
          <w:highlight w:val="yellow"/>
        </w:rPr>
        <w:t xml:space="preserve"> </w:t>
      </w:r>
      <w:r w:rsidR="005C5118">
        <w:rPr>
          <w:rFonts w:ascii="Arial" w:hAnsi="Arial" w:cs="Arial"/>
          <w:color w:val="000000" w:themeColor="text1"/>
          <w:sz w:val="22"/>
          <w:szCs w:val="22"/>
          <w:highlight w:val="yellow"/>
        </w:rPr>
        <w:t xml:space="preserve">had slightly </w:t>
      </w:r>
      <w:r w:rsidR="00125E99" w:rsidRPr="00EF5551">
        <w:rPr>
          <w:rFonts w:ascii="Arial" w:hAnsi="Arial" w:cs="Arial"/>
          <w:color w:val="000000" w:themeColor="text1"/>
          <w:sz w:val="22"/>
          <w:szCs w:val="22"/>
          <w:highlight w:val="yellow"/>
        </w:rPr>
        <w:t>more adipocytes compared to the WT. Additionally,</w:t>
      </w:r>
      <w:r w:rsidR="005C5118">
        <w:rPr>
          <w:rFonts w:ascii="Arial" w:hAnsi="Arial" w:cs="Arial"/>
          <w:color w:val="000000" w:themeColor="text1"/>
          <w:sz w:val="22"/>
          <w:szCs w:val="22"/>
          <w:highlight w:val="yellow"/>
        </w:rPr>
        <w:t xml:space="preserve"> the adipocytes of the KO glands showed a trend of being larger than adipocytes of the WT. The percentage area of the adipocytes from the total mammary gland was higher in the KO glands compared to the WT. </w:t>
      </w: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44C27D06" w14:textId="20E1BB16" w:rsidR="00EE1DFC"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To evaluate effects </w:t>
      </w:r>
      <w:r w:rsidR="0072421A">
        <w:rPr>
          <w:rFonts w:ascii="Arial" w:hAnsi="Arial" w:cs="Arial"/>
          <w:color w:val="000000" w:themeColor="text1"/>
          <w:sz w:val="22"/>
          <w:szCs w:val="22"/>
        </w:rPr>
        <w:t xml:space="preserve">of mammary gland changes </w:t>
      </w:r>
      <w:r>
        <w:rPr>
          <w:rFonts w:ascii="Arial" w:hAnsi="Arial" w:cs="Arial"/>
          <w:color w:val="000000" w:themeColor="text1"/>
          <w:sz w:val="22"/>
          <w:szCs w:val="22"/>
        </w:rPr>
        <w:t>on the offspring we monitored growth of pups</w:t>
      </w:r>
      <w:r w:rsidR="0047727E">
        <w:rPr>
          <w:rFonts w:ascii="Arial" w:hAnsi="Arial" w:cs="Arial"/>
          <w:color w:val="000000" w:themeColor="text1"/>
          <w:sz w:val="22"/>
          <w:szCs w:val="22"/>
        </w:rPr>
        <w:t xml:space="preserve"> during lactation</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72421A">
        <w:rPr>
          <w:rFonts w:ascii="Arial" w:hAnsi="Arial" w:cs="Arial"/>
          <w:color w:val="000000" w:themeColor="text1"/>
          <w:sz w:val="22"/>
          <w:szCs w:val="22"/>
        </w:rPr>
        <w:t xml:space="preserve"> but the KO pups were trending to be slightly heavier than the WT </w:t>
      </w:r>
      <w:commentRangeStart w:id="12"/>
      <w:r w:rsidR="0072421A">
        <w:rPr>
          <w:rFonts w:ascii="Arial" w:hAnsi="Arial" w:cs="Arial"/>
          <w:color w:val="000000" w:themeColor="text1"/>
          <w:sz w:val="22"/>
          <w:szCs w:val="22"/>
        </w:rPr>
        <w:t>pups</w:t>
      </w:r>
      <w:commentRangeEnd w:id="12"/>
      <w:r w:rsidR="0072421A">
        <w:rPr>
          <w:rStyle w:val="CommentReference"/>
        </w:rPr>
        <w:commentReference w:id="12"/>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 pups born to KO dams were 7% heavier than pups born to WT dams (p=0.01).</w:t>
      </w:r>
    </w:p>
    <w:p w14:paraId="0ED2F118" w14:textId="77777777" w:rsidR="00EE1DFC" w:rsidRDefault="00EE1DFC" w:rsidP="00785932">
      <w:pPr>
        <w:rPr>
          <w:rFonts w:ascii="Arial" w:hAnsi="Arial" w:cs="Arial"/>
          <w:color w:val="000000" w:themeColor="text1"/>
          <w:sz w:val="22"/>
          <w:szCs w:val="22"/>
        </w:rPr>
      </w:pPr>
    </w:p>
    <w:p w14:paraId="637552C9" w14:textId="42040CC2" w:rsidR="00EE1DFC" w:rsidRDefault="00EE1DFC" w:rsidP="00785932">
      <w:pPr>
        <w:rPr>
          <w:rFonts w:ascii="Arial" w:hAnsi="Arial" w:cs="Arial"/>
          <w:color w:val="000000" w:themeColor="text1"/>
          <w:sz w:val="22"/>
          <w:szCs w:val="22"/>
        </w:rPr>
      </w:pPr>
    </w:p>
    <w:p w14:paraId="306A5940" w14:textId="7AEEBFDE" w:rsidR="00EE1DFC" w:rsidRDefault="00EE1DFC" w:rsidP="00785932">
      <w:pPr>
        <w:rPr>
          <w:rFonts w:ascii="Arial" w:hAnsi="Arial" w:cs="Arial"/>
          <w:color w:val="000000" w:themeColor="text1"/>
          <w:sz w:val="22"/>
          <w:szCs w:val="22"/>
        </w:rPr>
      </w:pPr>
    </w:p>
    <w:p w14:paraId="34439CC3" w14:textId="77777777" w:rsidR="00EE1DFC" w:rsidRDefault="00EE1DFC" w:rsidP="00785932">
      <w:pPr>
        <w:rPr>
          <w:rFonts w:ascii="Arial" w:hAnsi="Arial" w:cs="Arial"/>
          <w:color w:val="000000" w:themeColor="text1"/>
          <w:sz w:val="22"/>
          <w:szCs w:val="22"/>
        </w:rPr>
      </w:pPr>
    </w:p>
    <w:p w14:paraId="15660FD8" w14:textId="77139184" w:rsidR="00D21277"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females born to KO dams were heavier than females born to WT dams (</w:t>
      </w:r>
      <w:r w:rsidR="0031147B">
        <w:rPr>
          <w:rFonts w:ascii="Arial" w:hAnsi="Arial" w:cs="Arial"/>
          <w:color w:val="000000" w:themeColor="text1"/>
          <w:sz w:val="22"/>
          <w:szCs w:val="22"/>
        </w:rPr>
        <w:t>Figure 4, d=</w:t>
      </w:r>
      <w:r w:rsidR="00665941">
        <w:rPr>
          <w:rFonts w:ascii="Arial" w:hAnsi="Arial" w:cs="Arial"/>
          <w:color w:val="000000" w:themeColor="text1"/>
          <w:sz w:val="22"/>
          <w:szCs w:val="22"/>
        </w:rPr>
        <w:t>9.3%</w:t>
      </w:r>
      <w:r w:rsidR="0031147B">
        <w:rPr>
          <w:rFonts w:ascii="Arial" w:hAnsi="Arial" w:cs="Arial"/>
          <w:color w:val="000000" w:themeColor="text1"/>
          <w:sz w:val="22"/>
          <w:szCs w:val="22"/>
        </w:rPr>
        <w:t xml:space="preserve">, </w:t>
      </w:r>
      <w:r w:rsidRPr="00EF5551">
        <w:rPr>
          <w:rFonts w:ascii="Arial" w:hAnsi="Arial" w:cs="Arial"/>
          <w:color w:val="000000" w:themeColor="text1"/>
          <w:sz w:val="22"/>
          <w:szCs w:val="22"/>
        </w:rPr>
        <w:t>p=0.</w:t>
      </w:r>
      <w:r w:rsidRPr="0031147B">
        <w:rPr>
          <w:rFonts w:ascii="Arial" w:hAnsi="Arial" w:cs="Arial"/>
          <w:b/>
          <w:color w:val="000000" w:themeColor="text1"/>
          <w:sz w:val="22"/>
          <w:szCs w:val="22"/>
        </w:rPr>
        <w:t>04</w:t>
      </w:r>
      <w:r w:rsidR="00665941">
        <w:rPr>
          <w:rFonts w:ascii="Arial" w:hAnsi="Arial" w:cs="Arial"/>
          <w:b/>
          <w:color w:val="000000" w:themeColor="text1"/>
          <w:sz w:val="22"/>
          <w:szCs w:val="22"/>
        </w:rPr>
        <w:t>4</w:t>
      </w:r>
      <w:r w:rsidRPr="00EF5551">
        <w:rPr>
          <w:rFonts w:ascii="Arial" w:hAnsi="Arial" w:cs="Arial"/>
          <w:color w:val="000000" w:themeColor="text1"/>
          <w:sz w:val="22"/>
          <w:szCs w:val="22"/>
        </w:rPr>
        <w:t xml:space="preserve">), but weights of males born to KO or WT mothers were not </w:t>
      </w:r>
      <w:r w:rsidR="00AD6BBC">
        <w:rPr>
          <w:rFonts w:ascii="Arial" w:hAnsi="Arial" w:cs="Arial"/>
          <w:color w:val="000000" w:themeColor="text1"/>
          <w:sz w:val="22"/>
          <w:szCs w:val="22"/>
        </w:rPr>
        <w:t xml:space="preserve">significantly </w:t>
      </w:r>
      <w:r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w:t>
      </w:r>
      <w:r w:rsidRPr="00EF5551">
        <w:rPr>
          <w:rFonts w:ascii="Arial" w:hAnsi="Arial" w:cs="Arial"/>
          <w:color w:val="000000" w:themeColor="text1"/>
          <w:sz w:val="22"/>
          <w:szCs w:val="22"/>
        </w:rPr>
        <w:t>. At PND14.5 and PND16.5, there were no weight differences between groups or sexes.</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13A6AE13" w:rsidR="009D5728" w:rsidRDefault="009D5728"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74624" behindDoc="1" locked="0" layoutInCell="1" allowOverlap="1" wp14:anchorId="01DA0AE2" wp14:editId="3EB30C31">
                  <wp:simplePos x="0" y="0"/>
                  <wp:positionH relativeFrom="column">
                    <wp:posOffset>71154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02A954" w14:textId="7C70CDEA" w:rsidR="00D21277" w:rsidRDefault="00D21277" w:rsidP="00785932">
            <w:pPr>
              <w:rPr>
                <w:rFonts w:ascii="Arial" w:hAnsi="Arial" w:cs="Arial"/>
                <w:color w:val="000000" w:themeColor="text1"/>
                <w:sz w:val="22"/>
                <w:szCs w:val="22"/>
              </w:rPr>
            </w:pPr>
          </w:p>
        </w:tc>
      </w:tr>
    </w:tbl>
    <w:p w14:paraId="042DF3DD" w14:textId="080A19A9" w:rsidR="00D21277" w:rsidRDefault="00D21277" w:rsidP="00785932">
      <w:pPr>
        <w:pStyle w:val="Caption"/>
        <w:rPr>
          <w:rFonts w:ascii="Arial" w:hAnsi="Arial" w:cs="Arial"/>
          <w:color w:val="000000" w:themeColor="text1"/>
          <w:sz w:val="22"/>
          <w:szCs w:val="22"/>
        </w:rPr>
      </w:pPr>
      <w:r>
        <w:t xml:space="preserve">Figure </w:t>
      </w:r>
      <w:r w:rsidR="0031147B">
        <w:t>4</w:t>
      </w:r>
      <w:r w:rsidRPr="001B33DF">
        <w:t xml:space="preserve">: Pup weights during lactation. Weights of male and female offspring of WT and KO dams </w:t>
      </w:r>
      <w:r w:rsidR="009D5728">
        <w:t>at</w:t>
      </w:r>
      <w:r w:rsidRPr="001B33DF">
        <w:t xml:space="preserve">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p>
    <w:p w14:paraId="2FAC0380" w14:textId="384715A0" w:rsidR="008B3CA4" w:rsidRDefault="00AD6BBC"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31147B">
        <w:rPr>
          <w:rFonts w:ascii="Arial" w:hAnsi="Arial" w:cs="Arial"/>
          <w:color w:val="000000" w:themeColor="text1"/>
          <w:sz w:val="22"/>
          <w:szCs w:val="22"/>
        </w:rPr>
        <w:t>5</w:t>
      </w:r>
      <w:r w:rsidR="00965A52" w:rsidRPr="00205A66">
        <w:rPr>
          <w:rFonts w:ascii="Arial" w:hAnsi="Arial" w:cs="Arial"/>
          <w:color w:val="000000" w:themeColor="text1"/>
          <w:sz w:val="22"/>
          <w:szCs w:val="22"/>
        </w:rPr>
        <w:t>B</w:t>
      </w:r>
      <w:r w:rsidR="002315F4">
        <w:rPr>
          <w:rFonts w:ascii="Arial" w:hAnsi="Arial" w:cs="Arial"/>
          <w:color w:val="000000" w:themeColor="text1"/>
          <w:sz w:val="22"/>
          <w:szCs w:val="22"/>
        </w:rPr>
        <w:t xml:space="preserve">, d=34.07%,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383D4B">
        <w:rPr>
          <w:rFonts w:ascii="Arial" w:hAnsi="Arial" w:cs="Arial"/>
          <w:color w:val="000000" w:themeColor="text1"/>
          <w:sz w:val="22"/>
          <w:szCs w:val="22"/>
        </w:rPr>
        <w:t xml:space="preserve">Using a milk gel, we quantified total protein and </w:t>
      </w:r>
      <w:r w:rsidR="00383D4B" w:rsidRPr="00383D4B">
        <w:rPr>
          <w:rFonts w:ascii="Arial" w:hAnsi="Arial" w:cs="Arial"/>
          <w:sz w:val="22"/>
          <w:szCs w:val="22"/>
        </w:rPr>
        <w:t xml:space="preserve">major </w:t>
      </w:r>
      <w:r w:rsidR="00383D4B">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were similar between milk of KO and WT dams.</w:t>
      </w:r>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04"/>
      </w:tblGrid>
      <w:tr w:rsidR="00872B2E" w14:paraId="0AFE484F" w14:textId="77777777" w:rsidTr="003C33B1">
        <w:trPr>
          <w:trHeight w:val="2995"/>
        </w:trPr>
        <w:tc>
          <w:tcPr>
            <w:tcW w:w="5040" w:type="dxa"/>
          </w:tcPr>
          <w:p w14:paraId="0F4CAC57" w14:textId="0FA59A9D" w:rsidR="00872B2E" w:rsidRDefault="00A443B5"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774449E2">
                  <wp:simplePos x="0" y="0"/>
                  <wp:positionH relativeFrom="column">
                    <wp:posOffset>-68580</wp:posOffset>
                  </wp:positionH>
                  <wp:positionV relativeFrom="paragraph">
                    <wp:posOffset>286385</wp:posOffset>
                  </wp:positionV>
                  <wp:extent cx="3079750" cy="2199640"/>
                  <wp:effectExtent l="0" t="0" r="6350" b="0"/>
                  <wp:wrapTight wrapText="bothSides">
                    <wp:wrapPolygon edited="0">
                      <wp:start x="0" y="0"/>
                      <wp:lineTo x="0" y="21450"/>
                      <wp:lineTo x="21555" y="21450"/>
                      <wp:lineTo x="215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1">
                            <a:extLst>
                              <a:ext uri="{28A0092B-C50C-407E-A947-70E740481C1C}">
                                <a14:useLocalDpi xmlns:a14="http://schemas.microsoft.com/office/drawing/2010/main" val="0"/>
                              </a:ext>
                            </a:extLst>
                          </a:blip>
                          <a:stretch>
                            <a:fillRect/>
                          </a:stretch>
                        </pic:blipFill>
                        <pic:spPr>
                          <a:xfrm>
                            <a:off x="0" y="0"/>
                            <a:ext cx="3079750" cy="2199640"/>
                          </a:xfrm>
                          <a:prstGeom prst="rect">
                            <a:avLst/>
                          </a:prstGeom>
                        </pic:spPr>
                      </pic:pic>
                    </a:graphicData>
                  </a:graphic>
                  <wp14:sizeRelH relativeFrom="page">
                    <wp14:pctWidth>0</wp14:pctWidth>
                  </wp14:sizeRelH>
                  <wp14:sizeRelV relativeFrom="page">
                    <wp14:pctHeight>0</wp14:pctHeight>
                  </wp14:sizeRelV>
                </wp:anchor>
              </w:drawing>
            </w:r>
            <w:r w:rsidR="00872B2E">
              <w:rPr>
                <w:rFonts w:ascii="Arial" w:hAnsi="Arial" w:cs="Arial"/>
                <w:color w:val="000000" w:themeColor="text1"/>
                <w:sz w:val="22"/>
                <w:szCs w:val="22"/>
              </w:rPr>
              <w:t>A</w:t>
            </w:r>
          </w:p>
          <w:p w14:paraId="12AEE39F" w14:textId="1A82312F" w:rsidR="00872B2E" w:rsidRDefault="00872B2E" w:rsidP="00785932">
            <w:pPr>
              <w:rPr>
                <w:rFonts w:ascii="Arial" w:hAnsi="Arial" w:cs="Arial"/>
                <w:color w:val="000000" w:themeColor="text1"/>
                <w:sz w:val="22"/>
                <w:szCs w:val="22"/>
              </w:rPr>
            </w:pPr>
          </w:p>
        </w:tc>
        <w:tc>
          <w:tcPr>
            <w:tcW w:w="5040" w:type="dxa"/>
          </w:tcPr>
          <w:p w14:paraId="60637D7C" w14:textId="25C097A5"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886536E" w:rsidR="00872B2E" w:rsidRDefault="00A443B5"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2C8D6BC8">
                  <wp:simplePos x="0" y="0"/>
                  <wp:positionH relativeFrom="column">
                    <wp:posOffset>-63500</wp:posOffset>
                  </wp:positionH>
                  <wp:positionV relativeFrom="paragraph">
                    <wp:posOffset>208915</wp:posOffset>
                  </wp:positionV>
                  <wp:extent cx="2964180" cy="2117090"/>
                  <wp:effectExtent l="0" t="0" r="0" b="3810"/>
                  <wp:wrapTight wrapText="bothSides">
                    <wp:wrapPolygon edited="0">
                      <wp:start x="0" y="0"/>
                      <wp:lineTo x="0" y="21509"/>
                      <wp:lineTo x="21470" y="21509"/>
                      <wp:lineTo x="2147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2">
                            <a:extLst>
                              <a:ext uri="{28A0092B-C50C-407E-A947-70E740481C1C}">
                                <a14:useLocalDpi xmlns:a14="http://schemas.microsoft.com/office/drawing/2010/main" val="0"/>
                              </a:ext>
                            </a:extLst>
                          </a:blip>
                          <a:stretch>
                            <a:fillRect/>
                          </a:stretch>
                        </pic:blipFill>
                        <pic:spPr>
                          <a:xfrm>
                            <a:off x="0" y="0"/>
                            <a:ext cx="2964180" cy="2117090"/>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Milk</w:t>
      </w:r>
    </w:p>
    <w:p w14:paraId="74E98555" w14:textId="77777777" w:rsidR="00022D02" w:rsidRDefault="006F07F8" w:rsidP="00785932">
      <w:pPr>
        <w:rPr>
          <w:rFonts w:ascii="Arial" w:hAnsi="Arial" w:cs="Arial"/>
          <w:color w:val="000000" w:themeColor="text1"/>
          <w:sz w:val="22"/>
          <w:szCs w:val="22"/>
        </w:rPr>
      </w:pPr>
      <w:r w:rsidRPr="00262598">
        <w:rPr>
          <w:rFonts w:ascii="Arial" w:hAnsi="Arial" w:cs="Arial"/>
          <w:color w:val="000000" w:themeColor="text1"/>
          <w:sz w:val="22"/>
          <w:szCs w:val="22"/>
        </w:rPr>
        <w:t>A</w:t>
      </w:r>
      <w:r w:rsidR="00704322" w:rsidRPr="00262598">
        <w:rPr>
          <w:rFonts w:ascii="Arial" w:hAnsi="Arial" w:cs="Arial"/>
          <w:color w:val="000000" w:themeColor="text1"/>
          <w:sz w:val="22"/>
          <w:szCs w:val="22"/>
        </w:rPr>
        <w:t xml:space="preserve">fter determining a higher milk fat percentage in milk of KO dams, we assessed the quality of the fat using </w:t>
      </w:r>
      <w:proofErr w:type="spellStart"/>
      <w:r w:rsidR="00704322" w:rsidRPr="00262598">
        <w:rPr>
          <w:rFonts w:ascii="Arial" w:hAnsi="Arial" w:cs="Arial"/>
          <w:color w:val="000000" w:themeColor="text1"/>
          <w:sz w:val="22"/>
          <w:szCs w:val="22"/>
        </w:rPr>
        <w:t>lipidomics</w:t>
      </w:r>
      <w:proofErr w:type="spellEnd"/>
      <w:r w:rsidR="00704322" w:rsidRPr="00262598">
        <w:rPr>
          <w:rFonts w:ascii="Arial" w:hAnsi="Arial" w:cs="Arial"/>
          <w:color w:val="000000" w:themeColor="text1"/>
          <w:sz w:val="22"/>
          <w:szCs w:val="22"/>
        </w:rPr>
        <w:t xml:space="preserve">. </w:t>
      </w:r>
      <w:r w:rsidR="0031147B" w:rsidRPr="00262598">
        <w:rPr>
          <w:rFonts w:ascii="Arial" w:hAnsi="Arial" w:cs="Arial"/>
          <w:color w:val="000000" w:themeColor="text1"/>
          <w:sz w:val="22"/>
          <w:szCs w:val="22"/>
        </w:rPr>
        <w:t>Lipidomic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of the milk samples collected from PND16.5 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more unsaturated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fat composition in the KO milk</w:t>
      </w:r>
      <w:r w:rsidR="00704322" w:rsidRPr="00262598">
        <w:rPr>
          <w:rFonts w:ascii="Arial" w:hAnsi="Arial" w:cs="Arial"/>
          <w:color w:val="000000" w:themeColor="text1"/>
          <w:sz w:val="22"/>
          <w:szCs w:val="22"/>
        </w:rPr>
        <w:t xml:space="preserve"> compared to the WT</w:t>
      </w:r>
      <w:r w:rsidR="00324B67">
        <w:rPr>
          <w:rFonts w:ascii="Arial" w:hAnsi="Arial" w:cs="Arial"/>
          <w:color w:val="000000" w:themeColor="text1"/>
          <w:sz w:val="22"/>
          <w:szCs w:val="22"/>
        </w:rPr>
        <w:t xml:space="preserve"> (Supplementary Table 3)</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Adipocyte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(Figure 6A,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percentage of monounsaturated fatty (Figure 6B,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and similar percentages of polyunsaturated fatty acids (Figure 6C). </w:t>
      </w:r>
      <w:r w:rsidR="00704322" w:rsidRPr="00262598">
        <w:rPr>
          <w:rFonts w:ascii="Arial" w:hAnsi="Arial" w:cs="Arial"/>
          <w:color w:val="000000" w:themeColor="text1"/>
          <w:sz w:val="22"/>
          <w:szCs w:val="22"/>
        </w:rPr>
        <w:t xml:space="preserve">The MUFA/SFA ratio </w:t>
      </w:r>
      <w:r w:rsidR="00022D02">
        <w:rPr>
          <w:rFonts w:ascii="Arial" w:hAnsi="Arial" w:cs="Arial"/>
          <w:color w:val="000000" w:themeColor="text1"/>
          <w:sz w:val="22"/>
          <w:szCs w:val="22"/>
        </w:rPr>
        <w:t>suggested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w:t>
      </w:r>
      <w:r w:rsidR="00022D02">
        <w:rPr>
          <w:rFonts w:ascii="Arial" w:hAnsi="Arial" w:cs="Arial"/>
          <w:color w:val="000000" w:themeColor="text1"/>
          <w:sz w:val="22"/>
          <w:szCs w:val="22"/>
        </w:rPr>
        <w:t>as the diets are not changed</w:t>
      </w:r>
      <w:r w:rsidR="00704322" w:rsidRPr="00262598">
        <w:rPr>
          <w:rFonts w:ascii="Arial" w:hAnsi="Arial" w:cs="Arial"/>
          <w:color w:val="000000" w:themeColor="text1"/>
          <w:sz w:val="22"/>
          <w:szCs w:val="22"/>
        </w:rPr>
        <w:t xml:space="preserve"> (Figure 6D, p=0.004). </w:t>
      </w:r>
    </w:p>
    <w:p w14:paraId="320238F6" w14:textId="77777777" w:rsidR="00022D02" w:rsidRDefault="00022D02" w:rsidP="00785932">
      <w:pPr>
        <w:rPr>
          <w:rFonts w:ascii="Arial" w:hAnsi="Arial" w:cs="Arial"/>
          <w:color w:val="000000" w:themeColor="text1"/>
          <w:sz w:val="22"/>
          <w:szCs w:val="22"/>
        </w:rPr>
      </w:pPr>
    </w:p>
    <w:p w14:paraId="4950B168" w14:textId="274E032C" w:rsidR="0031147B" w:rsidRPr="00022D02" w:rsidRDefault="00022D02" w:rsidP="00785932">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F66797" w:rsidRPr="00262598">
        <w:rPr>
          <w:rFonts w:ascii="Arial" w:hAnsi="Arial" w:cs="Arial"/>
          <w:color w:val="000000" w:themeColor="text1"/>
          <w:sz w:val="22"/>
          <w:szCs w:val="22"/>
        </w:rPr>
        <w:t xml:space="preserve">KO 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F66797" w:rsidRPr="00262598">
        <w:rPr>
          <w:rFonts w:ascii="Arial" w:hAnsi="Arial" w:cs="Arial"/>
          <w:color w:val="000000" w:themeColor="text1"/>
          <w:sz w:val="22"/>
          <w:szCs w:val="22"/>
        </w:rPr>
        <w:t xml:space="preserve"> of</w:t>
      </w:r>
      <w:r w:rsidR="00704322" w:rsidRPr="00262598">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omega-</w:t>
      </w:r>
      <w:proofErr w:type="gramStart"/>
      <w:r w:rsidR="00F66797" w:rsidRPr="00262598">
        <w:rPr>
          <w:rFonts w:ascii="Arial" w:hAnsi="Arial" w:cs="Arial"/>
          <w:color w:val="000000" w:themeColor="text1"/>
          <w:sz w:val="22"/>
          <w:szCs w:val="22"/>
        </w:rPr>
        <w:t xml:space="preserve">3 </w:t>
      </w:r>
      <w:r>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w:t>
      </w:r>
      <w:proofErr w:type="gramEnd"/>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E</w:t>
      </w:r>
      <w:r w:rsidR="00F66797" w:rsidRPr="00262598">
        <w:rPr>
          <w:rFonts w:ascii="Arial" w:hAnsi="Arial" w:cs="Arial"/>
          <w:color w:val="000000" w:themeColor="text1"/>
          <w:sz w:val="22"/>
          <w:szCs w:val="22"/>
        </w:rPr>
        <w:t>, d=</w:t>
      </w:r>
      <w:r w:rsidR="00704322" w:rsidRPr="00262598">
        <w:rPr>
          <w:rFonts w:ascii="Arial" w:hAnsi="Arial" w:cs="Arial"/>
          <w:color w:val="000000" w:themeColor="text1"/>
          <w:sz w:val="22"/>
          <w:szCs w:val="22"/>
        </w:rPr>
        <w:t xml:space="preserve">28.46%, </w:t>
      </w:r>
      <w:r w:rsidR="00F66797" w:rsidRPr="00262598">
        <w:rPr>
          <w:rFonts w:ascii="Arial" w:hAnsi="Arial" w:cs="Arial"/>
          <w:color w:val="000000" w:themeColor="text1"/>
          <w:sz w:val="22"/>
          <w:szCs w:val="22"/>
        </w:rPr>
        <w:t xml:space="preserve">p=0.013), </w:t>
      </w:r>
      <w:r>
        <w:rPr>
          <w:rFonts w:ascii="Arial" w:hAnsi="Arial" w:cs="Arial"/>
          <w:color w:val="000000" w:themeColor="text1"/>
          <w:sz w:val="22"/>
          <w:szCs w:val="22"/>
        </w:rPr>
        <w:t>driven by a 42% increase in the omega-3 fatty acid</w:t>
      </w:r>
      <w:r w:rsidR="00A21216">
        <w:rPr>
          <w:rFonts w:ascii="Arial" w:hAnsi="Arial" w:cs="Arial"/>
          <w:color w:val="000000" w:themeColor="text1"/>
          <w:sz w:val="22"/>
          <w:szCs w:val="22"/>
        </w:rPr>
        <w:t xml:space="preserve"> Docosahexaenoic acid (DHA)</w:t>
      </w:r>
      <w:r w:rsidR="00704322" w:rsidRPr="00262598">
        <w:rPr>
          <w:rFonts w:ascii="Arial" w:hAnsi="Arial" w:cs="Arial"/>
          <w:color w:val="000000" w:themeColor="text1"/>
          <w:sz w:val="22"/>
          <w:szCs w:val="22"/>
        </w:rPr>
        <w:t xml:space="preserve"> (Figure 6F</w:t>
      </w:r>
      <w:r>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p=0.031)</w:t>
      </w:r>
      <w:r w:rsidR="00665941" w:rsidRPr="00262598">
        <w:rPr>
          <w:rFonts w:ascii="Arial" w:hAnsi="Arial" w:cs="Arial"/>
          <w:color w:val="000000" w:themeColor="text1"/>
          <w:sz w:val="22"/>
          <w:szCs w:val="22"/>
        </w:rPr>
        <w:t xml:space="preserve">, </w:t>
      </w:r>
      <w:r>
        <w:rPr>
          <w:rFonts w:ascii="Arial" w:hAnsi="Arial" w:cs="Arial"/>
          <w:color w:val="000000" w:themeColor="text1"/>
          <w:sz w:val="22"/>
          <w:szCs w:val="22"/>
        </w:rPr>
        <w:t xml:space="preserve">as there was a </w:t>
      </w:r>
      <w:r w:rsidR="00F66797" w:rsidRPr="00262598">
        <w:rPr>
          <w:rFonts w:ascii="Arial" w:hAnsi="Arial" w:cs="Arial"/>
          <w:color w:val="000000" w:themeColor="text1"/>
          <w:sz w:val="22"/>
          <w:szCs w:val="22"/>
        </w:rPr>
        <w:t xml:space="preserve">similar percentage of omega-6 </w:t>
      </w:r>
      <w:r>
        <w:rPr>
          <w:rFonts w:ascii="Arial" w:hAnsi="Arial" w:cs="Arial"/>
          <w:color w:val="000000" w:themeColor="text1"/>
          <w:sz w:val="22"/>
          <w:szCs w:val="22"/>
        </w:rPr>
        <w:t xml:space="preserve">fatty acids </w:t>
      </w:r>
      <w:r w:rsidR="00F66797" w:rsidRPr="00262598">
        <w:rPr>
          <w:rFonts w:ascii="Arial" w:hAnsi="Arial" w:cs="Arial"/>
          <w:color w:val="000000" w:themeColor="text1"/>
          <w:sz w:val="22"/>
          <w:szCs w:val="22"/>
        </w:rPr>
        <w:t>(Figure 6</w:t>
      </w:r>
      <w:r w:rsidR="00704322" w:rsidRPr="00262598">
        <w:rPr>
          <w:rFonts w:ascii="Arial" w:hAnsi="Arial" w:cs="Arial"/>
          <w:color w:val="000000" w:themeColor="text1"/>
          <w:sz w:val="22"/>
          <w:szCs w:val="22"/>
        </w:rPr>
        <w:t>G</w:t>
      </w:r>
      <w:r w:rsidR="00F66797" w:rsidRPr="00262598">
        <w:rPr>
          <w:rFonts w:ascii="Arial" w:hAnsi="Arial" w:cs="Arial"/>
          <w:color w:val="000000" w:themeColor="text1"/>
          <w:sz w:val="22"/>
          <w:szCs w:val="22"/>
        </w:rPr>
        <w:t xml:space="preserve">), </w:t>
      </w:r>
      <w:r>
        <w:rPr>
          <w:rFonts w:ascii="Arial" w:hAnsi="Arial" w:cs="Arial"/>
          <w:color w:val="000000" w:themeColor="text1"/>
          <w:sz w:val="22"/>
          <w:szCs w:val="22"/>
        </w:rPr>
        <w:t>this resulted in</w:t>
      </w:r>
      <w:r w:rsidR="00F66797" w:rsidRPr="00262598">
        <w:rPr>
          <w:rFonts w:ascii="Arial" w:hAnsi="Arial" w:cs="Arial"/>
          <w:color w:val="000000" w:themeColor="text1"/>
          <w:sz w:val="22"/>
          <w:szCs w:val="22"/>
        </w:rPr>
        <w:t xml:space="preserve"> a </w:t>
      </w:r>
      <w:r>
        <w:rPr>
          <w:rFonts w:ascii="Arial" w:hAnsi="Arial" w:cs="Arial"/>
          <w:color w:val="000000" w:themeColor="text1"/>
          <w:sz w:val="22"/>
          <w:szCs w:val="22"/>
        </w:rPr>
        <w:t xml:space="preserve">31% </w:t>
      </w:r>
      <w:r w:rsidR="00F66797" w:rsidRPr="00262598">
        <w:rPr>
          <w:rFonts w:ascii="Arial" w:hAnsi="Arial" w:cs="Arial"/>
          <w:color w:val="000000" w:themeColor="text1"/>
          <w:sz w:val="22"/>
          <w:szCs w:val="22"/>
        </w:rPr>
        <w:t>lower omega-6:omega3 rati</w:t>
      </w:r>
      <w:r w:rsidR="00AD149B" w:rsidRPr="00262598">
        <w:rPr>
          <w:rFonts w:ascii="Arial" w:hAnsi="Arial" w:cs="Arial"/>
          <w:color w:val="000000" w:themeColor="text1"/>
          <w:sz w:val="22"/>
          <w:szCs w:val="22"/>
        </w:rPr>
        <w:t>o</w:t>
      </w:r>
      <w:r w:rsidR="00F66797" w:rsidRPr="00262598">
        <w:rPr>
          <w:rFonts w:ascii="Arial" w:hAnsi="Arial" w:cs="Arial"/>
          <w:color w:val="000000" w:themeColor="text1"/>
          <w:sz w:val="22"/>
          <w:szCs w:val="22"/>
        </w:rPr>
        <w:t xml:space="preserve"> (Figure 6</w:t>
      </w:r>
      <w:r w:rsidR="00704322" w:rsidRPr="00262598">
        <w:rPr>
          <w:rFonts w:ascii="Arial" w:hAnsi="Arial" w:cs="Arial"/>
          <w:color w:val="000000" w:themeColor="text1"/>
          <w:sz w:val="22"/>
          <w:szCs w:val="22"/>
        </w:rPr>
        <w:t>H</w:t>
      </w:r>
      <w:r w:rsidR="00F66797" w:rsidRPr="00262598">
        <w:rPr>
          <w:rFonts w:ascii="Arial" w:hAnsi="Arial" w:cs="Arial"/>
          <w:color w:val="000000" w:themeColor="text1"/>
          <w:sz w:val="22"/>
          <w:szCs w:val="22"/>
        </w:rPr>
        <w:t>, p=0.0</w:t>
      </w:r>
      <w:r w:rsidR="00AD149B" w:rsidRPr="00262598">
        <w:rPr>
          <w:rFonts w:ascii="Arial" w:hAnsi="Arial" w:cs="Arial"/>
          <w:color w:val="000000" w:themeColor="text1"/>
          <w:sz w:val="22"/>
          <w:szCs w:val="22"/>
        </w:rPr>
        <w:t>08</w:t>
      </w:r>
      <w:r w:rsidR="00F66797" w:rsidRPr="00262598">
        <w:rPr>
          <w:rFonts w:ascii="Arial" w:hAnsi="Arial" w:cs="Arial"/>
          <w:color w:val="000000" w:themeColor="text1"/>
          <w:sz w:val="22"/>
          <w:szCs w:val="22"/>
        </w:rPr>
        <w:t>).</w:t>
      </w:r>
      <w:r>
        <w:rPr>
          <w:rFonts w:ascii="Arial" w:hAnsi="Arial" w:cs="Arial"/>
          <w:color w:val="000000" w:themeColor="text1"/>
          <w:sz w:val="22"/>
          <w:szCs w:val="22"/>
        </w:rPr>
        <w:t xml:space="preserve">  Interestingly, the upstream precursors of DHA including ALA and EPA were unaffected, suggesting that ALA/EPA conversion into DHA or selective sparing of DHA occurs in the milk from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bookmarkStart w:id="13" w:name="_GoBack"/>
      <w:bookmarkEnd w:id="13"/>
    </w:p>
    <w:p w14:paraId="19A1304A" w14:textId="5A456F61" w:rsidR="00A443B5" w:rsidRDefault="00A443B5"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A21216" w14:paraId="737C3A6A" w14:textId="77777777" w:rsidTr="00DE18E7">
        <w:trPr>
          <w:trHeight w:val="2995"/>
        </w:trPr>
        <w:tc>
          <w:tcPr>
            <w:tcW w:w="5040" w:type="dxa"/>
          </w:tcPr>
          <w:p w14:paraId="7C876844" w14:textId="0C853E03"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A</w:t>
            </w:r>
          </w:p>
          <w:p w14:paraId="71B7F3E2" w14:textId="114F469D" w:rsidR="00A443B5" w:rsidRDefault="00520024"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954B5A0" wp14:editId="1FC6A8B2">
                  <wp:extent cx="2865508" cy="1973179"/>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FA ratio-1.pdf"/>
                          <pic:cNvPicPr/>
                        </pic:nvPicPr>
                        <pic:blipFill>
                          <a:blip r:embed="rId23">
                            <a:extLst>
                              <a:ext uri="{28A0092B-C50C-407E-A947-70E740481C1C}">
                                <a14:useLocalDpi xmlns:a14="http://schemas.microsoft.com/office/drawing/2010/main" val="0"/>
                              </a:ext>
                            </a:extLst>
                          </a:blip>
                          <a:stretch>
                            <a:fillRect/>
                          </a:stretch>
                        </pic:blipFill>
                        <pic:spPr>
                          <a:xfrm>
                            <a:off x="0" y="0"/>
                            <a:ext cx="2886060" cy="1987331"/>
                          </a:xfrm>
                          <a:prstGeom prst="rect">
                            <a:avLst/>
                          </a:prstGeom>
                        </pic:spPr>
                      </pic:pic>
                    </a:graphicData>
                  </a:graphic>
                </wp:inline>
              </w:drawing>
            </w:r>
          </w:p>
        </w:tc>
        <w:tc>
          <w:tcPr>
            <w:tcW w:w="5040" w:type="dxa"/>
          </w:tcPr>
          <w:p w14:paraId="3914169E"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B</w:t>
            </w:r>
          </w:p>
          <w:p w14:paraId="52B48C6E" w14:textId="0AE5F1F6" w:rsidR="00A443B5" w:rsidRDefault="00520024" w:rsidP="00DE18E7">
            <w:pPr>
              <w:keepNext/>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328019DF" wp14:editId="2FC93615">
                  <wp:extent cx="2858703" cy="1968493"/>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A ratio-2.pdf"/>
                          <pic:cNvPicPr/>
                        </pic:nvPicPr>
                        <pic:blipFill>
                          <a:blip r:embed="rId24">
                            <a:extLst>
                              <a:ext uri="{28A0092B-C50C-407E-A947-70E740481C1C}">
                                <a14:useLocalDpi xmlns:a14="http://schemas.microsoft.com/office/drawing/2010/main" val="0"/>
                              </a:ext>
                            </a:extLst>
                          </a:blip>
                          <a:stretch>
                            <a:fillRect/>
                          </a:stretch>
                        </pic:blipFill>
                        <pic:spPr>
                          <a:xfrm>
                            <a:off x="0" y="0"/>
                            <a:ext cx="2881802" cy="1984399"/>
                          </a:xfrm>
                          <a:prstGeom prst="rect">
                            <a:avLst/>
                          </a:prstGeom>
                        </pic:spPr>
                      </pic:pic>
                    </a:graphicData>
                  </a:graphic>
                </wp:inline>
              </w:drawing>
            </w:r>
          </w:p>
        </w:tc>
      </w:tr>
      <w:tr w:rsidR="00520024" w14:paraId="7677AE39" w14:textId="77777777" w:rsidTr="00DE18E7">
        <w:trPr>
          <w:trHeight w:val="2995"/>
        </w:trPr>
        <w:tc>
          <w:tcPr>
            <w:tcW w:w="5040" w:type="dxa"/>
          </w:tcPr>
          <w:p w14:paraId="0B27AF85" w14:textId="77777777"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C</w:t>
            </w:r>
          </w:p>
          <w:p w14:paraId="7D8F0E6D" w14:textId="2A8DE2AF"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203E1297" wp14:editId="73D15543">
                  <wp:extent cx="2858703" cy="1968493"/>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A ratio-3.pdf"/>
                          <pic:cNvPicPr/>
                        </pic:nvPicPr>
                        <pic:blipFill>
                          <a:blip r:embed="rId25">
                            <a:extLst>
                              <a:ext uri="{28A0092B-C50C-407E-A947-70E740481C1C}">
                                <a14:useLocalDpi xmlns:a14="http://schemas.microsoft.com/office/drawing/2010/main" val="0"/>
                              </a:ext>
                            </a:extLst>
                          </a:blip>
                          <a:stretch>
                            <a:fillRect/>
                          </a:stretch>
                        </pic:blipFill>
                        <pic:spPr>
                          <a:xfrm>
                            <a:off x="0" y="0"/>
                            <a:ext cx="2891853" cy="1991320"/>
                          </a:xfrm>
                          <a:prstGeom prst="rect">
                            <a:avLst/>
                          </a:prstGeom>
                        </pic:spPr>
                      </pic:pic>
                    </a:graphicData>
                  </a:graphic>
                </wp:inline>
              </w:drawing>
            </w:r>
          </w:p>
          <w:p w14:paraId="5AFA62BF" w14:textId="77777777" w:rsidR="00520024" w:rsidRDefault="00520024" w:rsidP="00DE18E7">
            <w:pPr>
              <w:rPr>
                <w:rFonts w:ascii="Arial" w:hAnsi="Arial" w:cs="Arial"/>
                <w:noProof/>
                <w:color w:val="000000" w:themeColor="text1"/>
                <w:sz w:val="22"/>
                <w:szCs w:val="22"/>
              </w:rPr>
            </w:pPr>
          </w:p>
          <w:p w14:paraId="0738B351" w14:textId="77777777" w:rsidR="00520024" w:rsidRDefault="00520024" w:rsidP="00DE18E7">
            <w:pPr>
              <w:rPr>
                <w:rFonts w:ascii="Arial" w:hAnsi="Arial" w:cs="Arial"/>
                <w:noProof/>
                <w:color w:val="000000" w:themeColor="text1"/>
                <w:sz w:val="22"/>
                <w:szCs w:val="22"/>
              </w:rPr>
            </w:pPr>
          </w:p>
          <w:p w14:paraId="3748BCBB" w14:textId="77777777" w:rsidR="00520024" w:rsidRDefault="00520024" w:rsidP="00DE18E7">
            <w:pPr>
              <w:rPr>
                <w:rFonts w:ascii="Arial" w:hAnsi="Arial" w:cs="Arial"/>
                <w:noProof/>
                <w:color w:val="000000" w:themeColor="text1"/>
                <w:sz w:val="22"/>
                <w:szCs w:val="22"/>
              </w:rPr>
            </w:pPr>
          </w:p>
          <w:p w14:paraId="65B8029F" w14:textId="77777777" w:rsidR="00520024" w:rsidRDefault="00520024" w:rsidP="00DE18E7">
            <w:pPr>
              <w:rPr>
                <w:rFonts w:ascii="Arial" w:hAnsi="Arial" w:cs="Arial"/>
                <w:noProof/>
                <w:color w:val="000000" w:themeColor="text1"/>
                <w:sz w:val="22"/>
                <w:szCs w:val="22"/>
              </w:rPr>
            </w:pPr>
          </w:p>
          <w:p w14:paraId="215FAADB" w14:textId="77777777" w:rsidR="00520024" w:rsidRDefault="00520024" w:rsidP="00DE18E7">
            <w:pPr>
              <w:rPr>
                <w:rFonts w:ascii="Arial" w:hAnsi="Arial" w:cs="Arial"/>
                <w:noProof/>
                <w:color w:val="000000" w:themeColor="text1"/>
                <w:sz w:val="22"/>
                <w:szCs w:val="22"/>
              </w:rPr>
            </w:pPr>
          </w:p>
          <w:p w14:paraId="6A860CD0" w14:textId="77777777" w:rsidR="00520024" w:rsidRDefault="00520024" w:rsidP="00DE18E7">
            <w:pPr>
              <w:rPr>
                <w:rFonts w:ascii="Arial" w:hAnsi="Arial" w:cs="Arial"/>
                <w:noProof/>
                <w:color w:val="000000" w:themeColor="text1"/>
                <w:sz w:val="22"/>
                <w:szCs w:val="22"/>
              </w:rPr>
            </w:pPr>
          </w:p>
          <w:p w14:paraId="15B64742" w14:textId="77777777" w:rsidR="00520024" w:rsidRDefault="00520024" w:rsidP="00DE18E7">
            <w:pPr>
              <w:rPr>
                <w:rFonts w:ascii="Arial" w:hAnsi="Arial" w:cs="Arial"/>
                <w:noProof/>
                <w:color w:val="000000" w:themeColor="text1"/>
                <w:sz w:val="22"/>
                <w:szCs w:val="22"/>
              </w:rPr>
            </w:pPr>
          </w:p>
          <w:p w14:paraId="66CF7095" w14:textId="77777777" w:rsidR="00520024" w:rsidRDefault="00520024" w:rsidP="00DE18E7">
            <w:pPr>
              <w:rPr>
                <w:rFonts w:ascii="Arial" w:hAnsi="Arial" w:cs="Arial"/>
                <w:noProof/>
                <w:color w:val="000000" w:themeColor="text1"/>
                <w:sz w:val="22"/>
                <w:szCs w:val="22"/>
              </w:rPr>
            </w:pPr>
          </w:p>
          <w:p w14:paraId="224C95B1" w14:textId="77777777" w:rsidR="00520024" w:rsidRDefault="00520024" w:rsidP="00DE18E7">
            <w:pPr>
              <w:rPr>
                <w:rFonts w:ascii="Arial" w:hAnsi="Arial" w:cs="Arial"/>
                <w:noProof/>
                <w:color w:val="000000" w:themeColor="text1"/>
                <w:sz w:val="22"/>
                <w:szCs w:val="22"/>
              </w:rPr>
            </w:pPr>
          </w:p>
          <w:p w14:paraId="2D18C238" w14:textId="3F1EF93E"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E</w:t>
            </w:r>
          </w:p>
          <w:p w14:paraId="3907E2E9" w14:textId="77777777" w:rsidR="00520024" w:rsidRDefault="00520024" w:rsidP="00DE18E7">
            <w:pPr>
              <w:rPr>
                <w:rFonts w:ascii="Arial" w:hAnsi="Arial" w:cs="Arial"/>
                <w:noProof/>
                <w:color w:val="000000" w:themeColor="text1"/>
                <w:sz w:val="22"/>
                <w:szCs w:val="22"/>
              </w:rPr>
            </w:pPr>
          </w:p>
          <w:p w14:paraId="058761D0" w14:textId="41AC212D" w:rsidR="00A443B5" w:rsidRDefault="00520024"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381A381" wp14:editId="430209EC">
                  <wp:extent cx="2858703" cy="1968493"/>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3 ratio and percentages-2.pdf"/>
                          <pic:cNvPicPr/>
                        </pic:nvPicPr>
                        <pic:blipFill>
                          <a:blip r:embed="rId26">
                            <a:extLst>
                              <a:ext uri="{28A0092B-C50C-407E-A947-70E740481C1C}">
                                <a14:useLocalDpi xmlns:a14="http://schemas.microsoft.com/office/drawing/2010/main" val="0"/>
                              </a:ext>
                            </a:extLst>
                          </a:blip>
                          <a:stretch>
                            <a:fillRect/>
                          </a:stretch>
                        </pic:blipFill>
                        <pic:spPr>
                          <a:xfrm>
                            <a:off x="0" y="0"/>
                            <a:ext cx="2890430" cy="1990340"/>
                          </a:xfrm>
                          <a:prstGeom prst="rect">
                            <a:avLst/>
                          </a:prstGeom>
                        </pic:spPr>
                      </pic:pic>
                    </a:graphicData>
                  </a:graphic>
                </wp:inline>
              </w:drawing>
            </w:r>
          </w:p>
          <w:p w14:paraId="54447F9C" w14:textId="63B0E176" w:rsidR="00A443B5" w:rsidRDefault="00A443B5" w:rsidP="00DE18E7">
            <w:pPr>
              <w:rPr>
                <w:rFonts w:ascii="Arial" w:hAnsi="Arial" w:cs="Arial"/>
                <w:noProof/>
                <w:color w:val="000000" w:themeColor="text1"/>
                <w:sz w:val="22"/>
                <w:szCs w:val="22"/>
              </w:rPr>
            </w:pPr>
            <w:r>
              <w:rPr>
                <w:rFonts w:ascii="Arial" w:hAnsi="Arial" w:cs="Arial"/>
                <w:noProof/>
                <w:color w:val="000000" w:themeColor="text1"/>
                <w:sz w:val="22"/>
                <w:szCs w:val="22"/>
              </w:rPr>
              <w:t>G</w:t>
            </w:r>
          </w:p>
          <w:p w14:paraId="533CAA19" w14:textId="293F9796" w:rsidR="00A443B5" w:rsidRDefault="00A21216" w:rsidP="00DE18E7">
            <w:pPr>
              <w:rPr>
                <w:rFonts w:ascii="Arial" w:hAnsi="Arial" w:cs="Arial"/>
                <w:noProof/>
                <w:color w:val="000000" w:themeColor="text1"/>
                <w:sz w:val="22"/>
                <w:szCs w:val="22"/>
              </w:rPr>
            </w:pPr>
            <w:r>
              <w:rPr>
                <w:rFonts w:ascii="Arial" w:hAnsi="Arial" w:cs="Arial"/>
                <w:noProof/>
                <w:color w:val="000000" w:themeColor="text1"/>
                <w:sz w:val="22"/>
                <w:szCs w:val="22"/>
              </w:rPr>
              <w:drawing>
                <wp:inline distT="0" distB="0" distL="0" distR="0" wp14:anchorId="07A70D05" wp14:editId="5F60C6D4">
                  <wp:extent cx="2858135" cy="1968102"/>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3 ratio and percentages-3.pdf"/>
                          <pic:cNvPicPr/>
                        </pic:nvPicPr>
                        <pic:blipFill>
                          <a:blip r:embed="rId27">
                            <a:extLst>
                              <a:ext uri="{28A0092B-C50C-407E-A947-70E740481C1C}">
                                <a14:useLocalDpi xmlns:a14="http://schemas.microsoft.com/office/drawing/2010/main" val="0"/>
                              </a:ext>
                            </a:extLst>
                          </a:blip>
                          <a:stretch>
                            <a:fillRect/>
                          </a:stretch>
                        </pic:blipFill>
                        <pic:spPr>
                          <a:xfrm>
                            <a:off x="0" y="0"/>
                            <a:ext cx="2866363" cy="1973768"/>
                          </a:xfrm>
                          <a:prstGeom prst="rect">
                            <a:avLst/>
                          </a:prstGeom>
                        </pic:spPr>
                      </pic:pic>
                    </a:graphicData>
                  </a:graphic>
                </wp:inline>
              </w:drawing>
            </w:r>
          </w:p>
          <w:p w14:paraId="6A9AB6F0" w14:textId="62E0557E" w:rsidR="00A443B5" w:rsidRDefault="00A443B5" w:rsidP="00DE18E7">
            <w:pPr>
              <w:rPr>
                <w:rFonts w:ascii="Arial" w:hAnsi="Arial" w:cs="Arial"/>
                <w:noProof/>
                <w:color w:val="000000" w:themeColor="text1"/>
                <w:sz w:val="22"/>
                <w:szCs w:val="22"/>
              </w:rPr>
            </w:pPr>
          </w:p>
        </w:tc>
        <w:tc>
          <w:tcPr>
            <w:tcW w:w="5040" w:type="dxa"/>
          </w:tcPr>
          <w:p w14:paraId="54FE2DE9" w14:textId="5D50AE54"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lastRenderedPageBreak/>
              <w:t>D</w:t>
            </w:r>
          </w:p>
          <w:p w14:paraId="745C6F94" w14:textId="19316CD1" w:rsidR="00520024" w:rsidRDefault="00EF539B"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61A99F49" wp14:editId="6D348008">
                  <wp:extent cx="2865507" cy="197317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FA ratio-4.pdf"/>
                          <pic:cNvPicPr/>
                        </pic:nvPicPr>
                        <pic:blipFill>
                          <a:blip r:embed="rId28">
                            <a:extLst>
                              <a:ext uri="{28A0092B-C50C-407E-A947-70E740481C1C}">
                                <a14:useLocalDpi xmlns:a14="http://schemas.microsoft.com/office/drawing/2010/main" val="0"/>
                              </a:ext>
                            </a:extLst>
                          </a:blip>
                          <a:stretch>
                            <a:fillRect/>
                          </a:stretch>
                        </pic:blipFill>
                        <pic:spPr>
                          <a:xfrm>
                            <a:off x="0" y="0"/>
                            <a:ext cx="2898226" cy="1995708"/>
                          </a:xfrm>
                          <a:prstGeom prst="rect">
                            <a:avLst/>
                          </a:prstGeom>
                        </pic:spPr>
                      </pic:pic>
                    </a:graphicData>
                  </a:graphic>
                </wp:inline>
              </w:drawing>
            </w:r>
          </w:p>
          <w:p w14:paraId="43016481" w14:textId="77777777" w:rsidR="00A443B5" w:rsidRDefault="00A443B5" w:rsidP="00DE18E7">
            <w:pPr>
              <w:rPr>
                <w:rFonts w:ascii="Arial" w:hAnsi="Arial" w:cs="Arial"/>
                <w:color w:val="000000" w:themeColor="text1"/>
                <w:sz w:val="22"/>
                <w:szCs w:val="22"/>
              </w:rPr>
            </w:pPr>
          </w:p>
          <w:p w14:paraId="731B5B40" w14:textId="77777777" w:rsidR="00520024" w:rsidRDefault="00520024" w:rsidP="00DE18E7">
            <w:pPr>
              <w:rPr>
                <w:rFonts w:ascii="Arial" w:hAnsi="Arial" w:cs="Arial"/>
                <w:color w:val="000000" w:themeColor="text1"/>
                <w:sz w:val="22"/>
                <w:szCs w:val="22"/>
              </w:rPr>
            </w:pPr>
          </w:p>
          <w:p w14:paraId="3FE8B59E" w14:textId="77777777" w:rsidR="00520024" w:rsidRDefault="00520024" w:rsidP="00DE18E7">
            <w:pPr>
              <w:rPr>
                <w:rFonts w:ascii="Arial" w:hAnsi="Arial" w:cs="Arial"/>
                <w:color w:val="000000" w:themeColor="text1"/>
                <w:sz w:val="22"/>
                <w:szCs w:val="22"/>
              </w:rPr>
            </w:pPr>
          </w:p>
          <w:p w14:paraId="6A8B1485" w14:textId="77777777" w:rsidR="00520024" w:rsidRDefault="00520024" w:rsidP="00DE18E7">
            <w:pPr>
              <w:rPr>
                <w:rFonts w:ascii="Arial" w:hAnsi="Arial" w:cs="Arial"/>
                <w:color w:val="000000" w:themeColor="text1"/>
                <w:sz w:val="22"/>
                <w:szCs w:val="22"/>
              </w:rPr>
            </w:pPr>
          </w:p>
          <w:p w14:paraId="1617DB65" w14:textId="77777777" w:rsidR="00520024" w:rsidRDefault="00520024" w:rsidP="00DE18E7">
            <w:pPr>
              <w:rPr>
                <w:rFonts w:ascii="Arial" w:hAnsi="Arial" w:cs="Arial"/>
                <w:color w:val="000000" w:themeColor="text1"/>
                <w:sz w:val="22"/>
                <w:szCs w:val="22"/>
              </w:rPr>
            </w:pPr>
          </w:p>
          <w:p w14:paraId="708072BD" w14:textId="77777777" w:rsidR="00520024" w:rsidRDefault="00520024" w:rsidP="00DE18E7">
            <w:pPr>
              <w:rPr>
                <w:rFonts w:ascii="Arial" w:hAnsi="Arial" w:cs="Arial"/>
                <w:color w:val="000000" w:themeColor="text1"/>
                <w:sz w:val="22"/>
                <w:szCs w:val="22"/>
              </w:rPr>
            </w:pPr>
          </w:p>
          <w:p w14:paraId="50A58FF3" w14:textId="77777777" w:rsidR="00520024" w:rsidRDefault="00520024" w:rsidP="00DE18E7">
            <w:pPr>
              <w:rPr>
                <w:rFonts w:ascii="Arial" w:hAnsi="Arial" w:cs="Arial"/>
                <w:color w:val="000000" w:themeColor="text1"/>
                <w:sz w:val="22"/>
                <w:szCs w:val="22"/>
              </w:rPr>
            </w:pPr>
          </w:p>
          <w:p w14:paraId="07F8BE96" w14:textId="77777777" w:rsidR="00520024" w:rsidRDefault="00520024" w:rsidP="00DE18E7">
            <w:pPr>
              <w:rPr>
                <w:rFonts w:ascii="Arial" w:hAnsi="Arial" w:cs="Arial"/>
                <w:color w:val="000000" w:themeColor="text1"/>
                <w:sz w:val="22"/>
                <w:szCs w:val="22"/>
              </w:rPr>
            </w:pPr>
          </w:p>
          <w:p w14:paraId="56F89140" w14:textId="77777777" w:rsidR="00520024" w:rsidRDefault="00520024" w:rsidP="00DE18E7">
            <w:pPr>
              <w:rPr>
                <w:rFonts w:ascii="Arial" w:hAnsi="Arial" w:cs="Arial"/>
                <w:color w:val="000000" w:themeColor="text1"/>
                <w:sz w:val="22"/>
                <w:szCs w:val="22"/>
              </w:rPr>
            </w:pPr>
          </w:p>
          <w:p w14:paraId="3AFF9DCD" w14:textId="1EB89E51"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F</w:t>
            </w:r>
          </w:p>
          <w:p w14:paraId="2B9E4119" w14:textId="7AC9131E"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0EEF6F8C" wp14:editId="088F6F3B">
                  <wp:extent cx="2858135" cy="196810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mega3 ALA EPA DHA values-3.pdf"/>
                          <pic:cNvPicPr/>
                        </pic:nvPicPr>
                        <pic:blipFill>
                          <a:blip r:embed="rId29">
                            <a:extLst>
                              <a:ext uri="{28A0092B-C50C-407E-A947-70E740481C1C}">
                                <a14:useLocalDpi xmlns:a14="http://schemas.microsoft.com/office/drawing/2010/main" val="0"/>
                              </a:ext>
                            </a:extLst>
                          </a:blip>
                          <a:stretch>
                            <a:fillRect/>
                          </a:stretch>
                        </pic:blipFill>
                        <pic:spPr>
                          <a:xfrm>
                            <a:off x="0" y="0"/>
                            <a:ext cx="2889543" cy="1989730"/>
                          </a:xfrm>
                          <a:prstGeom prst="rect">
                            <a:avLst/>
                          </a:prstGeom>
                        </pic:spPr>
                      </pic:pic>
                    </a:graphicData>
                  </a:graphic>
                </wp:inline>
              </w:drawing>
            </w:r>
          </w:p>
          <w:p w14:paraId="1D8D653D" w14:textId="77777777" w:rsidR="00A443B5" w:rsidRDefault="00A443B5" w:rsidP="00DE18E7">
            <w:pPr>
              <w:rPr>
                <w:rFonts w:ascii="Arial" w:hAnsi="Arial" w:cs="Arial"/>
                <w:color w:val="000000" w:themeColor="text1"/>
                <w:sz w:val="22"/>
                <w:szCs w:val="22"/>
              </w:rPr>
            </w:pPr>
          </w:p>
          <w:p w14:paraId="10ABC19D" w14:textId="77777777" w:rsidR="00A443B5" w:rsidRDefault="00A443B5" w:rsidP="00DE18E7">
            <w:pPr>
              <w:rPr>
                <w:rFonts w:ascii="Arial" w:hAnsi="Arial" w:cs="Arial"/>
                <w:color w:val="000000" w:themeColor="text1"/>
                <w:sz w:val="22"/>
                <w:szCs w:val="22"/>
              </w:rPr>
            </w:pPr>
            <w:r>
              <w:rPr>
                <w:rFonts w:ascii="Arial" w:hAnsi="Arial" w:cs="Arial"/>
                <w:color w:val="000000" w:themeColor="text1"/>
                <w:sz w:val="22"/>
                <w:szCs w:val="22"/>
              </w:rPr>
              <w:t>H</w:t>
            </w:r>
          </w:p>
          <w:p w14:paraId="4C6915D7" w14:textId="2BEFA012" w:rsidR="00A21216" w:rsidRDefault="00A21216" w:rsidP="00DE18E7">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22DC8C76" wp14:editId="2FB781A9">
                  <wp:extent cx="2858703" cy="196849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3 ratio and percentages-1.pdf"/>
                          <pic:cNvPicPr/>
                        </pic:nvPicPr>
                        <pic:blipFill>
                          <a:blip r:embed="rId30">
                            <a:extLst>
                              <a:ext uri="{28A0092B-C50C-407E-A947-70E740481C1C}">
                                <a14:useLocalDpi xmlns:a14="http://schemas.microsoft.com/office/drawing/2010/main" val="0"/>
                              </a:ext>
                            </a:extLst>
                          </a:blip>
                          <a:stretch>
                            <a:fillRect/>
                          </a:stretch>
                        </pic:blipFill>
                        <pic:spPr>
                          <a:xfrm>
                            <a:off x="0" y="0"/>
                            <a:ext cx="2880992" cy="1983841"/>
                          </a:xfrm>
                          <a:prstGeom prst="rect">
                            <a:avLst/>
                          </a:prstGeom>
                        </pic:spPr>
                      </pic:pic>
                    </a:graphicData>
                  </a:graphic>
                </wp:inline>
              </w:drawing>
            </w:r>
          </w:p>
        </w:tc>
      </w:tr>
    </w:tbl>
    <w:p w14:paraId="34CECC7B" w14:textId="66BC0480" w:rsidR="00A443B5" w:rsidRPr="000351B7" w:rsidRDefault="00A443B5" w:rsidP="000351B7">
      <w:pPr>
        <w:pStyle w:val="Caption"/>
      </w:pPr>
      <w:r>
        <w:lastRenderedPageBreak/>
        <w:t xml:space="preserve">Figure 5: Milk fat </w:t>
      </w:r>
      <w:r w:rsidR="00A21216">
        <w:t>lipidomic analysis</w:t>
      </w:r>
      <w:r>
        <w:t xml:space="preserve">. (A) </w:t>
      </w:r>
      <w:r w:rsidR="00A21216">
        <w:t>Lower average %SFA in milk of KO</w:t>
      </w:r>
      <w:r>
        <w:t xml:space="preserve">. (B) </w:t>
      </w:r>
      <w:r w:rsidR="00A21216">
        <w:t>Higher average %MUFA in milk of KO. (C)Similar average %PUFA in milk of KO and WT. (D) Higher MUFA/SFA ratio in milk of KO. (E) Higher %omega-3 fatty acids in milk of KO. (F)Higher %</w:t>
      </w:r>
      <w:r w:rsidR="00A21216" w:rsidRPr="00A21216">
        <w:t>Docosahexaenoic acid</w:t>
      </w:r>
      <w:r w:rsidR="00A21216">
        <w:t xml:space="preserve"> (DHA), an omega-3 metabolite, in milk of KO. (G) Comparable omega-6 fatty acid composition in milk of KO and WT. (H) Lower omega-</w:t>
      </w:r>
      <w:proofErr w:type="gramStart"/>
      <w:r w:rsidR="00A21216">
        <w:t>6:omega</w:t>
      </w:r>
      <w:proofErr w:type="gramEnd"/>
      <w:r w:rsidR="00A21216">
        <w:t xml:space="preserve">-3 </w:t>
      </w:r>
      <w:r w:rsidR="000351B7">
        <w:t>ratio in milk of KO.</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r>
        <w:rPr>
          <w:rFonts w:ascii="Arial" w:hAnsi="Arial" w:cs="Arial"/>
          <w:b/>
          <w:color w:val="000000" w:themeColor="text1"/>
          <w:sz w:val="22"/>
          <w:szCs w:val="22"/>
        </w:rPr>
        <w:t xml:space="preserve"> 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13C779BF" w14:textId="1A157A23" w:rsidR="00C2784E" w:rsidRPr="008C177E" w:rsidRDefault="00987D6A" w:rsidP="00785932">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D25638">
        <w:rPr>
          <w:rFonts w:ascii="Arial" w:hAnsi="Arial" w:cs="Arial"/>
          <w:sz w:val="22"/>
        </w:rPr>
        <w:t xml:space="preserve"> We identified 139 significantly differentially expressed genes between these groups (Figure 7A-B, and Supplementary Table 1)</w:t>
      </w:r>
      <w:r w:rsidR="00F91AFB">
        <w:rPr>
          <w:rFonts w:ascii="Arial" w:hAnsi="Arial" w:cs="Arial"/>
          <w:sz w:val="22"/>
        </w:rPr>
        <w:t xml:space="preserve">. </w:t>
      </w:r>
      <w:r w:rsidR="00D15783">
        <w:rPr>
          <w:rFonts w:ascii="Arial" w:hAnsi="Arial" w:cs="Arial"/>
          <w:sz w:val="22"/>
        </w:rPr>
        <w:t xml:space="preserve">Among the most highly expressed genes in the mammary gland are secreted milk proteins. These transcripts are </w:t>
      </w:r>
      <w:r w:rsidR="004E78CF">
        <w:rPr>
          <w:rFonts w:ascii="Arial" w:hAnsi="Arial" w:cs="Arial"/>
          <w:sz w:val="22"/>
        </w:rPr>
        <w:t>not significantly altered</w:t>
      </w:r>
      <w:r w:rsidR="00D15783">
        <w:rPr>
          <w:rFonts w:ascii="Arial" w:hAnsi="Arial" w:cs="Arial"/>
          <w:sz w:val="22"/>
        </w:rPr>
        <w:t xml:space="preserve"> by adipocyte </w:t>
      </w:r>
      <w:r w:rsidR="00D15783">
        <w:rPr>
          <w:rFonts w:ascii="Arial" w:hAnsi="Arial" w:cs="Arial"/>
          <w:i/>
          <w:sz w:val="22"/>
        </w:rPr>
        <w:t>Tsc1</w:t>
      </w:r>
      <w:r w:rsidR="00D15783">
        <w:rPr>
          <w:rFonts w:ascii="Arial" w:hAnsi="Arial" w:cs="Arial"/>
          <w:sz w:val="22"/>
        </w:rPr>
        <w:t xml:space="preserve"> knockout</w:t>
      </w:r>
      <w:r w:rsidR="004E78CF">
        <w:rPr>
          <w:rFonts w:ascii="Arial" w:hAnsi="Arial" w:cs="Arial"/>
          <w:sz w:val="22"/>
        </w:rPr>
        <w:t>, but trend downwards</w:t>
      </w:r>
      <w:r w:rsidR="00D15783">
        <w:rPr>
          <w:rFonts w:ascii="Arial" w:hAnsi="Arial" w:cs="Arial"/>
          <w:sz w:val="22"/>
        </w:rPr>
        <w:t xml:space="preserve"> (Figure 7C).</w:t>
      </w:r>
      <w:r w:rsidR="006B5D0A">
        <w:rPr>
          <w:rFonts w:ascii="Arial" w:hAnsi="Arial" w:cs="Arial"/>
          <w:sz w:val="22"/>
        </w:rPr>
        <w:t xml:space="preserve"> Several markers of adipogenesis and </w:t>
      </w:r>
      <w:proofErr w:type="spellStart"/>
      <w:r w:rsidR="006B5D0A">
        <w:rPr>
          <w:rFonts w:ascii="Arial" w:hAnsi="Arial" w:cs="Arial"/>
          <w:sz w:val="22"/>
        </w:rPr>
        <w:t>PPARg</w:t>
      </w:r>
      <w:proofErr w:type="spellEnd"/>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consistent with increased adipocyte numbers</w:t>
      </w:r>
      <w:r w:rsidR="00C37BB4">
        <w:rPr>
          <w:rFonts w:ascii="Arial" w:hAnsi="Arial" w:cs="Arial"/>
          <w:sz w:val="22"/>
        </w:rPr>
        <w:t xml:space="preserve"> (Figure 7D)</w:t>
      </w:r>
      <w:r w:rsidR="004413C9">
        <w:rPr>
          <w:rFonts w:ascii="Arial" w:hAnsi="Arial" w:cs="Arial"/>
          <w:sz w:val="22"/>
        </w:rPr>
        <w:t>. Furthermore</w:t>
      </w:r>
      <w:r w:rsidR="00C37BB4">
        <w:rPr>
          <w:rFonts w:ascii="Arial" w:hAnsi="Arial" w:cs="Arial"/>
          <w:sz w:val="22"/>
        </w:rPr>
        <w:t>,</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w:t>
      </w:r>
      <w:r w:rsidR="004413C9">
        <w:rPr>
          <w:rFonts w:ascii="Arial" w:hAnsi="Arial" w:cs="Arial"/>
          <w:sz w:val="22"/>
        </w:rPr>
        <w:lastRenderedPageBreak/>
        <w:t xml:space="preserve">in </w:t>
      </w:r>
      <w:r w:rsidR="00D7025E">
        <w:rPr>
          <w:rFonts w:ascii="Arial" w:hAnsi="Arial" w:cs="Arial"/>
          <w:sz w:val="22"/>
        </w:rPr>
        <w:t>eicosanoid</w:t>
      </w:r>
      <w:r w:rsidR="004413C9">
        <w:rPr>
          <w:rFonts w:ascii="Arial" w:hAnsi="Arial" w:cs="Arial"/>
          <w:sz w:val="22"/>
        </w:rPr>
        <w:t xml:space="preserve"> </w:t>
      </w:r>
      <w:r w:rsidR="00C37BB4">
        <w:rPr>
          <w:rFonts w:ascii="Arial" w:hAnsi="Arial" w:cs="Arial"/>
          <w:sz w:val="22"/>
        </w:rPr>
        <w:t>signaling</w:t>
      </w:r>
      <w:r w:rsidR="004413C9">
        <w:rPr>
          <w:rFonts w:ascii="Arial" w:hAnsi="Arial" w:cs="Arial"/>
          <w:sz w:val="22"/>
        </w:rPr>
        <w:t xml:space="preserve"> were also significantly upregulated including</w:t>
      </w:r>
      <w:r w:rsidR="00C37BB4">
        <w:rPr>
          <w:rFonts w:ascii="Arial" w:hAnsi="Arial" w:cs="Arial"/>
          <w:sz w:val="22"/>
        </w:rPr>
        <w:t xml:space="preserve"> the enzymes</w:t>
      </w:r>
      <w:r w:rsidR="004413C9">
        <w:rPr>
          <w:rFonts w:ascii="Arial" w:hAnsi="Arial" w:cs="Arial"/>
          <w:sz w:val="22"/>
        </w:rPr>
        <w:t xml:space="preserve"> </w:t>
      </w:r>
      <w:r w:rsidR="004413C9" w:rsidRPr="004413C9">
        <w:rPr>
          <w:rFonts w:ascii="Arial" w:hAnsi="Arial" w:cs="Arial"/>
          <w:i/>
          <w:sz w:val="22"/>
        </w:rPr>
        <w:t>Plcb1</w:t>
      </w:r>
      <w:r w:rsidR="004413C9">
        <w:rPr>
          <w:rFonts w:ascii="Arial" w:hAnsi="Arial" w:cs="Arial"/>
          <w:sz w:val="22"/>
        </w:rPr>
        <w:t xml:space="preserve">, </w:t>
      </w:r>
      <w:r w:rsidR="004413C9" w:rsidRPr="004413C9">
        <w:rPr>
          <w:rFonts w:ascii="Arial" w:hAnsi="Arial" w:cs="Arial"/>
          <w:i/>
          <w:sz w:val="22"/>
        </w:rPr>
        <w:t>Ephx2</w:t>
      </w:r>
      <w:r w:rsidR="004413C9">
        <w:rPr>
          <w:rFonts w:ascii="Arial" w:hAnsi="Arial" w:cs="Arial"/>
          <w:sz w:val="22"/>
        </w:rPr>
        <w:t xml:space="preserve">, and </w:t>
      </w:r>
      <w:r w:rsidR="004413C9" w:rsidRPr="004413C9">
        <w:rPr>
          <w:rFonts w:ascii="Arial" w:hAnsi="Arial" w:cs="Arial"/>
          <w:i/>
          <w:sz w:val="22"/>
        </w:rPr>
        <w:t>Pla2g4a</w:t>
      </w:r>
      <w:r w:rsidR="004413C9">
        <w:rPr>
          <w:rFonts w:ascii="Arial" w:hAnsi="Arial" w:cs="Arial"/>
          <w:i/>
          <w:sz w:val="22"/>
        </w:rPr>
        <w:t xml:space="preserve"> </w:t>
      </w:r>
      <w:r w:rsidR="00C37BB4">
        <w:rPr>
          <w:rFonts w:ascii="Arial" w:hAnsi="Arial" w:cs="Arial"/>
          <w:sz w:val="22"/>
        </w:rPr>
        <w:t xml:space="preserve">as well as the prostaglandin receptor </w:t>
      </w:r>
      <w:r w:rsidR="00C37BB4">
        <w:rPr>
          <w:rFonts w:ascii="Arial" w:hAnsi="Arial" w:cs="Arial"/>
          <w:i/>
          <w:sz w:val="22"/>
        </w:rPr>
        <w:t>Ptger3</w:t>
      </w:r>
      <w:r w:rsidR="004C07F6">
        <w:rPr>
          <w:rFonts w:ascii="Arial" w:hAnsi="Arial" w:cs="Arial"/>
          <w:sz w:val="22"/>
        </w:rPr>
        <w:t>, wher</w:t>
      </w:r>
      <w:r w:rsidR="00D7025E">
        <w:rPr>
          <w:rFonts w:ascii="Arial" w:hAnsi="Arial" w:cs="Arial"/>
          <w:sz w:val="22"/>
        </w:rPr>
        <w:t>e</w:t>
      </w:r>
      <w:r w:rsidR="004C07F6">
        <w:rPr>
          <w:rFonts w:ascii="Arial" w:hAnsi="Arial" w:cs="Arial"/>
          <w:sz w:val="22"/>
        </w:rPr>
        <w:t xml:space="preserve">as </w:t>
      </w:r>
      <w:r w:rsidR="004C07F6" w:rsidRPr="004C07F6">
        <w:rPr>
          <w:rFonts w:ascii="Arial" w:hAnsi="Arial" w:cs="Arial"/>
          <w:i/>
          <w:sz w:val="22"/>
        </w:rPr>
        <w:t>Ptgs1</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downregulated </w:t>
      </w:r>
      <w:r w:rsidR="004413C9" w:rsidRPr="004413C9">
        <w:rPr>
          <w:rFonts w:ascii="Arial" w:hAnsi="Arial" w:cs="Arial"/>
          <w:sz w:val="22"/>
        </w:rPr>
        <w:t>(Figure 7E)</w:t>
      </w:r>
      <w:r w:rsidR="004413C9">
        <w:rPr>
          <w:rFonts w:ascii="Arial" w:hAnsi="Arial" w:cs="Arial"/>
          <w:sz w:val="22"/>
        </w:rPr>
        <w:t>.</w:t>
      </w:r>
      <w:r w:rsidR="0085356D">
        <w:rPr>
          <w:rFonts w:ascii="Arial" w:hAnsi="Arial" w:cs="Arial"/>
          <w:sz w:val="22"/>
        </w:rPr>
        <w:t xml:space="preserve"> This is consistent with elevations in</w:t>
      </w:r>
      <w:r w:rsidR="009F626C">
        <w:rPr>
          <w:rFonts w:ascii="Arial" w:hAnsi="Arial" w:cs="Arial"/>
          <w:sz w:val="22"/>
        </w:rPr>
        <w:t xml:space="preserve"> DHA </w:t>
      </w:r>
      <w:r w:rsidR="0085356D">
        <w:rPr>
          <w:rFonts w:ascii="Arial" w:hAnsi="Arial" w:cs="Arial"/>
          <w:sz w:val="22"/>
        </w:rPr>
        <w:t>in the breastmilk.</w:t>
      </w:r>
      <w:r w:rsidR="00D51D9A">
        <w:rPr>
          <w:rFonts w:ascii="Arial" w:hAnsi="Arial" w:cs="Arial"/>
          <w:sz w:val="22"/>
        </w:rPr>
        <w:t xml:space="preserve"> Gene set enrichment analyses identified </w:t>
      </w:r>
      <w:r w:rsidR="005F2606">
        <w:rPr>
          <w:rFonts w:ascii="Arial" w:hAnsi="Arial" w:cs="Arial"/>
          <w:sz w:val="22"/>
        </w:rPr>
        <w:t xml:space="preserve">two clusters of significantly differentially expressed ontologies, related to 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C36D7B">
        <w:rPr>
          <w:rFonts w:ascii="Arial" w:hAnsi="Arial" w:cs="Arial"/>
          <w:sz w:val="22"/>
        </w:rPr>
        <w:t>differentiation (Figure 7F</w:t>
      </w:r>
      <w:r w:rsidR="00564FF9">
        <w:rPr>
          <w:rFonts w:ascii="Arial" w:hAnsi="Arial" w:cs="Arial"/>
          <w:sz w:val="22"/>
        </w:rPr>
        <w:t xml:space="preserve"> and Supplementary Table 2</w:t>
      </w:r>
      <w:r w:rsidR="00C36D7B">
        <w:rPr>
          <w:rFonts w:ascii="Arial" w:hAnsi="Arial" w:cs="Arial"/>
          <w:sz w:val="22"/>
        </w:rPr>
        <w:t>)</w:t>
      </w:r>
      <w:r w:rsidR="005F2606">
        <w:rPr>
          <w:rFonts w:ascii="Arial" w:hAnsi="Arial" w:cs="Arial"/>
          <w:sz w:val="22"/>
        </w:rPr>
        <w:t xml:space="preserve">.  </w:t>
      </w:r>
    </w:p>
    <w:p w14:paraId="565E0EF8" w14:textId="3CA8CE9A" w:rsidR="0082079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330AD000" w14:textId="66D97879" w:rsidR="009745B2" w:rsidRDefault="009745B2" w:rsidP="009745B2">
      <w:pPr>
        <w:rPr>
          <w:rFonts w:ascii="Arial" w:hAnsi="Arial" w:cs="Arial"/>
          <w:color w:val="000000" w:themeColor="text1"/>
          <w:sz w:val="22"/>
          <w:szCs w:val="22"/>
        </w:rPr>
      </w:pPr>
      <w:r>
        <w:rPr>
          <w:rFonts w:ascii="Arial" w:hAnsi="Arial" w:cs="Arial"/>
          <w:color w:val="000000" w:themeColor="text1"/>
          <w:sz w:val="22"/>
          <w:szCs w:val="22"/>
        </w:rPr>
        <w:t>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(39)","plainTextFormattedCitation":"(39)","previouslyFormattedCitation":"(39)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997DDE">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composition. </w:t>
      </w:r>
    </w:p>
    <w:p w14:paraId="3FEF9ED0" w14:textId="77777777" w:rsidR="009745B2" w:rsidRDefault="009745B2" w:rsidP="009745B2">
      <w:pPr>
        <w:rPr>
          <w:rFonts w:ascii="Arial" w:hAnsi="Arial" w:cs="Arial"/>
          <w:color w:val="000000" w:themeColor="text1"/>
          <w:sz w:val="22"/>
          <w:szCs w:val="22"/>
        </w:rPr>
      </w:pPr>
    </w:p>
    <w:p w14:paraId="078914F8" w14:textId="367F48CC" w:rsidR="009745B2" w:rsidRDefault="009745B2" w:rsidP="009745B2">
      <w:pPr>
        <w:tabs>
          <w:tab w:val="left" w:pos="6139"/>
        </w:tabs>
        <w:rPr>
          <w:rFonts w:ascii="Arial" w:hAnsi="Arial" w:cs="Arial"/>
          <w:color w:val="000000" w:themeColor="text1"/>
          <w:sz w:val="22"/>
          <w:szCs w:val="22"/>
        </w:rPr>
      </w:pPr>
      <w:r>
        <w:rPr>
          <w:rFonts w:ascii="Arial" w:hAnsi="Arial" w:cs="Arial"/>
          <w:color w:val="000000" w:themeColor="text1"/>
          <w:sz w:val="22"/>
          <w:szCs w:val="22"/>
        </w:rPr>
        <w:t xml:space="preserve">Include papers about rapamycin where they stop lactation </w:t>
      </w:r>
      <w:r>
        <w:rPr>
          <w:rFonts w:ascii="Arial" w:hAnsi="Arial" w:cs="Arial"/>
          <w:color w:val="000000" w:themeColor="text1"/>
          <w:sz w:val="22"/>
          <w:szCs w:val="22"/>
        </w:rPr>
        <w:tab/>
      </w:r>
    </w:p>
    <w:p w14:paraId="4C189A04" w14:textId="77777777" w:rsidR="009745B2" w:rsidRPr="009745B2" w:rsidRDefault="009745B2" w:rsidP="009745B2">
      <w:pPr>
        <w:tabs>
          <w:tab w:val="left" w:pos="6139"/>
        </w:tabs>
        <w:rPr>
          <w:rFonts w:ascii="Arial" w:hAnsi="Arial" w:cs="Arial"/>
          <w:color w:val="000000" w:themeColor="text1"/>
          <w:sz w:val="22"/>
          <w:szCs w:val="22"/>
        </w:rPr>
      </w:pPr>
    </w:p>
    <w:p w14:paraId="7407F76B" w14:textId="250EE967"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w:t>
      </w:r>
      <w:r w:rsidR="00345FC7">
        <w:rPr>
          <w:rFonts w:ascii="Arial" w:hAnsi="Arial" w:cs="Arial"/>
          <w:color w:val="000000" w:themeColor="text1"/>
          <w:sz w:val="22"/>
          <w:szCs w:val="22"/>
        </w:rPr>
        <w:t>through</w:t>
      </w:r>
      <w:r>
        <w:rPr>
          <w:rFonts w:ascii="Arial" w:hAnsi="Arial" w:cs="Arial"/>
          <w:color w:val="000000" w:themeColor="text1"/>
          <w:sz w:val="22"/>
          <w:szCs w:val="22"/>
        </w:rPr>
        <w:t xml:space="preserve"> </w:t>
      </w:r>
      <w:r w:rsidR="00345FC7">
        <w:rPr>
          <w:rFonts w:ascii="Arial" w:hAnsi="Arial" w:cs="Arial"/>
          <w:color w:val="000000" w:themeColor="text1"/>
          <w:sz w:val="22"/>
          <w:szCs w:val="22"/>
        </w:rPr>
        <w:t>higher</w:t>
      </w:r>
      <w:r>
        <w:rPr>
          <w:rFonts w:ascii="Arial" w:hAnsi="Arial" w:cs="Arial"/>
          <w:color w:val="000000" w:themeColor="text1"/>
          <w:sz w:val="22"/>
          <w:szCs w:val="22"/>
        </w:rPr>
        <w:t xml:space="preserve"> </w:t>
      </w:r>
      <w:r w:rsidR="00345FC7">
        <w:rPr>
          <w:rFonts w:ascii="Arial" w:hAnsi="Arial" w:cs="Arial"/>
          <w:color w:val="000000" w:themeColor="text1"/>
          <w:sz w:val="22"/>
          <w:szCs w:val="22"/>
        </w:rPr>
        <w:t>energy intake from fat. Milk composition analyses revealed higher milk fat percentage and a healthy lipid profile in our knockout model.</w:t>
      </w:r>
      <w:r w:rsidR="00125E99">
        <w:rPr>
          <w:rFonts w:ascii="Arial" w:hAnsi="Arial" w:cs="Arial"/>
          <w:color w:val="000000" w:themeColor="text1"/>
          <w:sz w:val="22"/>
          <w:szCs w:val="22"/>
        </w:rPr>
        <w:t xml:space="preserve"> </w:t>
      </w:r>
      <w:r w:rsidR="00345FC7">
        <w:rPr>
          <w:rFonts w:ascii="Arial" w:hAnsi="Arial" w:cs="Arial"/>
          <w:color w:val="000000" w:themeColor="text1"/>
          <w:sz w:val="22"/>
          <w:szCs w:val="22"/>
        </w:rPr>
        <w:t xml:space="preserve">This could be the main driver of the excess weight seen in the offspring nursing from KO dams. We </w:t>
      </w:r>
      <w:r>
        <w:rPr>
          <w:rFonts w:ascii="Arial" w:hAnsi="Arial" w:cs="Arial"/>
          <w:color w:val="000000" w:themeColor="text1"/>
          <w:sz w:val="22"/>
          <w:szCs w:val="22"/>
        </w:rPr>
        <w:t>demonstrate that mTORC1 hyperactivation in adipocytes causes reductions in mammary gland weight</w:t>
      </w:r>
      <w:r w:rsidR="000A2B1A">
        <w:rPr>
          <w:rFonts w:ascii="Arial" w:hAnsi="Arial" w:cs="Arial"/>
          <w:color w:val="000000" w:themeColor="text1"/>
          <w:sz w:val="22"/>
          <w:szCs w:val="22"/>
        </w:rPr>
        <w:t xml:space="preserve"> which can be caused by the increased fatty acid release into the epithelial ducts and the milk. We further find </w:t>
      </w:r>
      <w:r w:rsidR="00345FC7">
        <w:rPr>
          <w:rFonts w:ascii="Arial" w:hAnsi="Arial" w:cs="Arial"/>
          <w:color w:val="000000" w:themeColor="text1"/>
          <w:sz w:val="22"/>
          <w:szCs w:val="22"/>
        </w:rPr>
        <w:t xml:space="preserve">an increase in the mammary adipocytes number, size and percent area. RNA sequencing revealed potential mechanisms by which adipocytes capacity to produce and secrete fat into the milk can be </w:t>
      </w:r>
      <w:r w:rsidR="00D37475">
        <w:rPr>
          <w:rFonts w:ascii="Arial" w:hAnsi="Arial" w:cs="Arial"/>
          <w:color w:val="000000" w:themeColor="text1"/>
          <w:sz w:val="22"/>
          <w:szCs w:val="22"/>
        </w:rPr>
        <w:t>promoted</w:t>
      </w:r>
      <w:r w:rsidR="00345FC7">
        <w:rPr>
          <w:rFonts w:ascii="Arial" w:hAnsi="Arial" w:cs="Arial"/>
          <w:color w:val="000000" w:themeColor="text1"/>
          <w:sz w:val="22"/>
          <w:szCs w:val="22"/>
        </w:rPr>
        <w:t xml:space="preserve"> via </w:t>
      </w:r>
      <w:r w:rsidR="00D37475">
        <w:rPr>
          <w:rFonts w:ascii="Arial" w:hAnsi="Arial" w:cs="Arial"/>
          <w:color w:val="000000" w:themeColor="text1"/>
          <w:sz w:val="22"/>
          <w:szCs w:val="22"/>
        </w:rPr>
        <w:t xml:space="preserve">reduced lipolysis and increased transport of fatty acids. </w:t>
      </w:r>
      <w:r w:rsidR="00125E99">
        <w:rPr>
          <w:rFonts w:ascii="Arial" w:hAnsi="Arial" w:cs="Arial"/>
          <w:color w:val="000000" w:themeColor="text1"/>
          <w:sz w:val="22"/>
          <w:szCs w:val="22"/>
        </w:rPr>
        <w:t>Additionally, our model reveals differentially expressed pathways in the mammary glands which can influence offspring immunity.</w:t>
      </w:r>
    </w:p>
    <w:p w14:paraId="3DDC5D50" w14:textId="77777777" w:rsidR="000A2B1A" w:rsidRDefault="000A2B1A" w:rsidP="000A2B1A">
      <w:pPr>
        <w:rPr>
          <w:rFonts w:ascii="Arial" w:hAnsi="Arial" w:cs="Arial"/>
          <w:color w:val="000000" w:themeColor="text1"/>
          <w:sz w:val="22"/>
          <w:szCs w:val="22"/>
        </w:rPr>
      </w:pPr>
    </w:p>
    <w:p w14:paraId="5794FE0D" w14:textId="49F49D47" w:rsidR="000A2B1A" w:rsidRDefault="000A2B1A" w:rsidP="000A2B1A">
      <w:pPr>
        <w:rPr>
          <w:rFonts w:ascii="Arial" w:hAnsi="Arial" w:cs="Arial"/>
          <w:color w:val="000000" w:themeColor="text1"/>
          <w:sz w:val="22"/>
          <w:szCs w:val="22"/>
        </w:rPr>
      </w:pPr>
      <w:r w:rsidRPr="00EF5551">
        <w:rPr>
          <w:rFonts w:ascii="Arial" w:hAnsi="Arial" w:cs="Arial"/>
          <w:color w:val="000000" w:themeColor="text1"/>
          <w:sz w:val="22"/>
          <w:szCs w:val="22"/>
        </w:rPr>
        <w:t xml:space="preserve">mTORC1 is a nutrient sensor and is crucial for proliferation and growth. </w:t>
      </w:r>
      <w:r>
        <w:rPr>
          <w:rFonts w:ascii="Arial" w:hAnsi="Arial" w:cs="Arial"/>
          <w:color w:val="000000" w:themeColor="text1"/>
          <w:sz w:val="22"/>
          <w:szCs w:val="22"/>
        </w:rPr>
        <w:t>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Our results are consistent with the idea that mTORC1 increases lipid synthesis which is incorporated into milk composition and can be causing reduced mammary gland weights.</w:t>
      </w:r>
    </w:p>
    <w:p w14:paraId="4842971E" w14:textId="77777777" w:rsidR="000A2B1A" w:rsidRPr="00EF5551" w:rsidRDefault="000A2B1A" w:rsidP="000A2B1A">
      <w:pPr>
        <w:rPr>
          <w:rFonts w:ascii="Arial" w:hAnsi="Arial" w:cs="Arial"/>
          <w:color w:val="000000" w:themeColor="text1"/>
          <w:sz w:val="22"/>
          <w:szCs w:val="22"/>
        </w:rPr>
      </w:pPr>
    </w:p>
    <w:p w14:paraId="590A2D92" w14:textId="4F3608A0" w:rsidR="00ED3E7B" w:rsidRDefault="00C77FAB" w:rsidP="00354569">
      <w:pPr>
        <w:rPr>
          <w:rFonts w:ascii="Arial" w:hAnsi="Arial" w:cs="Arial"/>
          <w:color w:val="000000" w:themeColor="text1"/>
          <w:sz w:val="22"/>
          <w:szCs w:val="22"/>
        </w:rPr>
      </w:pPr>
      <w:r>
        <w:rPr>
          <w:rFonts w:ascii="Arial" w:hAnsi="Arial" w:cs="Arial"/>
          <w:color w:val="000000" w:themeColor="text1"/>
          <w:sz w:val="22"/>
          <w:szCs w:val="22"/>
        </w:rPr>
        <w:t>W</w:t>
      </w:r>
      <w:r w:rsidR="005217F9">
        <w:rPr>
          <w:rFonts w:ascii="Arial" w:hAnsi="Arial" w:cs="Arial"/>
          <w:color w:val="000000" w:themeColor="text1"/>
          <w:sz w:val="22"/>
          <w:szCs w:val="22"/>
        </w:rPr>
        <w:t>e</w:t>
      </w:r>
      <w:r>
        <w:rPr>
          <w:rFonts w:ascii="Arial" w:hAnsi="Arial" w:cs="Arial"/>
          <w:color w:val="000000" w:themeColor="text1"/>
          <w:sz w:val="22"/>
          <w:szCs w:val="22"/>
        </w:rPr>
        <w:t xml:space="preserve"> observed higher fat content in milk of KO mice. </w:t>
      </w:r>
      <w:r w:rsidR="00ED3E7B">
        <w:rPr>
          <w:rFonts w:ascii="Arial" w:hAnsi="Arial" w:cs="Arial"/>
          <w:color w:val="000000" w:themeColor="text1"/>
          <w:sz w:val="22"/>
          <w:szCs w:val="22"/>
        </w:rPr>
        <w:t xml:space="preserve">We did not see differences in FAS, DGAT… However, we did see differences in these </w:t>
      </w:r>
      <w:r w:rsidR="00FF12C2">
        <w:rPr>
          <w:rFonts w:ascii="Arial" w:hAnsi="Arial" w:cs="Arial"/>
          <w:color w:val="000000" w:themeColor="text1"/>
          <w:sz w:val="22"/>
          <w:szCs w:val="22"/>
        </w:rPr>
        <w:t xml:space="preserve">Based on our findings, the increased milk fat content could be driven by the increased expression of </w:t>
      </w:r>
      <w:r w:rsidR="00FF12C2" w:rsidRPr="00883552">
        <w:rPr>
          <w:rFonts w:ascii="Arial" w:hAnsi="Arial" w:cs="Arial"/>
          <w:color w:val="000000" w:themeColor="text1"/>
          <w:sz w:val="22"/>
          <w:szCs w:val="22"/>
        </w:rPr>
        <w:t>Fabp4</w:t>
      </w:r>
      <w:r w:rsidR="00883552">
        <w:rPr>
          <w:rFonts w:ascii="Arial" w:hAnsi="Arial" w:cs="Arial"/>
          <w:color w:val="000000" w:themeColor="text1"/>
          <w:sz w:val="22"/>
          <w:szCs w:val="22"/>
        </w:rPr>
        <w:t xml:space="preserve">, fatty acid binding protein 4, which allows uptake of free fatty acids into adipocytes. </w:t>
      </w:r>
      <w:r w:rsidR="007840D6">
        <w:rPr>
          <w:rFonts w:ascii="Arial" w:hAnsi="Arial" w:cs="Arial"/>
          <w:color w:val="000000" w:themeColor="text1"/>
          <w:sz w:val="22"/>
          <w:szCs w:val="22"/>
        </w:rPr>
        <w:t xml:space="preserve">This could lead to </w:t>
      </w:r>
      <w:r w:rsidR="00354569">
        <w:rPr>
          <w:rFonts w:ascii="Arial" w:hAnsi="Arial" w:cs="Arial"/>
          <w:color w:val="000000" w:themeColor="text1"/>
          <w:sz w:val="22"/>
          <w:szCs w:val="22"/>
        </w:rPr>
        <w:t xml:space="preserve">increased uptake of fatty acids by the mammary adipocytes along with an increased capacity to produce and release fat into the epithelial ducts. </w:t>
      </w:r>
      <w:r w:rsidR="007840D6">
        <w:rPr>
          <w:rFonts w:ascii="Arial" w:hAnsi="Arial" w:cs="Arial"/>
          <w:color w:val="000000" w:themeColor="text1"/>
          <w:sz w:val="22"/>
          <w:szCs w:val="22"/>
        </w:rPr>
        <w:t>Another mechanism that can conserve the mammary adipocytes is</w:t>
      </w:r>
      <w:r w:rsidR="00883552">
        <w:rPr>
          <w:rFonts w:ascii="Arial" w:hAnsi="Arial" w:cs="Arial"/>
          <w:color w:val="000000" w:themeColor="text1"/>
          <w:sz w:val="22"/>
          <w:szCs w:val="22"/>
        </w:rPr>
        <w:t xml:space="preserve"> the increased expression of Plin4, perilipin 4, which promotes lipid coating and protection against lipolysis</w:t>
      </w:r>
      <w:r w:rsidR="007840D6">
        <w:rPr>
          <w:rFonts w:ascii="Arial" w:hAnsi="Arial" w:cs="Arial"/>
          <w:color w:val="000000" w:themeColor="text1"/>
          <w:sz w:val="22"/>
          <w:szCs w:val="22"/>
        </w:rPr>
        <w:t>. This</w:t>
      </w:r>
      <w:r w:rsidR="00883552">
        <w:rPr>
          <w:rFonts w:ascii="Arial" w:hAnsi="Arial" w:cs="Arial"/>
          <w:color w:val="000000" w:themeColor="text1"/>
          <w:sz w:val="22"/>
          <w:szCs w:val="22"/>
        </w:rPr>
        <w:t xml:space="preserve"> could be protective for the mammary adipocytes to conserve their size and number, as evident by higher adipocyte count and size in KO mammary g</w:t>
      </w:r>
      <w:r w:rsidR="007840D6">
        <w:rPr>
          <w:rFonts w:ascii="Arial" w:hAnsi="Arial" w:cs="Arial"/>
          <w:color w:val="000000" w:themeColor="text1"/>
          <w:sz w:val="22"/>
          <w:szCs w:val="22"/>
        </w:rPr>
        <w:t>l</w:t>
      </w:r>
      <w:r w:rsidR="00883552">
        <w:rPr>
          <w:rFonts w:ascii="Arial" w:hAnsi="Arial" w:cs="Arial"/>
          <w:color w:val="000000" w:themeColor="text1"/>
          <w:sz w:val="22"/>
          <w:szCs w:val="22"/>
        </w:rPr>
        <w:t>ands.</w:t>
      </w:r>
      <w:r w:rsidR="00354569">
        <w:rPr>
          <w:rFonts w:ascii="Arial" w:hAnsi="Arial" w:cs="Arial"/>
          <w:color w:val="000000" w:themeColor="text1"/>
          <w:sz w:val="22"/>
          <w:szCs w:val="22"/>
        </w:rPr>
        <w:t xml:space="preserve"> </w:t>
      </w:r>
    </w:p>
    <w:p w14:paraId="201C93B4" w14:textId="77777777" w:rsidR="00ED3E7B" w:rsidRDefault="00ED3E7B" w:rsidP="00354569">
      <w:pPr>
        <w:rPr>
          <w:rFonts w:ascii="Arial" w:hAnsi="Arial" w:cs="Arial"/>
          <w:color w:val="000000" w:themeColor="text1"/>
          <w:sz w:val="22"/>
          <w:szCs w:val="22"/>
        </w:rPr>
      </w:pPr>
    </w:p>
    <w:p w14:paraId="7540F988" w14:textId="788DBFAB" w:rsidR="00354569" w:rsidRPr="00EF5551" w:rsidRDefault="00ED3E7B" w:rsidP="00354569">
      <w:pPr>
        <w:rPr>
          <w:rFonts w:ascii="Arial" w:hAnsi="Arial" w:cs="Arial"/>
          <w:color w:val="000000" w:themeColor="text1"/>
          <w:sz w:val="22"/>
          <w:szCs w:val="22"/>
        </w:rPr>
      </w:pPr>
      <w:proofErr w:type="gramStart"/>
      <w:r>
        <w:rPr>
          <w:rFonts w:ascii="Arial" w:hAnsi="Arial" w:cs="Arial"/>
          <w:color w:val="000000" w:themeColor="text1"/>
          <w:sz w:val="22"/>
          <w:szCs w:val="22"/>
        </w:rPr>
        <w:t>Specifically</w:t>
      </w:r>
      <w:proofErr w:type="gramEnd"/>
      <w:r>
        <w:rPr>
          <w:rFonts w:ascii="Arial" w:hAnsi="Arial" w:cs="Arial"/>
          <w:color w:val="000000" w:themeColor="text1"/>
          <w:sz w:val="22"/>
          <w:szCs w:val="22"/>
        </w:rPr>
        <w:t xml:space="preserve"> we noticed an increase in DHA. </w:t>
      </w:r>
      <w:r w:rsidR="00354569">
        <w:rPr>
          <w:rFonts w:ascii="Arial" w:hAnsi="Arial" w:cs="Arial"/>
          <w:color w:val="000000" w:themeColor="text1"/>
          <w:sz w:val="22"/>
          <w:szCs w:val="22"/>
        </w:rPr>
        <w:t xml:space="preserve">Additionally, the reduced expression of the lipid metabolism pathways shows lower expression of Pla2g gene family, phospholipase A2 group, </w:t>
      </w:r>
      <w:r w:rsidR="00354569">
        <w:rPr>
          <w:rFonts w:ascii="Arial" w:hAnsi="Arial" w:cs="Arial"/>
          <w:color w:val="000000" w:themeColor="text1"/>
          <w:sz w:val="22"/>
          <w:szCs w:val="22"/>
        </w:rPr>
        <w:lastRenderedPageBreak/>
        <w:t>which promotes hydrolysis of triglycerides at the sn-2 position to yield free fatty acids. This can also be predictive of the higher omega-3 content we see in the milk of KO dams, primarily due to the reduced lipolytic capacity to metabolize omega-3 fatty acids. The increased DHA percentage we show in the KO milk could be further due to the reduced activity of Pla2g. We expected EPA to DHA converting gene</w:t>
      </w:r>
      <w:r w:rsidR="0004159E">
        <w:rPr>
          <w:rFonts w:ascii="Arial" w:hAnsi="Arial" w:cs="Arial"/>
          <w:color w:val="000000" w:themeColor="text1"/>
          <w:sz w:val="22"/>
          <w:szCs w:val="22"/>
        </w:rPr>
        <w:t xml:space="preserve"> Elovl2</w:t>
      </w:r>
      <w:r w:rsidR="00354569">
        <w:rPr>
          <w:rFonts w:ascii="Arial" w:hAnsi="Arial" w:cs="Arial"/>
          <w:color w:val="000000" w:themeColor="text1"/>
          <w:sz w:val="22"/>
          <w:szCs w:val="22"/>
        </w:rPr>
        <w:t xml:space="preserve"> to be upregulated, </w:t>
      </w:r>
      <w:r w:rsidR="0004159E">
        <w:rPr>
          <w:rFonts w:ascii="Arial" w:hAnsi="Arial" w:cs="Arial"/>
          <w:color w:val="000000" w:themeColor="text1"/>
          <w:sz w:val="22"/>
          <w:szCs w:val="22"/>
        </w:rPr>
        <w:t>due to the higher DHA levels. Elovl2 expression was increased in the KO</w:t>
      </w:r>
      <w:r w:rsidR="00354569">
        <w:rPr>
          <w:rFonts w:ascii="Arial" w:hAnsi="Arial" w:cs="Arial"/>
          <w:color w:val="000000" w:themeColor="text1"/>
          <w:sz w:val="22"/>
          <w:szCs w:val="22"/>
        </w:rPr>
        <w:t xml:space="preserve"> showing that </w:t>
      </w:r>
      <w:r w:rsidR="0004159E">
        <w:rPr>
          <w:rFonts w:ascii="Arial" w:hAnsi="Arial" w:cs="Arial"/>
          <w:color w:val="000000" w:themeColor="text1"/>
          <w:sz w:val="22"/>
          <w:szCs w:val="22"/>
        </w:rPr>
        <w:t>the increased conversion of EPA to</w:t>
      </w:r>
      <w:r w:rsidR="00354569">
        <w:rPr>
          <w:rFonts w:ascii="Arial" w:hAnsi="Arial" w:cs="Arial"/>
          <w:color w:val="000000" w:themeColor="text1"/>
          <w:sz w:val="22"/>
          <w:szCs w:val="22"/>
        </w:rPr>
        <w:t xml:space="preserve"> DHA could be the primary factor in increasing DHA </w:t>
      </w:r>
      <w:commentRangeStart w:id="14"/>
      <w:r w:rsidR="00354569">
        <w:rPr>
          <w:rFonts w:ascii="Arial" w:hAnsi="Arial" w:cs="Arial"/>
          <w:color w:val="000000" w:themeColor="text1"/>
          <w:sz w:val="22"/>
          <w:szCs w:val="22"/>
        </w:rPr>
        <w:t>levels</w:t>
      </w:r>
      <w:commentRangeEnd w:id="14"/>
      <w:r w:rsidR="00DE18E7">
        <w:rPr>
          <w:rStyle w:val="CommentReference"/>
        </w:rPr>
        <w:commentReference w:id="14"/>
      </w:r>
      <w:r w:rsidR="00354569">
        <w:rPr>
          <w:rFonts w:ascii="Arial" w:hAnsi="Arial" w:cs="Arial"/>
          <w:color w:val="000000" w:themeColor="text1"/>
          <w:sz w:val="22"/>
          <w:szCs w:val="22"/>
        </w:rPr>
        <w:t xml:space="preserve">. </w:t>
      </w:r>
    </w:p>
    <w:p w14:paraId="0E70689B" w14:textId="48941D9D" w:rsidR="007840D6" w:rsidRDefault="007840D6" w:rsidP="00785932">
      <w:pPr>
        <w:rPr>
          <w:rFonts w:ascii="Arial" w:hAnsi="Arial" w:cs="Arial"/>
          <w:color w:val="000000" w:themeColor="text1"/>
          <w:sz w:val="22"/>
          <w:szCs w:val="22"/>
        </w:rPr>
      </w:pPr>
    </w:p>
    <w:p w14:paraId="11449F77" w14:textId="77777777" w:rsidR="00354569" w:rsidRPr="00EF5551" w:rsidRDefault="00354569" w:rsidP="00785932">
      <w:pPr>
        <w:rPr>
          <w:rFonts w:ascii="Arial" w:hAnsi="Arial" w:cs="Arial"/>
          <w:color w:val="000000" w:themeColor="text1"/>
          <w:sz w:val="22"/>
          <w:szCs w:val="22"/>
        </w:rPr>
      </w:pPr>
    </w:p>
    <w:p w14:paraId="48952B61" w14:textId="7E3C8CF5" w:rsidR="00867F2A" w:rsidRDefault="00867F2A" w:rsidP="00785932">
      <w:pPr>
        <w:rPr>
          <w:rFonts w:ascii="Arial" w:eastAsiaTheme="majorEastAsia" w:hAnsi="Arial" w:cs="Arial"/>
          <w:color w:val="000000" w:themeColor="text1"/>
          <w:sz w:val="22"/>
          <w:szCs w:val="22"/>
        </w:rPr>
      </w:pPr>
    </w:p>
    <w:p w14:paraId="73F8839E" w14:textId="0E09D367" w:rsidR="00DB7C4E" w:rsidRDefault="00DB7C4E" w:rsidP="00785932">
      <w:pPr>
        <w:rPr>
          <w:rFonts w:ascii="Arial" w:hAnsi="Arial" w:cs="Arial"/>
          <w:color w:val="000000" w:themeColor="text1"/>
          <w:sz w:val="22"/>
          <w:szCs w:val="22"/>
        </w:rPr>
      </w:pPr>
      <w:r>
        <w:rPr>
          <w:rFonts w:ascii="Arial" w:hAnsi="Arial" w:cs="Arial"/>
          <w:color w:val="000000" w:themeColor="text1"/>
          <w:sz w:val="22"/>
          <w:szCs w:val="22"/>
        </w:rPr>
        <w:t xml:space="preserve">Our study is the first to examine the effects of mTORC1 hyperactivation in an </w:t>
      </w:r>
      <w:r w:rsidR="00221008" w:rsidRPr="00EF5551">
        <w:rPr>
          <w:rFonts w:ascii="Arial" w:hAnsi="Arial" w:cs="Arial"/>
          <w:color w:val="000000" w:themeColor="text1"/>
          <w:sz w:val="22"/>
          <w:szCs w:val="22"/>
        </w:rPr>
        <w:t>adiponectin-</w:t>
      </w:r>
      <w:proofErr w:type="spellStart"/>
      <w:r w:rsidR="00221008" w:rsidRPr="00EF5551">
        <w:rPr>
          <w:rFonts w:ascii="Arial" w:hAnsi="Arial" w:cs="Arial"/>
          <w:color w:val="000000" w:themeColor="text1"/>
          <w:sz w:val="22"/>
          <w:szCs w:val="22"/>
        </w:rPr>
        <w:t>Cre</w:t>
      </w:r>
      <w:proofErr w:type="spellEnd"/>
      <w:r w:rsidR="00221008" w:rsidRPr="00EF5551">
        <w:rPr>
          <w:rFonts w:ascii="Arial" w:hAnsi="Arial" w:cs="Arial"/>
          <w:color w:val="000000" w:themeColor="text1"/>
          <w:sz w:val="22"/>
          <w:szCs w:val="22"/>
        </w:rPr>
        <w:t xml:space="preserve"> </w:t>
      </w:r>
      <w:r w:rsidR="00221008" w:rsidRPr="00EF5551">
        <w:rPr>
          <w:rFonts w:ascii="Arial" w:hAnsi="Arial" w:cs="Arial"/>
          <w:i/>
          <w:color w:val="000000" w:themeColor="text1"/>
          <w:sz w:val="22"/>
          <w:szCs w:val="22"/>
        </w:rPr>
        <w:t>Tsc1/2</w:t>
      </w:r>
      <w:r w:rsidR="00221008" w:rsidRPr="00EF5551">
        <w:rPr>
          <w:rFonts w:ascii="Arial" w:hAnsi="Arial" w:cs="Arial"/>
          <w:color w:val="000000" w:themeColor="text1"/>
          <w:sz w:val="22"/>
          <w:szCs w:val="22"/>
        </w:rPr>
        <w:t xml:space="preserve"> knockout mouse </w:t>
      </w:r>
      <w:r>
        <w:rPr>
          <w:rFonts w:ascii="Arial" w:hAnsi="Arial" w:cs="Arial"/>
          <w:color w:val="000000" w:themeColor="text1"/>
          <w:sz w:val="22"/>
          <w:szCs w:val="22"/>
        </w:rPr>
        <w:t xml:space="preserve">model on mammary gland function and histology, and milk composition. </w:t>
      </w:r>
      <w:r w:rsidR="003E1827">
        <w:rPr>
          <w:rFonts w:ascii="Arial" w:hAnsi="Arial" w:cs="Arial"/>
          <w:color w:val="000000" w:themeColor="text1"/>
          <w:sz w:val="22"/>
          <w:szCs w:val="22"/>
        </w:rPr>
        <w:t xml:space="preserve">There are several </w:t>
      </w:r>
      <w:proofErr w:type="gramStart"/>
      <w:r w:rsidR="003E1827">
        <w:rPr>
          <w:rFonts w:ascii="Arial" w:hAnsi="Arial" w:cs="Arial"/>
          <w:color w:val="000000" w:themeColor="text1"/>
          <w:sz w:val="22"/>
          <w:szCs w:val="22"/>
        </w:rPr>
        <w:t>st</w:t>
      </w:r>
      <w:r w:rsidR="009745B2">
        <w:rPr>
          <w:rFonts w:ascii="Arial" w:hAnsi="Arial" w:cs="Arial"/>
          <w:color w:val="000000" w:themeColor="text1"/>
          <w:sz w:val="22"/>
          <w:szCs w:val="22"/>
        </w:rPr>
        <w:t>r</w:t>
      </w:r>
      <w:r w:rsidR="003E1827">
        <w:rPr>
          <w:rFonts w:ascii="Arial" w:hAnsi="Arial" w:cs="Arial"/>
          <w:color w:val="000000" w:themeColor="text1"/>
          <w:sz w:val="22"/>
          <w:szCs w:val="22"/>
        </w:rPr>
        <w:t>e</w:t>
      </w:r>
      <w:r w:rsidR="009745B2">
        <w:rPr>
          <w:rFonts w:ascii="Arial" w:hAnsi="Arial" w:cs="Arial"/>
          <w:color w:val="000000" w:themeColor="text1"/>
          <w:sz w:val="22"/>
          <w:szCs w:val="22"/>
        </w:rPr>
        <w:t>n</w:t>
      </w:r>
      <w:r w:rsidR="003E1827">
        <w:rPr>
          <w:rFonts w:ascii="Arial" w:hAnsi="Arial" w:cs="Arial"/>
          <w:color w:val="000000" w:themeColor="text1"/>
          <w:sz w:val="22"/>
          <w:szCs w:val="22"/>
        </w:rPr>
        <w:t>gths :</w:t>
      </w:r>
      <w:proofErr w:type="gramEnd"/>
      <w:r w:rsidR="003E1827">
        <w:rPr>
          <w:rFonts w:ascii="Arial" w:hAnsi="Arial" w:cs="Arial"/>
          <w:color w:val="000000" w:themeColor="text1"/>
          <w:sz w:val="22"/>
          <w:szCs w:val="22"/>
        </w:rPr>
        <w:t xml:space="preserve"> same diet for all mice so any FA changes need to be from physiological changes in mouse</w:t>
      </w:r>
    </w:p>
    <w:p w14:paraId="54BE0DA1" w14:textId="68D3BBE9"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We looked at litter size and culled equally to reduce litter size</w:t>
      </w:r>
    </w:p>
    <w:p w14:paraId="1DDCD86D" w14:textId="08CC9E11" w:rsidR="003E1827" w:rsidRDefault="003E1827" w:rsidP="00785932">
      <w:pPr>
        <w:rPr>
          <w:rFonts w:ascii="Arial" w:hAnsi="Arial" w:cs="Arial"/>
          <w:color w:val="000000" w:themeColor="text1"/>
          <w:sz w:val="22"/>
          <w:szCs w:val="22"/>
        </w:rPr>
      </w:pPr>
      <w:r>
        <w:rPr>
          <w:rFonts w:ascii="Arial" w:hAnsi="Arial" w:cs="Arial"/>
          <w:color w:val="000000" w:themeColor="text1"/>
          <w:sz w:val="22"/>
          <w:szCs w:val="22"/>
        </w:rPr>
        <w:t xml:space="preserve">Pups born to mothers who were KO grew faster, we cannot exclude in utero effects since we did not look at that, whole MG </w:t>
      </w:r>
      <w:proofErr w:type="spellStart"/>
      <w:r>
        <w:rPr>
          <w:rFonts w:ascii="Arial" w:hAnsi="Arial" w:cs="Arial"/>
          <w:color w:val="000000" w:themeColor="text1"/>
          <w:sz w:val="22"/>
          <w:szCs w:val="22"/>
        </w:rPr>
        <w:t>rna</w:t>
      </w:r>
      <w:proofErr w:type="spellEnd"/>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seq</w:t>
      </w:r>
      <w:proofErr w:type="spellEnd"/>
      <w:r>
        <w:rPr>
          <w:rFonts w:ascii="Arial" w:hAnsi="Arial" w:cs="Arial"/>
          <w:color w:val="000000" w:themeColor="text1"/>
          <w:sz w:val="22"/>
          <w:szCs w:val="22"/>
        </w:rPr>
        <w:t xml:space="preserve"> not just adipocytes, </w:t>
      </w:r>
      <w:proofErr w:type="spellStart"/>
      <w:r>
        <w:rPr>
          <w:rFonts w:ascii="Arial" w:hAnsi="Arial" w:cs="Arial"/>
          <w:color w:val="000000" w:themeColor="text1"/>
          <w:sz w:val="22"/>
          <w:szCs w:val="22"/>
        </w:rPr>
        <w:t>ko</w:t>
      </w:r>
      <w:proofErr w:type="spellEnd"/>
      <w:r>
        <w:rPr>
          <w:rFonts w:ascii="Arial" w:hAnsi="Arial" w:cs="Arial"/>
          <w:color w:val="000000" w:themeColor="text1"/>
          <w:sz w:val="22"/>
          <w:szCs w:val="22"/>
        </w:rPr>
        <w:t xml:space="preserve"> could impact other fat cells </w:t>
      </w: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228D22D4" w:rsidR="006852AE" w:rsidRPr="006852AE" w:rsidRDefault="00523516" w:rsidP="00785932">
      <w:pPr>
        <w:rPr>
          <w:rFonts w:ascii="Arial" w:hAnsi="Arial" w:cs="Arial"/>
          <w:bCs/>
          <w:color w:val="000000" w:themeColor="text1"/>
          <w:sz w:val="22"/>
          <w:szCs w:val="22"/>
        </w:rPr>
      </w:pPr>
      <w:r>
        <w:rPr>
          <w:rFonts w:ascii="Arial" w:hAnsi="Arial" w:cs="Arial"/>
          <w:bCs/>
          <w:color w:val="000000" w:themeColor="text1"/>
          <w:sz w:val="22"/>
          <w:szCs w:val="22"/>
        </w:rPr>
        <w:t xml:space="preserve">Our novel findings show </w:t>
      </w:r>
      <w:r w:rsidR="006852AE">
        <w:rPr>
          <w:rFonts w:ascii="Arial" w:hAnsi="Arial" w:cs="Arial"/>
          <w:bCs/>
          <w:color w:val="000000" w:themeColor="text1"/>
          <w:sz w:val="22"/>
          <w:szCs w:val="22"/>
        </w:rPr>
        <w:t xml:space="preserve">that hyperactivation of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 xml:space="preserve">nd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w:t>
      </w:r>
      <w:r>
        <w:rPr>
          <w:rFonts w:ascii="Arial" w:hAnsi="Arial" w:cs="Arial"/>
          <w:bCs/>
          <w:color w:val="000000" w:themeColor="text1"/>
          <w:sz w:val="22"/>
          <w:szCs w:val="22"/>
        </w:rPr>
        <w:t xml:space="preserve"> and offspring health</w:t>
      </w:r>
      <w:r w:rsidR="00DA4890">
        <w:rPr>
          <w:rFonts w:ascii="Arial" w:hAnsi="Arial" w:cs="Arial"/>
          <w:bCs/>
          <w:color w:val="000000" w:themeColor="text1"/>
          <w:sz w:val="22"/>
          <w:szCs w:val="22"/>
        </w:rPr>
        <w:t>. Our data</w:t>
      </w:r>
      <w:r w:rsidR="006852AE">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sidR="006852AE">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r w:rsidR="00DA4890">
        <w:rPr>
          <w:rFonts w:ascii="Arial" w:hAnsi="Arial" w:cs="Arial"/>
          <w:bCs/>
          <w:color w:val="000000" w:themeColor="text1"/>
          <w:sz w:val="22"/>
          <w:szCs w:val="22"/>
        </w:rPr>
        <w:t xml:space="preserve">We present data, for the first time, </w:t>
      </w:r>
      <w:r>
        <w:rPr>
          <w:rFonts w:ascii="Arial" w:hAnsi="Arial" w:cs="Arial"/>
          <w:bCs/>
          <w:color w:val="000000" w:themeColor="text1"/>
          <w:sz w:val="22"/>
          <w:szCs w:val="22"/>
        </w:rPr>
        <w:t>demonstrating</w:t>
      </w:r>
      <w:r w:rsidR="00DA4890">
        <w:rPr>
          <w:rFonts w:ascii="Arial" w:hAnsi="Arial" w:cs="Arial"/>
          <w:bCs/>
          <w:color w:val="000000" w:themeColor="text1"/>
          <w:sz w:val="22"/>
          <w:szCs w:val="22"/>
        </w:rPr>
        <w:t xml:space="preserve"> the milk nutritional composition may reveal a higher energy density but a healthier overall lipid composition. This warrants further studies to unravel the mechanisms by which mammary adipocyte nutrient sensing pathways can affect offspring health</w:t>
      </w:r>
      <w:r>
        <w:rPr>
          <w:rFonts w:ascii="Arial" w:hAnsi="Arial" w:cs="Arial"/>
          <w:bCs/>
          <w:color w:val="000000" w:themeColor="text1"/>
          <w:sz w:val="22"/>
          <w:szCs w:val="22"/>
        </w:rPr>
        <w:t xml:space="preserve"> through lactational programming.</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14A72245"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71984D71" w14:textId="5BFE7D2C" w:rsidR="003375B7" w:rsidRPr="003375B7" w:rsidRDefault="001745BF" w:rsidP="003375B7">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3375B7" w:rsidRPr="003375B7">
        <w:rPr>
          <w:rFonts w:ascii="Arial" w:hAnsi="Arial" w:cs="Arial"/>
          <w:noProof/>
          <w:sz w:val="22"/>
        </w:rPr>
        <w:t>1. Products - Data Briefs - Number 392 - November 2020. [online] https://www.cdc.gov/nchs/products/databriefs/db392.htm (Accessed April 6, 2021).</w:t>
      </w:r>
      <w:r w:rsidR="003375B7" w:rsidRPr="003375B7">
        <w:rPr>
          <w:rFonts w:ascii="Arial" w:hAnsi="Arial" w:cs="Arial"/>
          <w:noProof/>
          <w:sz w:val="22"/>
        </w:rPr>
        <w:tab/>
      </w:r>
    </w:p>
    <w:p w14:paraId="7ADFEB52"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 Poston, L., L. F. Harthoorn, and E. M. Van Der Beek. 2011. Obesity in pregnancy: Implications for the mother and lifelong health of the child. A consensus statement. </w:t>
      </w:r>
      <w:r w:rsidRPr="003375B7">
        <w:rPr>
          <w:rFonts w:ascii="Arial" w:hAnsi="Arial" w:cs="Arial"/>
          <w:i/>
          <w:iCs/>
          <w:noProof/>
          <w:sz w:val="22"/>
        </w:rPr>
        <w:t>Pediatr. Res.</w:t>
      </w:r>
      <w:r w:rsidRPr="003375B7">
        <w:rPr>
          <w:rFonts w:ascii="Arial" w:hAnsi="Arial" w:cs="Arial"/>
          <w:noProof/>
          <w:sz w:val="22"/>
        </w:rPr>
        <w:t xml:space="preserve"> </w:t>
      </w:r>
      <w:r w:rsidRPr="003375B7">
        <w:rPr>
          <w:rFonts w:ascii="Arial" w:hAnsi="Arial" w:cs="Arial"/>
          <w:b/>
          <w:bCs/>
          <w:noProof/>
          <w:sz w:val="22"/>
        </w:rPr>
        <w:t>69</w:t>
      </w:r>
      <w:r w:rsidRPr="003375B7">
        <w:rPr>
          <w:rFonts w:ascii="Arial" w:hAnsi="Arial" w:cs="Arial"/>
          <w:noProof/>
          <w:sz w:val="22"/>
        </w:rPr>
        <w:t>: 175–180. [online] www.pedresearch.org (Accessed April 6, 2021).</w:t>
      </w:r>
      <w:r w:rsidRPr="003375B7">
        <w:rPr>
          <w:rFonts w:ascii="Arial" w:hAnsi="Arial" w:cs="Arial"/>
          <w:noProof/>
          <w:sz w:val="22"/>
        </w:rPr>
        <w:tab/>
      </w:r>
    </w:p>
    <w:p w14:paraId="7B53B1F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3. Barker, D. J. P. 2007. The origins of the developmental origins theory. </w:t>
      </w:r>
      <w:r w:rsidRPr="003375B7">
        <w:rPr>
          <w:rFonts w:ascii="Arial" w:hAnsi="Arial" w:cs="Arial"/>
          <w:i/>
          <w:iCs/>
          <w:noProof/>
          <w:sz w:val="22"/>
        </w:rPr>
        <w:t>J. Intern. Med.</w:t>
      </w:r>
      <w:r w:rsidRPr="003375B7">
        <w:rPr>
          <w:rFonts w:ascii="Arial" w:hAnsi="Arial" w:cs="Arial"/>
          <w:noProof/>
          <w:sz w:val="22"/>
        </w:rPr>
        <w:t xml:space="preserve"> </w:t>
      </w:r>
      <w:r w:rsidRPr="003375B7">
        <w:rPr>
          <w:rFonts w:ascii="Arial" w:hAnsi="Arial" w:cs="Arial"/>
          <w:b/>
          <w:bCs/>
          <w:noProof/>
          <w:sz w:val="22"/>
        </w:rPr>
        <w:t>261</w:t>
      </w:r>
      <w:r w:rsidRPr="003375B7">
        <w:rPr>
          <w:rFonts w:ascii="Arial" w:hAnsi="Arial" w:cs="Arial"/>
          <w:noProof/>
          <w:sz w:val="22"/>
        </w:rPr>
        <w:t>: 412–417. [online] http://doi.wiley.com/10.1111/j.1365-2796.2007.01809.x (Accessed April 1, 2019).</w:t>
      </w:r>
      <w:r w:rsidRPr="003375B7">
        <w:rPr>
          <w:rFonts w:ascii="Arial" w:hAnsi="Arial" w:cs="Arial"/>
          <w:noProof/>
          <w:sz w:val="22"/>
        </w:rPr>
        <w:tab/>
      </w:r>
    </w:p>
    <w:p w14:paraId="54DFDA8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 Ijäs, H., S. Koivunen, T. Raudaskoski, E. Kajantie, M. Gissler, and M. Vääräsmäki. 2019. Independent and concomitant associations of gestational diabetes and maternal obesity to perinatal outcome: A register-based study. </w:t>
      </w:r>
      <w:r w:rsidRPr="003375B7">
        <w:rPr>
          <w:rFonts w:ascii="Arial" w:hAnsi="Arial" w:cs="Arial"/>
          <w:i/>
          <w:iCs/>
          <w:noProof/>
          <w:sz w:val="22"/>
        </w:rPr>
        <w:t>PLoS One</w:t>
      </w:r>
      <w:r w:rsidRPr="003375B7">
        <w:rPr>
          <w:rFonts w:ascii="Arial" w:hAnsi="Arial" w:cs="Arial"/>
          <w:noProof/>
          <w:sz w:val="22"/>
        </w:rPr>
        <w:t xml:space="preserve">. </w:t>
      </w:r>
      <w:r w:rsidRPr="003375B7">
        <w:rPr>
          <w:rFonts w:ascii="Arial" w:hAnsi="Arial" w:cs="Arial"/>
          <w:b/>
          <w:bCs/>
          <w:noProof/>
          <w:sz w:val="22"/>
        </w:rPr>
        <w:t>14</w:t>
      </w:r>
      <w:r w:rsidRPr="003375B7">
        <w:rPr>
          <w:rFonts w:ascii="Arial" w:hAnsi="Arial" w:cs="Arial"/>
          <w:noProof/>
          <w:sz w:val="22"/>
        </w:rPr>
        <w:t>: e0221549. [online] https://dx.plos.org/10.1371/journal.pone.0221549 (Accessed April 6, 2021).</w:t>
      </w:r>
      <w:r w:rsidRPr="003375B7">
        <w:rPr>
          <w:rFonts w:ascii="Arial" w:hAnsi="Arial" w:cs="Arial"/>
          <w:noProof/>
          <w:sz w:val="22"/>
        </w:rPr>
        <w:tab/>
      </w:r>
    </w:p>
    <w:p w14:paraId="2ACE4521"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5. Ramji, N., J. Quinlan, P. Murphy, and J. M. G. Crane. 2016. The Impact of Maternal Obesity on Breastfeeding. </w:t>
      </w:r>
      <w:r w:rsidRPr="003375B7">
        <w:rPr>
          <w:rFonts w:ascii="Arial" w:hAnsi="Arial" w:cs="Arial"/>
          <w:i/>
          <w:iCs/>
          <w:noProof/>
          <w:sz w:val="22"/>
        </w:rPr>
        <w:t>J. Obstet. Gynaecol. Canada</w:t>
      </w:r>
      <w:r w:rsidRPr="003375B7">
        <w:rPr>
          <w:rFonts w:ascii="Arial" w:hAnsi="Arial" w:cs="Arial"/>
          <w:noProof/>
          <w:sz w:val="22"/>
        </w:rPr>
        <w:t xml:space="preserve">. </w:t>
      </w:r>
      <w:r w:rsidRPr="003375B7">
        <w:rPr>
          <w:rFonts w:ascii="Arial" w:hAnsi="Arial" w:cs="Arial"/>
          <w:b/>
          <w:bCs/>
          <w:noProof/>
          <w:sz w:val="22"/>
        </w:rPr>
        <w:t>38</w:t>
      </w:r>
      <w:r w:rsidRPr="003375B7">
        <w:rPr>
          <w:rFonts w:ascii="Arial" w:hAnsi="Arial" w:cs="Arial"/>
          <w:noProof/>
          <w:sz w:val="22"/>
        </w:rPr>
        <w:t>: 703–711. [online] http://www.ncbi.nlm.nih.gov/pubmed/27638980 (Accessed May 15, 2019).</w:t>
      </w:r>
      <w:r w:rsidRPr="003375B7">
        <w:rPr>
          <w:rFonts w:ascii="Arial" w:hAnsi="Arial" w:cs="Arial"/>
          <w:noProof/>
          <w:sz w:val="22"/>
        </w:rPr>
        <w:tab/>
      </w:r>
    </w:p>
    <w:p w14:paraId="463EDAA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6. Macias, H., and L. Hinck. 2012. Mammary gland development. </w:t>
      </w:r>
      <w:r w:rsidRPr="003375B7">
        <w:rPr>
          <w:rFonts w:ascii="Arial" w:hAnsi="Arial" w:cs="Arial"/>
          <w:i/>
          <w:iCs/>
          <w:noProof/>
          <w:sz w:val="22"/>
        </w:rPr>
        <w:t>Wiley Interdiscip. Rev. Dev. Biol.</w:t>
      </w:r>
      <w:r w:rsidRPr="003375B7">
        <w:rPr>
          <w:rFonts w:ascii="Arial" w:hAnsi="Arial" w:cs="Arial"/>
          <w:noProof/>
          <w:sz w:val="22"/>
        </w:rPr>
        <w:t xml:space="preserve"> </w:t>
      </w:r>
      <w:r w:rsidRPr="003375B7">
        <w:rPr>
          <w:rFonts w:ascii="Arial" w:hAnsi="Arial" w:cs="Arial"/>
          <w:b/>
          <w:bCs/>
          <w:noProof/>
          <w:sz w:val="22"/>
        </w:rPr>
        <w:t>1</w:t>
      </w:r>
      <w:r w:rsidRPr="003375B7">
        <w:rPr>
          <w:rFonts w:ascii="Arial" w:hAnsi="Arial" w:cs="Arial"/>
          <w:noProof/>
          <w:sz w:val="22"/>
        </w:rPr>
        <w:t>: 533–57. [online] http://www.pubmedcentral.nih.gov/articlerender.fcgi?artid=PMC3404495 (Accessed June 24, 2019).</w:t>
      </w:r>
      <w:r w:rsidRPr="003375B7">
        <w:rPr>
          <w:rFonts w:ascii="Arial" w:hAnsi="Arial" w:cs="Arial"/>
          <w:noProof/>
          <w:sz w:val="22"/>
        </w:rPr>
        <w:tab/>
      </w:r>
    </w:p>
    <w:p w14:paraId="7457266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7. Hartmann, P. E., R. A. Owens, D. B. Cox, and J. C. Kent. 1996. Establishing lactation Breast development and control of milk synthesis.</w:t>
      </w:r>
      <w:r w:rsidRPr="003375B7">
        <w:rPr>
          <w:rFonts w:ascii="Arial" w:hAnsi="Arial" w:cs="Arial"/>
          <w:noProof/>
          <w:sz w:val="22"/>
        </w:rPr>
        <w:tab/>
      </w:r>
    </w:p>
    <w:p w14:paraId="4E6A747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8. Landskroner-Eiger, S., J. Park, D. Israel, J. W. Pollard, and P. E. Scherer. 2010. Morphogenesis of the developing mammary gland: stage-dependent impact of adipocytes. </w:t>
      </w:r>
      <w:r w:rsidRPr="003375B7">
        <w:rPr>
          <w:rFonts w:ascii="Arial" w:hAnsi="Arial" w:cs="Arial"/>
          <w:i/>
          <w:iCs/>
          <w:noProof/>
          <w:sz w:val="22"/>
        </w:rPr>
        <w:t>Dev. Biol.</w:t>
      </w:r>
      <w:r w:rsidRPr="003375B7">
        <w:rPr>
          <w:rFonts w:ascii="Arial" w:hAnsi="Arial" w:cs="Arial"/>
          <w:noProof/>
          <w:sz w:val="22"/>
        </w:rPr>
        <w:t xml:space="preserve"> </w:t>
      </w:r>
      <w:r w:rsidRPr="003375B7">
        <w:rPr>
          <w:rFonts w:ascii="Arial" w:hAnsi="Arial" w:cs="Arial"/>
          <w:b/>
          <w:bCs/>
          <w:noProof/>
          <w:sz w:val="22"/>
        </w:rPr>
        <w:t>344</w:t>
      </w:r>
      <w:r w:rsidRPr="003375B7">
        <w:rPr>
          <w:rFonts w:ascii="Arial" w:hAnsi="Arial" w:cs="Arial"/>
          <w:noProof/>
          <w:sz w:val="22"/>
        </w:rPr>
        <w:t>: 968–78. [online] http://www.ncbi.nlm.nih.gov/pubmed/20599899 (Accessed July 17, 2019).</w:t>
      </w:r>
      <w:r w:rsidRPr="003375B7">
        <w:rPr>
          <w:rFonts w:ascii="Arial" w:hAnsi="Arial" w:cs="Arial"/>
          <w:noProof/>
          <w:sz w:val="22"/>
        </w:rPr>
        <w:tab/>
      </w:r>
    </w:p>
    <w:p w14:paraId="650415DC"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9. Machino, M. 1976. Growth and Differentiation, Vo1. [online] https://onlinelibrary.wiley.com/doi/pdf/10.1111/j.1440-169X.1976.00079.x (Accessed July 17, 2019).</w:t>
      </w:r>
      <w:r w:rsidRPr="003375B7">
        <w:rPr>
          <w:rFonts w:ascii="Arial" w:hAnsi="Arial" w:cs="Arial"/>
          <w:noProof/>
          <w:sz w:val="22"/>
        </w:rPr>
        <w:tab/>
      </w:r>
    </w:p>
    <w:p w14:paraId="68C77E13"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10. Zwick, R. K., M. C. Rudolph, B. A. Shook, B. Holtrup, E. Roth, V. Lei, A. Van Keymeulen, V. Seewaldt, S. Kwei, J. Wysolmerski, M. S. Rodeheffer, and V. Horsley. 2018. Adipocyte hypertrophy and lipid dynamics underlie mammary gland remodeling after lactation. </w:t>
      </w:r>
      <w:r w:rsidRPr="003375B7">
        <w:rPr>
          <w:rFonts w:ascii="Arial" w:hAnsi="Arial" w:cs="Arial"/>
          <w:i/>
          <w:iCs/>
          <w:noProof/>
          <w:sz w:val="22"/>
        </w:rPr>
        <w:t>Nat. Commun.</w:t>
      </w:r>
      <w:r w:rsidRPr="003375B7">
        <w:rPr>
          <w:rFonts w:ascii="Arial" w:hAnsi="Arial" w:cs="Arial"/>
          <w:noProof/>
          <w:sz w:val="22"/>
        </w:rPr>
        <w:t xml:space="preserve"> </w:t>
      </w:r>
      <w:r w:rsidRPr="003375B7">
        <w:rPr>
          <w:rFonts w:ascii="Arial" w:hAnsi="Arial" w:cs="Arial"/>
          <w:b/>
          <w:bCs/>
          <w:noProof/>
          <w:sz w:val="22"/>
        </w:rPr>
        <w:t>9</w:t>
      </w:r>
      <w:r w:rsidRPr="003375B7">
        <w:rPr>
          <w:rFonts w:ascii="Arial" w:hAnsi="Arial" w:cs="Arial"/>
          <w:noProof/>
          <w:sz w:val="22"/>
        </w:rPr>
        <w:t>: 3592. [online] http://www.ncbi.nlm.nih.gov/pubmed/30181538 (Accessed July 10, 2019).</w:t>
      </w:r>
      <w:r w:rsidRPr="003375B7">
        <w:rPr>
          <w:rFonts w:ascii="Arial" w:hAnsi="Arial" w:cs="Arial"/>
          <w:noProof/>
          <w:sz w:val="22"/>
        </w:rPr>
        <w:tab/>
      </w:r>
    </w:p>
    <w:p w14:paraId="483C80FC"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11. Rasmussen, K. M., and C. L. Kjolhede. 2004. Prepregnant overweight and obesity diminish the prolactin response to suckling in the first week postpartum. </w:t>
      </w:r>
      <w:r w:rsidRPr="003375B7">
        <w:rPr>
          <w:rFonts w:ascii="Arial" w:hAnsi="Arial" w:cs="Arial"/>
          <w:i/>
          <w:iCs/>
          <w:noProof/>
          <w:sz w:val="22"/>
        </w:rPr>
        <w:t>Pediatrics</w:t>
      </w:r>
      <w:r w:rsidRPr="003375B7">
        <w:rPr>
          <w:rFonts w:ascii="Arial" w:hAnsi="Arial" w:cs="Arial"/>
          <w:noProof/>
          <w:sz w:val="22"/>
        </w:rPr>
        <w:t xml:space="preserve">. </w:t>
      </w:r>
      <w:r w:rsidRPr="003375B7">
        <w:rPr>
          <w:rFonts w:ascii="Arial" w:hAnsi="Arial" w:cs="Arial"/>
          <w:b/>
          <w:bCs/>
          <w:noProof/>
          <w:sz w:val="22"/>
        </w:rPr>
        <w:t>113</w:t>
      </w:r>
      <w:r w:rsidRPr="003375B7">
        <w:rPr>
          <w:rFonts w:ascii="Arial" w:hAnsi="Arial" w:cs="Arial"/>
          <w:noProof/>
          <w:sz w:val="22"/>
        </w:rPr>
        <w:t>: e465-71.</w:t>
      </w:r>
      <w:r w:rsidRPr="003375B7">
        <w:rPr>
          <w:rFonts w:ascii="Arial" w:hAnsi="Arial" w:cs="Arial"/>
          <w:noProof/>
          <w:sz w:val="22"/>
        </w:rPr>
        <w:tab/>
      </w:r>
    </w:p>
    <w:p w14:paraId="542D147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12. Bider-Canfield, Z., M. P. Martinez, X. Wang, W. Yu, M. P. Bautista, J. Brookey, K. A. Page, T. A. Buchanan, and A. H. Xiang. 2017. Maternal obesity, gestational diabetes, breastfeeding and childhood overweight at age 2 years. </w:t>
      </w:r>
      <w:r w:rsidRPr="003375B7">
        <w:rPr>
          <w:rFonts w:ascii="Arial" w:hAnsi="Arial" w:cs="Arial"/>
          <w:i/>
          <w:iCs/>
          <w:noProof/>
          <w:sz w:val="22"/>
        </w:rPr>
        <w:t>Pediatr. Obes.</w:t>
      </w:r>
      <w:r w:rsidRPr="003375B7">
        <w:rPr>
          <w:rFonts w:ascii="Arial" w:hAnsi="Arial" w:cs="Arial"/>
          <w:noProof/>
          <w:sz w:val="22"/>
        </w:rPr>
        <w:t xml:space="preserve"> </w:t>
      </w:r>
      <w:r w:rsidRPr="003375B7">
        <w:rPr>
          <w:rFonts w:ascii="Arial" w:hAnsi="Arial" w:cs="Arial"/>
          <w:b/>
          <w:bCs/>
          <w:noProof/>
          <w:sz w:val="22"/>
        </w:rPr>
        <w:t>12</w:t>
      </w:r>
      <w:r w:rsidRPr="003375B7">
        <w:rPr>
          <w:rFonts w:ascii="Arial" w:hAnsi="Arial" w:cs="Arial"/>
          <w:noProof/>
          <w:sz w:val="22"/>
        </w:rPr>
        <w:t xml:space="preserve">: 171–178. </w:t>
      </w:r>
      <w:r w:rsidRPr="003375B7">
        <w:rPr>
          <w:rFonts w:ascii="Arial" w:hAnsi="Arial" w:cs="Arial"/>
          <w:noProof/>
          <w:sz w:val="22"/>
        </w:rPr>
        <w:lastRenderedPageBreak/>
        <w:t>[online] http://doi.wiley.com/10.1111/ijpo.12125 (Accessed July 21, 2019).</w:t>
      </w:r>
      <w:r w:rsidRPr="003375B7">
        <w:rPr>
          <w:rFonts w:ascii="Arial" w:hAnsi="Arial" w:cs="Arial"/>
          <w:noProof/>
          <w:sz w:val="22"/>
        </w:rPr>
        <w:tab/>
      </w:r>
    </w:p>
    <w:p w14:paraId="60772006"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13. Castillo, H., I. S. Santos, and A. Matijasevich. 2016. Maternal pre-pregnancy BMI, gestational weight gain and breastfeeding. </w:t>
      </w:r>
      <w:r w:rsidRPr="003375B7">
        <w:rPr>
          <w:rFonts w:ascii="Arial" w:hAnsi="Arial" w:cs="Arial"/>
          <w:i/>
          <w:iCs/>
          <w:noProof/>
          <w:sz w:val="22"/>
        </w:rPr>
        <w:t>Eur. J. Clin. Nutr.</w:t>
      </w:r>
      <w:r w:rsidRPr="003375B7">
        <w:rPr>
          <w:rFonts w:ascii="Arial" w:hAnsi="Arial" w:cs="Arial"/>
          <w:noProof/>
          <w:sz w:val="22"/>
        </w:rPr>
        <w:t xml:space="preserve"> </w:t>
      </w:r>
      <w:r w:rsidRPr="003375B7">
        <w:rPr>
          <w:rFonts w:ascii="Arial" w:hAnsi="Arial" w:cs="Arial"/>
          <w:b/>
          <w:bCs/>
          <w:noProof/>
          <w:sz w:val="22"/>
        </w:rPr>
        <w:t>70</w:t>
      </w:r>
      <w:r w:rsidRPr="003375B7">
        <w:rPr>
          <w:rFonts w:ascii="Arial" w:hAnsi="Arial" w:cs="Arial"/>
          <w:noProof/>
          <w:sz w:val="22"/>
        </w:rPr>
        <w:t>: 431–436. [online] http://www.nature.com/articles/ejcn2015232 (Accessed May 24, 2019).</w:t>
      </w:r>
      <w:r w:rsidRPr="003375B7">
        <w:rPr>
          <w:rFonts w:ascii="Arial" w:hAnsi="Arial" w:cs="Arial"/>
          <w:noProof/>
          <w:sz w:val="22"/>
        </w:rPr>
        <w:tab/>
      </w:r>
    </w:p>
    <w:p w14:paraId="55147D9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14. Bzikowska-Jura, A., A. Czerwonogrodzka-Senczyna, G. Olędzka, D. Szostak-Węgierek, H. Weker, and A. Wesołowska. 2018. Maternal Nutrition and Body Composition During Breastfeeding: Association with Human Milk Composition. </w:t>
      </w:r>
      <w:r w:rsidRPr="003375B7">
        <w:rPr>
          <w:rFonts w:ascii="Arial" w:hAnsi="Arial" w:cs="Arial"/>
          <w:i/>
          <w:iCs/>
          <w:noProof/>
          <w:sz w:val="22"/>
        </w:rPr>
        <w:t>Nutrients</w:t>
      </w:r>
      <w:r w:rsidRPr="003375B7">
        <w:rPr>
          <w:rFonts w:ascii="Arial" w:hAnsi="Arial" w:cs="Arial"/>
          <w:noProof/>
          <w:sz w:val="22"/>
        </w:rPr>
        <w:t xml:space="preserve">. </w:t>
      </w:r>
      <w:r w:rsidRPr="003375B7">
        <w:rPr>
          <w:rFonts w:ascii="Arial" w:hAnsi="Arial" w:cs="Arial"/>
          <w:b/>
          <w:bCs/>
          <w:noProof/>
          <w:sz w:val="22"/>
        </w:rPr>
        <w:t>10</w:t>
      </w:r>
      <w:r w:rsidRPr="003375B7">
        <w:rPr>
          <w:rFonts w:ascii="Arial" w:hAnsi="Arial" w:cs="Arial"/>
          <w:noProof/>
          <w:sz w:val="22"/>
        </w:rPr>
        <w:t>. [online] http://www.ncbi.nlm.nih.gov/pubmed/30262786 (Accessed May 24, 2019).</w:t>
      </w:r>
      <w:r w:rsidRPr="003375B7">
        <w:rPr>
          <w:rFonts w:ascii="Arial" w:hAnsi="Arial" w:cs="Arial"/>
          <w:noProof/>
          <w:sz w:val="22"/>
        </w:rPr>
        <w:tab/>
      </w:r>
    </w:p>
    <w:p w14:paraId="0E23DE6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15.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3375B7">
        <w:rPr>
          <w:rFonts w:ascii="Arial" w:hAnsi="Arial" w:cs="Arial"/>
          <w:i/>
          <w:iCs/>
          <w:noProof/>
          <w:sz w:val="22"/>
        </w:rPr>
        <w:t>Nutrients</w:t>
      </w:r>
      <w:r w:rsidRPr="003375B7">
        <w:rPr>
          <w:rFonts w:ascii="Arial" w:hAnsi="Arial" w:cs="Arial"/>
          <w:noProof/>
          <w:sz w:val="22"/>
        </w:rPr>
        <w:t xml:space="preserve">. </w:t>
      </w:r>
      <w:r w:rsidRPr="003375B7">
        <w:rPr>
          <w:rFonts w:ascii="Arial" w:hAnsi="Arial" w:cs="Arial"/>
          <w:b/>
          <w:bCs/>
          <w:noProof/>
          <w:sz w:val="22"/>
        </w:rPr>
        <w:t>11</w:t>
      </w:r>
      <w:r w:rsidRPr="003375B7">
        <w:rPr>
          <w:rFonts w:ascii="Arial" w:hAnsi="Arial" w:cs="Arial"/>
          <w:noProof/>
          <w:sz w:val="22"/>
        </w:rPr>
        <w:t>. [online] /pmc/articles/PMC6770754/ (Accessed April 6, 2021).</w:t>
      </w:r>
      <w:r w:rsidRPr="003375B7">
        <w:rPr>
          <w:rFonts w:ascii="Arial" w:hAnsi="Arial" w:cs="Arial"/>
          <w:noProof/>
          <w:sz w:val="22"/>
        </w:rPr>
        <w:tab/>
      </w:r>
    </w:p>
    <w:p w14:paraId="1118049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16.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3375B7">
        <w:rPr>
          <w:rFonts w:ascii="Arial" w:hAnsi="Arial" w:cs="Arial"/>
          <w:i/>
          <w:iCs/>
          <w:noProof/>
          <w:sz w:val="22"/>
        </w:rPr>
        <w:t>Acta Diabetol.</w:t>
      </w:r>
      <w:r w:rsidRPr="003375B7">
        <w:rPr>
          <w:rFonts w:ascii="Arial" w:hAnsi="Arial" w:cs="Arial"/>
          <w:noProof/>
          <w:sz w:val="22"/>
        </w:rPr>
        <w:t xml:space="preserve"> </w:t>
      </w:r>
      <w:r w:rsidRPr="003375B7">
        <w:rPr>
          <w:rFonts w:ascii="Arial" w:hAnsi="Arial" w:cs="Arial"/>
          <w:b/>
          <w:bCs/>
          <w:noProof/>
          <w:sz w:val="22"/>
        </w:rPr>
        <w:t>52</w:t>
      </w:r>
      <w:r w:rsidRPr="003375B7">
        <w:rPr>
          <w:rFonts w:ascii="Arial" w:hAnsi="Arial" w:cs="Arial"/>
          <w:noProof/>
          <w:sz w:val="22"/>
        </w:rPr>
        <w:t>: 257–266. [online] http://link.springer.com/10.1007/s00592-014-0632-9 (Accessed July 19, 2019).</w:t>
      </w:r>
      <w:r w:rsidRPr="003375B7">
        <w:rPr>
          <w:rFonts w:ascii="Arial" w:hAnsi="Arial" w:cs="Arial"/>
          <w:noProof/>
          <w:sz w:val="22"/>
        </w:rPr>
        <w:tab/>
      </w:r>
    </w:p>
    <w:p w14:paraId="6175C3CA"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17. Cai, H., L. Q. Dong, and F. Liu. 2016. Recent Advances in Adipose mTOR Signaling and Function: Therapeutic Prospects. </w:t>
      </w:r>
      <w:r w:rsidRPr="003375B7">
        <w:rPr>
          <w:rFonts w:ascii="Arial" w:hAnsi="Arial" w:cs="Arial"/>
          <w:i/>
          <w:iCs/>
          <w:noProof/>
          <w:sz w:val="22"/>
        </w:rPr>
        <w:t>Trends Pharmacol. Sci.</w:t>
      </w:r>
      <w:r w:rsidRPr="003375B7">
        <w:rPr>
          <w:rFonts w:ascii="Arial" w:hAnsi="Arial" w:cs="Arial"/>
          <w:noProof/>
          <w:sz w:val="22"/>
        </w:rPr>
        <w:t xml:space="preserve"> </w:t>
      </w:r>
      <w:r w:rsidRPr="003375B7">
        <w:rPr>
          <w:rFonts w:ascii="Arial" w:hAnsi="Arial" w:cs="Arial"/>
          <w:b/>
          <w:bCs/>
          <w:noProof/>
          <w:sz w:val="22"/>
        </w:rPr>
        <w:t>37</w:t>
      </w:r>
      <w:r w:rsidRPr="003375B7">
        <w:rPr>
          <w:rFonts w:ascii="Arial" w:hAnsi="Arial" w:cs="Arial"/>
          <w:noProof/>
          <w:sz w:val="22"/>
        </w:rPr>
        <w:t>: 303–317. [online] http://www.ncbi.nlm.nih.gov/pubmed/26700098 (Accessed July 19, 2019).</w:t>
      </w:r>
      <w:r w:rsidRPr="003375B7">
        <w:rPr>
          <w:rFonts w:ascii="Arial" w:hAnsi="Arial" w:cs="Arial"/>
          <w:noProof/>
          <w:sz w:val="22"/>
        </w:rPr>
        <w:tab/>
      </w:r>
    </w:p>
    <w:p w14:paraId="7DE5048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18. Wang, X., and C. G. Proud. 2006. The mTOR Pathway in the Control of Protein Synthesis. </w:t>
      </w:r>
      <w:r w:rsidRPr="003375B7">
        <w:rPr>
          <w:rFonts w:ascii="Arial" w:hAnsi="Arial" w:cs="Arial"/>
          <w:i/>
          <w:iCs/>
          <w:noProof/>
          <w:sz w:val="22"/>
        </w:rPr>
        <w:t>Physiology</w:t>
      </w:r>
      <w:r w:rsidRPr="003375B7">
        <w:rPr>
          <w:rFonts w:ascii="Arial" w:hAnsi="Arial" w:cs="Arial"/>
          <w:noProof/>
          <w:sz w:val="22"/>
        </w:rPr>
        <w:t xml:space="preserve">. </w:t>
      </w:r>
      <w:r w:rsidRPr="003375B7">
        <w:rPr>
          <w:rFonts w:ascii="Arial" w:hAnsi="Arial" w:cs="Arial"/>
          <w:b/>
          <w:bCs/>
          <w:noProof/>
          <w:sz w:val="22"/>
        </w:rPr>
        <w:t>21</w:t>
      </w:r>
      <w:r w:rsidRPr="003375B7">
        <w:rPr>
          <w:rFonts w:ascii="Arial" w:hAnsi="Arial" w:cs="Arial"/>
          <w:noProof/>
          <w:sz w:val="22"/>
        </w:rPr>
        <w:t>: 362–369. [online] http://www.ncbi.nlm.nih.gov/pubmed/16990457 (Accessed July 19, 2019).</w:t>
      </w:r>
      <w:r w:rsidRPr="003375B7">
        <w:rPr>
          <w:rFonts w:ascii="Arial" w:hAnsi="Arial" w:cs="Arial"/>
          <w:noProof/>
          <w:sz w:val="22"/>
        </w:rPr>
        <w:tab/>
      </w:r>
    </w:p>
    <w:p w14:paraId="55EBC1A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19. Catania, C., E. Binder, and D. Cota. 2011. mTORC1 signaling in energy balance and metabolic disease. </w:t>
      </w:r>
      <w:r w:rsidRPr="003375B7">
        <w:rPr>
          <w:rFonts w:ascii="Arial" w:hAnsi="Arial" w:cs="Arial"/>
          <w:i/>
          <w:iCs/>
          <w:noProof/>
          <w:sz w:val="22"/>
        </w:rPr>
        <w:t>Int. J. Obes.</w:t>
      </w:r>
      <w:r w:rsidRPr="003375B7">
        <w:rPr>
          <w:rFonts w:ascii="Arial" w:hAnsi="Arial" w:cs="Arial"/>
          <w:noProof/>
          <w:sz w:val="22"/>
        </w:rPr>
        <w:t xml:space="preserve"> </w:t>
      </w:r>
      <w:r w:rsidRPr="003375B7">
        <w:rPr>
          <w:rFonts w:ascii="Arial" w:hAnsi="Arial" w:cs="Arial"/>
          <w:b/>
          <w:bCs/>
          <w:noProof/>
          <w:sz w:val="22"/>
        </w:rPr>
        <w:t>35</w:t>
      </w:r>
      <w:r w:rsidRPr="003375B7">
        <w:rPr>
          <w:rFonts w:ascii="Arial" w:hAnsi="Arial" w:cs="Arial"/>
          <w:noProof/>
          <w:sz w:val="22"/>
        </w:rPr>
        <w:t>: 751–761. [online] http://www.nature.com/articles/ijo2010208 (Accessed July 19, 2019).</w:t>
      </w:r>
      <w:r w:rsidRPr="003375B7">
        <w:rPr>
          <w:rFonts w:ascii="Arial" w:hAnsi="Arial" w:cs="Arial"/>
          <w:noProof/>
          <w:sz w:val="22"/>
        </w:rPr>
        <w:tab/>
      </w:r>
    </w:p>
    <w:p w14:paraId="5071F5D2"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20. Laplante, M., and D. M. Sabatini. 2009. An Emerging Role of mTOR in Lipid Biosynthesis. </w:t>
      </w:r>
      <w:r w:rsidRPr="003375B7">
        <w:rPr>
          <w:rFonts w:ascii="Arial" w:hAnsi="Arial" w:cs="Arial"/>
          <w:i/>
          <w:iCs/>
          <w:noProof/>
          <w:sz w:val="22"/>
        </w:rPr>
        <w:t>Curr. Biol.</w:t>
      </w:r>
      <w:r w:rsidRPr="003375B7">
        <w:rPr>
          <w:rFonts w:ascii="Arial" w:hAnsi="Arial" w:cs="Arial"/>
          <w:noProof/>
          <w:sz w:val="22"/>
        </w:rPr>
        <w:t xml:space="preserve"> </w:t>
      </w:r>
      <w:r w:rsidRPr="003375B7">
        <w:rPr>
          <w:rFonts w:ascii="Arial" w:hAnsi="Arial" w:cs="Arial"/>
          <w:b/>
          <w:bCs/>
          <w:noProof/>
          <w:sz w:val="22"/>
        </w:rPr>
        <w:t>19</w:t>
      </w:r>
      <w:r w:rsidRPr="003375B7">
        <w:rPr>
          <w:rFonts w:ascii="Arial" w:hAnsi="Arial" w:cs="Arial"/>
          <w:noProof/>
          <w:sz w:val="22"/>
        </w:rPr>
        <w:t>: R1046–R1052. [online] http://www.ncbi.nlm.nih.gov/pubmed/19948145 (Accessed July 25, 2019).</w:t>
      </w:r>
      <w:r w:rsidRPr="003375B7">
        <w:rPr>
          <w:rFonts w:ascii="Arial" w:hAnsi="Arial" w:cs="Arial"/>
          <w:noProof/>
          <w:sz w:val="22"/>
        </w:rPr>
        <w:tab/>
      </w:r>
    </w:p>
    <w:p w14:paraId="3EF0495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21. Chen, Y., H. Wei, F. Liu, and J.-L. Guan. 2014. Hyperactivation of mammalian target of rapamycin complex 1 (mTORC1) promotes breast cancer progression through enhancing glucose starvation-induced autophagy and Akt signaling. </w:t>
      </w:r>
      <w:r w:rsidRPr="003375B7">
        <w:rPr>
          <w:rFonts w:ascii="Arial" w:hAnsi="Arial" w:cs="Arial"/>
          <w:i/>
          <w:iCs/>
          <w:noProof/>
          <w:sz w:val="22"/>
        </w:rPr>
        <w:t>J. Biol. Chem.</w:t>
      </w:r>
      <w:r w:rsidRPr="003375B7">
        <w:rPr>
          <w:rFonts w:ascii="Arial" w:hAnsi="Arial" w:cs="Arial"/>
          <w:noProof/>
          <w:sz w:val="22"/>
        </w:rPr>
        <w:t xml:space="preserve"> </w:t>
      </w:r>
      <w:r w:rsidRPr="003375B7">
        <w:rPr>
          <w:rFonts w:ascii="Arial" w:hAnsi="Arial" w:cs="Arial"/>
          <w:b/>
          <w:bCs/>
          <w:noProof/>
          <w:sz w:val="22"/>
        </w:rPr>
        <w:t>289</w:t>
      </w:r>
      <w:r w:rsidRPr="003375B7">
        <w:rPr>
          <w:rFonts w:ascii="Arial" w:hAnsi="Arial" w:cs="Arial"/>
          <w:noProof/>
          <w:sz w:val="22"/>
        </w:rPr>
        <w:t xml:space="preserve">: 1164–73. </w:t>
      </w:r>
      <w:r w:rsidRPr="003375B7">
        <w:rPr>
          <w:rFonts w:ascii="Arial" w:hAnsi="Arial" w:cs="Arial"/>
          <w:noProof/>
          <w:sz w:val="22"/>
        </w:rPr>
        <w:lastRenderedPageBreak/>
        <w:t>[online] http://www.ncbi.nlm.nih.gov/pubmed/24275666 (Accessed February 14, 2020).</w:t>
      </w:r>
      <w:r w:rsidRPr="003375B7">
        <w:rPr>
          <w:rFonts w:ascii="Arial" w:hAnsi="Arial" w:cs="Arial"/>
          <w:noProof/>
          <w:sz w:val="22"/>
        </w:rPr>
        <w:tab/>
      </w:r>
    </w:p>
    <w:p w14:paraId="23395B9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22. Rezaei, R., Z. Wu, Y. Hou, F. W. Bazer, and G. Wu. 2016. Amino acids and mammary gland development: nutritional implications for milk production and neonatal growth. </w:t>
      </w:r>
      <w:r w:rsidRPr="003375B7">
        <w:rPr>
          <w:rFonts w:ascii="Arial" w:hAnsi="Arial" w:cs="Arial"/>
          <w:i/>
          <w:iCs/>
          <w:noProof/>
          <w:sz w:val="22"/>
        </w:rPr>
        <w:t>J. Anim. Sci. Biotechnol.</w:t>
      </w:r>
      <w:r w:rsidRPr="003375B7">
        <w:rPr>
          <w:rFonts w:ascii="Arial" w:hAnsi="Arial" w:cs="Arial"/>
          <w:noProof/>
          <w:sz w:val="22"/>
        </w:rPr>
        <w:t xml:space="preserve"> </w:t>
      </w:r>
      <w:r w:rsidRPr="003375B7">
        <w:rPr>
          <w:rFonts w:ascii="Arial" w:hAnsi="Arial" w:cs="Arial"/>
          <w:b/>
          <w:bCs/>
          <w:noProof/>
          <w:sz w:val="22"/>
        </w:rPr>
        <w:t>7</w:t>
      </w:r>
      <w:r w:rsidRPr="003375B7">
        <w:rPr>
          <w:rFonts w:ascii="Arial" w:hAnsi="Arial" w:cs="Arial"/>
          <w:noProof/>
          <w:sz w:val="22"/>
        </w:rPr>
        <w:t>: 20. [online] http://www.ncbi.nlm.nih.gov/pubmed/27042295 (Accessed July 10, 2019).</w:t>
      </w:r>
      <w:r w:rsidRPr="003375B7">
        <w:rPr>
          <w:rFonts w:ascii="Arial" w:hAnsi="Arial" w:cs="Arial"/>
          <w:noProof/>
          <w:sz w:val="22"/>
        </w:rPr>
        <w:tab/>
      </w:r>
    </w:p>
    <w:p w14:paraId="6A7BFF1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3375B7">
        <w:rPr>
          <w:rFonts w:ascii="Arial" w:hAnsi="Arial" w:cs="Arial"/>
          <w:i/>
          <w:iCs/>
          <w:noProof/>
          <w:sz w:val="22"/>
        </w:rPr>
        <w:t>Hum. Mol. Genet.</w:t>
      </w:r>
      <w:r w:rsidRPr="003375B7">
        <w:rPr>
          <w:rFonts w:ascii="Arial" w:hAnsi="Arial" w:cs="Arial"/>
          <w:noProof/>
          <w:sz w:val="22"/>
        </w:rPr>
        <w:t xml:space="preserve"> </w:t>
      </w:r>
      <w:r w:rsidRPr="003375B7">
        <w:rPr>
          <w:rFonts w:ascii="Arial" w:hAnsi="Arial" w:cs="Arial"/>
          <w:b/>
          <w:bCs/>
          <w:noProof/>
          <w:sz w:val="22"/>
        </w:rPr>
        <w:t>11</w:t>
      </w:r>
      <w:r w:rsidRPr="003375B7">
        <w:rPr>
          <w:rFonts w:ascii="Arial" w:hAnsi="Arial" w:cs="Arial"/>
          <w:noProof/>
          <w:sz w:val="22"/>
        </w:rPr>
        <w:t>: 525–534. [online] https://academic.oup.com/hmg/article-lookup/doi/10.1093/hmg/11.5.525 (Accessed July 11, 2019).</w:t>
      </w:r>
      <w:r w:rsidRPr="003375B7">
        <w:rPr>
          <w:rFonts w:ascii="Arial" w:hAnsi="Arial" w:cs="Arial"/>
          <w:noProof/>
          <w:sz w:val="22"/>
        </w:rPr>
        <w:tab/>
      </w:r>
    </w:p>
    <w:p w14:paraId="31F698A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24. Eguchi, J., Q.-W. Yan, D. E. Schones, M. Kamal, C.-H. Hsu, M. Q. Zhang, G. E. Crawford, and E. D. Rosen. 2008. Interferon Regulatory Factors Are Transcriptional Regulators of Adipogenesis. </w:t>
      </w:r>
      <w:r w:rsidRPr="003375B7">
        <w:rPr>
          <w:rFonts w:ascii="Arial" w:hAnsi="Arial" w:cs="Arial"/>
          <w:i/>
          <w:iCs/>
          <w:noProof/>
          <w:sz w:val="22"/>
        </w:rPr>
        <w:t>Cell Metab.</w:t>
      </w:r>
      <w:r w:rsidRPr="003375B7">
        <w:rPr>
          <w:rFonts w:ascii="Arial" w:hAnsi="Arial" w:cs="Arial"/>
          <w:noProof/>
          <w:sz w:val="22"/>
        </w:rPr>
        <w:t xml:space="preserve"> </w:t>
      </w:r>
      <w:r w:rsidRPr="003375B7">
        <w:rPr>
          <w:rFonts w:ascii="Arial" w:hAnsi="Arial" w:cs="Arial"/>
          <w:b/>
          <w:bCs/>
          <w:noProof/>
          <w:sz w:val="22"/>
        </w:rPr>
        <w:t>7</w:t>
      </w:r>
      <w:r w:rsidRPr="003375B7">
        <w:rPr>
          <w:rFonts w:ascii="Arial" w:hAnsi="Arial" w:cs="Arial"/>
          <w:noProof/>
          <w:sz w:val="22"/>
        </w:rPr>
        <w:t>: 86–94. [online] http://www.ncbi.nlm.nih.gov/pubmed/18177728 (Accessed July 25, 2019).</w:t>
      </w:r>
      <w:r w:rsidRPr="003375B7">
        <w:rPr>
          <w:rFonts w:ascii="Arial" w:hAnsi="Arial" w:cs="Arial"/>
          <w:noProof/>
          <w:sz w:val="22"/>
        </w:rPr>
        <w:tab/>
      </w:r>
    </w:p>
    <w:p w14:paraId="5C4C3E4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25. Wang, F., S. E. Mullican, J. R. DiSpirito, L. C. Peed, and M. A. Lazar. 2013. Lipoatrophy and severe metabolic disturbance in mice with fat-specific deletion of PPARγ. </w:t>
      </w:r>
      <w:r w:rsidRPr="003375B7">
        <w:rPr>
          <w:rFonts w:ascii="Arial" w:hAnsi="Arial" w:cs="Arial"/>
          <w:i/>
          <w:iCs/>
          <w:noProof/>
          <w:sz w:val="22"/>
        </w:rPr>
        <w:t>Proc. Natl. Acad. Sci. U. S. A.</w:t>
      </w:r>
      <w:r w:rsidRPr="003375B7">
        <w:rPr>
          <w:rFonts w:ascii="Arial" w:hAnsi="Arial" w:cs="Arial"/>
          <w:noProof/>
          <w:sz w:val="22"/>
        </w:rPr>
        <w:t xml:space="preserve"> </w:t>
      </w:r>
      <w:r w:rsidRPr="003375B7">
        <w:rPr>
          <w:rFonts w:ascii="Arial" w:hAnsi="Arial" w:cs="Arial"/>
          <w:b/>
          <w:bCs/>
          <w:noProof/>
          <w:sz w:val="22"/>
        </w:rPr>
        <w:t>110</w:t>
      </w:r>
      <w:r w:rsidRPr="003375B7">
        <w:rPr>
          <w:rFonts w:ascii="Arial" w:hAnsi="Arial" w:cs="Arial"/>
          <w:noProof/>
          <w:sz w:val="22"/>
        </w:rPr>
        <w:t>: 18656–18661. [online] http://www.pnas.org/cgi/doi/10.1073/pnas.1314863110 (Accessed July 15, 2019).</w:t>
      </w:r>
      <w:r w:rsidRPr="003375B7">
        <w:rPr>
          <w:rFonts w:ascii="Arial" w:hAnsi="Arial" w:cs="Arial"/>
          <w:noProof/>
          <w:sz w:val="22"/>
        </w:rPr>
        <w:tab/>
      </w:r>
    </w:p>
    <w:p w14:paraId="73FEE9C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26. Wang, Q. A., A. Song, R. K. Gupta, B. Deplancke, and P. E. Scherer. 2018. Reversible De-differentiation of Mature White Adipocytes into Preadipocyte-like Precursors during Lactation. </w:t>
      </w:r>
      <w:r w:rsidRPr="003375B7">
        <w:rPr>
          <w:rFonts w:ascii="Arial" w:hAnsi="Arial" w:cs="Arial"/>
          <w:i/>
          <w:iCs/>
          <w:noProof/>
          <w:sz w:val="22"/>
        </w:rPr>
        <w:t>Cell Metab.</w:t>
      </w:r>
      <w:r w:rsidRPr="003375B7">
        <w:rPr>
          <w:rFonts w:ascii="Arial" w:hAnsi="Arial" w:cs="Arial"/>
          <w:noProof/>
          <w:sz w:val="22"/>
        </w:rPr>
        <w:t xml:space="preserve"> </w:t>
      </w:r>
      <w:r w:rsidRPr="003375B7">
        <w:rPr>
          <w:rFonts w:ascii="Arial" w:hAnsi="Arial" w:cs="Arial"/>
          <w:b/>
          <w:bCs/>
          <w:noProof/>
          <w:sz w:val="22"/>
        </w:rPr>
        <w:t>28</w:t>
      </w:r>
      <w:r w:rsidRPr="003375B7">
        <w:rPr>
          <w:rFonts w:ascii="Arial" w:hAnsi="Arial" w:cs="Arial"/>
          <w:noProof/>
          <w:sz w:val="22"/>
        </w:rPr>
        <w:t>: 282-288.e3. [online] https://doi.org/10.1016/j.cmet.2018.05.022 (Accessed July 10, 2019).</w:t>
      </w:r>
      <w:r w:rsidRPr="003375B7">
        <w:rPr>
          <w:rFonts w:ascii="Arial" w:hAnsi="Arial" w:cs="Arial"/>
          <w:noProof/>
          <w:sz w:val="22"/>
        </w:rPr>
        <w:tab/>
      </w:r>
    </w:p>
    <w:p w14:paraId="155CA23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3375B7">
        <w:rPr>
          <w:rFonts w:ascii="Arial" w:hAnsi="Arial" w:cs="Arial"/>
          <w:noProof/>
          <w:sz w:val="22"/>
        </w:rPr>
        <w:tab/>
      </w:r>
    </w:p>
    <w:p w14:paraId="1DC8B157"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28. Collares, F. P., C. V. Gonçalves, and J. S. Ferreira. 1997. Creamatocrit as a rapid method to estimate the contents of total milk lipids. </w:t>
      </w:r>
      <w:r w:rsidRPr="003375B7">
        <w:rPr>
          <w:rFonts w:ascii="Arial" w:hAnsi="Arial" w:cs="Arial"/>
          <w:i/>
          <w:iCs/>
          <w:noProof/>
          <w:sz w:val="22"/>
        </w:rPr>
        <w:t>Food Chem.</w:t>
      </w:r>
      <w:r w:rsidRPr="003375B7">
        <w:rPr>
          <w:rFonts w:ascii="Arial" w:hAnsi="Arial" w:cs="Arial"/>
          <w:noProof/>
          <w:sz w:val="22"/>
        </w:rPr>
        <w:t xml:space="preserve"> </w:t>
      </w:r>
      <w:r w:rsidRPr="003375B7">
        <w:rPr>
          <w:rFonts w:ascii="Arial" w:hAnsi="Arial" w:cs="Arial"/>
          <w:b/>
          <w:bCs/>
          <w:noProof/>
          <w:sz w:val="22"/>
        </w:rPr>
        <w:t>60</w:t>
      </w:r>
      <w:r w:rsidRPr="003375B7">
        <w:rPr>
          <w:rFonts w:ascii="Arial" w:hAnsi="Arial" w:cs="Arial"/>
          <w:noProof/>
          <w:sz w:val="22"/>
        </w:rPr>
        <w:t>: 465–467. [online] https://www.sciencedirect.com/science/article/pii/S0308814697000149 (Accessed February 19, 2020).</w:t>
      </w:r>
      <w:r w:rsidRPr="003375B7">
        <w:rPr>
          <w:rFonts w:ascii="Arial" w:hAnsi="Arial" w:cs="Arial"/>
          <w:noProof/>
          <w:sz w:val="22"/>
        </w:rPr>
        <w:tab/>
      </w:r>
    </w:p>
    <w:p w14:paraId="37480C6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29. Patro, R., G. Duggal, M. I. Love, R. A. Irizarry, and C. Kingsford. 2017. Salmon provides fast and bias-aware quantification of transcript expression. </w:t>
      </w:r>
      <w:r w:rsidRPr="003375B7">
        <w:rPr>
          <w:rFonts w:ascii="Arial" w:hAnsi="Arial" w:cs="Arial"/>
          <w:i/>
          <w:iCs/>
          <w:noProof/>
          <w:sz w:val="22"/>
        </w:rPr>
        <w:t>Nat. Methods</w:t>
      </w:r>
      <w:r w:rsidRPr="003375B7">
        <w:rPr>
          <w:rFonts w:ascii="Arial" w:hAnsi="Arial" w:cs="Arial"/>
          <w:noProof/>
          <w:sz w:val="22"/>
        </w:rPr>
        <w:t xml:space="preserve">. </w:t>
      </w:r>
      <w:r w:rsidRPr="003375B7">
        <w:rPr>
          <w:rFonts w:ascii="Arial" w:hAnsi="Arial" w:cs="Arial"/>
          <w:b/>
          <w:bCs/>
          <w:noProof/>
          <w:sz w:val="22"/>
        </w:rPr>
        <w:t>14</w:t>
      </w:r>
      <w:r w:rsidRPr="003375B7">
        <w:rPr>
          <w:rFonts w:ascii="Arial" w:hAnsi="Arial" w:cs="Arial"/>
          <w:noProof/>
          <w:sz w:val="22"/>
        </w:rPr>
        <w:t>: 417–419.</w:t>
      </w:r>
      <w:r w:rsidRPr="003375B7">
        <w:rPr>
          <w:rFonts w:ascii="Arial" w:hAnsi="Arial" w:cs="Arial"/>
          <w:noProof/>
          <w:sz w:val="22"/>
        </w:rPr>
        <w:tab/>
      </w:r>
    </w:p>
    <w:p w14:paraId="6210B54A"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lastRenderedPageBreak/>
        <w:t xml:space="preserve">30. Love, M. I., C. Soneson, P. F. Hickey, L. K. Johnson, N. Tessa Pierce, L. Shepherd, M. Morgan, and R. Patro. 2020. Tximeta: Reference sequence checksums for provenance identification in RNA-seq. </w:t>
      </w:r>
      <w:r w:rsidRPr="003375B7">
        <w:rPr>
          <w:rFonts w:ascii="Arial" w:hAnsi="Arial" w:cs="Arial"/>
          <w:i/>
          <w:iCs/>
          <w:noProof/>
          <w:sz w:val="22"/>
        </w:rPr>
        <w:t>PLoS Comput. Biol.</w:t>
      </w:r>
      <w:r w:rsidRPr="003375B7">
        <w:rPr>
          <w:rFonts w:ascii="Arial" w:hAnsi="Arial" w:cs="Arial"/>
          <w:noProof/>
          <w:sz w:val="22"/>
        </w:rPr>
        <w:t xml:space="preserve"> </w:t>
      </w:r>
      <w:r w:rsidRPr="003375B7">
        <w:rPr>
          <w:rFonts w:ascii="Arial" w:hAnsi="Arial" w:cs="Arial"/>
          <w:b/>
          <w:bCs/>
          <w:noProof/>
          <w:sz w:val="22"/>
        </w:rPr>
        <w:t>16</w:t>
      </w:r>
      <w:r w:rsidRPr="003375B7">
        <w:rPr>
          <w:rFonts w:ascii="Arial" w:hAnsi="Arial" w:cs="Arial"/>
          <w:noProof/>
          <w:sz w:val="22"/>
        </w:rPr>
        <w:t>: 1–13.</w:t>
      </w:r>
      <w:r w:rsidRPr="003375B7">
        <w:rPr>
          <w:rFonts w:ascii="Arial" w:hAnsi="Arial" w:cs="Arial"/>
          <w:noProof/>
          <w:sz w:val="22"/>
        </w:rPr>
        <w:tab/>
      </w:r>
    </w:p>
    <w:p w14:paraId="3607CAF9"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31. Soneson, C., M. I. Love, and M. D. Robinson. 2016. Differential analyses for RNA-seq: Transcript-level estimates improve gene-level inferences [version 2; referees: 2 approved]. </w:t>
      </w:r>
      <w:r w:rsidRPr="003375B7">
        <w:rPr>
          <w:rFonts w:ascii="Arial" w:hAnsi="Arial" w:cs="Arial"/>
          <w:i/>
          <w:iCs/>
          <w:noProof/>
          <w:sz w:val="22"/>
        </w:rPr>
        <w:t>F1000Research</w:t>
      </w:r>
      <w:r w:rsidRPr="003375B7">
        <w:rPr>
          <w:rFonts w:ascii="Arial" w:hAnsi="Arial" w:cs="Arial"/>
          <w:noProof/>
          <w:sz w:val="22"/>
        </w:rPr>
        <w:t xml:space="preserve">. </w:t>
      </w:r>
      <w:r w:rsidRPr="003375B7">
        <w:rPr>
          <w:rFonts w:ascii="Arial" w:hAnsi="Arial" w:cs="Arial"/>
          <w:b/>
          <w:bCs/>
          <w:noProof/>
          <w:sz w:val="22"/>
        </w:rPr>
        <w:t>4</w:t>
      </w:r>
      <w:r w:rsidRPr="003375B7">
        <w:rPr>
          <w:rFonts w:ascii="Arial" w:hAnsi="Arial" w:cs="Arial"/>
          <w:noProof/>
          <w:sz w:val="22"/>
        </w:rPr>
        <w:t>: 1–23.</w:t>
      </w:r>
      <w:r w:rsidRPr="003375B7">
        <w:rPr>
          <w:rFonts w:ascii="Arial" w:hAnsi="Arial" w:cs="Arial"/>
          <w:noProof/>
          <w:sz w:val="22"/>
        </w:rPr>
        <w:tab/>
      </w:r>
    </w:p>
    <w:p w14:paraId="64028C4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32. Love, M. I., W. Huber, and S. Anders. 2014. Moderated estimation of fold change and dispersion for RNA-seq data with DESeq2. </w:t>
      </w:r>
      <w:r w:rsidRPr="003375B7">
        <w:rPr>
          <w:rFonts w:ascii="Arial" w:hAnsi="Arial" w:cs="Arial"/>
          <w:i/>
          <w:iCs/>
          <w:noProof/>
          <w:sz w:val="22"/>
        </w:rPr>
        <w:t>Genome Biol.</w:t>
      </w:r>
      <w:r w:rsidRPr="003375B7">
        <w:rPr>
          <w:rFonts w:ascii="Arial" w:hAnsi="Arial" w:cs="Arial"/>
          <w:noProof/>
          <w:sz w:val="22"/>
        </w:rPr>
        <w:t xml:space="preserve"> </w:t>
      </w:r>
      <w:r w:rsidRPr="003375B7">
        <w:rPr>
          <w:rFonts w:ascii="Arial" w:hAnsi="Arial" w:cs="Arial"/>
          <w:b/>
          <w:bCs/>
          <w:noProof/>
          <w:sz w:val="22"/>
        </w:rPr>
        <w:t>15</w:t>
      </w:r>
      <w:r w:rsidRPr="003375B7">
        <w:rPr>
          <w:rFonts w:ascii="Arial" w:hAnsi="Arial" w:cs="Arial"/>
          <w:noProof/>
          <w:sz w:val="22"/>
        </w:rPr>
        <w:t>: 550.</w:t>
      </w:r>
      <w:r w:rsidRPr="003375B7">
        <w:rPr>
          <w:rFonts w:ascii="Arial" w:hAnsi="Arial" w:cs="Arial"/>
          <w:noProof/>
          <w:sz w:val="22"/>
        </w:rPr>
        <w:tab/>
      </w:r>
    </w:p>
    <w:p w14:paraId="50CD1148"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33. Hovey, R. C., and L. Aimo. 2010. Diverse and active roles for adipocytes during mammary gland growth and function. </w:t>
      </w:r>
      <w:r w:rsidRPr="003375B7">
        <w:rPr>
          <w:rFonts w:ascii="Arial" w:hAnsi="Arial" w:cs="Arial"/>
          <w:i/>
          <w:iCs/>
          <w:noProof/>
          <w:sz w:val="22"/>
        </w:rPr>
        <w:t>J. Mammary Gland Biol. Neoplasia</w:t>
      </w:r>
      <w:r w:rsidRPr="003375B7">
        <w:rPr>
          <w:rFonts w:ascii="Arial" w:hAnsi="Arial" w:cs="Arial"/>
          <w:noProof/>
          <w:sz w:val="22"/>
        </w:rPr>
        <w:t xml:space="preserve">. </w:t>
      </w:r>
      <w:r w:rsidRPr="003375B7">
        <w:rPr>
          <w:rFonts w:ascii="Arial" w:hAnsi="Arial" w:cs="Arial"/>
          <w:b/>
          <w:bCs/>
          <w:noProof/>
          <w:sz w:val="22"/>
        </w:rPr>
        <w:t>15</w:t>
      </w:r>
      <w:r w:rsidRPr="003375B7">
        <w:rPr>
          <w:rFonts w:ascii="Arial" w:hAnsi="Arial" w:cs="Arial"/>
          <w:noProof/>
          <w:sz w:val="22"/>
        </w:rPr>
        <w:t>: 279–90. [online] http://www.ncbi.nlm.nih.gov/pubmed/20717712 (Accessed July 10, 2019).</w:t>
      </w:r>
      <w:r w:rsidRPr="003375B7">
        <w:rPr>
          <w:rFonts w:ascii="Arial" w:hAnsi="Arial" w:cs="Arial"/>
          <w:noProof/>
          <w:sz w:val="22"/>
        </w:rPr>
        <w:tab/>
      </w:r>
    </w:p>
    <w:p w14:paraId="661CD08B"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34. Li, R., A. E. El Zowalaty, W. Chen, E. A. Dudley, and X. Ye. 2015. Segregated responses of mammary gland development and vaginal opening to prepubertal genistein exposure in Bscl2−/− female mice with lipodystrophy. </w:t>
      </w:r>
      <w:r w:rsidRPr="003375B7">
        <w:rPr>
          <w:rFonts w:ascii="Arial" w:hAnsi="Arial" w:cs="Arial"/>
          <w:i/>
          <w:iCs/>
          <w:noProof/>
          <w:sz w:val="22"/>
        </w:rPr>
        <w:t>Reprod. Toxicol.</w:t>
      </w:r>
      <w:r w:rsidRPr="003375B7">
        <w:rPr>
          <w:rFonts w:ascii="Arial" w:hAnsi="Arial" w:cs="Arial"/>
          <w:noProof/>
          <w:sz w:val="22"/>
        </w:rPr>
        <w:t xml:space="preserve"> </w:t>
      </w:r>
      <w:r w:rsidRPr="003375B7">
        <w:rPr>
          <w:rFonts w:ascii="Arial" w:hAnsi="Arial" w:cs="Arial"/>
          <w:b/>
          <w:bCs/>
          <w:noProof/>
          <w:sz w:val="22"/>
        </w:rPr>
        <w:t>54</w:t>
      </w:r>
      <w:r w:rsidRPr="003375B7">
        <w:rPr>
          <w:rFonts w:ascii="Arial" w:hAnsi="Arial" w:cs="Arial"/>
          <w:noProof/>
          <w:sz w:val="22"/>
        </w:rPr>
        <w:t>: 76. [online] http://www.ncbi.nlm.nih.gov/pubmed/25462787 (Accessed July 15, 2019).</w:t>
      </w:r>
      <w:r w:rsidRPr="003375B7">
        <w:rPr>
          <w:rFonts w:ascii="Arial" w:hAnsi="Arial" w:cs="Arial"/>
          <w:noProof/>
          <w:sz w:val="22"/>
        </w:rPr>
        <w:tab/>
      </w:r>
    </w:p>
    <w:p w14:paraId="7A795915"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35. Lawson, D. A., Z. Werb, Y. Zong, and A. S. Goldstein. 2015. The Cleared Mammary Fat Pad Transplantation Assay for Mammary Epithelial Organogenesis. </w:t>
      </w:r>
      <w:r w:rsidRPr="003375B7">
        <w:rPr>
          <w:rFonts w:ascii="Arial" w:hAnsi="Arial" w:cs="Arial"/>
          <w:i/>
          <w:iCs/>
          <w:noProof/>
          <w:sz w:val="22"/>
        </w:rPr>
        <w:t>Cold Spring Harb. Protoc.</w:t>
      </w:r>
      <w:r w:rsidRPr="003375B7">
        <w:rPr>
          <w:rFonts w:ascii="Arial" w:hAnsi="Arial" w:cs="Arial"/>
          <w:noProof/>
          <w:sz w:val="22"/>
        </w:rPr>
        <w:t xml:space="preserve"> </w:t>
      </w:r>
      <w:r w:rsidRPr="003375B7">
        <w:rPr>
          <w:rFonts w:ascii="Arial" w:hAnsi="Arial" w:cs="Arial"/>
          <w:b/>
          <w:bCs/>
          <w:noProof/>
          <w:sz w:val="22"/>
        </w:rPr>
        <w:t>2015</w:t>
      </w:r>
      <w:r w:rsidRPr="003375B7">
        <w:rPr>
          <w:rFonts w:ascii="Arial" w:hAnsi="Arial" w:cs="Arial"/>
          <w:noProof/>
          <w:sz w:val="22"/>
        </w:rPr>
        <w:t>: pdb.prot078071. [online] http://www.ncbi.nlm.nih.gov/pubmed/26631119 (Accessed July 17, 2019).</w:t>
      </w:r>
      <w:r w:rsidRPr="003375B7">
        <w:rPr>
          <w:rFonts w:ascii="Arial" w:hAnsi="Arial" w:cs="Arial"/>
          <w:noProof/>
          <w:sz w:val="22"/>
        </w:rPr>
        <w:tab/>
      </w:r>
    </w:p>
    <w:p w14:paraId="1C5B6CB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36. Richert, M. M., K. L. Schwertfeger, J. W. Ryder, and S. M. Anderson. 2000. An Atlas of Mouse Mammary Gland Development. [online] https://link.springer.com/content/pdf/10.1023%2FA%3A1026499523505.pdf (Accessed July 19, 2019).</w:t>
      </w:r>
      <w:r w:rsidRPr="003375B7">
        <w:rPr>
          <w:rFonts w:ascii="Arial" w:hAnsi="Arial" w:cs="Arial"/>
          <w:noProof/>
          <w:sz w:val="22"/>
        </w:rPr>
        <w:tab/>
      </w:r>
    </w:p>
    <w:p w14:paraId="7A67A770"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37. Cinti, S. 2018. Pink Adipocytes. </w:t>
      </w:r>
      <w:r w:rsidRPr="003375B7">
        <w:rPr>
          <w:rFonts w:ascii="Arial" w:hAnsi="Arial" w:cs="Arial"/>
          <w:i/>
          <w:iCs/>
          <w:noProof/>
          <w:sz w:val="22"/>
        </w:rPr>
        <w:t>Trends Endocrinol. Metab.</w:t>
      </w:r>
      <w:r w:rsidRPr="003375B7">
        <w:rPr>
          <w:rFonts w:ascii="Arial" w:hAnsi="Arial" w:cs="Arial"/>
          <w:noProof/>
          <w:sz w:val="22"/>
        </w:rPr>
        <w:t xml:space="preserve"> </w:t>
      </w:r>
      <w:r w:rsidRPr="003375B7">
        <w:rPr>
          <w:rFonts w:ascii="Arial" w:hAnsi="Arial" w:cs="Arial"/>
          <w:b/>
          <w:bCs/>
          <w:noProof/>
          <w:sz w:val="22"/>
        </w:rPr>
        <w:t>29</w:t>
      </w:r>
      <w:r w:rsidRPr="003375B7">
        <w:rPr>
          <w:rFonts w:ascii="Arial" w:hAnsi="Arial" w:cs="Arial"/>
          <w:noProof/>
          <w:sz w:val="22"/>
        </w:rPr>
        <w:t>: 651–666. [online] https://www.sciencedirect.com/science/article/pii/S1043276018301152?showall%3Dtrue (Accessed July 19, 2019).</w:t>
      </w:r>
      <w:r w:rsidRPr="003375B7">
        <w:rPr>
          <w:rFonts w:ascii="Arial" w:hAnsi="Arial" w:cs="Arial"/>
          <w:noProof/>
          <w:sz w:val="22"/>
        </w:rPr>
        <w:tab/>
      </w:r>
    </w:p>
    <w:p w14:paraId="758F5B89"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38. Flint, D., and R. Vernon. 1998. Effects of food restriction on the responses of the mammary gland and adipose tissue to prolactin and growth hormone in the lactating rat. </w:t>
      </w:r>
      <w:r w:rsidRPr="003375B7">
        <w:rPr>
          <w:rFonts w:ascii="Arial" w:hAnsi="Arial" w:cs="Arial"/>
          <w:i/>
          <w:iCs/>
          <w:noProof/>
          <w:sz w:val="22"/>
        </w:rPr>
        <w:t>J. Endocrinol.</w:t>
      </w:r>
      <w:r w:rsidRPr="003375B7">
        <w:rPr>
          <w:rFonts w:ascii="Arial" w:hAnsi="Arial" w:cs="Arial"/>
          <w:noProof/>
          <w:sz w:val="22"/>
        </w:rPr>
        <w:t xml:space="preserve"> </w:t>
      </w:r>
      <w:r w:rsidRPr="003375B7">
        <w:rPr>
          <w:rFonts w:ascii="Arial" w:hAnsi="Arial" w:cs="Arial"/>
          <w:b/>
          <w:bCs/>
          <w:noProof/>
          <w:sz w:val="22"/>
        </w:rPr>
        <w:t>156</w:t>
      </w:r>
      <w:r w:rsidRPr="003375B7">
        <w:rPr>
          <w:rFonts w:ascii="Arial" w:hAnsi="Arial" w:cs="Arial"/>
          <w:noProof/>
          <w:sz w:val="22"/>
        </w:rPr>
        <w:t>: 299–305. [online] http://www.ncbi.nlm.nih.gov/pubmed/9518876 (Accessed July 22, 2019).</w:t>
      </w:r>
      <w:r w:rsidRPr="003375B7">
        <w:rPr>
          <w:rFonts w:ascii="Arial" w:hAnsi="Arial" w:cs="Arial"/>
          <w:noProof/>
          <w:sz w:val="22"/>
        </w:rPr>
        <w:tab/>
      </w:r>
    </w:p>
    <w:p w14:paraId="17B78DA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39. Schwertfeger, K. L., J. L. McManaman, C. A. Palmer, M. C. Neville, and S. M. Anderson. 2003. Expression of constitutively activated Akt in the mammary gland leads to excess lipid synthesis during pregnancy and lactation. </w:t>
      </w:r>
      <w:r w:rsidRPr="003375B7">
        <w:rPr>
          <w:rFonts w:ascii="Arial" w:hAnsi="Arial" w:cs="Arial"/>
          <w:i/>
          <w:iCs/>
          <w:noProof/>
          <w:sz w:val="22"/>
        </w:rPr>
        <w:t>J. Lipid Res.</w:t>
      </w:r>
      <w:r w:rsidRPr="003375B7">
        <w:rPr>
          <w:rFonts w:ascii="Arial" w:hAnsi="Arial" w:cs="Arial"/>
          <w:noProof/>
          <w:sz w:val="22"/>
        </w:rPr>
        <w:t xml:space="preserve"> </w:t>
      </w:r>
      <w:r w:rsidRPr="003375B7">
        <w:rPr>
          <w:rFonts w:ascii="Arial" w:hAnsi="Arial" w:cs="Arial"/>
          <w:b/>
          <w:bCs/>
          <w:noProof/>
          <w:sz w:val="22"/>
        </w:rPr>
        <w:t>44</w:t>
      </w:r>
      <w:r w:rsidRPr="003375B7">
        <w:rPr>
          <w:rFonts w:ascii="Arial" w:hAnsi="Arial" w:cs="Arial"/>
          <w:noProof/>
          <w:sz w:val="22"/>
        </w:rPr>
        <w:t xml:space="preserve">: 1100–12. [online] </w:t>
      </w:r>
      <w:r w:rsidRPr="003375B7">
        <w:rPr>
          <w:rFonts w:ascii="Arial" w:hAnsi="Arial" w:cs="Arial"/>
          <w:noProof/>
          <w:sz w:val="22"/>
        </w:rPr>
        <w:lastRenderedPageBreak/>
        <w:t>http://www.ncbi.nlm.nih.gov/pubmed/12700340 (Accessed July 17, 2019).</w:t>
      </w:r>
      <w:r w:rsidRPr="003375B7">
        <w:rPr>
          <w:rFonts w:ascii="Arial" w:hAnsi="Arial" w:cs="Arial"/>
          <w:noProof/>
          <w:sz w:val="22"/>
        </w:rPr>
        <w:tab/>
      </w:r>
    </w:p>
    <w:p w14:paraId="77C3303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40. Jankiewicz, M., B. Groner, and S. Desrivières. 2006. Mammalian Target of Rapamycin Regulates the Growth of Mammary Epithelial Cells through the Inhibitor of Deoxyribonucleic Acid Binding Id1 and Their Functional Differentiation through Id2. </w:t>
      </w:r>
      <w:r w:rsidRPr="003375B7">
        <w:rPr>
          <w:rFonts w:ascii="Arial" w:hAnsi="Arial" w:cs="Arial"/>
          <w:i/>
          <w:iCs/>
          <w:noProof/>
          <w:sz w:val="22"/>
        </w:rPr>
        <w:t>Mol. Endocrinol.</w:t>
      </w:r>
      <w:r w:rsidRPr="003375B7">
        <w:rPr>
          <w:rFonts w:ascii="Arial" w:hAnsi="Arial" w:cs="Arial"/>
          <w:noProof/>
          <w:sz w:val="22"/>
        </w:rPr>
        <w:t xml:space="preserve"> </w:t>
      </w:r>
      <w:r w:rsidRPr="003375B7">
        <w:rPr>
          <w:rFonts w:ascii="Arial" w:hAnsi="Arial" w:cs="Arial"/>
          <w:b/>
          <w:bCs/>
          <w:noProof/>
          <w:sz w:val="22"/>
        </w:rPr>
        <w:t>20</w:t>
      </w:r>
      <w:r w:rsidRPr="003375B7">
        <w:rPr>
          <w:rFonts w:ascii="Arial" w:hAnsi="Arial" w:cs="Arial"/>
          <w:noProof/>
          <w:sz w:val="22"/>
        </w:rPr>
        <w:t>: 2369–2381. [online] https://academic.oup.com/mend/article/20/10/2369/2738231 (Accessed July 17, 2019).</w:t>
      </w:r>
      <w:r w:rsidRPr="003375B7">
        <w:rPr>
          <w:rFonts w:ascii="Arial" w:hAnsi="Arial" w:cs="Arial"/>
          <w:noProof/>
          <w:sz w:val="22"/>
        </w:rPr>
        <w:tab/>
      </w:r>
    </w:p>
    <w:p w14:paraId="161E80CF"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41. Kim, S. S., Y. Zhu, K. L. Grantz, S. N. Hinkle, Z. Chen, M. E. Wallace, M. M. Smarr, N. M. Epps, and P. Mendola. 2016. Obstetric and Neonatal Risks Among Obese Women Without Chronic Disease. </w:t>
      </w:r>
      <w:r w:rsidRPr="003375B7">
        <w:rPr>
          <w:rFonts w:ascii="Arial" w:hAnsi="Arial" w:cs="Arial"/>
          <w:i/>
          <w:iCs/>
          <w:noProof/>
          <w:sz w:val="22"/>
        </w:rPr>
        <w:t>Obstet. Gynecol.</w:t>
      </w:r>
      <w:r w:rsidRPr="003375B7">
        <w:rPr>
          <w:rFonts w:ascii="Arial" w:hAnsi="Arial" w:cs="Arial"/>
          <w:noProof/>
          <w:sz w:val="22"/>
        </w:rPr>
        <w:t xml:space="preserve"> </w:t>
      </w:r>
      <w:r w:rsidRPr="003375B7">
        <w:rPr>
          <w:rFonts w:ascii="Arial" w:hAnsi="Arial" w:cs="Arial"/>
          <w:b/>
          <w:bCs/>
          <w:noProof/>
          <w:sz w:val="22"/>
        </w:rPr>
        <w:t>128</w:t>
      </w:r>
      <w:r w:rsidRPr="003375B7">
        <w:rPr>
          <w:rFonts w:ascii="Arial" w:hAnsi="Arial" w:cs="Arial"/>
          <w:noProof/>
          <w:sz w:val="22"/>
        </w:rPr>
        <w:t>: 104–12. [online] http://www.ncbi.nlm.nih.gov/pubmed/27275800 (Accessed December 20, 2018).</w:t>
      </w:r>
      <w:r w:rsidRPr="003375B7">
        <w:rPr>
          <w:rFonts w:ascii="Arial" w:hAnsi="Arial" w:cs="Arial"/>
          <w:noProof/>
          <w:sz w:val="22"/>
        </w:rPr>
        <w:tab/>
      </w:r>
    </w:p>
    <w:p w14:paraId="2B40475D" w14:textId="77777777" w:rsidR="003375B7" w:rsidRPr="003375B7" w:rsidRDefault="003375B7" w:rsidP="003375B7">
      <w:pPr>
        <w:widowControl w:val="0"/>
        <w:autoSpaceDE w:val="0"/>
        <w:autoSpaceDN w:val="0"/>
        <w:adjustRightInd w:val="0"/>
        <w:spacing w:before="480"/>
        <w:ind w:left="640" w:hanging="640"/>
        <w:rPr>
          <w:rFonts w:ascii="Arial" w:hAnsi="Arial" w:cs="Arial"/>
          <w:noProof/>
          <w:sz w:val="22"/>
        </w:rPr>
      </w:pPr>
      <w:r w:rsidRPr="003375B7">
        <w:rPr>
          <w:rFonts w:ascii="Arial" w:hAnsi="Arial" w:cs="Arial"/>
          <w:noProof/>
          <w:sz w:val="22"/>
        </w:rPr>
        <w:t xml:space="preserve">42. Hu, Z., F. A. Tylavsky, J. C. Han, M. Kocak, J. H. Fowke, R. L. Davis, K. Lewinn, N. R. Bush, and • Qi Zhao. 2019. Maternal metabolic factors during pregnancy predict early childhood growth trajectories and obesity risk: the CANDLE Study. </w:t>
      </w:r>
      <w:r w:rsidRPr="003375B7">
        <w:rPr>
          <w:rFonts w:ascii="Arial" w:hAnsi="Arial" w:cs="Arial"/>
          <w:i/>
          <w:iCs/>
          <w:noProof/>
          <w:sz w:val="22"/>
        </w:rPr>
        <w:t>Int. J. Obes.</w:t>
      </w:r>
      <w:r w:rsidRPr="003375B7">
        <w:rPr>
          <w:rFonts w:ascii="Arial" w:hAnsi="Arial" w:cs="Arial"/>
          <w:noProof/>
          <w:sz w:val="22"/>
        </w:rPr>
        <w:t xml:space="preserve"> [online] https://doi.org/10.1038/s41366-019-0326-z (Accessed July 21, 2019).</w:t>
      </w:r>
      <w:r w:rsidRPr="003375B7">
        <w:rPr>
          <w:rFonts w:ascii="Arial" w:hAnsi="Arial" w:cs="Arial"/>
          <w:noProof/>
          <w:sz w:val="22"/>
        </w:rPr>
        <w:tab/>
      </w:r>
    </w:p>
    <w:p w14:paraId="4A00B6D0" w14:textId="7323B776" w:rsidR="006B3864" w:rsidRPr="001745BF" w:rsidRDefault="001745BF" w:rsidP="003375B7">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1-04-02T10:18:00Z" w:initials="DB">
    <w:p w14:paraId="601DCA36" w14:textId="2D4D0FBD" w:rsidR="00DE18E7" w:rsidRDefault="00DE18E7">
      <w:pPr>
        <w:pStyle w:val="CommentText"/>
      </w:pPr>
      <w:r>
        <w:rPr>
          <w:rStyle w:val="CommentReference"/>
        </w:rPr>
        <w:annotationRef/>
      </w:r>
      <w:r>
        <w:t>Noura is this correct?</w:t>
      </w:r>
    </w:p>
  </w:comment>
  <w:comment w:id="1" w:author="Noura El Habbal" w:date="2021-04-15T05:41:00Z" w:initials="NEH">
    <w:p w14:paraId="0420FC08" w14:textId="77777777" w:rsidR="00DE18E7" w:rsidRPr="00BE0544" w:rsidRDefault="00DE18E7" w:rsidP="00BE0544">
      <w:pPr>
        <w:rPr>
          <w:rFonts w:ascii="Times New Roman" w:eastAsia="Times New Roman" w:hAnsi="Times New Roman" w:cs="Times New Roman"/>
        </w:rPr>
      </w:pPr>
      <w:r>
        <w:rPr>
          <w:rStyle w:val="CommentReference"/>
        </w:rPr>
        <w:annotationRef/>
      </w:r>
      <w:proofErr w:type="spellStart"/>
      <w:r w:rsidRPr="00BE0544">
        <w:rPr>
          <w:rFonts w:ascii="Arial" w:eastAsia="Times New Roman" w:hAnsi="Arial" w:cs="Arial"/>
          <w:color w:val="222222"/>
          <w:shd w:val="clear" w:color="auto" w:fill="FFFFFF"/>
        </w:rPr>
        <w:t>TapeStation</w:t>
      </w:r>
      <w:proofErr w:type="spellEnd"/>
      <w:r w:rsidRPr="00BE0544">
        <w:rPr>
          <w:rFonts w:ascii="Arial" w:eastAsia="Times New Roman" w:hAnsi="Arial" w:cs="Arial"/>
          <w:color w:val="222222"/>
          <w:shd w:val="clear" w:color="auto" w:fill="FFFFFF"/>
        </w:rPr>
        <w:t xml:space="preserve"> to obtain RIN values for RNA. For stranded mRNA prep, we use section 1 of the NEB ultra 2 protocol.</w:t>
      </w:r>
    </w:p>
    <w:p w14:paraId="4F15CEEC" w14:textId="77777777" w:rsidR="00DE18E7" w:rsidRPr="00BE0544" w:rsidRDefault="00DE18E7" w:rsidP="00BE0544">
      <w:pPr>
        <w:rPr>
          <w:rFonts w:ascii="Times New Roman" w:eastAsia="Times New Roman" w:hAnsi="Times New Roman" w:cs="Times New Roman"/>
        </w:rPr>
      </w:pPr>
      <w:r w:rsidRPr="00BE0544">
        <w:rPr>
          <w:rFonts w:ascii="Times New Roman" w:eastAsia="Times New Roman" w:hAnsi="Times New Roman" w:cs="Times New Roman"/>
        </w:rPr>
        <w:t xml:space="preserve">The quality of an RNA sample should also be considered when deciding on a library preparation protocol.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Poly(A) mRNA Magnetic Isolation Module should only be used with high quality RNA samples (RIN &gt; 7), since degradation results in a loss of poly(A) tails from mRNA molecules. For partially degraded or heavily degraded samples (e.g., RIN ≤ 7, FFPE RNA), the </w:t>
      </w:r>
      <w:proofErr w:type="spellStart"/>
      <w:r w:rsidRPr="00BE0544">
        <w:rPr>
          <w:rFonts w:ascii="Times New Roman" w:eastAsia="Times New Roman" w:hAnsi="Times New Roman" w:cs="Times New Roman"/>
        </w:rPr>
        <w:t>NEBNext</w:t>
      </w:r>
      <w:proofErr w:type="spellEnd"/>
      <w:r w:rsidRPr="00BE0544">
        <w:rPr>
          <w:rFonts w:ascii="Times New Roman" w:eastAsia="Times New Roman" w:hAnsi="Times New Roman" w:cs="Times New Roman"/>
        </w:rPr>
        <w:t xml:space="preserve"> rRNA 3 Depletion Kit should be used. For libraries without any enrichment or depletion of total RNA, use Section 4 for high quality RNA (RIN &gt; 7) or Section 5 for degraded or FFPE RNA (RIN &lt; 7).</w:t>
      </w:r>
    </w:p>
    <w:p w14:paraId="5B6EE9E7" w14:textId="491031A9" w:rsidR="00DE18E7" w:rsidRDefault="00DE18E7">
      <w:pPr>
        <w:pStyle w:val="CommentText"/>
      </w:pPr>
    </w:p>
  </w:comment>
  <w:comment w:id="2" w:author="Dave Bridges" w:date="2021-04-02T10:19:00Z" w:initials="DB">
    <w:p w14:paraId="709A879C" w14:textId="178A71B2" w:rsidR="00DE18E7" w:rsidRDefault="00DE18E7">
      <w:pPr>
        <w:pStyle w:val="CommentText"/>
      </w:pPr>
      <w:r>
        <w:rPr>
          <w:rStyle w:val="CommentReference"/>
        </w:rPr>
        <w:annotationRef/>
      </w:r>
      <w:r>
        <w:t>need details on which sequencer.</w:t>
      </w:r>
    </w:p>
  </w:comment>
  <w:comment w:id="3" w:author="Dave Bridges" w:date="2021-03-12T10:21:00Z" w:initials="DB">
    <w:p w14:paraId="25A6239C" w14:textId="77777777" w:rsidR="00DE18E7" w:rsidRPr="00D62FC3" w:rsidRDefault="00DE18E7"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DE18E7" w:rsidRDefault="00DE18E7" w:rsidP="00A47D44">
      <w:pPr>
        <w:pStyle w:val="CommentText"/>
      </w:pPr>
    </w:p>
  </w:comment>
  <w:comment w:id="4" w:author="Dave Bridges" w:date="2021-03-12T11:05:00Z" w:initials="DB">
    <w:p w14:paraId="5A547272" w14:textId="77777777" w:rsidR="00DE18E7" w:rsidRDefault="00DE18E7" w:rsidP="00A47D44">
      <w:pPr>
        <w:pStyle w:val="CommentText"/>
      </w:pPr>
      <w:r>
        <w:rPr>
          <w:rStyle w:val="CommentReference"/>
        </w:rPr>
        <w:annotationRef/>
      </w:r>
      <w:r>
        <w:t>add provisional GSE number</w:t>
      </w:r>
    </w:p>
  </w:comment>
  <w:comment w:id="5" w:author="Noura El Habbal" w:date="2021-01-12T23:09:00Z" w:initials="NEH">
    <w:p w14:paraId="06E95FD5" w14:textId="31CD8905" w:rsidR="00DE18E7" w:rsidRDefault="00DE18E7">
      <w:pPr>
        <w:pStyle w:val="CommentText"/>
      </w:pPr>
      <w:r>
        <w:rPr>
          <w:rStyle w:val="CommentReference"/>
        </w:rPr>
        <w:annotationRef/>
      </w:r>
      <w:r>
        <w:t>We did not end up doing this. Unsure if we will though</w:t>
      </w:r>
    </w:p>
  </w:comment>
  <w:comment w:id="6" w:author="Noura El Habbal" w:date="2021-04-06T23:48:00Z" w:initials="NEH">
    <w:p w14:paraId="7541A351" w14:textId="485F486B" w:rsidR="00DE18E7" w:rsidRDefault="00DE18E7">
      <w:pPr>
        <w:pStyle w:val="CommentText"/>
      </w:pPr>
      <w:r>
        <w:rPr>
          <w:rStyle w:val="CommentReference"/>
        </w:rPr>
        <w:annotationRef/>
      </w:r>
      <w:r>
        <w:t xml:space="preserve">I think not given we did </w:t>
      </w:r>
      <w:proofErr w:type="spellStart"/>
      <w:r>
        <w:t>RNAseq</w:t>
      </w:r>
      <w:proofErr w:type="spellEnd"/>
      <w:r>
        <w:t xml:space="preserve"> of full MG and mtorc1 expression is similar?</w:t>
      </w:r>
    </w:p>
  </w:comment>
  <w:comment w:id="7" w:author="Noura El Habbal" w:date="2020-06-03T13:03:00Z" w:initials="NEH">
    <w:p w14:paraId="2ACB19DE" w14:textId="67654E33" w:rsidR="00DE18E7" w:rsidRDefault="00DE18E7">
      <w:pPr>
        <w:pStyle w:val="CommentText"/>
      </w:pPr>
      <w:r>
        <w:rPr>
          <w:rStyle w:val="CommentReference"/>
        </w:rPr>
        <w:annotationRef/>
      </w:r>
      <w:r>
        <w:t>Methods from Brigid.</w:t>
      </w:r>
    </w:p>
  </w:comment>
  <w:comment w:id="8" w:author="Noura El Habbal" w:date="2021-04-15T06:05:00Z" w:initials="NEH">
    <w:p w14:paraId="05CF8F78" w14:textId="6C9D9B08" w:rsidR="00DE18E7" w:rsidRDefault="00DE18E7">
      <w:pPr>
        <w:pStyle w:val="CommentText"/>
      </w:pPr>
      <w:r>
        <w:rPr>
          <w:rStyle w:val="CommentReference"/>
        </w:rPr>
        <w:annotationRef/>
      </w:r>
      <w:r>
        <w:t>Allison wrote this part</w:t>
      </w:r>
    </w:p>
  </w:comment>
  <w:comment w:id="9" w:author="Noura El Habbal" w:date="2021-01-13T00:42:00Z" w:initials="NEH">
    <w:p w14:paraId="261CB930" w14:textId="77777777" w:rsidR="00DE18E7" w:rsidRDefault="00DE18E7">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DE18E7" w:rsidRDefault="00DE18E7">
      <w:pPr>
        <w:pStyle w:val="CommentText"/>
      </w:pPr>
    </w:p>
    <w:p w14:paraId="6701DD84" w14:textId="1067FB03" w:rsidR="00DE18E7" w:rsidRDefault="00DE18E7">
      <w:pPr>
        <w:pStyle w:val="CommentText"/>
      </w:pPr>
      <w:r>
        <w:t xml:space="preserve">But it seems higher from the graph! </w:t>
      </w:r>
    </w:p>
    <w:p w14:paraId="00154B4E" w14:textId="6DFDDB89" w:rsidR="00DE18E7" w:rsidRDefault="00DE18E7">
      <w:pPr>
        <w:pStyle w:val="CommentText"/>
      </w:pPr>
      <w:r>
        <w:t xml:space="preserve">Please check R code, in Maternal Data. </w:t>
      </w:r>
      <w:proofErr w:type="gramStart"/>
      <w:r>
        <w:t>Rmd,  line</w:t>
      </w:r>
      <w:proofErr w:type="gramEnd"/>
      <w:r>
        <w:t xml:space="preserve"> 323</w:t>
      </w:r>
    </w:p>
    <w:p w14:paraId="536ABB09" w14:textId="36F92993" w:rsidR="00DE18E7" w:rsidRDefault="00DE18E7">
      <w:pPr>
        <w:pStyle w:val="CommentText"/>
      </w:pPr>
    </w:p>
  </w:comment>
  <w:comment w:id="10" w:author="Noura El Habbal" w:date="2021-04-06T23:57:00Z" w:initials="NEH">
    <w:p w14:paraId="49DF351C" w14:textId="7AC75DC9" w:rsidR="00DE18E7" w:rsidRDefault="00DE18E7">
      <w:pPr>
        <w:pStyle w:val="CommentText"/>
      </w:pPr>
      <w:r>
        <w:rPr>
          <w:rStyle w:val="CommentReference"/>
        </w:rPr>
        <w:annotationRef/>
      </w:r>
      <w:r>
        <w:t xml:space="preserve">Need to check this! To report this per day (g/day of food), I did 101.44 divided by 16 and got 6.34g/day of food. </w:t>
      </w:r>
    </w:p>
  </w:comment>
  <w:comment w:id="11" w:author="Noura El Habbal" w:date="2021-04-15T06:28:00Z" w:initials="NEH">
    <w:p w14:paraId="6B1B30F7" w14:textId="12780D23" w:rsidR="00DE18E7" w:rsidRDefault="00DE18E7">
      <w:pPr>
        <w:pStyle w:val="CommentText"/>
      </w:pPr>
      <w:r>
        <w:rPr>
          <w:rStyle w:val="CommentReference"/>
        </w:rPr>
        <w:annotationRef/>
      </w:r>
      <w:r>
        <w:t xml:space="preserve">I wrote something up, but pending Allison’s results and Dave’s analysis using </w:t>
      </w:r>
      <w:proofErr w:type="spellStart"/>
      <w:r>
        <w:t>lme</w:t>
      </w:r>
      <w:proofErr w:type="spellEnd"/>
      <w:r>
        <w:t xml:space="preserve"> to determine significance (</w:t>
      </w:r>
      <w:proofErr w:type="spellStart"/>
      <w:r>
        <w:t>lme</w:t>
      </w:r>
      <w:proofErr w:type="spellEnd"/>
      <w:r>
        <w:t xml:space="preserve"> for size and count, and area of all images normalized to total MG image size) and to add graphs as density plots rather than histograms? </w:t>
      </w:r>
    </w:p>
  </w:comment>
  <w:comment w:id="12" w:author="Noura El Habbal" w:date="2021-04-15T06:14:00Z" w:initials="NEH">
    <w:p w14:paraId="3AD9F7E5" w14:textId="73E79D8B" w:rsidR="00DE18E7" w:rsidRDefault="00DE18E7">
      <w:pPr>
        <w:pStyle w:val="CommentText"/>
      </w:pPr>
      <w:r>
        <w:rPr>
          <w:rStyle w:val="CommentReference"/>
        </w:rPr>
        <w:annotationRef/>
      </w:r>
      <w:r>
        <w:t xml:space="preserve">Agreed to add this as supplemental figure and to include </w:t>
      </w:r>
      <w:proofErr w:type="spellStart"/>
      <w:r>
        <w:t>anova</w:t>
      </w:r>
      <w:proofErr w:type="spellEnd"/>
      <w:r>
        <w:t xml:space="preserve"> p=0.074, d=5.43% (no sex specific weight since this was at birth; sex not identified)</w:t>
      </w:r>
    </w:p>
  </w:comment>
  <w:comment w:id="14" w:author="Noura El Habbal" w:date="2021-04-15T10:23:00Z" w:initials="NEH">
    <w:p w14:paraId="3F8FD278" w14:textId="1B085204" w:rsidR="00DE18E7" w:rsidRDefault="00DE18E7">
      <w:pPr>
        <w:pStyle w:val="CommentText"/>
      </w:pPr>
      <w:r>
        <w:rPr>
          <w:rStyle w:val="CommentReference"/>
        </w:rPr>
        <w:annotationRef/>
      </w:r>
      <w:r>
        <w:t xml:space="preserve">This is actually untrue I guess since I looked at this paper </w:t>
      </w:r>
      <w:hyperlink r:id="rId1" w:history="1">
        <w:r w:rsidRPr="0050477C">
          <w:rPr>
            <w:rStyle w:val="Hyperlink"/>
          </w:rPr>
          <w:t>https://www.ncbi.nlm.nih.gov/pmc/articles/PMC3674707/</w:t>
        </w:r>
      </w:hyperlink>
    </w:p>
    <w:p w14:paraId="293F18E1" w14:textId="267B4F77" w:rsidR="00DE18E7" w:rsidRDefault="00DE18E7">
      <w:pPr>
        <w:pStyle w:val="CommentText"/>
      </w:pPr>
      <w:r>
        <w:t>Shows that pla2</w:t>
      </w:r>
    </w:p>
    <w:p w14:paraId="4A1BEB89" w14:textId="77777777" w:rsidR="00DE18E7" w:rsidRDefault="00DE18E7">
      <w:pPr>
        <w:pStyle w:val="CommentText"/>
      </w:pPr>
    </w:p>
    <w:p w14:paraId="28D54EB7" w14:textId="77777777" w:rsidR="00DE18E7" w:rsidRDefault="00491CDF">
      <w:pPr>
        <w:pStyle w:val="CommentText"/>
      </w:pPr>
      <w:hyperlink r:id="rId2" w:anchor="r07" w:history="1">
        <w:r w:rsidR="00DE18E7" w:rsidRPr="0050477C">
          <w:rPr>
            <w:rStyle w:val="Hyperlink"/>
          </w:rPr>
          <w:t>https://www.ncbi.nlm.nih.gov/pmc/articles/PMC5743847/#r07</w:t>
        </w:r>
      </w:hyperlink>
      <w:r w:rsidR="00DE18E7">
        <w:t xml:space="preserve"> </w:t>
      </w:r>
    </w:p>
    <w:p w14:paraId="1B7C35FE" w14:textId="0694DE8D" w:rsidR="00DE18E7" w:rsidRDefault="00DE18E7">
      <w:pPr>
        <w:pStyle w:val="CommentText"/>
      </w:pPr>
      <w:r>
        <w:t>this connects</w:t>
      </w:r>
      <w:r w:rsidR="000A2B1A">
        <w:t xml:space="preserve"> pla2 with inflammatory functions, low when inflammation is low, high to resolve inflammation when inflammation is high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1DCA36" w15:done="0"/>
  <w15:commentEx w15:paraId="5B6EE9E7" w15:paraIdParent="601DCA36" w15:done="0"/>
  <w15:commentEx w15:paraId="709A879C" w15:done="0"/>
  <w15:commentEx w15:paraId="71B0CDEB" w15:done="0"/>
  <w15:commentEx w15:paraId="5A547272" w15:done="0"/>
  <w15:commentEx w15:paraId="06E95FD5" w15:done="0"/>
  <w15:commentEx w15:paraId="7541A351" w15:paraIdParent="06E95FD5" w15:done="0"/>
  <w15:commentEx w15:paraId="2ACB19DE" w15:done="0"/>
  <w15:commentEx w15:paraId="05CF8F78" w15:done="0"/>
  <w15:commentEx w15:paraId="536ABB09" w15:done="0"/>
  <w15:commentEx w15:paraId="49DF351C" w15:paraIdParent="536ABB09" w15:done="0"/>
  <w15:commentEx w15:paraId="6B1B30F7" w15:done="0"/>
  <w15:commentEx w15:paraId="3AD9F7E5" w15:done="0"/>
  <w15:commentEx w15:paraId="1B7C35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1DCA36" w16cid:durableId="24116DFE"/>
  <w16cid:commentId w16cid:paraId="5B6EE9E7" w16cid:durableId="2422506C"/>
  <w16cid:commentId w16cid:paraId="709A879C" w16cid:durableId="24116E2A"/>
  <w16cid:commentId w16cid:paraId="71B0CDEB" w16cid:durableId="23F5BF31"/>
  <w16cid:commentId w16cid:paraId="5A547272" w16cid:durableId="23F5C995"/>
  <w16cid:commentId w16cid:paraId="06E95FD5" w16cid:durableId="23A8AABF"/>
  <w16cid:commentId w16cid:paraId="7541A351" w16cid:durableId="241771D5"/>
  <w16cid:commentId w16cid:paraId="2ACB19DE" w16cid:durableId="22821E39"/>
  <w16cid:commentId w16cid:paraId="05CF8F78" w16cid:durableId="24225632"/>
  <w16cid:commentId w16cid:paraId="536ABB09" w16cid:durableId="23A8C08B"/>
  <w16cid:commentId w16cid:paraId="49DF351C" w16cid:durableId="241773E0"/>
  <w16cid:commentId w16cid:paraId="6B1B30F7" w16cid:durableId="24225B99"/>
  <w16cid:commentId w16cid:paraId="3AD9F7E5" w16cid:durableId="2422582D"/>
  <w16cid:commentId w16cid:paraId="1B7C35FE" w16cid:durableId="242292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EFCBA" w14:textId="77777777" w:rsidR="00491CDF" w:rsidRDefault="00491CDF" w:rsidP="006E77C5">
      <w:r>
        <w:separator/>
      </w:r>
    </w:p>
  </w:endnote>
  <w:endnote w:type="continuationSeparator" w:id="0">
    <w:p w14:paraId="263D41A6" w14:textId="77777777" w:rsidR="00491CDF" w:rsidRDefault="00491CDF"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DC9AF" w14:textId="77777777" w:rsidR="00491CDF" w:rsidRDefault="00491CDF" w:rsidP="006E77C5">
      <w:r>
        <w:separator/>
      </w:r>
    </w:p>
  </w:footnote>
  <w:footnote w:type="continuationSeparator" w:id="0">
    <w:p w14:paraId="1BD6DC17" w14:textId="77777777" w:rsidR="00491CDF" w:rsidRDefault="00491CDF"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20EDA"/>
    <w:rsid w:val="00022D02"/>
    <w:rsid w:val="000300D1"/>
    <w:rsid w:val="000351B7"/>
    <w:rsid w:val="0004159E"/>
    <w:rsid w:val="00054A08"/>
    <w:rsid w:val="0007224B"/>
    <w:rsid w:val="0009729A"/>
    <w:rsid w:val="000A2B1A"/>
    <w:rsid w:val="000B7664"/>
    <w:rsid w:val="000C06E4"/>
    <w:rsid w:val="000D0963"/>
    <w:rsid w:val="00111F09"/>
    <w:rsid w:val="00124B3B"/>
    <w:rsid w:val="00125E99"/>
    <w:rsid w:val="00127348"/>
    <w:rsid w:val="0014067A"/>
    <w:rsid w:val="00143D60"/>
    <w:rsid w:val="00144346"/>
    <w:rsid w:val="0016232F"/>
    <w:rsid w:val="001745BF"/>
    <w:rsid w:val="001B464E"/>
    <w:rsid w:val="001C2BD3"/>
    <w:rsid w:val="001D22FF"/>
    <w:rsid w:val="001E1312"/>
    <w:rsid w:val="001E526D"/>
    <w:rsid w:val="002055DE"/>
    <w:rsid w:val="00205A66"/>
    <w:rsid w:val="0020643E"/>
    <w:rsid w:val="00212CBF"/>
    <w:rsid w:val="002134E6"/>
    <w:rsid w:val="00216186"/>
    <w:rsid w:val="00221008"/>
    <w:rsid w:val="002315F4"/>
    <w:rsid w:val="002332C8"/>
    <w:rsid w:val="0025257E"/>
    <w:rsid w:val="002539DB"/>
    <w:rsid w:val="00254644"/>
    <w:rsid w:val="00262598"/>
    <w:rsid w:val="00266802"/>
    <w:rsid w:val="002832DF"/>
    <w:rsid w:val="00294453"/>
    <w:rsid w:val="00294851"/>
    <w:rsid w:val="002A4C4A"/>
    <w:rsid w:val="002B60B0"/>
    <w:rsid w:val="002C4DF5"/>
    <w:rsid w:val="002C6A8D"/>
    <w:rsid w:val="002E394B"/>
    <w:rsid w:val="002E7CDE"/>
    <w:rsid w:val="0031147B"/>
    <w:rsid w:val="00324B67"/>
    <w:rsid w:val="00335F77"/>
    <w:rsid w:val="003375B7"/>
    <w:rsid w:val="00345FC7"/>
    <w:rsid w:val="0034722F"/>
    <w:rsid w:val="003537E1"/>
    <w:rsid w:val="00354569"/>
    <w:rsid w:val="00383D4B"/>
    <w:rsid w:val="003A077D"/>
    <w:rsid w:val="003C2CE9"/>
    <w:rsid w:val="003C33B1"/>
    <w:rsid w:val="003D6E2D"/>
    <w:rsid w:val="003E1827"/>
    <w:rsid w:val="003F0902"/>
    <w:rsid w:val="004125BF"/>
    <w:rsid w:val="004413C9"/>
    <w:rsid w:val="00441EFD"/>
    <w:rsid w:val="00463907"/>
    <w:rsid w:val="00472C36"/>
    <w:rsid w:val="0047727E"/>
    <w:rsid w:val="00491997"/>
    <w:rsid w:val="00491CDF"/>
    <w:rsid w:val="00494187"/>
    <w:rsid w:val="004C07F6"/>
    <w:rsid w:val="004D0A18"/>
    <w:rsid w:val="004D14AF"/>
    <w:rsid w:val="004D15A4"/>
    <w:rsid w:val="004D16AC"/>
    <w:rsid w:val="004E78CF"/>
    <w:rsid w:val="00502CD7"/>
    <w:rsid w:val="00511A1A"/>
    <w:rsid w:val="00520024"/>
    <w:rsid w:val="005217F9"/>
    <w:rsid w:val="00523516"/>
    <w:rsid w:val="00564FF9"/>
    <w:rsid w:val="005731E4"/>
    <w:rsid w:val="0057447E"/>
    <w:rsid w:val="00580AF3"/>
    <w:rsid w:val="005911AC"/>
    <w:rsid w:val="005936B3"/>
    <w:rsid w:val="005A0878"/>
    <w:rsid w:val="005C3BBD"/>
    <w:rsid w:val="005C5118"/>
    <w:rsid w:val="005E03CE"/>
    <w:rsid w:val="005F0524"/>
    <w:rsid w:val="005F0E99"/>
    <w:rsid w:val="005F2606"/>
    <w:rsid w:val="005F282B"/>
    <w:rsid w:val="006164B7"/>
    <w:rsid w:val="00641423"/>
    <w:rsid w:val="00645908"/>
    <w:rsid w:val="00647E73"/>
    <w:rsid w:val="00665941"/>
    <w:rsid w:val="006852AE"/>
    <w:rsid w:val="0068583E"/>
    <w:rsid w:val="006A138B"/>
    <w:rsid w:val="006A3265"/>
    <w:rsid w:val="006A5E26"/>
    <w:rsid w:val="006B12FE"/>
    <w:rsid w:val="006B3864"/>
    <w:rsid w:val="006B5D0A"/>
    <w:rsid w:val="006C1F2E"/>
    <w:rsid w:val="006E77C5"/>
    <w:rsid w:val="006F07F8"/>
    <w:rsid w:val="006F5F3E"/>
    <w:rsid w:val="006F7395"/>
    <w:rsid w:val="00704322"/>
    <w:rsid w:val="00722B5D"/>
    <w:rsid w:val="0072421A"/>
    <w:rsid w:val="007464D2"/>
    <w:rsid w:val="00746C90"/>
    <w:rsid w:val="00772D1C"/>
    <w:rsid w:val="007840D6"/>
    <w:rsid w:val="00785932"/>
    <w:rsid w:val="00790E70"/>
    <w:rsid w:val="007A4323"/>
    <w:rsid w:val="007C3FF7"/>
    <w:rsid w:val="007D7128"/>
    <w:rsid w:val="007E16E3"/>
    <w:rsid w:val="007F588F"/>
    <w:rsid w:val="008042D7"/>
    <w:rsid w:val="00805A36"/>
    <w:rsid w:val="00820794"/>
    <w:rsid w:val="00833EA2"/>
    <w:rsid w:val="008352D1"/>
    <w:rsid w:val="00836F8B"/>
    <w:rsid w:val="0085356D"/>
    <w:rsid w:val="00853EA7"/>
    <w:rsid w:val="00867F2A"/>
    <w:rsid w:val="00872B2E"/>
    <w:rsid w:val="00877D08"/>
    <w:rsid w:val="00883552"/>
    <w:rsid w:val="008968F6"/>
    <w:rsid w:val="008B3CA4"/>
    <w:rsid w:val="008B6BD1"/>
    <w:rsid w:val="008C177E"/>
    <w:rsid w:val="008D174B"/>
    <w:rsid w:val="008D27D2"/>
    <w:rsid w:val="008D31D2"/>
    <w:rsid w:val="008E6AF3"/>
    <w:rsid w:val="008E7F3D"/>
    <w:rsid w:val="008F21D8"/>
    <w:rsid w:val="008F6F27"/>
    <w:rsid w:val="0091131D"/>
    <w:rsid w:val="00914BCE"/>
    <w:rsid w:val="00923CA8"/>
    <w:rsid w:val="00933873"/>
    <w:rsid w:val="0093396E"/>
    <w:rsid w:val="00944B23"/>
    <w:rsid w:val="00962979"/>
    <w:rsid w:val="00965A52"/>
    <w:rsid w:val="009745B2"/>
    <w:rsid w:val="00987D6A"/>
    <w:rsid w:val="009970F3"/>
    <w:rsid w:val="00997DDE"/>
    <w:rsid w:val="009A1ED6"/>
    <w:rsid w:val="009B36EB"/>
    <w:rsid w:val="009D5728"/>
    <w:rsid w:val="009F294F"/>
    <w:rsid w:val="009F5662"/>
    <w:rsid w:val="009F626C"/>
    <w:rsid w:val="00A041C1"/>
    <w:rsid w:val="00A21216"/>
    <w:rsid w:val="00A26992"/>
    <w:rsid w:val="00A443B5"/>
    <w:rsid w:val="00A46275"/>
    <w:rsid w:val="00A47D44"/>
    <w:rsid w:val="00A56B15"/>
    <w:rsid w:val="00A71819"/>
    <w:rsid w:val="00A857D5"/>
    <w:rsid w:val="00AC395A"/>
    <w:rsid w:val="00AD1176"/>
    <w:rsid w:val="00AD149B"/>
    <w:rsid w:val="00AD2F62"/>
    <w:rsid w:val="00AD6BBC"/>
    <w:rsid w:val="00AF094E"/>
    <w:rsid w:val="00AF0F1F"/>
    <w:rsid w:val="00B41AD4"/>
    <w:rsid w:val="00B51BD4"/>
    <w:rsid w:val="00B54BBD"/>
    <w:rsid w:val="00B63146"/>
    <w:rsid w:val="00B64188"/>
    <w:rsid w:val="00B70B18"/>
    <w:rsid w:val="00BA5ACE"/>
    <w:rsid w:val="00BB0E3A"/>
    <w:rsid w:val="00BB6A28"/>
    <w:rsid w:val="00BD0A0D"/>
    <w:rsid w:val="00BD31B4"/>
    <w:rsid w:val="00BD3F12"/>
    <w:rsid w:val="00BE03A9"/>
    <w:rsid w:val="00BE0544"/>
    <w:rsid w:val="00C027FB"/>
    <w:rsid w:val="00C03F0D"/>
    <w:rsid w:val="00C07665"/>
    <w:rsid w:val="00C2693F"/>
    <w:rsid w:val="00C2784E"/>
    <w:rsid w:val="00C36D7B"/>
    <w:rsid w:val="00C37BB4"/>
    <w:rsid w:val="00C40699"/>
    <w:rsid w:val="00C458BA"/>
    <w:rsid w:val="00C535D7"/>
    <w:rsid w:val="00C57D5F"/>
    <w:rsid w:val="00C677E6"/>
    <w:rsid w:val="00C77FAB"/>
    <w:rsid w:val="00C82687"/>
    <w:rsid w:val="00C96C3A"/>
    <w:rsid w:val="00CA0E46"/>
    <w:rsid w:val="00CA4DA9"/>
    <w:rsid w:val="00CB192F"/>
    <w:rsid w:val="00CB22E4"/>
    <w:rsid w:val="00CB298C"/>
    <w:rsid w:val="00CD0D8A"/>
    <w:rsid w:val="00CD289F"/>
    <w:rsid w:val="00CD5354"/>
    <w:rsid w:val="00CE4AA9"/>
    <w:rsid w:val="00CE4B7C"/>
    <w:rsid w:val="00CE5071"/>
    <w:rsid w:val="00CF249B"/>
    <w:rsid w:val="00D15783"/>
    <w:rsid w:val="00D21277"/>
    <w:rsid w:val="00D25638"/>
    <w:rsid w:val="00D2675D"/>
    <w:rsid w:val="00D30BF4"/>
    <w:rsid w:val="00D37475"/>
    <w:rsid w:val="00D41030"/>
    <w:rsid w:val="00D51D9A"/>
    <w:rsid w:val="00D56DA3"/>
    <w:rsid w:val="00D60AE2"/>
    <w:rsid w:val="00D670B8"/>
    <w:rsid w:val="00D7025E"/>
    <w:rsid w:val="00D70755"/>
    <w:rsid w:val="00D80713"/>
    <w:rsid w:val="00D93ACB"/>
    <w:rsid w:val="00D947F4"/>
    <w:rsid w:val="00DA4890"/>
    <w:rsid w:val="00DA5DC2"/>
    <w:rsid w:val="00DB7C4E"/>
    <w:rsid w:val="00DB7DD8"/>
    <w:rsid w:val="00DD1F66"/>
    <w:rsid w:val="00DE1212"/>
    <w:rsid w:val="00DE18E7"/>
    <w:rsid w:val="00DE21AC"/>
    <w:rsid w:val="00DE6932"/>
    <w:rsid w:val="00DF0AA8"/>
    <w:rsid w:val="00DF51A6"/>
    <w:rsid w:val="00E221BA"/>
    <w:rsid w:val="00E22414"/>
    <w:rsid w:val="00E25379"/>
    <w:rsid w:val="00E47310"/>
    <w:rsid w:val="00E54994"/>
    <w:rsid w:val="00E561D8"/>
    <w:rsid w:val="00E62A5E"/>
    <w:rsid w:val="00E817C1"/>
    <w:rsid w:val="00E85DF9"/>
    <w:rsid w:val="00E92110"/>
    <w:rsid w:val="00E93362"/>
    <w:rsid w:val="00EA2611"/>
    <w:rsid w:val="00EB2A6B"/>
    <w:rsid w:val="00ED3E7B"/>
    <w:rsid w:val="00EE05F8"/>
    <w:rsid w:val="00EE0F83"/>
    <w:rsid w:val="00EE1DFC"/>
    <w:rsid w:val="00EE1F20"/>
    <w:rsid w:val="00EF539B"/>
    <w:rsid w:val="00EF5551"/>
    <w:rsid w:val="00F06841"/>
    <w:rsid w:val="00F13216"/>
    <w:rsid w:val="00F66797"/>
    <w:rsid w:val="00F71EE5"/>
    <w:rsid w:val="00F74DD1"/>
    <w:rsid w:val="00F81572"/>
    <w:rsid w:val="00F91AFB"/>
    <w:rsid w:val="00FA0F66"/>
    <w:rsid w:val="00FC2981"/>
    <w:rsid w:val="00FC4642"/>
    <w:rsid w:val="00FD2151"/>
    <w:rsid w:val="00FD5F18"/>
    <w:rsid w:val="00FE24B3"/>
    <w:rsid w:val="00FF12C2"/>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pmc/articles/PMC5743847/" TargetMode="External"/><Relationship Id="rId1" Type="http://schemas.openxmlformats.org/officeDocument/2006/relationships/hyperlink" Target="https://www.ncbi.nlm.nih.gov/pmc/articles/PMC3674707/"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microsoft.com/office/2011/relationships/commentsExtended" Target="commentsExtended.xm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8" Type="http://schemas.openxmlformats.org/officeDocument/2006/relationships/hyperlink" Target="mailto:davebrid@umich.edu"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390E1-45E2-DB48-970D-E3B2258C2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19</Pages>
  <Words>20639</Words>
  <Characters>117648</Characters>
  <Application>Microsoft Office Word</Application>
  <DocSecurity>0</DocSecurity>
  <Lines>980</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183</cp:revision>
  <dcterms:created xsi:type="dcterms:W3CDTF">2020-02-05T19:13:00Z</dcterms:created>
  <dcterms:modified xsi:type="dcterms:W3CDTF">2021-04-21T18:21:00Z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