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76184119"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del w:id="0" w:author="Dave Bridges" w:date="2021-06-16T11:16:00Z">
        <w:r w:rsidR="0061155D" w:rsidDel="001D7078">
          <w:rPr>
            <w:rFonts w:ascii="Arial" w:hAnsi="Arial" w:cs="Arial"/>
            <w:color w:val="000000" w:themeColor="text1"/>
            <w:sz w:val="22"/>
            <w:szCs w:val="22"/>
          </w:rPr>
          <w:delText xml:space="preserve"> (KO)</w:delText>
        </w:r>
      </w:del>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del w:id="1" w:author="Dave Bridges" w:date="2021-06-16T11:16:00Z">
        <w:r w:rsidR="00984874" w:rsidDel="001D7078">
          <w:rPr>
            <w:rFonts w:ascii="Arial" w:hAnsi="Arial" w:cs="Arial"/>
            <w:color w:val="000000" w:themeColor="text1"/>
            <w:sz w:val="22"/>
            <w:szCs w:val="22"/>
          </w:rPr>
          <w:delText>KO</w:delText>
        </w:r>
        <w:r w:rsidR="00407194" w:rsidDel="001D7078">
          <w:rPr>
            <w:rFonts w:ascii="Arial" w:hAnsi="Arial" w:cs="Arial"/>
            <w:color w:val="000000" w:themeColor="text1"/>
            <w:sz w:val="22"/>
            <w:szCs w:val="22"/>
          </w:rPr>
          <w:delText xml:space="preserve"> </w:delText>
        </w:r>
      </w:del>
      <w:ins w:id="2" w:author="Dave Bridges" w:date="2021-06-16T11:16:00Z">
        <w:r w:rsidR="001D7078">
          <w:rPr>
            <w:rFonts w:ascii="Arial" w:hAnsi="Arial" w:cs="Arial"/>
            <w:color w:val="000000" w:themeColor="text1"/>
            <w:sz w:val="22"/>
            <w:szCs w:val="22"/>
          </w:rPr>
          <w:t xml:space="preserve">knockout </w:t>
        </w:r>
      </w:ins>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del w:id="3" w:author="Dave Bridges" w:date="2021-06-16T11:16:00Z">
        <w:r w:rsidR="00A46275" w:rsidDel="001D7078">
          <w:rPr>
            <w:rFonts w:ascii="Arial" w:hAnsi="Arial" w:cs="Arial"/>
            <w:color w:val="000000" w:themeColor="text1"/>
            <w:sz w:val="22"/>
            <w:szCs w:val="22"/>
          </w:rPr>
          <w:delText xml:space="preserve">KO </w:delText>
        </w:r>
      </w:del>
      <w:ins w:id="4" w:author="Dave Bridges" w:date="2021-06-16T11:16:00Z">
        <w:r w:rsidR="001D7078">
          <w:rPr>
            <w:rFonts w:ascii="Arial" w:hAnsi="Arial" w:cs="Arial"/>
            <w:color w:val="000000" w:themeColor="text1"/>
            <w:sz w:val="22"/>
            <w:szCs w:val="22"/>
          </w:rPr>
          <w:t xml:space="preserve">knockout </w:t>
        </w:r>
      </w:ins>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del w:id="5" w:author="Dave Bridges" w:date="2021-06-16T11:17:00Z">
        <w:r w:rsidR="00494187" w:rsidRPr="00EF5551" w:rsidDel="001D7078">
          <w:rPr>
            <w:rFonts w:ascii="Arial" w:hAnsi="Arial" w:cs="Arial"/>
            <w:color w:val="000000" w:themeColor="text1"/>
            <w:sz w:val="22"/>
            <w:szCs w:val="22"/>
          </w:rPr>
          <w:delText>health</w:delText>
        </w:r>
      </w:del>
      <w:ins w:id="6" w:author="Dave Bridges" w:date="2021-06-16T11:17:00Z">
        <w:r w:rsidR="001D7078">
          <w:rPr>
            <w:rFonts w:ascii="Arial" w:hAnsi="Arial" w:cs="Arial"/>
            <w:color w:val="000000" w:themeColor="text1"/>
            <w:sz w:val="22"/>
            <w:szCs w:val="22"/>
          </w:rPr>
          <w:t>growth</w:t>
        </w:r>
      </w:ins>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5AE92E30"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w:t>
      </w:r>
      <w:del w:id="7" w:author="Dave Bridges" w:date="2021-06-16T11:18:00Z">
        <w:r w:rsidR="00026FE3" w:rsidDel="001D7078">
          <w:rPr>
            <w:rFonts w:ascii="Arial" w:hAnsi="Arial" w:cs="Arial"/>
            <w:color w:val="000000" w:themeColor="text1"/>
            <w:sz w:val="22"/>
            <w:szCs w:val="22"/>
          </w:rPr>
          <w:delText xml:space="preserve">mammary </w:delText>
        </w:r>
      </w:del>
      <w:r w:rsidR="00026FE3">
        <w:rPr>
          <w:rFonts w:ascii="Arial" w:hAnsi="Arial" w:cs="Arial"/>
          <w:color w:val="000000" w:themeColor="text1"/>
          <w:sz w:val="22"/>
          <w:szCs w:val="22"/>
        </w:rPr>
        <w:t xml:space="preserve">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11D21B74"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del w:id="8" w:author="Dave Bridges" w:date="2021-06-16T11:18:00Z">
        <w:r w:rsidR="004818E3" w:rsidRPr="00EF5551" w:rsidDel="001D7078">
          <w:rPr>
            <w:rFonts w:ascii="Arial" w:hAnsi="Arial" w:cs="Arial"/>
            <w:color w:val="000000" w:themeColor="text1"/>
            <w:sz w:val="22"/>
            <w:szCs w:val="22"/>
          </w:rPr>
          <w:delText xml:space="preserve">weaning </w:delText>
        </w:r>
      </w:del>
      <w:ins w:id="9" w:author="Dave Bridges" w:date="2021-06-16T11:18:00Z">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ins>
      <w:r w:rsidR="004818E3" w:rsidRPr="00EF5551">
        <w:rPr>
          <w:rFonts w:ascii="Arial" w:hAnsi="Arial" w:cs="Arial"/>
          <w:color w:val="000000" w:themeColor="text1"/>
          <w:sz w:val="22"/>
          <w:szCs w:val="22"/>
        </w:rPr>
        <w:t xml:space="preserve">at 3 months postpartum was </w:t>
      </w:r>
      <w:commentRangeStart w:id="10"/>
      <w:r w:rsidR="004818E3" w:rsidRPr="00EF5551">
        <w:rPr>
          <w:rFonts w:ascii="Arial" w:hAnsi="Arial" w:cs="Arial"/>
          <w:color w:val="000000" w:themeColor="text1"/>
          <w:sz w:val="22"/>
          <w:szCs w:val="22"/>
        </w:rPr>
        <w:t xml:space="preserve">highest </w:t>
      </w:r>
      <w:commentRangeEnd w:id="10"/>
      <w:r w:rsidR="001D7078">
        <w:rPr>
          <w:rStyle w:val="CommentReference"/>
        </w:rPr>
        <w:commentReference w:id="10"/>
      </w:r>
      <w:r w:rsidR="004818E3" w:rsidRPr="00EF5551">
        <w:rPr>
          <w:rFonts w:ascii="Arial" w:hAnsi="Arial" w:cs="Arial"/>
          <w:color w:val="000000" w:themeColor="text1"/>
          <w:sz w:val="22"/>
          <w:szCs w:val="22"/>
        </w:rPr>
        <w:t xml:space="preserve">for infants of obese mothers </w:t>
      </w:r>
      <w:r w:rsidR="004818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del w:id="11" w:author="Dave Bridges" w:date="2021-06-16T11:19:00Z">
        <w:r w:rsidR="007E6948" w:rsidDel="001D7078">
          <w:rPr>
            <w:rFonts w:ascii="Arial" w:hAnsi="Arial" w:cs="Arial"/>
            <w:color w:val="000000" w:themeColor="text1"/>
            <w:sz w:val="22"/>
            <w:szCs w:val="22"/>
          </w:rPr>
          <w:delText>Additionally</w:delText>
        </w:r>
      </w:del>
      <w:ins w:id="12" w:author="Dave Bridges" w:date="2021-06-16T11:19:00Z">
        <w:r w:rsidR="001D7078">
          <w:rPr>
            <w:rFonts w:ascii="Arial" w:hAnsi="Arial" w:cs="Arial"/>
            <w:color w:val="000000" w:themeColor="text1"/>
            <w:sz w:val="22"/>
            <w:szCs w:val="22"/>
          </w:rPr>
          <w:t>In terms of milk composition,</w:t>
        </w:r>
      </w:ins>
      <w:del w:id="13" w:author="Dave Bridges" w:date="2021-06-16T11:19:00Z">
        <w:r w:rsidR="007E6948" w:rsidDel="001D7078">
          <w:rPr>
            <w:rFonts w:ascii="Arial" w:hAnsi="Arial" w:cs="Arial"/>
            <w:color w:val="000000" w:themeColor="text1"/>
            <w:sz w:val="22"/>
            <w:szCs w:val="22"/>
          </w:rPr>
          <w:delText>,</w:delText>
        </w:r>
      </w:del>
      <w:r w:rsidR="007E6948">
        <w:rPr>
          <w:rFonts w:ascii="Arial" w:hAnsi="Arial" w:cs="Arial"/>
          <w:color w:val="000000" w:themeColor="text1"/>
          <w:sz w:val="22"/>
          <w:szCs w:val="22"/>
        </w:rPr>
        <w:t xml:space="preserve"> maternal weight and body mass index were </w:t>
      </w:r>
      <w:del w:id="14" w:author="Dave Bridges" w:date="2021-06-16T11:19:00Z">
        <w:r w:rsidR="007E6948" w:rsidDel="001D7078">
          <w:rPr>
            <w:rFonts w:ascii="Arial" w:hAnsi="Arial" w:cs="Arial"/>
            <w:color w:val="000000" w:themeColor="text1"/>
            <w:sz w:val="22"/>
            <w:szCs w:val="22"/>
          </w:rPr>
          <w:delText xml:space="preserve">also </w:delText>
        </w:r>
      </w:del>
      <w:r w:rsidR="007E6948">
        <w:rPr>
          <w:rFonts w:ascii="Arial" w:hAnsi="Arial" w:cs="Arial"/>
          <w:color w:val="000000" w:themeColor="text1"/>
          <w:sz w:val="22"/>
          <w:szCs w:val="22"/>
        </w:rPr>
        <w:t xml:space="preserve">positively correlated with milk fat </w:t>
      </w:r>
      <w:del w:id="15" w:author="Dave Bridges" w:date="2021-06-16T11:19:00Z">
        <w:r w:rsidR="007E6948" w:rsidDel="001D7078">
          <w:rPr>
            <w:rFonts w:ascii="Arial" w:hAnsi="Arial" w:cs="Arial"/>
            <w:color w:val="000000" w:themeColor="text1"/>
            <w:sz w:val="22"/>
            <w:szCs w:val="22"/>
          </w:rPr>
          <w:delText xml:space="preserve">content at 1 month postpartum </w:delText>
        </w:r>
        <w:r w:rsidR="007E6948" w:rsidRPr="00EF5551" w:rsidDel="001D7078">
          <w:rPr>
            <w:rFonts w:ascii="Arial" w:hAnsi="Arial" w:cs="Arial"/>
            <w:color w:val="000000" w:themeColor="text1"/>
            <w:sz w:val="22"/>
            <w:szCs w:val="22"/>
          </w:rPr>
          <w:fldChar w:fldCharType="begin" w:fldLock="1"/>
        </w:r>
        <w:r w:rsidR="00DA5A67" w:rsidDel="001D7078">
          <w:rPr>
            <w:rFonts w:ascii="Arial" w:hAnsi="Arial" w:cs="Arial"/>
            <w:color w:val="000000" w:themeColor="text1"/>
            <w:sz w:val="22"/>
            <w:szCs w:val="22"/>
          </w:rPr>
          <w:del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delInstrText>
        </w:r>
        <w:r w:rsidR="007E6948" w:rsidRPr="00EF5551" w:rsidDel="001D7078">
          <w:rPr>
            <w:rFonts w:ascii="Arial" w:hAnsi="Arial" w:cs="Arial"/>
            <w:color w:val="000000" w:themeColor="text1"/>
            <w:sz w:val="22"/>
            <w:szCs w:val="22"/>
          </w:rPr>
          <w:fldChar w:fldCharType="separate"/>
        </w:r>
        <w:r w:rsidR="007E6948" w:rsidRPr="00F36FA6" w:rsidDel="001D7078">
          <w:rPr>
            <w:rFonts w:ascii="Arial" w:hAnsi="Arial" w:cs="Arial"/>
            <w:noProof/>
            <w:color w:val="000000" w:themeColor="text1"/>
            <w:sz w:val="22"/>
            <w:szCs w:val="22"/>
          </w:rPr>
          <w:delText>(13)</w:delText>
        </w:r>
        <w:r w:rsidR="007E6948" w:rsidRPr="00EF5551" w:rsidDel="001D7078">
          <w:rPr>
            <w:rFonts w:ascii="Arial" w:hAnsi="Arial" w:cs="Arial"/>
            <w:color w:val="000000" w:themeColor="text1"/>
            <w:sz w:val="22"/>
            <w:szCs w:val="22"/>
          </w:rPr>
          <w:fldChar w:fldCharType="end"/>
        </w:r>
        <w:r w:rsidR="007E6948" w:rsidDel="001D7078">
          <w:rPr>
            <w:rFonts w:ascii="Arial" w:hAnsi="Arial" w:cs="Arial"/>
            <w:color w:val="000000" w:themeColor="text1"/>
            <w:sz w:val="22"/>
            <w:szCs w:val="22"/>
          </w:rPr>
          <w:delText>. M</w:delText>
        </w:r>
        <w:r w:rsidR="004818E3" w:rsidRPr="00EF5551" w:rsidDel="001D7078">
          <w:rPr>
            <w:rFonts w:ascii="Arial" w:hAnsi="Arial" w:cs="Arial"/>
            <w:color w:val="000000" w:themeColor="text1"/>
            <w:sz w:val="22"/>
            <w:szCs w:val="22"/>
          </w:rPr>
          <w:delText>aternal weight</w:delText>
        </w:r>
        <w:r w:rsidR="004818E3" w:rsidDel="001D7078">
          <w:rPr>
            <w:rFonts w:ascii="Arial" w:hAnsi="Arial" w:cs="Arial"/>
            <w:color w:val="000000" w:themeColor="text1"/>
            <w:sz w:val="22"/>
            <w:szCs w:val="22"/>
          </w:rPr>
          <w:delText xml:space="preserve">, body mass index, fat mass, and fat mass percentage were </w:delText>
        </w:r>
        <w:r w:rsidR="004818E3" w:rsidRPr="00EF5551" w:rsidDel="001D7078">
          <w:rPr>
            <w:rFonts w:ascii="Arial" w:hAnsi="Arial" w:cs="Arial"/>
            <w:color w:val="000000" w:themeColor="text1"/>
            <w:sz w:val="22"/>
            <w:szCs w:val="22"/>
          </w:rPr>
          <w:delText xml:space="preserve">positively correlated with </w:delText>
        </w:r>
        <w:r w:rsidR="004818E3" w:rsidDel="001D7078">
          <w:rPr>
            <w:rFonts w:ascii="Arial" w:hAnsi="Arial" w:cs="Arial"/>
            <w:color w:val="000000" w:themeColor="text1"/>
            <w:sz w:val="22"/>
            <w:szCs w:val="22"/>
          </w:rPr>
          <w:delText>total and true</w:delText>
        </w:r>
      </w:del>
      <w:ins w:id="16" w:author="Dave Bridges" w:date="2021-06-16T11:19:00Z">
        <w:r w:rsidR="001D7078">
          <w:rPr>
            <w:rFonts w:ascii="Arial" w:hAnsi="Arial" w:cs="Arial"/>
            <w:color w:val="000000" w:themeColor="text1"/>
            <w:sz w:val="22"/>
            <w:szCs w:val="22"/>
          </w:rPr>
          <w:t>and</w:t>
        </w:r>
      </w:ins>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w:t>
      </w:r>
      <w:commentRangeStart w:id="17"/>
      <w:del w:id="18" w:author="Dave Bridges" w:date="2021-06-16T11:19:00Z">
        <w:r w:rsidR="004818E3" w:rsidDel="001D7078">
          <w:rPr>
            <w:rFonts w:ascii="Arial" w:hAnsi="Arial" w:cs="Arial"/>
            <w:color w:val="000000" w:themeColor="text1"/>
            <w:sz w:val="22"/>
            <w:szCs w:val="22"/>
          </w:rPr>
          <w:delText xml:space="preserve">at 3 months postpartum </w:delText>
        </w:r>
      </w:del>
      <w:r w:rsidR="004818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commentRangeEnd w:id="17"/>
      <w:r w:rsidR="001D7078">
        <w:rPr>
          <w:rStyle w:val="CommentReference"/>
        </w:rPr>
        <w:commentReference w:id="17"/>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ins w:id="19" w:author="Dave Bridges" w:date="2021-06-16T11:20:00Z">
        <w:r w:rsidR="007D0555">
          <w:rPr>
            <w:rFonts w:ascii="Arial" w:hAnsi="Arial" w:cs="Arial"/>
            <w:color w:val="000000" w:themeColor="text1"/>
            <w:sz w:val="22"/>
            <w:szCs w:val="22"/>
          </w:rPr>
          <w:t xml:space="preserve">also </w:t>
        </w:r>
      </w:ins>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2871258C"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Diabetologica","id":"ITEM-1","issue":"2","issued":{"date-parts":[["2015","4"]]},"page":"257-266","publisher":"Springer Milan","title":"Expression of S6K1 in human visceral adipose tissue is upregulated in obesity and related to insulin resistance and inflammation","type":"article-journal","volume":"52"},"uris":["http://www.mendeley.com/documents/?uuid=d6f2dc40-4e17-4e4c-9197-22efb5efa380"]}],"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del w:id="20" w:author="Dave Bridges" w:date="2021-06-16T11:20:00Z">
        <w:r w:rsidR="009A1ED6" w:rsidRPr="00EF5551" w:rsidDel="007D0555">
          <w:rPr>
            <w:rFonts w:ascii="Arial" w:hAnsi="Arial" w:cs="Arial"/>
            <w:color w:val="000000" w:themeColor="text1"/>
            <w:sz w:val="22"/>
            <w:szCs w:val="22"/>
          </w:rPr>
          <w:delText xml:space="preserve">main </w:delText>
        </w:r>
      </w:del>
      <w:ins w:id="21" w:author="Dave Bridges" w:date="2021-06-16T11:20:00Z">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ins>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In the presence of anabolic signals like insulin, energy abundance, and amino acid availability, mTORC1 function is </w:t>
      </w:r>
      <w:commentRangeStart w:id="22"/>
      <w:r w:rsidR="009A1ED6" w:rsidRPr="00EF5551">
        <w:rPr>
          <w:rFonts w:ascii="Arial" w:hAnsi="Arial" w:cs="Arial"/>
          <w:color w:val="000000" w:themeColor="text1"/>
          <w:sz w:val="22"/>
          <w:szCs w:val="22"/>
        </w:rPr>
        <w:t>upregulated</w:t>
      </w:r>
      <w:ins w:id="23" w:author="Dave Bridges" w:date="2021-06-16T11:20:00Z">
        <w:r w:rsidR="007D0555">
          <w:rPr>
            <w:rFonts w:ascii="Arial" w:hAnsi="Arial" w:cs="Arial"/>
            <w:color w:val="000000" w:themeColor="text1"/>
            <w:sz w:val="22"/>
            <w:szCs w:val="22"/>
          </w:rPr>
          <w:t xml:space="preserve"> </w:t>
        </w:r>
        <w:commentRangeEnd w:id="22"/>
        <w:r w:rsidR="007D0555">
          <w:rPr>
            <w:rStyle w:val="CommentReference"/>
          </w:rPr>
          <w:commentReference w:id="22"/>
        </w:r>
      </w:ins>
      <w:del w:id="24" w:author="Dave Bridges" w:date="2021-06-16T11:20:00Z">
        <w:r w:rsidR="009A1ED6" w:rsidRPr="00EF5551" w:rsidDel="007D0555">
          <w:rPr>
            <w:rFonts w:ascii="Arial" w:hAnsi="Arial" w:cs="Arial"/>
            <w:color w:val="000000" w:themeColor="text1"/>
            <w:sz w:val="22"/>
            <w:szCs w:val="22"/>
          </w:rPr>
          <w:delText xml:space="preserve"> via the Akt pathway </w:delText>
        </w:r>
      </w:del>
      <w:r w:rsidR="009A1ED6"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srep19587","ISSN":"2045-2322","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Reports","id":"ITEM-1","issue":"January","issued":{"date-parts":[["2016"]]},"page":"19587","publisher":"Nature Publishing Group","title":"Tsc1 deficiency impairs mammary development in mice by suppression of AKT, nuclear ERα, and cell-cycle-driving proteins","type":"article-journal","volume":"6"},"uris":["http://www.mendeley.com/documents/?uuid=f6d90140-4445-4dd7-8365-401a59554072"]}],"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ins w:id="25" w:author="Dave Bridges" w:date="2021-06-16T11:24:00Z">
        <w:r w:rsidR="00B94B98">
          <w:rPr>
            <w:rFonts w:ascii="Arial" w:hAnsi="Arial" w:cs="Arial"/>
            <w:color w:val="000000" w:themeColor="text1"/>
            <w:sz w:val="22"/>
            <w:szCs w:val="22"/>
          </w:rPr>
          <w:t xml:space="preserve"> and secretion</w:t>
        </w:r>
      </w:ins>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1E4BAAC9"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del w:id="26" w:author="Dave Bridges" w:date="2021-06-16T11:26:00Z">
        <w:r w:rsidR="004818E3" w:rsidDel="003F7FCF">
          <w:rPr>
            <w:rFonts w:ascii="Arial" w:hAnsi="Arial" w:cs="Arial"/>
            <w:color w:val="000000" w:themeColor="text1"/>
            <w:sz w:val="22"/>
            <w:szCs w:val="22"/>
          </w:rPr>
          <w:delText xml:space="preserve">increases </w:delText>
        </w:r>
      </w:del>
      <w:ins w:id="27" w:author="Dave Bridges" w:date="2021-06-16T11:26:00Z">
        <w:r w:rsidR="003F7FCF">
          <w:rPr>
            <w:rFonts w:ascii="Arial" w:hAnsi="Arial" w:cs="Arial"/>
            <w:color w:val="000000" w:themeColor="text1"/>
            <w:sz w:val="22"/>
            <w:szCs w:val="22"/>
          </w:rPr>
          <w:t xml:space="preserve">changes </w:t>
        </w:r>
      </w:ins>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del w:id="28" w:author="Dave Bridges" w:date="2021-06-16T11:26:00Z">
        <w:r w:rsidR="00FD2151" w:rsidRPr="00EF5551" w:rsidDel="003F7FCF">
          <w:rPr>
            <w:rFonts w:ascii="Arial" w:hAnsi="Arial" w:cs="Arial"/>
            <w:color w:val="000000" w:themeColor="text1"/>
            <w:sz w:val="22"/>
            <w:szCs w:val="22"/>
          </w:rPr>
          <w:delText>composition</w:delText>
        </w:r>
        <w:r w:rsidR="007F588F" w:rsidDel="003F7FCF">
          <w:rPr>
            <w:rFonts w:ascii="Arial" w:hAnsi="Arial" w:cs="Arial"/>
            <w:color w:val="000000" w:themeColor="text1"/>
            <w:sz w:val="22"/>
            <w:szCs w:val="22"/>
          </w:rPr>
          <w:delText xml:space="preserve"> </w:delText>
        </w:r>
      </w:del>
      <w:ins w:id="29" w:author="Dave Bridges" w:date="2021-06-16T11:26:00Z">
        <w:r w:rsidR="003F7FCF">
          <w:rPr>
            <w:rFonts w:ascii="Arial" w:hAnsi="Arial" w:cs="Arial"/>
            <w:color w:val="000000" w:themeColor="text1"/>
            <w:sz w:val="22"/>
            <w:szCs w:val="22"/>
          </w:rPr>
          <w:t xml:space="preserve">levels </w:t>
        </w:r>
      </w:ins>
      <w:r w:rsidR="003375B7">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w:t>
      </w:r>
      <w:del w:id="30" w:author="Dave Bridges" w:date="2021-06-16T11:26:00Z">
        <w:r w:rsidR="00CA4DA9" w:rsidDel="003F7FCF">
          <w:rPr>
            <w:rFonts w:ascii="Arial" w:hAnsi="Arial" w:cs="Arial"/>
            <w:color w:val="000000" w:themeColor="text1"/>
            <w:sz w:val="22"/>
            <w:szCs w:val="22"/>
          </w:rPr>
          <w:delText xml:space="preserve">lipid </w:delText>
        </w:r>
      </w:del>
      <w:ins w:id="31" w:author="Dave Bridges" w:date="2021-06-16T11:26:00Z">
        <w:r w:rsidR="003F7FCF">
          <w:rPr>
            <w:rFonts w:ascii="Arial" w:hAnsi="Arial" w:cs="Arial"/>
            <w:color w:val="000000" w:themeColor="text1"/>
            <w:sz w:val="22"/>
            <w:szCs w:val="22"/>
          </w:rPr>
          <w:t xml:space="preserve">fatty acid </w:t>
        </w:r>
      </w:ins>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ins w:id="32" w:author="Dave Bridges" w:date="2021-06-16T11:25:00Z">
        <w:r w:rsidR="00B5389F">
          <w:rPr>
            <w:rFonts w:ascii="Arial" w:hAnsi="Arial" w:cs="Arial"/>
            <w:color w:val="000000" w:themeColor="text1"/>
            <w:sz w:val="22"/>
            <w:szCs w:val="22"/>
          </w:rPr>
          <w:t xml:space="preserve"> adaptive</w:t>
        </w:r>
      </w:ins>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del w:id="33" w:author="Dave Bridges" w:date="2021-06-16T11:25:00Z">
        <w:r w:rsidR="00CA4DA9" w:rsidDel="00B5389F">
          <w:rPr>
            <w:rFonts w:ascii="Arial" w:hAnsi="Arial" w:cs="Arial"/>
            <w:color w:val="000000" w:themeColor="text1"/>
            <w:sz w:val="22"/>
            <w:szCs w:val="22"/>
          </w:rPr>
          <w:delText>response</w:delText>
        </w:r>
        <w:r w:rsidR="007F588F" w:rsidDel="00B5389F">
          <w:rPr>
            <w:rFonts w:ascii="Arial" w:hAnsi="Arial" w:cs="Arial"/>
            <w:color w:val="000000" w:themeColor="text1"/>
            <w:sz w:val="22"/>
            <w:szCs w:val="22"/>
          </w:rPr>
          <w:delText xml:space="preserve"> pathways</w:delText>
        </w:r>
      </w:del>
      <w:ins w:id="34" w:author="Dave Bridges" w:date="2021-06-16T11:25:00Z">
        <w:r w:rsidR="00B5389F">
          <w:rPr>
            <w:rFonts w:ascii="Arial" w:hAnsi="Arial" w:cs="Arial"/>
            <w:color w:val="000000" w:themeColor="text1"/>
            <w:sz w:val="22"/>
            <w:szCs w:val="22"/>
          </w:rPr>
          <w:t>cell markers</w:t>
        </w:r>
      </w:ins>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45B6FC5E"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ins w:id="35" w:author="Dave Bridges" w:date="2021-06-16T11:35:00Z">
        <w:r w:rsidR="00B9089D">
          <w:rPr>
            <w:rFonts w:ascii="Arial" w:hAnsi="Arial" w:cs="Arial"/>
            <w:color w:val="000000" w:themeColor="text1"/>
            <w:sz w:val="22"/>
            <w:szCs w:val="22"/>
          </w:rPr>
          <w:t>T</w:t>
        </w:r>
      </w:ins>
      <w:del w:id="36" w:author="Dave Bridges" w:date="2021-06-16T11:35:00Z">
        <w:r w:rsidRPr="00EF5551" w:rsidDel="00B9089D">
          <w:rPr>
            <w:rFonts w:ascii="Arial" w:hAnsi="Arial" w:cs="Arial"/>
            <w:color w:val="000000" w:themeColor="text1"/>
            <w:sz w:val="22"/>
            <w:szCs w:val="22"/>
          </w:rPr>
          <w:delText>t</w:delText>
        </w:r>
      </w:del>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ins w:id="37" w:author="Dave Bridges" w:date="2021-06-16T11:35:00Z">
        <w:r w:rsidR="005133A4">
          <w:rPr>
            <w:rFonts w:ascii="Arial" w:hAnsi="Arial" w:cs="Arial"/>
            <w:color w:val="000000" w:themeColor="text1"/>
            <w:sz w:val="22"/>
            <w:szCs w:val="22"/>
          </w:rPr>
          <w:t>, RRID</w:t>
        </w:r>
      </w:ins>
      <w:ins w:id="38" w:author="Dave Bridges" w:date="2021-06-16T11:36:00Z">
        <w:r w:rsidR="005133A4">
          <w:rPr>
            <w:rFonts w:ascii="Arial" w:hAnsi="Arial" w:cs="Arial"/>
            <w:color w:val="000000" w:themeColor="text1"/>
            <w:sz w:val="22"/>
            <w:szCs w:val="22"/>
          </w:rPr>
          <w:t>:</w:t>
        </w:r>
      </w:ins>
      <w:ins w:id="39" w:author="Dave Bridges" w:date="2021-06-16T11:35:00Z">
        <w:r w:rsidR="005133A4">
          <w:rPr>
            <w:rFonts w:ascii="Arial" w:hAnsi="Arial" w:cs="Arial"/>
            <w:color w:val="000000" w:themeColor="text1"/>
            <w:sz w:val="22"/>
            <w:szCs w:val="22"/>
          </w:rPr>
          <w:t xml:space="preserve"> </w:t>
        </w:r>
        <w:r w:rsidR="005133A4" w:rsidRPr="005133A4">
          <w:rPr>
            <w:rFonts w:ascii="Arial" w:hAnsi="Arial" w:cs="Arial"/>
            <w:bCs/>
            <w:color w:val="000000" w:themeColor="text1"/>
            <w:sz w:val="22"/>
            <w:szCs w:val="22"/>
            <w:rPrChange w:id="40" w:author="Dave Bridges" w:date="2021-06-16T11:35:00Z">
              <w:rPr>
                <w:rFonts w:ascii="Arial" w:hAnsi="Arial" w:cs="Arial"/>
                <w:b/>
                <w:bCs/>
                <w:color w:val="000000" w:themeColor="text1"/>
                <w:sz w:val="22"/>
                <w:szCs w:val="22"/>
              </w:rPr>
            </w:rPrChange>
          </w:rPr>
          <w:t>IMSR_JAX:005680</w:t>
        </w:r>
      </w:ins>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ins w:id="41" w:author="Dave Bridges" w:date="2021-06-16T11:36:00Z">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ins>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{"citationItems":[{"id":"ITEM-1","itemData":{"DOI":"10.1016/j.cmet.2011.02.005","ISSN":"1932-7420","PMID":"21356515","abstract":"Adipocytes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metabolism","id":"ITEM-1","issue":"3","issued":{"date-parts":[["2011","3","2"]]},"page":"249-59","title":"Transcriptional control of adipose lipid handling by IRF4.","type":"article-journal","volume":"13"},"uris":["http://www.mendeley.com/documents/?uuid=fa5b2e43-0e2c-4d17-bf11-8d3a893e5133"]}],"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5FD79C7E"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ins w:id="42" w:author="Dave Bridges" w:date="2021-06-16T11:36:00Z">
        <w:r w:rsidR="005133A4">
          <w:rPr>
            <w:rFonts w:ascii="Arial" w:hAnsi="Arial" w:cs="Arial"/>
            <w:color w:val="000000" w:themeColor="text1"/>
            <w:sz w:val="22"/>
            <w:szCs w:val="22"/>
          </w:rPr>
          <w:t>(</w:t>
        </w:r>
      </w:ins>
      <w:ins w:id="43" w:author="Dave Bridges" w:date="2021-06-16T11:37:00Z">
        <w:r w:rsidR="005133A4">
          <w:rPr>
            <w:rFonts w:ascii="Arial" w:hAnsi="Arial" w:cs="Arial"/>
            <w:color w:val="000000" w:themeColor="text1"/>
            <w:sz w:val="22"/>
            <w:szCs w:val="22"/>
          </w:rPr>
          <w:t>referred</w:t>
        </w:r>
      </w:ins>
      <w:ins w:id="44" w:author="Dave Bridges" w:date="2021-06-16T11:36:00Z">
        <w:r w:rsidR="005133A4">
          <w:rPr>
            <w:rFonts w:ascii="Arial" w:hAnsi="Arial" w:cs="Arial"/>
            <w:color w:val="000000" w:themeColor="text1"/>
            <w:sz w:val="22"/>
            <w:szCs w:val="22"/>
          </w:rPr>
          <w:t xml:space="preserve"> to here as knockout) </w:t>
        </w:r>
      </w:ins>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ins w:id="45" w:author="Dave Bridges" w:date="2021-06-16T11:36:00Z">
        <w:r w:rsidR="005133A4">
          <w:rPr>
            <w:rFonts w:ascii="Arial" w:hAnsi="Arial" w:cs="Arial"/>
            <w:color w:val="000000" w:themeColor="text1"/>
            <w:sz w:val="22"/>
            <w:szCs w:val="22"/>
          </w:rPr>
          <w:t>(</w:t>
        </w:r>
      </w:ins>
      <w:ins w:id="46" w:author="Dave Bridges" w:date="2021-06-16T11:37:00Z">
        <w:r w:rsidR="005133A4">
          <w:rPr>
            <w:rFonts w:ascii="Arial" w:hAnsi="Arial" w:cs="Arial"/>
            <w:color w:val="000000" w:themeColor="text1"/>
            <w:sz w:val="22"/>
            <w:szCs w:val="22"/>
          </w:rPr>
          <w:t>referred</w:t>
        </w:r>
      </w:ins>
      <w:ins w:id="47" w:author="Dave Bridges" w:date="2021-06-16T11:36:00Z">
        <w:r w:rsidR="005133A4">
          <w:rPr>
            <w:rFonts w:ascii="Arial" w:hAnsi="Arial" w:cs="Arial"/>
            <w:color w:val="000000" w:themeColor="text1"/>
            <w:sz w:val="22"/>
            <w:szCs w:val="22"/>
          </w:rPr>
          <w:t xml:space="preserve"> to here as wild-type)</w:t>
        </w:r>
      </w:ins>
      <w:ins w:id="48" w:author="Dave Bridges" w:date="2021-06-16T11:37:00Z">
        <w:r w:rsidR="005133A4">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ins w:id="49" w:author="Dave Bridges" w:date="2021-06-16T11:37:00Z">
        <w:r w:rsidR="005133A4">
          <w:rPr>
            <w:rFonts w:ascii="Arial" w:hAnsi="Arial" w:cs="Arial"/>
            <w:color w:val="000000" w:themeColor="text1"/>
            <w:sz w:val="22"/>
            <w:szCs w:val="22"/>
          </w:rPr>
          <w:t xml:space="preserve">thus also </w:t>
        </w:r>
      </w:ins>
      <w:r w:rsidRPr="00EF5551">
        <w:rPr>
          <w:rFonts w:ascii="Arial" w:hAnsi="Arial" w:cs="Arial"/>
          <w:color w:val="000000" w:themeColor="text1"/>
          <w:sz w:val="22"/>
          <w:szCs w:val="22"/>
        </w:rPr>
        <w:t xml:space="preserve">a combination of knockout </w:t>
      </w:r>
      <w:del w:id="50" w:author="Dave Bridges" w:date="2021-06-16T11:37:00Z">
        <w:r w:rsidRPr="00EF5551" w:rsidDel="005133A4">
          <w:rPr>
            <w:rFonts w:ascii="Arial" w:hAnsi="Arial" w:cs="Arial"/>
            <w:color w:val="000000" w:themeColor="text1"/>
            <w:sz w:val="22"/>
            <w:szCs w:val="22"/>
          </w:rPr>
          <w:delText>(</w:delText>
        </w:r>
        <w:r w:rsidR="00CE4AA9" w:rsidRPr="00EF5551" w:rsidDel="005133A4">
          <w:rPr>
            <w:rFonts w:ascii="Arial" w:hAnsi="Arial" w:cs="Arial"/>
            <w:color w:val="000000" w:themeColor="text1"/>
            <w:sz w:val="22"/>
            <w:szCs w:val="22"/>
          </w:rPr>
          <w:delText xml:space="preserve">KO, </w:delText>
        </w:r>
        <w:r w:rsidR="005A5D16" w:rsidRPr="00EF5551" w:rsidDel="005133A4">
          <w:rPr>
            <w:rFonts w:ascii="Arial" w:hAnsi="Arial" w:cs="Arial"/>
            <w:i/>
            <w:color w:val="000000" w:themeColor="text1"/>
            <w:sz w:val="22"/>
            <w:szCs w:val="22"/>
          </w:rPr>
          <w:delText>Tsc</w:delText>
        </w:r>
        <w:r w:rsidR="005A5D16" w:rsidDel="005133A4">
          <w:rPr>
            <w:rFonts w:ascii="Arial" w:hAnsi="Arial" w:cs="Arial"/>
            <w:i/>
            <w:color w:val="000000" w:themeColor="text1"/>
            <w:sz w:val="22"/>
            <w:szCs w:val="22"/>
          </w:rPr>
          <w:delText>1</w:delText>
        </w:r>
        <w:r w:rsidR="005A5D16" w:rsidRPr="00EF5551" w:rsidDel="005133A4">
          <w:rPr>
            <w:rFonts w:ascii="Arial" w:hAnsi="Arial" w:cs="Arial"/>
            <w:color w:val="000000" w:themeColor="text1"/>
            <w:sz w:val="22"/>
            <w:szCs w:val="22"/>
            <w:vertAlign w:val="superscript"/>
          </w:rPr>
          <w:delText>fl/fl</w:delText>
        </w:r>
        <w:r w:rsidR="005A5D16" w:rsidDel="005133A4">
          <w:rPr>
            <w:rFonts w:ascii="Arial" w:hAnsi="Arial" w:cs="Arial"/>
            <w:color w:val="000000" w:themeColor="text1"/>
            <w:sz w:val="22"/>
            <w:szCs w:val="22"/>
          </w:rPr>
          <w:delText>; Cre</w:delText>
        </w:r>
        <w:r w:rsidR="005A5D16" w:rsidDel="005133A4">
          <w:rPr>
            <w:rFonts w:ascii="Arial" w:hAnsi="Arial" w:cs="Arial"/>
            <w:color w:val="000000" w:themeColor="text1"/>
            <w:sz w:val="22"/>
            <w:szCs w:val="22"/>
            <w:vertAlign w:val="superscript"/>
          </w:rPr>
          <w:delText>Tg/+</w:delText>
        </w:r>
        <w:r w:rsidRPr="00EF5551" w:rsidDel="005133A4">
          <w:rPr>
            <w:rFonts w:ascii="Arial" w:hAnsi="Arial" w:cs="Arial"/>
            <w:color w:val="000000" w:themeColor="text1"/>
            <w:sz w:val="22"/>
            <w:szCs w:val="22"/>
          </w:rPr>
          <w:delText xml:space="preserve">) </w:delText>
        </w:r>
      </w:del>
      <w:r w:rsidRPr="00EF5551">
        <w:rPr>
          <w:rFonts w:ascii="Arial" w:hAnsi="Arial" w:cs="Arial"/>
          <w:color w:val="000000" w:themeColor="text1"/>
          <w:sz w:val="22"/>
          <w:szCs w:val="22"/>
        </w:rPr>
        <w:t xml:space="preserve">and wild-type </w:t>
      </w:r>
      <w:del w:id="51" w:author="Dave Bridges" w:date="2021-06-16T11:37:00Z">
        <w:r w:rsidRPr="00EF5551" w:rsidDel="005133A4">
          <w:rPr>
            <w:rFonts w:ascii="Arial" w:hAnsi="Arial" w:cs="Arial"/>
            <w:color w:val="000000" w:themeColor="text1"/>
            <w:sz w:val="22"/>
            <w:szCs w:val="22"/>
          </w:rPr>
          <w:delText>(</w:delText>
        </w:r>
        <w:r w:rsidR="00CE4AA9" w:rsidRPr="00EF5551" w:rsidDel="005133A4">
          <w:rPr>
            <w:rFonts w:ascii="Arial" w:hAnsi="Arial" w:cs="Arial"/>
            <w:color w:val="000000" w:themeColor="text1"/>
            <w:sz w:val="22"/>
            <w:szCs w:val="22"/>
          </w:rPr>
          <w:delText xml:space="preserve">WT, </w:delText>
        </w:r>
        <w:r w:rsidR="005A5D16" w:rsidRPr="00EF5551" w:rsidDel="005133A4">
          <w:rPr>
            <w:rFonts w:ascii="Arial" w:hAnsi="Arial" w:cs="Arial"/>
            <w:i/>
            <w:color w:val="000000" w:themeColor="text1"/>
            <w:sz w:val="22"/>
            <w:szCs w:val="22"/>
          </w:rPr>
          <w:delText>Tsc</w:delText>
        </w:r>
        <w:r w:rsidR="005A5D16" w:rsidDel="005133A4">
          <w:rPr>
            <w:rFonts w:ascii="Arial" w:hAnsi="Arial" w:cs="Arial"/>
            <w:i/>
            <w:color w:val="000000" w:themeColor="text1"/>
            <w:sz w:val="22"/>
            <w:szCs w:val="22"/>
          </w:rPr>
          <w:delText>1</w:delText>
        </w:r>
        <w:r w:rsidR="005A5D16" w:rsidRPr="00EF5551" w:rsidDel="005133A4">
          <w:rPr>
            <w:rFonts w:ascii="Arial" w:hAnsi="Arial" w:cs="Arial"/>
            <w:color w:val="000000" w:themeColor="text1"/>
            <w:sz w:val="22"/>
            <w:szCs w:val="22"/>
            <w:vertAlign w:val="superscript"/>
          </w:rPr>
          <w:delText>fl/fl</w:delText>
        </w:r>
        <w:r w:rsidR="005A5D16" w:rsidDel="005133A4">
          <w:rPr>
            <w:rFonts w:ascii="Arial" w:hAnsi="Arial" w:cs="Arial"/>
            <w:color w:val="000000" w:themeColor="text1"/>
            <w:sz w:val="22"/>
            <w:szCs w:val="22"/>
          </w:rPr>
          <w:delText>; Cre</w:delText>
        </w:r>
        <w:r w:rsidR="005A5D16" w:rsidDel="005133A4">
          <w:rPr>
            <w:rFonts w:ascii="Arial" w:hAnsi="Arial" w:cs="Arial"/>
            <w:color w:val="000000" w:themeColor="text1"/>
            <w:sz w:val="22"/>
            <w:szCs w:val="22"/>
            <w:vertAlign w:val="superscript"/>
          </w:rPr>
          <w:delText>+/+</w:delText>
        </w:r>
        <w:r w:rsidR="005A5D16" w:rsidDel="005133A4">
          <w:rPr>
            <w:rFonts w:ascii="Arial" w:hAnsi="Arial" w:cs="Arial"/>
            <w:color w:val="000000" w:themeColor="text1"/>
            <w:sz w:val="22"/>
            <w:szCs w:val="22"/>
          </w:rPr>
          <w:delText>)</w:delText>
        </w:r>
        <w:r w:rsidR="0090516C" w:rsidDel="005133A4">
          <w:rPr>
            <w:rFonts w:ascii="Arial" w:hAnsi="Arial" w:cs="Arial"/>
            <w:color w:val="000000" w:themeColor="text1"/>
            <w:sz w:val="22"/>
            <w:szCs w:val="22"/>
          </w:rPr>
          <w:delText xml:space="preserve"> </w:delText>
        </w:r>
      </w:del>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del w:id="52" w:author="Dave Bridges" w:date="2021-06-16T11:37:00Z">
        <w:r w:rsidRPr="00EF5551" w:rsidDel="005133A4">
          <w:rPr>
            <w:rFonts w:ascii="Arial" w:hAnsi="Arial" w:cs="Arial"/>
            <w:color w:val="000000" w:themeColor="text1"/>
            <w:sz w:val="22"/>
            <w:szCs w:val="22"/>
          </w:rPr>
          <w:delText>knockout of the floxed alleles are driven by</w:delText>
        </w:r>
      </w:del>
      <w:proofErr w:type="spellStart"/>
      <w:ins w:id="53" w:author="Dave Bridges" w:date="2021-06-16T11:37:00Z">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ins>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ins w:id="54" w:author="Dave Bridges" w:date="2021-06-16T11:37:00Z">
        <w:r w:rsidR="005133A4">
          <w:rPr>
            <w:rFonts w:ascii="Arial" w:hAnsi="Arial" w:cs="Arial"/>
            <w:color w:val="000000" w:themeColor="text1"/>
            <w:sz w:val="22"/>
            <w:szCs w:val="22"/>
          </w:rPr>
          <w:t>G</w:t>
        </w:r>
      </w:ins>
      <w:del w:id="55" w:author="Dave Bridges" w:date="2021-06-16T11:37:00Z">
        <w:r w:rsidR="00C82687" w:rsidRPr="00EF5551" w:rsidDel="005133A4">
          <w:rPr>
            <w:rFonts w:ascii="Arial" w:hAnsi="Arial" w:cs="Arial"/>
            <w:color w:val="000000" w:themeColor="text1"/>
            <w:sz w:val="22"/>
            <w:szCs w:val="22"/>
          </w:rPr>
          <w:delText>g</w:delText>
        </w:r>
      </w:del>
      <w:r w:rsidR="00C82687" w:rsidRPr="00EF5551">
        <w:rPr>
          <w:rFonts w:ascii="Arial" w:hAnsi="Arial" w:cs="Arial"/>
          <w:color w:val="000000" w:themeColor="text1"/>
          <w:sz w:val="22"/>
          <w:szCs w:val="22"/>
        </w:rPr>
        <w:t xml:space="preserve">uide for the </w:t>
      </w:r>
      <w:ins w:id="56" w:author="Dave Bridges" w:date="2021-06-16T11:38:00Z">
        <w:r w:rsidR="005133A4">
          <w:rPr>
            <w:rFonts w:ascii="Arial" w:hAnsi="Arial" w:cs="Arial"/>
            <w:color w:val="000000" w:themeColor="text1"/>
            <w:sz w:val="22"/>
            <w:szCs w:val="22"/>
          </w:rPr>
          <w:t>C</w:t>
        </w:r>
      </w:ins>
      <w:del w:id="57" w:author="Dave Bridges" w:date="2021-06-16T11:37:00Z">
        <w:r w:rsidR="00C82687" w:rsidRPr="00EF5551" w:rsidDel="005133A4">
          <w:rPr>
            <w:rFonts w:ascii="Arial" w:hAnsi="Arial" w:cs="Arial"/>
            <w:color w:val="000000" w:themeColor="text1"/>
            <w:sz w:val="22"/>
            <w:szCs w:val="22"/>
          </w:rPr>
          <w:delText>c</w:delText>
        </w:r>
      </w:del>
      <w:r w:rsidR="00C82687" w:rsidRPr="00EF5551">
        <w:rPr>
          <w:rFonts w:ascii="Arial" w:hAnsi="Arial" w:cs="Arial"/>
          <w:color w:val="000000" w:themeColor="text1"/>
          <w:sz w:val="22"/>
          <w:szCs w:val="22"/>
        </w:rPr>
        <w:t xml:space="preserve">are and </w:t>
      </w:r>
      <w:ins w:id="58" w:author="Dave Bridges" w:date="2021-06-16T11:38:00Z">
        <w:r w:rsidR="005133A4">
          <w:rPr>
            <w:rFonts w:ascii="Arial" w:hAnsi="Arial" w:cs="Arial"/>
            <w:color w:val="000000" w:themeColor="text1"/>
            <w:sz w:val="22"/>
            <w:szCs w:val="22"/>
          </w:rPr>
          <w:t>U</w:t>
        </w:r>
      </w:ins>
      <w:del w:id="59" w:author="Dave Bridges" w:date="2021-06-16T11:38:00Z">
        <w:r w:rsidR="00C82687" w:rsidRPr="00EF5551" w:rsidDel="005133A4">
          <w:rPr>
            <w:rFonts w:ascii="Arial" w:hAnsi="Arial" w:cs="Arial"/>
            <w:color w:val="000000" w:themeColor="text1"/>
            <w:sz w:val="22"/>
            <w:szCs w:val="22"/>
          </w:rPr>
          <w:delText>u</w:delText>
        </w:r>
      </w:del>
      <w:r w:rsidR="00C82687" w:rsidRPr="00EF5551">
        <w:rPr>
          <w:rFonts w:ascii="Arial" w:hAnsi="Arial" w:cs="Arial"/>
          <w:color w:val="000000" w:themeColor="text1"/>
          <w:sz w:val="22"/>
          <w:szCs w:val="22"/>
        </w:rPr>
        <w:t xml:space="preserve">se of </w:t>
      </w:r>
      <w:ins w:id="60" w:author="Dave Bridges" w:date="2021-06-16T11:38:00Z">
        <w:r w:rsidR="005133A4">
          <w:rPr>
            <w:rFonts w:ascii="Arial" w:hAnsi="Arial" w:cs="Arial"/>
            <w:color w:val="000000" w:themeColor="text1"/>
            <w:sz w:val="22"/>
            <w:szCs w:val="22"/>
          </w:rPr>
          <w:t>L</w:t>
        </w:r>
      </w:ins>
      <w:del w:id="61" w:author="Dave Bridges" w:date="2021-06-16T11:38:00Z">
        <w:r w:rsidR="00C82687" w:rsidRPr="00EF5551" w:rsidDel="005133A4">
          <w:rPr>
            <w:rFonts w:ascii="Arial" w:hAnsi="Arial" w:cs="Arial"/>
            <w:color w:val="000000" w:themeColor="text1"/>
            <w:sz w:val="22"/>
            <w:szCs w:val="22"/>
          </w:rPr>
          <w:delText>l</w:delText>
        </w:r>
      </w:del>
      <w:r w:rsidR="00C82687" w:rsidRPr="00EF5551">
        <w:rPr>
          <w:rFonts w:ascii="Arial" w:hAnsi="Arial" w:cs="Arial"/>
          <w:color w:val="000000" w:themeColor="text1"/>
          <w:sz w:val="22"/>
          <w:szCs w:val="22"/>
        </w:rPr>
        <w:t xml:space="preserve">aboratory </w:t>
      </w:r>
      <w:ins w:id="62" w:author="Dave Bridges" w:date="2021-06-16T11:38:00Z">
        <w:r w:rsidR="005133A4">
          <w:rPr>
            <w:rFonts w:ascii="Arial" w:hAnsi="Arial" w:cs="Arial"/>
            <w:color w:val="000000" w:themeColor="text1"/>
            <w:sz w:val="22"/>
            <w:szCs w:val="22"/>
          </w:rPr>
          <w:t>A</w:t>
        </w:r>
      </w:ins>
      <w:del w:id="63" w:author="Dave Bridges" w:date="2021-06-16T11:38:00Z">
        <w:r w:rsidR="00C82687" w:rsidRPr="00EF5551" w:rsidDel="005133A4">
          <w:rPr>
            <w:rFonts w:ascii="Arial" w:hAnsi="Arial" w:cs="Arial"/>
            <w:color w:val="000000" w:themeColor="text1"/>
            <w:sz w:val="22"/>
            <w:szCs w:val="22"/>
          </w:rPr>
          <w:delText>a</w:delText>
        </w:r>
      </w:del>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D176665" w:rsidR="00790E70" w:rsidDel="005133A4" w:rsidRDefault="005D4389" w:rsidP="00C55AF5">
      <w:pPr>
        <w:rPr>
          <w:del w:id="64" w:author="Dave Bridges" w:date="2021-06-16T11:38:00Z"/>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proofErr w:type="gramStart"/>
      <w:r>
        <w:rPr>
          <w:rFonts w:ascii="Arial" w:hAnsi="Arial" w:cs="Arial"/>
          <w:color w:val="000000" w:themeColor="text1"/>
          <w:sz w:val="22"/>
          <w:szCs w:val="22"/>
        </w:rPr>
        <w:t>offspring</w:t>
      </w:r>
      <w:proofErr w:type="gramEnd"/>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p>
    <w:p w14:paraId="05CB313A" w14:textId="77777777" w:rsidR="0090516C" w:rsidRPr="00EF5551" w:rsidDel="005133A4" w:rsidRDefault="0090516C" w:rsidP="00C55AF5">
      <w:pPr>
        <w:rPr>
          <w:del w:id="65" w:author="Dave Bridges" w:date="2021-06-16T11:38:00Z"/>
          <w:rFonts w:ascii="Arial" w:hAnsi="Arial" w:cs="Arial"/>
          <w:color w:val="000000" w:themeColor="text1"/>
          <w:sz w:val="22"/>
          <w:szCs w:val="22"/>
        </w:rPr>
      </w:pPr>
    </w:p>
    <w:p w14:paraId="1206CD85" w14:textId="7FDFBFC4" w:rsidR="00790E70" w:rsidRPr="00EF5551" w:rsidRDefault="004D2647" w:rsidP="00C55AF5">
      <w:pPr>
        <w:rPr>
          <w:rFonts w:ascii="Arial" w:hAnsi="Arial" w:cs="Arial"/>
          <w:color w:val="000000" w:themeColor="text1"/>
          <w:sz w:val="22"/>
          <w:szCs w:val="22"/>
        </w:rPr>
      </w:pPr>
      <w:r>
        <w:rPr>
          <w:rFonts w:ascii="Arial" w:hAnsi="Arial" w:cs="Arial"/>
          <w:color w:val="000000" w:themeColor="text1"/>
          <w:sz w:val="22"/>
          <w:szCs w:val="22"/>
        </w:rPr>
        <w:t>At PND2.5, o</w:t>
      </w:r>
      <w:r w:rsidR="005D4389">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ins w:id="66" w:author="Dave Bridges" w:date="2021-06-16T11:38:00Z">
        <w:r w:rsidR="005133A4">
          <w:rPr>
            <w:rFonts w:ascii="Arial" w:hAnsi="Arial" w:cs="Arial"/>
            <w:color w:val="000000" w:themeColor="text1"/>
            <w:sz w:val="22"/>
            <w:szCs w:val="22"/>
          </w:rPr>
          <w:t xml:space="preserve"> to normalize milk supply</w:t>
        </w:r>
      </w:ins>
      <w:r>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41F0E09E" w:rsidR="00360CE5" w:rsidDel="00D3190A" w:rsidRDefault="00790E70" w:rsidP="00C55AF5">
      <w:pPr>
        <w:rPr>
          <w:del w:id="67" w:author="Dave Bridges" w:date="2021-06-16T11:39:00Z"/>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del w:id="68" w:author="Dave Bridges" w:date="2021-06-16T11:39:00Z">
        <w:r w:rsidRPr="00EF5551" w:rsidDel="00D3190A">
          <w:rPr>
            <w:rFonts w:ascii="Arial" w:hAnsi="Arial" w:cs="Arial"/>
            <w:color w:val="000000" w:themeColor="text1"/>
            <w:sz w:val="22"/>
            <w:szCs w:val="22"/>
          </w:rPr>
          <w:delText>The weight</w:delText>
        </w:r>
        <w:r w:rsidR="00491ECB" w:rsidDel="00D3190A">
          <w:rPr>
            <w:rFonts w:ascii="Arial" w:hAnsi="Arial" w:cs="Arial"/>
            <w:color w:val="000000" w:themeColor="text1"/>
            <w:sz w:val="22"/>
            <w:szCs w:val="22"/>
          </w:rPr>
          <w:delText>s of each individual</w:delText>
        </w:r>
        <w:r w:rsidR="00360CE5" w:rsidDel="00D3190A">
          <w:rPr>
            <w:rFonts w:ascii="Arial" w:hAnsi="Arial" w:cs="Arial"/>
            <w:color w:val="000000" w:themeColor="text1"/>
            <w:sz w:val="22"/>
            <w:szCs w:val="22"/>
          </w:rPr>
          <w:delText xml:space="preserve"> mouse</w:delText>
        </w:r>
        <w:r w:rsidRPr="00EF5551" w:rsidDel="00D3190A">
          <w:rPr>
            <w:rFonts w:ascii="Arial" w:hAnsi="Arial" w:cs="Arial"/>
            <w:color w:val="000000" w:themeColor="text1"/>
            <w:sz w:val="22"/>
            <w:szCs w:val="22"/>
          </w:rPr>
          <w:delText xml:space="preserve"> </w:delText>
        </w:r>
        <w:r w:rsidR="00491ECB" w:rsidDel="00D3190A">
          <w:rPr>
            <w:rFonts w:ascii="Arial" w:hAnsi="Arial" w:cs="Arial"/>
            <w:color w:val="000000" w:themeColor="text1"/>
            <w:sz w:val="22"/>
            <w:szCs w:val="22"/>
          </w:rPr>
          <w:delText xml:space="preserve">were </w:delText>
        </w:r>
        <w:r w:rsidRPr="00EF5551" w:rsidDel="00D3190A">
          <w:rPr>
            <w:rFonts w:ascii="Arial" w:hAnsi="Arial" w:cs="Arial"/>
            <w:color w:val="000000" w:themeColor="text1"/>
            <w:sz w:val="22"/>
            <w:szCs w:val="22"/>
          </w:rPr>
          <w:delText>recorded.</w:delText>
        </w:r>
        <w:r w:rsidR="006910C1" w:rsidDel="00D3190A">
          <w:rPr>
            <w:rFonts w:ascii="Arial" w:hAnsi="Arial" w:cs="Arial"/>
            <w:color w:val="000000" w:themeColor="text1"/>
            <w:sz w:val="22"/>
            <w:szCs w:val="22"/>
          </w:rPr>
          <w:delText xml:space="preserve"> </w:delText>
        </w:r>
      </w:del>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ins w:id="69" w:author="Dave Bridges" w:date="2021-06-16T11:39:00Z">
        <w:r w:rsidR="00D3190A">
          <w:rPr>
            <w:rFonts w:ascii="Arial" w:hAnsi="Arial" w:cs="Arial"/>
            <w:color w:val="000000" w:themeColor="text1"/>
            <w:sz w:val="22"/>
            <w:szCs w:val="22"/>
          </w:rPr>
          <w:t xml:space="preserve">  </w:t>
        </w:r>
      </w:ins>
    </w:p>
    <w:p w14:paraId="5ED08645" w14:textId="77777777" w:rsidR="00763350" w:rsidDel="00D3190A" w:rsidRDefault="00763350" w:rsidP="00C55AF5">
      <w:pPr>
        <w:rPr>
          <w:del w:id="70" w:author="Dave Bridges" w:date="2021-06-16T11:39:00Z"/>
          <w:rFonts w:ascii="Arial" w:hAnsi="Arial" w:cs="Arial"/>
          <w:color w:val="000000" w:themeColor="text1"/>
          <w:sz w:val="22"/>
          <w:szCs w:val="22"/>
        </w:rPr>
      </w:pPr>
    </w:p>
    <w:p w14:paraId="23268801" w14:textId="5EF863F6" w:rsidR="00DA21C5" w:rsidRDefault="00360CE5" w:rsidP="00DA21C5">
      <w:pPr>
        <w:rPr>
          <w:rFonts w:ascii="Arial" w:hAnsi="Arial" w:cs="Arial"/>
          <w:color w:val="000000" w:themeColor="text1"/>
          <w:sz w:val="22"/>
          <w:szCs w:val="22"/>
        </w:rPr>
      </w:pPr>
      <w:r>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Pr>
          <w:rFonts w:ascii="Arial" w:hAnsi="Arial" w:cs="Arial"/>
          <w:color w:val="000000" w:themeColor="text1"/>
          <w:sz w:val="22"/>
          <w:szCs w:val="22"/>
        </w:rPr>
        <w:t>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3B13FC5C"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w:t>
      </w:r>
      <w:r w:rsidRPr="00EF5551">
        <w:rPr>
          <w:rFonts w:ascii="Arial" w:hAnsi="Arial" w:cs="Arial"/>
          <w:color w:val="000000" w:themeColor="text1"/>
          <w:sz w:val="22"/>
          <w:szCs w:val="22"/>
        </w:rPr>
        <w:t xml:space="preserve">, 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del w:id="71" w:author="Dave Bridges" w:date="2021-06-16T11:40:00Z">
        <w:r w:rsidRPr="00EF5551" w:rsidDel="00B76F6D">
          <w:rPr>
            <w:rFonts w:ascii="Arial" w:hAnsi="Arial" w:cs="Arial"/>
            <w:color w:val="000000" w:themeColor="text1"/>
            <w:sz w:val="22"/>
            <w:szCs w:val="22"/>
          </w:rPr>
          <w:delText xml:space="preserve">change </w:delText>
        </w:r>
      </w:del>
      <w:ins w:id="72" w:author="Dave Bridges" w:date="2021-06-16T11:40:00Z">
        <w:r w:rsidR="00B76F6D">
          <w:rPr>
            <w:rFonts w:ascii="Arial" w:hAnsi="Arial" w:cs="Arial"/>
            <w:color w:val="000000" w:themeColor="text1"/>
            <w:sz w:val="22"/>
            <w:szCs w:val="22"/>
          </w:rPr>
          <w:t>increase</w:t>
        </w:r>
        <w:r w:rsidR="00B76F6D"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ins w:id="73" w:author="Dave Bridges" w:date="2021-06-16T11:40:00Z">
        <w:r w:rsidR="00795B64">
          <w:rPr>
            <w:rFonts w:ascii="Arial" w:hAnsi="Arial" w:cs="Arial"/>
            <w:color w:val="000000" w:themeColor="text1"/>
            <w:sz w:val="22"/>
            <w:szCs w:val="22"/>
          </w:rPr>
          <w:t xml:space="preserve">or the </w:t>
        </w:r>
        <w:r w:rsidR="00B76F6D">
          <w:rPr>
            <w:rFonts w:ascii="Arial" w:hAnsi="Arial" w:cs="Arial"/>
            <w:color w:val="000000" w:themeColor="text1"/>
            <w:sz w:val="22"/>
            <w:szCs w:val="22"/>
          </w:rPr>
          <w:t xml:space="preserve">decrease of the </w:t>
        </w:r>
        <w:r w:rsidR="00795B64">
          <w:rPr>
            <w:rFonts w:ascii="Arial" w:hAnsi="Arial" w:cs="Arial"/>
            <w:color w:val="000000" w:themeColor="text1"/>
            <w:sz w:val="22"/>
            <w:szCs w:val="22"/>
          </w:rPr>
          <w:t xml:space="preserve">dams </w:t>
        </w:r>
      </w:ins>
      <w:r w:rsidRPr="00EF5551">
        <w:rPr>
          <w:rFonts w:ascii="Arial" w:hAnsi="Arial" w:cs="Arial"/>
          <w:color w:val="000000" w:themeColor="text1"/>
          <w:sz w:val="22"/>
          <w:szCs w:val="22"/>
        </w:rPr>
        <w:t xml:space="preserve">after </w:t>
      </w:r>
      <w:ins w:id="74" w:author="Dave Bridges" w:date="2021-06-16T11:40:00Z">
        <w:r w:rsidR="00B76F6D">
          <w:rPr>
            <w:rFonts w:ascii="Arial" w:hAnsi="Arial" w:cs="Arial"/>
            <w:color w:val="000000" w:themeColor="text1"/>
            <w:sz w:val="22"/>
            <w:szCs w:val="22"/>
          </w:rPr>
          <w:t xml:space="preserve">the 1h </w:t>
        </w:r>
      </w:ins>
      <w:r>
        <w:rPr>
          <w:rFonts w:ascii="Arial" w:hAnsi="Arial" w:cs="Arial"/>
          <w:color w:val="000000" w:themeColor="text1"/>
          <w:sz w:val="22"/>
          <w:szCs w:val="22"/>
        </w:rPr>
        <w:t>nursing</w:t>
      </w:r>
      <w:ins w:id="75" w:author="Dave Bridges" w:date="2021-06-16T11:40:00Z">
        <w:r w:rsidR="00B76F6D">
          <w:rPr>
            <w:rFonts w:ascii="Arial" w:hAnsi="Arial" w:cs="Arial"/>
            <w:color w:val="000000" w:themeColor="text1"/>
            <w:sz w:val="22"/>
            <w:szCs w:val="22"/>
          </w:rPr>
          <w:t xml:space="preserve"> period</w:t>
        </w:r>
      </w:ins>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69CCA27F"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ins w:id="76" w:author="Dave Bridges" w:date="2021-06-16T11:39:00Z">
        <w:r w:rsidR="00DB4DB8">
          <w:rPr>
            <w:rFonts w:ascii="Arial" w:hAnsi="Arial" w:cs="Arial"/>
            <w:color w:val="000000" w:themeColor="text1"/>
            <w:sz w:val="22"/>
            <w:szCs w:val="22"/>
          </w:rPr>
          <w:t xml:space="preserve"> and t</w:t>
        </w:r>
      </w:ins>
      <w:del w:id="77" w:author="Dave Bridges" w:date="2021-06-16T11:39:00Z">
        <w:r w:rsidRPr="00EF5551" w:rsidDel="00DB4DB8">
          <w:rPr>
            <w:rFonts w:ascii="Arial" w:hAnsi="Arial" w:cs="Arial"/>
            <w:color w:val="000000" w:themeColor="text1"/>
            <w:sz w:val="22"/>
            <w:szCs w:val="22"/>
          </w:rPr>
          <w:delText>. T</w:delText>
        </w:r>
      </w:del>
      <w:r w:rsidRPr="00EF5551">
        <w:rPr>
          <w:rFonts w:ascii="Arial" w:hAnsi="Arial" w:cs="Arial"/>
          <w:color w:val="000000" w:themeColor="text1"/>
          <w:sz w:val="22"/>
          <w:szCs w:val="22"/>
        </w:rPr>
        <w:t xml:space="preserve">he lower </w:t>
      </w:r>
      <w:r w:rsidR="009E2BD0">
        <w:rPr>
          <w:rFonts w:ascii="Arial" w:hAnsi="Arial" w:cs="Arial"/>
          <w:color w:val="000000" w:themeColor="text1"/>
          <w:sz w:val="22"/>
          <w:szCs w:val="22"/>
        </w:rPr>
        <w:t xml:space="preserve">mammary </w:t>
      </w:r>
      <w:r w:rsidRPr="00EF5551">
        <w:rPr>
          <w:rFonts w:ascii="Arial" w:hAnsi="Arial" w:cs="Arial"/>
          <w:color w:val="000000" w:themeColor="text1"/>
          <w:sz w:val="22"/>
          <w:szCs w:val="22"/>
        </w:rPr>
        <w:t xml:space="preserve">glands were </w:t>
      </w:r>
      <w:r w:rsidRPr="00EF5551">
        <w:rPr>
          <w:rFonts w:ascii="Arial" w:hAnsi="Arial" w:cs="Arial"/>
          <w:color w:val="000000" w:themeColor="text1"/>
          <w:sz w:val="22"/>
          <w:szCs w:val="22"/>
        </w:rPr>
        <w:lastRenderedPageBreak/>
        <w:t xml:space="preserve">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3E28DBCC"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dams. </w:t>
      </w:r>
      <w:del w:id="78" w:author="Dave Bridges" w:date="2021-06-16T11:40:00Z">
        <w:r w:rsidRPr="002F2B63" w:rsidDel="004D2A06">
          <w:rPr>
            <w:rFonts w:ascii="Arial" w:hAnsi="Arial" w:cs="Arial"/>
            <w:color w:val="000000" w:themeColor="text1"/>
            <w:sz w:val="22"/>
            <w:szCs w:val="22"/>
            <w:highlight w:val="yellow"/>
          </w:rPr>
          <w:delText>Briefly</w:delText>
        </w:r>
      </w:del>
      <w:ins w:id="79" w:author="Dave Bridges" w:date="2021-06-16T11:40:00Z">
        <w:r w:rsidR="004D2A06">
          <w:rPr>
            <w:rFonts w:ascii="Arial" w:hAnsi="Arial" w:cs="Arial"/>
            <w:color w:val="000000" w:themeColor="text1"/>
            <w:sz w:val="22"/>
            <w:szCs w:val="22"/>
            <w:highlight w:val="yellow"/>
          </w:rPr>
          <w:t>To do this</w:t>
        </w:r>
      </w:ins>
      <w:r w:rsidRPr="002F2B63">
        <w:rPr>
          <w:rFonts w:ascii="Arial" w:hAnsi="Arial" w:cs="Arial"/>
          <w:color w:val="000000" w:themeColor="text1"/>
          <w:sz w:val="22"/>
          <w:szCs w:val="22"/>
          <w:highlight w:val="yellow"/>
        </w:rPr>
        <w:t xml:space="preserve">, after two hours of separation from the </w:t>
      </w:r>
      <w:r w:rsidR="00A12BAB" w:rsidRPr="002F2B63">
        <w:rPr>
          <w:rFonts w:ascii="Arial" w:hAnsi="Arial" w:cs="Arial"/>
          <w:color w:val="000000" w:themeColor="text1"/>
          <w:sz w:val="22"/>
          <w:szCs w:val="22"/>
          <w:highlight w:val="yellow"/>
        </w:rPr>
        <w:t>offspring</w:t>
      </w:r>
      <w:r w:rsidR="001E6A10" w:rsidRPr="002F2B63">
        <w:rPr>
          <w:rFonts w:ascii="Arial" w:hAnsi="Arial" w:cs="Arial"/>
          <w:color w:val="000000" w:themeColor="text1"/>
          <w:sz w:val="22"/>
          <w:szCs w:val="22"/>
          <w:highlight w:val="yellow"/>
        </w:rPr>
        <w:t>, we anesthetized the dam</w:t>
      </w:r>
      <w:r w:rsidR="00A12BAB" w:rsidRPr="002F2B63">
        <w:rPr>
          <w:rFonts w:ascii="Arial" w:hAnsi="Arial" w:cs="Arial"/>
          <w:color w:val="000000" w:themeColor="text1"/>
          <w:sz w:val="22"/>
          <w:szCs w:val="22"/>
          <w:highlight w:val="yellow"/>
        </w:rPr>
        <w:t xml:space="preserve"> </w:t>
      </w:r>
      <w:r w:rsidRPr="002F2B63">
        <w:rPr>
          <w:rFonts w:ascii="Arial" w:hAnsi="Arial" w:cs="Arial"/>
          <w:color w:val="000000" w:themeColor="text1"/>
          <w:sz w:val="22"/>
          <w:szCs w:val="22"/>
          <w:highlight w:val="yellow"/>
        </w:rPr>
        <w:t>by intra</w:t>
      </w:r>
      <w:r w:rsidR="00AE5122" w:rsidRPr="002F2B63">
        <w:rPr>
          <w:rFonts w:ascii="Arial" w:hAnsi="Arial" w:cs="Arial"/>
          <w:color w:val="000000" w:themeColor="text1"/>
          <w:sz w:val="22"/>
          <w:szCs w:val="22"/>
          <w:highlight w:val="yellow"/>
        </w:rPr>
        <w:t>muscular</w:t>
      </w:r>
      <w:r w:rsidRPr="002F2B63">
        <w:rPr>
          <w:rFonts w:ascii="Arial" w:hAnsi="Arial" w:cs="Arial"/>
          <w:color w:val="000000" w:themeColor="text1"/>
          <w:sz w:val="22"/>
          <w:szCs w:val="22"/>
          <w:highlight w:val="yellow"/>
        </w:rPr>
        <w:t xml:space="preserve"> injection of Ketamine</w:t>
      </w:r>
      <w:r w:rsidR="000926AF" w:rsidRPr="002F2B63">
        <w:rPr>
          <w:rFonts w:ascii="Arial" w:hAnsi="Arial" w:cs="Arial"/>
          <w:color w:val="000000" w:themeColor="text1"/>
          <w:sz w:val="22"/>
          <w:szCs w:val="22"/>
          <w:highlight w:val="yellow"/>
        </w:rPr>
        <w:t>/</w:t>
      </w:r>
      <w:r w:rsidR="00C223F9" w:rsidRPr="002F2B63">
        <w:rPr>
          <w:rFonts w:ascii="Arial" w:hAnsi="Arial" w:cs="Arial"/>
          <w:color w:val="000000" w:themeColor="text1"/>
          <w:sz w:val="22"/>
          <w:szCs w:val="22"/>
          <w:highlight w:val="yellow"/>
        </w:rPr>
        <w:t>X</w:t>
      </w:r>
      <w:r w:rsidR="000926AF" w:rsidRPr="002F2B63">
        <w:rPr>
          <w:rFonts w:ascii="Arial" w:hAnsi="Arial" w:cs="Arial"/>
          <w:color w:val="000000" w:themeColor="text1"/>
          <w:sz w:val="22"/>
          <w:szCs w:val="22"/>
          <w:highlight w:val="yellow"/>
        </w:rPr>
        <w:t>ylazine</w:t>
      </w:r>
      <w:r w:rsidRPr="002F2B63">
        <w:rPr>
          <w:rFonts w:ascii="Arial" w:hAnsi="Arial" w:cs="Arial"/>
          <w:color w:val="000000" w:themeColor="text1"/>
          <w:sz w:val="22"/>
          <w:szCs w:val="22"/>
          <w:highlight w:val="yellow"/>
        </w:rPr>
        <w:t xml:space="preserve"> (0.1275g/kg body weight)</w:t>
      </w:r>
      <w:r w:rsidR="005A1E1E" w:rsidRPr="002F2B63">
        <w:rPr>
          <w:rFonts w:ascii="Arial" w:hAnsi="Arial" w:cs="Arial"/>
          <w:color w:val="000000" w:themeColor="text1"/>
          <w:sz w:val="22"/>
          <w:szCs w:val="22"/>
          <w:highlight w:val="yellow"/>
        </w:rPr>
        <w:t xml:space="preserve"> into the hindleg</w:t>
      </w:r>
      <w:r w:rsidR="00041D18" w:rsidRPr="002F2B63">
        <w:rPr>
          <w:rFonts w:ascii="Arial" w:hAnsi="Arial" w:cs="Arial"/>
          <w:color w:val="000000" w:themeColor="text1"/>
          <w:sz w:val="22"/>
          <w:szCs w:val="22"/>
          <w:highlight w:val="yellow"/>
        </w:rPr>
        <w:t xml:space="preserve"> muscle</w:t>
      </w:r>
      <w:r w:rsidRPr="00EF5551">
        <w:rPr>
          <w:rFonts w:ascii="Arial" w:hAnsi="Arial" w:cs="Arial"/>
          <w:color w:val="000000" w:themeColor="text1"/>
          <w:sz w:val="22"/>
          <w:szCs w:val="22"/>
        </w:rPr>
        <w:t>.</w:t>
      </w:r>
      <w:r w:rsidR="008A330F">
        <w:rPr>
          <w:rFonts w:ascii="Arial" w:hAnsi="Arial" w:cs="Arial"/>
          <w:color w:val="000000" w:themeColor="text1"/>
          <w:sz w:val="22"/>
          <w:szCs w:val="22"/>
        </w:rPr>
        <w:t xml:space="preserve"> </w:t>
      </w:r>
      <w:r w:rsidR="0036079C">
        <w:rPr>
          <w:rFonts w:ascii="Arial" w:hAnsi="Arial" w:cs="Arial"/>
          <w:color w:val="000000" w:themeColor="text1"/>
          <w:sz w:val="22"/>
          <w:szCs w:val="22"/>
        </w:rPr>
        <w:t xml:space="preserve">Once the dam was </w:t>
      </w:r>
      <w:r w:rsidR="008A330F">
        <w:rPr>
          <w:rFonts w:ascii="Arial" w:hAnsi="Arial" w:cs="Arial"/>
          <w:color w:val="000000" w:themeColor="text1"/>
          <w:sz w:val="22"/>
          <w:szCs w:val="22"/>
        </w:rPr>
        <w:t xml:space="preserve">fully </w:t>
      </w:r>
      <w:r w:rsidR="0036079C">
        <w:rPr>
          <w:rFonts w:ascii="Arial" w:hAnsi="Arial" w:cs="Arial"/>
          <w:color w:val="000000" w:themeColor="text1"/>
          <w:sz w:val="22"/>
          <w:szCs w:val="22"/>
        </w:rPr>
        <w:t>an</w:t>
      </w:r>
      <w:r w:rsidR="008A330F">
        <w:rPr>
          <w:rFonts w:ascii="Arial" w:hAnsi="Arial" w:cs="Arial"/>
          <w:color w:val="000000" w:themeColor="text1"/>
          <w:sz w:val="22"/>
          <w:szCs w:val="22"/>
        </w:rPr>
        <w:t>esthetized, w</w:t>
      </w:r>
      <w:r w:rsidRPr="00EF5551">
        <w:rPr>
          <w:rFonts w:ascii="Arial" w:hAnsi="Arial" w:cs="Arial"/>
          <w:color w:val="000000" w:themeColor="text1"/>
          <w:sz w:val="22"/>
          <w:szCs w:val="22"/>
        </w:rPr>
        <w:t>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(2U/dam)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xml:space="preserve">. The dam’s nipples were manually squeezed to promote milk </w:t>
      </w:r>
      <w:r w:rsidR="0089718E">
        <w:rPr>
          <w:rFonts w:ascii="Arial" w:hAnsi="Arial" w:cs="Arial"/>
          <w:color w:val="000000" w:themeColor="text1"/>
          <w:sz w:val="22"/>
          <w:szCs w:val="22"/>
        </w:rPr>
        <w:t>secretion</w:t>
      </w:r>
      <w:r w:rsidRPr="00EF5551">
        <w:rPr>
          <w:rFonts w:ascii="Arial" w:hAnsi="Arial" w:cs="Arial"/>
          <w:color w:val="000000" w:themeColor="text1"/>
          <w:sz w:val="22"/>
          <w:szCs w:val="22"/>
        </w:rPr>
        <w:t>,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suction</w:t>
      </w:r>
      <w:r w:rsidR="008A330F">
        <w:rPr>
          <w:rFonts w:ascii="Arial" w:hAnsi="Arial" w:cs="Arial"/>
          <w:color w:val="000000" w:themeColor="text1"/>
          <w:sz w:val="22"/>
          <w:szCs w:val="22"/>
        </w:rPr>
        <w:t xml:space="preserve"> </w:t>
      </w:r>
      <w:r w:rsidR="008A330F" w:rsidRPr="008A330F">
        <w:rPr>
          <w:rFonts w:ascii="Arial" w:hAnsi="Arial" w:cs="Arial"/>
          <w:color w:val="000000" w:themeColor="text1"/>
          <w:sz w:val="22"/>
          <w:szCs w:val="22"/>
          <w:highlight w:val="yellow"/>
        </w:rPr>
        <w:t>using a 50mL conical vacuum apparatus</w:t>
      </w:r>
      <w:r w:rsidRPr="008A330F">
        <w:rPr>
          <w:rFonts w:ascii="Arial" w:hAnsi="Arial" w:cs="Arial"/>
          <w:color w:val="000000" w:themeColor="text1"/>
          <w:sz w:val="22"/>
          <w:szCs w:val="22"/>
          <w:highlight w:val="yellow"/>
        </w:rPr>
        <w:t>.</w:t>
      </w:r>
      <w:r w:rsidRPr="00EF5551">
        <w:rPr>
          <w:rFonts w:ascii="Arial" w:hAnsi="Arial" w:cs="Arial"/>
          <w:color w:val="000000" w:themeColor="text1"/>
          <w:sz w:val="22"/>
          <w:szCs w:val="22"/>
        </w:rPr>
        <w:t xml:space="preserve">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using isoflurane</w:t>
      </w:r>
      <w:r w:rsidR="0089718E">
        <w:rPr>
          <w:rFonts w:ascii="Arial" w:hAnsi="Arial" w:cs="Arial"/>
          <w:color w:val="000000" w:themeColor="text1"/>
          <w:sz w:val="22"/>
          <w:szCs w:val="22"/>
        </w:rPr>
        <w:t xml:space="preserve"> and the mammary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2F86321E"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and KO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F101F5">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4F9FCDE3" w:rsidR="00C375C2" w:rsidRPr="00F101F5" w:rsidRDefault="00790E70" w:rsidP="00D12017">
      <w:pPr>
        <w:rPr>
          <w:rFonts w:ascii="Arial" w:hAnsi="Arial" w:cs="Arial"/>
          <w:noProof/>
          <w:sz w:val="22"/>
          <w:szCs w:val="22"/>
          <w:rPrChange w:id="80" w:author="Dave Bridges" w:date="2021-06-16T11:45:00Z">
            <w:rPr/>
          </w:rPrChange>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957BC4">
        <w:rPr>
          <w:rFonts w:ascii="Arial" w:hAnsi="Arial" w:cs="Arial"/>
          <w:color w:val="000000" w:themeColor="text1"/>
          <w:sz w:val="22"/>
          <w:szCs w:val="22"/>
        </w:rPr>
        <w:t>WT</w:t>
      </w:r>
      <w:r w:rsidR="007C3FF7" w:rsidRPr="00CE0941">
        <w:rPr>
          <w:rFonts w:ascii="Arial" w:hAnsi="Arial" w:cs="Arial"/>
          <w:color w:val="000000" w:themeColor="text1"/>
          <w:sz w:val="22"/>
          <w:szCs w:val="22"/>
        </w:rPr>
        <w:t xml:space="preserve"> and six </w:t>
      </w:r>
      <w:r w:rsidR="00957BC4">
        <w:rPr>
          <w:rFonts w:ascii="Arial" w:hAnsi="Arial" w:cs="Arial"/>
          <w:color w:val="000000" w:themeColor="text1"/>
          <w:sz w:val="22"/>
          <w:szCs w:val="22"/>
        </w:rPr>
        <w:t>KO</w:t>
      </w:r>
      <w:r w:rsidR="007C3FF7" w:rsidRPr="00CE0941">
        <w:rPr>
          <w:rFonts w:ascii="Arial" w:hAnsi="Arial" w:cs="Arial"/>
          <w:color w:val="000000" w:themeColor="text1"/>
          <w:sz w:val="22"/>
          <w:szCs w:val="22"/>
        </w:rPr>
        <w:t xml:space="preserve">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ins w:id="81" w:author="Dave Bridges" w:date="2021-06-16T11:46:00Z">
        <w:r w:rsidR="00F101F5">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RRID:SCR_017036; 29)","plainTextFormattedCitation":"(29)","previouslyFormattedCitation":"(29)"},"properties":{"noteIndex":0},"schema":"https://github.com/citation-style-language/schema/raw/master/csl-citation.json"}</w:instrText>
        </w:r>
      </w:ins>
      <w:del w:id="82" w:author="Dave Bridges" w:date="2021-06-16T11:46:00Z">
        <w:r w:rsidR="00DA5A67" w:rsidDel="00F101F5">
          <w:rPr>
            <w:rFonts w:ascii="Arial" w:hAnsi="Arial" w:cs="Arial"/>
            <w:sz w:val="22"/>
            <w:szCs w:val="22"/>
          </w:rPr>
          <w:del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delInstrText>
        </w:r>
      </w:del>
      <w:r w:rsidR="000300D1" w:rsidRPr="009629D6">
        <w:rPr>
          <w:rFonts w:ascii="Arial" w:hAnsi="Arial" w:cs="Arial"/>
          <w:sz w:val="22"/>
          <w:szCs w:val="22"/>
        </w:rPr>
        <w:fldChar w:fldCharType="separate"/>
      </w:r>
      <w:r w:rsidR="00F36FA6" w:rsidRPr="00F36FA6">
        <w:rPr>
          <w:rFonts w:ascii="Arial" w:hAnsi="Arial" w:cs="Arial"/>
          <w:noProof/>
          <w:sz w:val="22"/>
          <w:szCs w:val="22"/>
        </w:rPr>
        <w:t>(</w:t>
      </w:r>
      <w:ins w:id="83" w:author="Dave Bridges" w:date="2021-06-16T11:45:00Z">
        <w:r w:rsidR="00F101F5" w:rsidRPr="00F101F5">
          <w:rPr>
            <w:rFonts w:ascii="Arial" w:hAnsi="Arial" w:cs="Arial"/>
            <w:bCs/>
            <w:noProof/>
            <w:color w:val="000000" w:themeColor="text1"/>
            <w:sz w:val="22"/>
            <w:szCs w:val="22"/>
            <w:rPrChange w:id="84" w:author="Dave Bridges" w:date="2021-06-16T11:46:00Z">
              <w:rPr>
                <w:rFonts w:ascii="Arial" w:hAnsi="Arial" w:cs="Arial"/>
                <w:b/>
                <w:bCs/>
                <w:noProof/>
                <w:sz w:val="22"/>
                <w:szCs w:val="22"/>
              </w:rPr>
            </w:rPrChange>
          </w:rPr>
          <w:t>RRID:SCR_017036</w:t>
        </w:r>
        <w:r w:rsidR="00F101F5" w:rsidRPr="00F101F5">
          <w:rPr>
            <w:rFonts w:ascii="Arial" w:hAnsi="Arial" w:cs="Arial"/>
            <w:noProof/>
            <w:color w:val="000000" w:themeColor="text1"/>
            <w:sz w:val="22"/>
            <w:szCs w:val="22"/>
            <w:rPrChange w:id="85" w:author="Dave Bridges" w:date="2021-06-16T11:46:00Z">
              <w:rPr>
                <w:rFonts w:ascii="Arial" w:hAnsi="Arial" w:cs="Arial"/>
                <w:noProof/>
                <w:sz w:val="22"/>
                <w:szCs w:val="22"/>
              </w:rPr>
            </w:rPrChange>
          </w:rPr>
          <w:t>;</w:t>
        </w:r>
        <w:r w:rsidR="00F101F5" w:rsidRPr="00F101F5">
          <w:rPr>
            <w:rFonts w:ascii="Arial" w:hAnsi="Arial" w:cs="Arial"/>
            <w:noProof/>
            <w:sz w:val="22"/>
            <w:szCs w:val="22"/>
          </w:rPr>
          <w:t xml:space="preserve"> </w:t>
        </w:r>
      </w:ins>
      <w:r w:rsidR="00F36FA6" w:rsidRPr="00F36FA6">
        <w:rPr>
          <w:rFonts w:ascii="Arial" w:hAnsi="Arial" w:cs="Arial"/>
          <w:noProof/>
          <w:sz w:val="22"/>
          <w:szCs w:val="22"/>
        </w:rPr>
        <w:t>29)</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lastRenderedPageBreak/>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F101F5">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del w:id="86" w:author="Dave Bridges" w:date="2021-06-16T11:42:00Z">
        <w:r w:rsidR="00BD0A0D" w:rsidRPr="009629D6" w:rsidDel="00A71107">
          <w:rPr>
            <w:rFonts w:ascii="Arial" w:hAnsi="Arial" w:cs="Arial"/>
            <w:sz w:val="22"/>
            <w:szCs w:val="22"/>
          </w:rPr>
          <w:delText xml:space="preserve">, identifying </w:delText>
        </w:r>
        <w:commentRangeStart w:id="87"/>
        <w:r w:rsidR="00BD0A0D" w:rsidRPr="009629D6" w:rsidDel="00A71107">
          <w:rPr>
            <w:rFonts w:ascii="Arial" w:hAnsi="Arial" w:cs="Arial"/>
            <w:sz w:val="22"/>
            <w:szCs w:val="22"/>
          </w:rPr>
          <w:delText xml:space="preserve">265 </w:delText>
        </w:r>
        <w:r w:rsidR="00572314" w:rsidDel="00A71107">
          <w:rPr>
            <w:rFonts w:ascii="Arial" w:hAnsi="Arial" w:cs="Arial"/>
            <w:sz w:val="22"/>
            <w:szCs w:val="22"/>
          </w:rPr>
          <w:delText>DEGs</w:delText>
        </w:r>
        <w:r w:rsidR="00A47D44" w:rsidRPr="009629D6" w:rsidDel="00A71107">
          <w:rPr>
            <w:rFonts w:ascii="Arial" w:hAnsi="Arial" w:cs="Arial"/>
            <w:sz w:val="22"/>
            <w:szCs w:val="22"/>
          </w:rPr>
          <w:delText xml:space="preserve"> </w:delText>
        </w:r>
        <w:commentRangeEnd w:id="87"/>
        <w:r w:rsidR="00957BC4" w:rsidDel="00A71107">
          <w:rPr>
            <w:rStyle w:val="CommentReference"/>
          </w:rPr>
          <w:commentReference w:id="87"/>
        </w:r>
        <w:r w:rsidR="00A47D44" w:rsidRPr="009629D6" w:rsidDel="00A71107">
          <w:rPr>
            <w:rFonts w:ascii="Arial" w:hAnsi="Arial" w:cs="Arial"/>
            <w:sz w:val="22"/>
            <w:szCs w:val="22"/>
          </w:rPr>
          <w:delText>(q&lt;0.05)</w:delText>
        </w:r>
      </w:del>
      <w:r w:rsidR="00A47D44" w:rsidRPr="009629D6">
        <w:rPr>
          <w:rFonts w:ascii="Arial" w:hAnsi="Arial" w:cs="Arial"/>
          <w:sz w:val="22"/>
          <w:szCs w:val="22"/>
        </w:rPr>
        <w:t xml:space="preserve">.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ins w:id="88" w:author="Dave Bridges" w:date="2021-06-16T11:47:00Z">
        <w:r w:rsidR="00D12017">
          <w:rPr>
            <w:rFonts w:ascii="Arial" w:hAnsi="Arial" w:cs="Arial"/>
            <w:sz w:val="22"/>
            <w:szCs w:val="22"/>
          </w:rPr>
          <w:t xml:space="preserve"> </w:t>
        </w:r>
      </w:ins>
      <w:del w:id="89" w:author="Dave Bridges" w:date="2021-06-16T11:47:00Z">
        <w:r w:rsidR="00A47D44" w:rsidRPr="009629D6" w:rsidDel="00D12017">
          <w:rPr>
            <w:rFonts w:ascii="Arial" w:hAnsi="Arial" w:cs="Arial"/>
            <w:sz w:val="22"/>
            <w:szCs w:val="22"/>
          </w:rPr>
          <w:delText xml:space="preserve"> </w:delText>
        </w:r>
      </w:del>
      <w:ins w:id="90" w:author="Dave Bridges" w:date="2021-06-16T11:47:00Z">
        <w:r w:rsidR="00D12017" w:rsidRPr="00D12017">
          <w:rPr>
            <w:rFonts w:ascii="Arial" w:hAnsi="Arial" w:cs="Arial"/>
            <w:bCs/>
            <w:sz w:val="22"/>
            <w:szCs w:val="22"/>
            <w:rPrChange w:id="91" w:author="Dave Bridges" w:date="2021-06-16T11:47:00Z">
              <w:rPr>
                <w:rFonts w:ascii="Arial" w:hAnsi="Arial" w:cs="Arial"/>
                <w:b/>
                <w:bCs/>
                <w:sz w:val="22"/>
                <w:szCs w:val="22"/>
              </w:rPr>
            </w:rPrChange>
          </w:rPr>
          <w:t>RRID:SCR_</w:t>
        </w:r>
        <w:commentRangeStart w:id="92"/>
        <w:r w:rsidR="00D12017" w:rsidRPr="00D12017">
          <w:rPr>
            <w:rFonts w:ascii="Arial" w:hAnsi="Arial" w:cs="Arial"/>
            <w:bCs/>
            <w:sz w:val="22"/>
            <w:szCs w:val="22"/>
            <w:rPrChange w:id="93" w:author="Dave Bridges" w:date="2021-06-16T11:47:00Z">
              <w:rPr>
                <w:rFonts w:ascii="Arial" w:hAnsi="Arial" w:cs="Arial"/>
                <w:b/>
                <w:bCs/>
                <w:sz w:val="22"/>
                <w:szCs w:val="22"/>
              </w:rPr>
            </w:rPrChange>
          </w:rPr>
          <w:t>016884</w:t>
        </w:r>
      </w:ins>
      <w:commentRangeEnd w:id="92"/>
      <w:ins w:id="94" w:author="Dave Bridges" w:date="2021-06-16T11:48:00Z">
        <w:r w:rsidR="00D12017">
          <w:rPr>
            <w:rStyle w:val="CommentReference"/>
          </w:rPr>
          <w:commentReference w:id="92"/>
        </w:r>
      </w:ins>
      <w:ins w:id="95" w:author="Dave Bridges" w:date="2021-06-16T11:47:00Z">
        <w:r w:rsidR="00D12017" w:rsidRPr="00D12017">
          <w:rPr>
            <w:rFonts w:ascii="Arial" w:hAnsi="Arial" w:cs="Arial"/>
            <w:sz w:val="22"/>
            <w:szCs w:val="22"/>
          </w:rPr>
          <w:t xml:space="preserve"> </w:t>
        </w:r>
      </w:ins>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29F3FE18"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w:t>
      </w:r>
      <w:del w:id="96" w:author="Dave Bridges" w:date="2021-06-16T11:42:00Z">
        <w:r w:rsidR="00CA7667" w:rsidDel="00F101F5">
          <w:rPr>
            <w:rFonts w:ascii="Arial" w:eastAsia="Times New Roman" w:hAnsi="Arial" w:cs="Arial"/>
            <w:color w:val="000000"/>
            <w:sz w:val="22"/>
            <w:szCs w:val="22"/>
          </w:rPr>
          <w:delText xml:space="preserve">10x </w:delText>
        </w:r>
      </w:del>
      <w:r w:rsidR="00CA7667">
        <w:rPr>
          <w:rFonts w:ascii="Arial" w:eastAsia="Times New Roman" w:hAnsi="Arial" w:cs="Arial"/>
          <w:color w:val="000000"/>
          <w:sz w:val="22"/>
          <w:szCs w:val="22"/>
        </w:rPr>
        <w:t>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F101F5">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(33)","plainTextFormattedCitation":"(33)","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F36FA6" w:rsidRPr="00F36FA6">
        <w:rPr>
          <w:rFonts w:ascii="Arial" w:eastAsia="Times New Roman" w:hAnsi="Arial" w:cs="Arial"/>
          <w:noProof/>
          <w:color w:val="000000"/>
          <w:sz w:val="22"/>
          <w:szCs w:val="22"/>
        </w:rPr>
        <w:t>(33)</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w:t>
      </w:r>
      <w:del w:id="97" w:author="Dave Bridges" w:date="2021-06-16T11:42:00Z">
        <w:r w:rsidR="00ED7393" w:rsidDel="00F101F5">
          <w:rPr>
            <w:rFonts w:ascii="Arial" w:eastAsia="Times New Roman" w:hAnsi="Arial" w:cs="Arial"/>
            <w:color w:val="000000"/>
            <w:sz w:val="22"/>
            <w:szCs w:val="22"/>
          </w:rPr>
          <w:delText xml:space="preserve"> 20</w:delText>
        </w:r>
        <w:r w:rsidR="003A51B3" w:rsidDel="00F101F5">
          <w:rPr>
            <w:rFonts w:ascii="Arial" w:eastAsia="Times New Roman" w:hAnsi="Arial" w:cs="Arial"/>
            <w:color w:val="000000"/>
            <w:sz w:val="22"/>
            <w:szCs w:val="22"/>
          </w:rPr>
          <w:delText>-</w:delText>
        </w:r>
        <w:r w:rsidR="00ED7393" w:rsidDel="00F101F5">
          <w:rPr>
            <w:rFonts w:ascii="Arial" w:eastAsia="Times New Roman" w:hAnsi="Arial" w:cs="Arial"/>
            <w:color w:val="000000"/>
            <w:sz w:val="22"/>
            <w:szCs w:val="22"/>
          </w:rPr>
          <w:delText>pixel</w:delText>
        </w:r>
      </w:del>
      <w:r w:rsidR="00ED7393">
        <w:rPr>
          <w:rFonts w:ascii="Arial" w:eastAsia="Times New Roman" w:hAnsi="Arial" w:cs="Arial"/>
          <w:color w:val="000000"/>
          <w:sz w:val="22"/>
          <w:szCs w:val="22"/>
        </w:rPr>
        <w:t xml:space="preserve"> threshold </w:t>
      </w:r>
      <w:proofErr w:type="gramStart"/>
      <w:r w:rsidR="00ED7393">
        <w:rPr>
          <w:rFonts w:ascii="Arial" w:eastAsia="Times New Roman" w:hAnsi="Arial" w:cs="Arial"/>
          <w:color w:val="000000"/>
          <w:sz w:val="22"/>
          <w:szCs w:val="22"/>
        </w:rPr>
        <w:t>were</w:t>
      </w:r>
      <w:proofErr w:type="gramEnd"/>
      <w:r w:rsidR="00ED7393">
        <w:rPr>
          <w:rFonts w:ascii="Arial" w:eastAsia="Times New Roman" w:hAnsi="Arial" w:cs="Arial"/>
          <w:color w:val="000000"/>
          <w:sz w:val="22"/>
          <w:szCs w:val="22"/>
        </w:rPr>
        <w:t xml:space="preserv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6A6D71AE"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{"citationItems":[{"id":"ITEM-1","itemData":{"id":"ITEM-1","issued":{"date-parts":[["0"]]},"title":"R: The R Project for Statistical Computing","type":"webpage"},"uris":["http://www.mendeley.com/documents/?uuid=50aa8eb0-8e01-4963-bb5c-af43adcf215b"]}],"mendeley":{"formattedCitation":"(34)","plainTextFormattedCitation":"(34)","previouslyFormattedCitation":"(34)"},"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F36FA6" w:rsidRPr="00B04202">
        <w:rPr>
          <w:rFonts w:ascii="Arial" w:hAnsi="Arial" w:cs="Arial"/>
          <w:noProof/>
          <w:color w:val="000000" w:themeColor="text1"/>
          <w:sz w:val="22"/>
          <w:szCs w:val="22"/>
        </w:rPr>
        <w:t>(34)</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F101F5">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e-prints","id":"ITEM-1","issued":{"date-parts":[["2014","6"]]},"title":"No Title","type":"article-journal","volume":"arXiv:1406"},"uris":["http://www.mendeley.com/documents/?uuid=cf71ade7-5aac-40c7-814f-3f30a7e1c817","http://www.mendeley.com/documents/?uuid=58ae5c33-1d66-4732-bbbb-e7a1a123ad0f"]}],"mendeley":{"formattedCitation":"(35)","plainTextFormattedCitation":"(35)","previouslyFormattedCitation":"(35)"},"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F36FA6" w:rsidRPr="00B04202">
        <w:rPr>
          <w:rFonts w:ascii="Arial" w:hAnsi="Arial" w:cs="Arial"/>
          <w:bCs/>
          <w:noProof/>
          <w:color w:val="000000" w:themeColor="text1"/>
          <w:sz w:val="22"/>
          <w:szCs w:val="22"/>
        </w:rPr>
        <w:t>(35)</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2BA3244"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del w:id="98" w:author="Dave Bridges" w:date="2021-06-16T11:49:00Z">
        <w:r w:rsidR="00BD5ABB" w:rsidDel="00530072">
          <w:rPr>
            <w:rFonts w:ascii="Arial" w:eastAsia="MS PMincho" w:hAnsi="Arial" w:cs="Arial"/>
            <w:bCs/>
            <w:color w:val="000000" w:themeColor="text1"/>
            <w:sz w:val="22"/>
            <w:szCs w:val="22"/>
          </w:rPr>
          <w:delText>WT</w:delText>
        </w:r>
        <w:r w:rsidR="00853EA7" w:rsidDel="00530072">
          <w:rPr>
            <w:rFonts w:ascii="Arial" w:eastAsia="MS PMincho" w:hAnsi="Arial" w:cs="Arial"/>
            <w:bCs/>
            <w:color w:val="000000" w:themeColor="text1"/>
            <w:sz w:val="22"/>
            <w:szCs w:val="22"/>
          </w:rPr>
          <w:delText xml:space="preserve"> </w:delText>
        </w:r>
      </w:del>
      <w:ins w:id="99" w:author="Dave Bridges" w:date="2021-06-16T11:49:00Z">
        <w:r w:rsidR="00530072">
          <w:rPr>
            <w:rFonts w:ascii="Arial" w:eastAsia="MS PMincho" w:hAnsi="Arial" w:cs="Arial"/>
            <w:bCs/>
            <w:color w:val="000000" w:themeColor="text1"/>
            <w:sz w:val="22"/>
            <w:szCs w:val="22"/>
          </w:rPr>
          <w:t xml:space="preserve">wild-type </w:t>
        </w:r>
      </w:ins>
      <w:del w:id="100" w:author="Dave Bridges" w:date="2021-06-16T11:49:00Z">
        <w:r w:rsidR="00853EA7" w:rsidDel="00530072">
          <w:rPr>
            <w:rFonts w:ascii="Arial" w:eastAsia="MS PMincho" w:hAnsi="Arial" w:cs="Arial"/>
            <w:bCs/>
            <w:color w:val="000000" w:themeColor="text1"/>
            <w:sz w:val="22"/>
            <w:szCs w:val="22"/>
          </w:rPr>
          <w:delText>(</w:delText>
        </w:r>
        <w:r w:rsidR="00853EA7" w:rsidDel="00530072">
          <w:rPr>
            <w:rFonts w:ascii="Arial" w:eastAsia="MS PMincho" w:hAnsi="Arial" w:cs="Arial"/>
            <w:bCs/>
            <w:i/>
            <w:color w:val="000000" w:themeColor="text1"/>
            <w:sz w:val="22"/>
            <w:szCs w:val="22"/>
          </w:rPr>
          <w:delText>Tsc1</w:delText>
        </w:r>
        <w:r w:rsidR="00853EA7" w:rsidDel="00530072">
          <w:rPr>
            <w:rFonts w:ascii="Arial" w:eastAsia="MS PMincho" w:hAnsi="Arial" w:cs="Arial"/>
            <w:bCs/>
            <w:i/>
            <w:color w:val="000000" w:themeColor="text1"/>
            <w:sz w:val="22"/>
            <w:szCs w:val="22"/>
            <w:vertAlign w:val="superscript"/>
          </w:rPr>
          <w:delText>fl/fl</w:delText>
        </w:r>
        <w:r w:rsidR="00853EA7" w:rsidDel="00530072">
          <w:rPr>
            <w:rFonts w:ascii="Arial" w:eastAsia="MS PMincho" w:hAnsi="Arial" w:cs="Arial"/>
            <w:bCs/>
            <w:i/>
            <w:color w:val="000000" w:themeColor="text1"/>
            <w:sz w:val="22"/>
            <w:szCs w:val="22"/>
          </w:rPr>
          <w:delText>; Adipoq-</w:delText>
        </w:r>
        <w:r w:rsidR="00FD4C10" w:rsidDel="00530072">
          <w:rPr>
            <w:rFonts w:ascii="Arial" w:eastAsia="MS PMincho" w:hAnsi="Arial" w:cs="Arial"/>
            <w:bCs/>
            <w:i/>
            <w:color w:val="000000" w:themeColor="text1"/>
            <w:sz w:val="22"/>
            <w:szCs w:val="22"/>
          </w:rPr>
          <w:delText>Cre</w:delText>
        </w:r>
        <w:r w:rsidR="00FD4C10" w:rsidDel="00530072">
          <w:rPr>
            <w:rFonts w:ascii="Arial" w:eastAsia="MS PMincho" w:hAnsi="Arial" w:cs="Arial"/>
            <w:bCs/>
            <w:i/>
            <w:color w:val="000000" w:themeColor="text1"/>
            <w:sz w:val="22"/>
            <w:szCs w:val="22"/>
            <w:vertAlign w:val="superscript"/>
          </w:rPr>
          <w:delText>+</w:delText>
        </w:r>
        <w:r w:rsidR="00853EA7" w:rsidDel="00530072">
          <w:rPr>
            <w:rFonts w:ascii="Arial" w:eastAsia="MS PMincho" w:hAnsi="Arial" w:cs="Arial"/>
            <w:bCs/>
            <w:i/>
            <w:color w:val="000000" w:themeColor="text1"/>
            <w:sz w:val="22"/>
            <w:szCs w:val="22"/>
            <w:vertAlign w:val="superscript"/>
          </w:rPr>
          <w:delText>/+</w:delText>
        </w:r>
        <w:r w:rsidR="00853EA7" w:rsidRPr="00127348" w:rsidDel="00530072">
          <w:rPr>
            <w:rFonts w:ascii="Arial" w:eastAsia="MS PMincho" w:hAnsi="Arial" w:cs="Arial"/>
            <w:bCs/>
            <w:color w:val="000000" w:themeColor="text1"/>
            <w:sz w:val="22"/>
            <w:szCs w:val="22"/>
          </w:rPr>
          <w:delText xml:space="preserve">) </w:delText>
        </w:r>
        <w:r w:rsidR="00E4554E" w:rsidDel="00530072">
          <w:rPr>
            <w:rFonts w:ascii="Arial" w:eastAsia="MS PMincho" w:hAnsi="Arial" w:cs="Arial"/>
            <w:bCs/>
            <w:color w:val="000000" w:themeColor="text1"/>
            <w:sz w:val="22"/>
            <w:szCs w:val="22"/>
          </w:rPr>
          <w:delText>or</w:delText>
        </w:r>
        <w:r w:rsidR="00E4554E" w:rsidDel="00530072">
          <w:rPr>
            <w:rFonts w:ascii="Arial" w:eastAsia="MS PMincho" w:hAnsi="Arial" w:cs="Arial"/>
            <w:bCs/>
            <w:i/>
            <w:color w:val="000000" w:themeColor="text1"/>
            <w:sz w:val="22"/>
            <w:szCs w:val="22"/>
          </w:rPr>
          <w:delText xml:space="preserve"> </w:delText>
        </w:r>
        <w:r w:rsidR="00BD5ABB" w:rsidDel="00530072">
          <w:rPr>
            <w:rFonts w:ascii="Arial" w:eastAsia="MS PMincho" w:hAnsi="Arial" w:cs="Arial"/>
            <w:bCs/>
            <w:color w:val="000000" w:themeColor="text1"/>
            <w:sz w:val="22"/>
            <w:szCs w:val="22"/>
          </w:rPr>
          <w:delText>KO</w:delText>
        </w:r>
        <w:r w:rsidR="00853EA7" w:rsidDel="00530072">
          <w:rPr>
            <w:rFonts w:ascii="Arial" w:eastAsia="MS PMincho" w:hAnsi="Arial" w:cs="Arial"/>
            <w:bCs/>
            <w:i/>
            <w:color w:val="000000" w:themeColor="text1"/>
            <w:sz w:val="22"/>
            <w:szCs w:val="22"/>
          </w:rPr>
          <w:delText xml:space="preserve"> </w:delText>
        </w:r>
        <w:r w:rsidR="00853EA7" w:rsidDel="00530072">
          <w:rPr>
            <w:rFonts w:ascii="Arial" w:eastAsia="MS PMincho" w:hAnsi="Arial" w:cs="Arial"/>
            <w:bCs/>
            <w:color w:val="000000" w:themeColor="text1"/>
            <w:sz w:val="22"/>
            <w:szCs w:val="22"/>
          </w:rPr>
          <w:delText>(</w:delText>
        </w:r>
        <w:r w:rsidR="00853EA7" w:rsidDel="00530072">
          <w:rPr>
            <w:rFonts w:ascii="Arial" w:eastAsia="MS PMincho" w:hAnsi="Arial" w:cs="Arial"/>
            <w:bCs/>
            <w:i/>
            <w:color w:val="000000" w:themeColor="text1"/>
            <w:sz w:val="22"/>
            <w:szCs w:val="22"/>
          </w:rPr>
          <w:delText>Tsc1</w:delText>
        </w:r>
        <w:r w:rsidR="00853EA7" w:rsidDel="00530072">
          <w:rPr>
            <w:rFonts w:ascii="Arial" w:eastAsia="MS PMincho" w:hAnsi="Arial" w:cs="Arial"/>
            <w:bCs/>
            <w:i/>
            <w:color w:val="000000" w:themeColor="text1"/>
            <w:sz w:val="22"/>
            <w:szCs w:val="22"/>
            <w:vertAlign w:val="superscript"/>
          </w:rPr>
          <w:delText>fl/fl</w:delText>
        </w:r>
        <w:r w:rsidR="00853EA7" w:rsidDel="00530072">
          <w:rPr>
            <w:rFonts w:ascii="Arial" w:eastAsia="MS PMincho" w:hAnsi="Arial" w:cs="Arial"/>
            <w:bCs/>
            <w:i/>
            <w:color w:val="000000" w:themeColor="text1"/>
            <w:sz w:val="22"/>
            <w:szCs w:val="22"/>
          </w:rPr>
          <w:delText>; Adipoq-Cre</w:delText>
        </w:r>
        <w:r w:rsidR="00853EA7" w:rsidDel="00530072">
          <w:rPr>
            <w:rFonts w:ascii="Arial" w:eastAsia="MS PMincho" w:hAnsi="Arial" w:cs="Arial"/>
            <w:bCs/>
            <w:i/>
            <w:color w:val="000000" w:themeColor="text1"/>
            <w:sz w:val="22"/>
            <w:szCs w:val="22"/>
            <w:vertAlign w:val="superscript"/>
          </w:rPr>
          <w:delText>Tg/+</w:delText>
        </w:r>
        <w:r w:rsidR="00853EA7" w:rsidRPr="00CF6B0F" w:rsidDel="00530072">
          <w:rPr>
            <w:rFonts w:ascii="Arial" w:eastAsia="MS PMincho" w:hAnsi="Arial" w:cs="Arial"/>
            <w:bCs/>
            <w:color w:val="000000" w:themeColor="text1"/>
            <w:sz w:val="22"/>
            <w:szCs w:val="22"/>
          </w:rPr>
          <w:delText>)</w:delText>
        </w:r>
        <w:r w:rsidR="00853EA7" w:rsidDel="00530072">
          <w:rPr>
            <w:rFonts w:ascii="Arial" w:eastAsia="MS PMincho" w:hAnsi="Arial" w:cs="Arial"/>
            <w:bCs/>
            <w:color w:val="000000" w:themeColor="text1"/>
            <w:sz w:val="22"/>
            <w:szCs w:val="22"/>
          </w:rPr>
          <w:delText>.</w:delText>
        </w:r>
      </w:del>
      <w:ins w:id="101" w:author="Dave Bridges" w:date="2021-06-16T11:49:00Z">
        <w:r w:rsidR="00530072">
          <w:rPr>
            <w:rFonts w:ascii="Arial" w:eastAsia="MS PMincho" w:hAnsi="Arial" w:cs="Arial"/>
            <w:bCs/>
            <w:color w:val="000000" w:themeColor="text1"/>
            <w:sz w:val="22"/>
            <w:szCs w:val="22"/>
          </w:rPr>
          <w:t>or</w:t>
        </w:r>
      </w:ins>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w:t>
      </w:r>
      <w:del w:id="102" w:author="Dave Bridges" w:date="2021-06-16T11:49:00Z">
        <w:r w:rsidR="00E052F8" w:rsidDel="00530072">
          <w:rPr>
            <w:rFonts w:ascii="Arial" w:hAnsi="Arial" w:cs="Arial"/>
            <w:color w:val="000000" w:themeColor="text1"/>
            <w:sz w:val="22"/>
            <w:szCs w:val="22"/>
          </w:rPr>
          <w:delText xml:space="preserve"> </w:delText>
        </w:r>
        <w:r w:rsidR="00511A1A" w:rsidDel="00530072">
          <w:rPr>
            <w:rFonts w:ascii="Arial" w:eastAsia="MS PMincho" w:hAnsi="Arial" w:cs="Arial"/>
            <w:bCs/>
            <w:color w:val="000000" w:themeColor="text1"/>
            <w:sz w:val="22"/>
            <w:szCs w:val="22"/>
          </w:rPr>
          <w:delText>(n=6)</w:delText>
        </w:r>
        <w:r w:rsidR="009F294F" w:rsidDel="00530072">
          <w:rPr>
            <w:rFonts w:ascii="Arial" w:eastAsia="MS PMincho" w:hAnsi="Arial" w:cs="Arial"/>
            <w:bCs/>
            <w:color w:val="000000" w:themeColor="text1"/>
            <w:sz w:val="22"/>
            <w:szCs w:val="22"/>
          </w:rPr>
          <w:delText xml:space="preserve"> </w:delText>
        </w:r>
        <w:r w:rsidR="00E052F8" w:rsidRPr="00EF5551" w:rsidDel="00530072">
          <w:rPr>
            <w:rFonts w:ascii="Arial" w:hAnsi="Arial" w:cs="Arial"/>
            <w:color w:val="000000" w:themeColor="text1"/>
            <w:sz w:val="22"/>
            <w:szCs w:val="22"/>
          </w:rPr>
          <w:delText xml:space="preserve">and </w:delText>
        </w:r>
        <w:r w:rsidR="00E052F8" w:rsidDel="00530072">
          <w:rPr>
            <w:rFonts w:ascii="Arial" w:hAnsi="Arial" w:cs="Arial"/>
            <w:color w:val="000000" w:themeColor="text1"/>
            <w:sz w:val="22"/>
            <w:szCs w:val="22"/>
          </w:rPr>
          <w:delText>wildtype</w:delText>
        </w:r>
        <w:r w:rsidR="00E052F8" w:rsidRPr="00EF5551" w:rsidDel="00530072">
          <w:rPr>
            <w:rFonts w:ascii="Arial" w:hAnsi="Arial" w:cs="Arial"/>
            <w:color w:val="000000" w:themeColor="text1"/>
            <w:sz w:val="22"/>
            <w:szCs w:val="22"/>
          </w:rPr>
          <w:delText xml:space="preserve"> </w:delText>
        </w:r>
        <w:r w:rsidR="00511A1A" w:rsidDel="00530072">
          <w:rPr>
            <w:rFonts w:ascii="Arial" w:eastAsia="MS PMincho" w:hAnsi="Arial" w:cs="Arial"/>
            <w:bCs/>
            <w:color w:val="000000" w:themeColor="text1"/>
            <w:sz w:val="22"/>
            <w:szCs w:val="22"/>
          </w:rPr>
          <w:delText>(n=5)</w:delText>
        </w:r>
        <w:r w:rsidR="009F294F" w:rsidDel="00530072">
          <w:rPr>
            <w:rFonts w:ascii="Arial" w:eastAsia="MS PMincho" w:hAnsi="Arial" w:cs="Arial"/>
            <w:bCs/>
            <w:color w:val="000000" w:themeColor="text1"/>
            <w:sz w:val="22"/>
            <w:szCs w:val="22"/>
          </w:rPr>
          <w:delText xml:space="preserve"> </w:delText>
        </w:r>
      </w:del>
      <w:ins w:id="103" w:author="Dave Bridges" w:date="2021-06-16T11:49:00Z">
        <w:r w:rsidR="00530072">
          <w:rPr>
            <w:rFonts w:ascii="Arial" w:eastAsia="MS PMincho" w:hAnsi="Arial" w:cs="Arial"/>
            <w:bCs/>
            <w:color w:val="000000" w:themeColor="text1"/>
            <w:sz w:val="22"/>
            <w:szCs w:val="22"/>
          </w:rPr>
          <w:t>.  V</w:t>
        </w:r>
      </w:ins>
      <w:del w:id="104" w:author="Dave Bridges" w:date="2021-06-16T11:49:00Z">
        <w:r w:rsidR="00F13216" w:rsidDel="00530072">
          <w:rPr>
            <w:rFonts w:ascii="Arial" w:eastAsia="MS PMincho" w:hAnsi="Arial" w:cs="Arial"/>
            <w:bCs/>
            <w:color w:val="000000" w:themeColor="text1"/>
            <w:sz w:val="22"/>
            <w:szCs w:val="22"/>
          </w:rPr>
          <w:delText>v</w:delText>
        </w:r>
      </w:del>
      <w:r w:rsidR="00F13216">
        <w:rPr>
          <w:rFonts w:ascii="Arial" w:eastAsia="MS PMincho" w:hAnsi="Arial" w:cs="Arial"/>
          <w:bCs/>
          <w:color w:val="000000" w:themeColor="text1"/>
          <w:sz w:val="22"/>
          <w:szCs w:val="22"/>
        </w:rPr>
        <w:t xml:space="preserve">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xml:space="preserve">. </w:t>
      </w:r>
      <w:ins w:id="105" w:author="Dave Bridges" w:date="2021-06-16T11:50:00Z">
        <w:r w:rsidR="00530072">
          <w:rPr>
            <w:rFonts w:ascii="Arial" w:eastAsia="MS PMincho" w:hAnsi="Arial" w:cs="Arial"/>
            <w:bCs/>
            <w:color w:val="000000" w:themeColor="text1"/>
            <w:sz w:val="22"/>
            <w:szCs w:val="22"/>
          </w:rPr>
          <w:t>The e</w:t>
        </w:r>
      </w:ins>
      <w:del w:id="106" w:author="Dave Bridges" w:date="2021-06-16T11:50:00Z">
        <w:r w:rsidR="008521C3" w:rsidDel="00530072">
          <w:rPr>
            <w:rFonts w:ascii="Arial" w:eastAsia="MS PMincho" w:hAnsi="Arial" w:cs="Arial"/>
            <w:bCs/>
            <w:color w:val="000000" w:themeColor="text1"/>
            <w:sz w:val="22"/>
            <w:szCs w:val="22"/>
          </w:rPr>
          <w:delText>E</w:delText>
        </w:r>
      </w:del>
      <w:r w:rsidR="008521C3">
        <w:rPr>
          <w:rFonts w:ascii="Arial" w:eastAsia="MS PMincho" w:hAnsi="Arial" w:cs="Arial"/>
          <w:bCs/>
          <w:color w:val="000000" w:themeColor="text1"/>
          <w:sz w:val="22"/>
          <w:szCs w:val="22"/>
        </w:rPr>
        <w:t>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279070D3"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del w:id="107" w:author="Dave Bridges" w:date="2021-06-16T11:50:00Z">
        <w:r w:rsidRPr="00EF5551" w:rsidDel="00530072">
          <w:rPr>
            <w:rFonts w:ascii="Arial" w:hAnsi="Arial" w:cs="Arial"/>
            <w:color w:val="000000" w:themeColor="text1"/>
            <w:sz w:val="22"/>
            <w:szCs w:val="22"/>
          </w:rPr>
          <w:delText xml:space="preserve">every Monday, Wednesday, and Friday </w:delText>
        </w:r>
      </w:del>
      <w:r w:rsidRPr="00EF5551">
        <w:rPr>
          <w:rFonts w:ascii="Arial" w:hAnsi="Arial" w:cs="Arial"/>
          <w:color w:val="000000" w:themeColor="text1"/>
          <w:sz w:val="22"/>
          <w:szCs w:val="22"/>
        </w:rPr>
        <w:t>during pregnancy and lactation</w:t>
      </w:r>
      <w:del w:id="108" w:author="Dave Bridges" w:date="2021-06-16T11:50:00Z">
        <w:r w:rsidRPr="00EF5551" w:rsidDel="00530072">
          <w:rPr>
            <w:rFonts w:ascii="Arial" w:hAnsi="Arial" w:cs="Arial"/>
            <w:color w:val="000000" w:themeColor="text1"/>
            <w:sz w:val="22"/>
            <w:szCs w:val="22"/>
          </w:rPr>
          <w:delText xml:space="preserve"> an</w:delText>
        </w:r>
        <w:r w:rsidR="00127348" w:rsidDel="00530072">
          <w:rPr>
            <w:rFonts w:ascii="Arial" w:hAnsi="Arial" w:cs="Arial"/>
            <w:color w:val="000000" w:themeColor="text1"/>
            <w:sz w:val="22"/>
            <w:szCs w:val="22"/>
          </w:rPr>
          <w:delText>d</w:delText>
        </w:r>
        <w:r w:rsidRPr="00EF5551" w:rsidDel="00530072">
          <w:rPr>
            <w:rFonts w:ascii="Arial" w:hAnsi="Arial" w:cs="Arial"/>
            <w:color w:val="000000" w:themeColor="text1"/>
            <w:sz w:val="22"/>
            <w:szCs w:val="22"/>
          </w:rPr>
          <w:delText xml:space="preserve"> on the day</w:delText>
        </w:r>
        <w:r w:rsidR="00BD3F12" w:rsidDel="00530072">
          <w:rPr>
            <w:rFonts w:ascii="Arial" w:hAnsi="Arial" w:cs="Arial"/>
            <w:color w:val="000000" w:themeColor="text1"/>
            <w:sz w:val="22"/>
            <w:szCs w:val="22"/>
          </w:rPr>
          <w:delText>s</w:delText>
        </w:r>
        <w:r w:rsidRPr="00EF5551" w:rsidDel="00530072">
          <w:rPr>
            <w:rFonts w:ascii="Arial" w:hAnsi="Arial" w:cs="Arial"/>
            <w:color w:val="000000" w:themeColor="text1"/>
            <w:sz w:val="22"/>
            <w:szCs w:val="22"/>
          </w:rPr>
          <w:delText xml:space="preserve"> of delivery</w:delText>
        </w:r>
        <w:r w:rsidR="00BD3F12" w:rsidDel="00530072">
          <w:rPr>
            <w:rFonts w:ascii="Arial" w:hAnsi="Arial" w:cs="Arial"/>
            <w:color w:val="000000" w:themeColor="text1"/>
            <w:sz w:val="22"/>
            <w:szCs w:val="22"/>
          </w:rPr>
          <w:delText xml:space="preserve"> and sacrifice</w:delText>
        </w:r>
      </w:del>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w:t>
      </w:r>
      <w:del w:id="109" w:author="Dave Bridges" w:date="2021-06-16T11:50:00Z">
        <w:r w:rsidRPr="00EF5551" w:rsidDel="00530072">
          <w:rPr>
            <w:rFonts w:ascii="Arial" w:hAnsi="Arial" w:cs="Arial"/>
            <w:color w:val="000000" w:themeColor="text1"/>
            <w:sz w:val="22"/>
            <w:szCs w:val="22"/>
          </w:rPr>
          <w:delText xml:space="preserve">comparable </w:delText>
        </w:r>
      </w:del>
      <w:ins w:id="110" w:author="Dave Bridges" w:date="2021-06-16T11:50:00Z">
        <w:r w:rsidR="00530072">
          <w:rPr>
            <w:rFonts w:ascii="Arial" w:hAnsi="Arial" w:cs="Arial"/>
            <w:color w:val="000000" w:themeColor="text1"/>
            <w:sz w:val="22"/>
            <w:szCs w:val="22"/>
          </w:rPr>
          <w:t>similar</w:t>
        </w:r>
        <w:r w:rsidR="00530072"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del w:id="111" w:author="Dave Bridges" w:date="2021-06-16T11:50:00Z">
        <w:r w:rsidR="00CF0074" w:rsidDel="00530072">
          <w:rPr>
            <w:rFonts w:ascii="Arial" w:hAnsi="Arial" w:cs="Arial"/>
            <w:color w:val="000000" w:themeColor="text1"/>
            <w:sz w:val="22"/>
            <w:szCs w:val="22"/>
          </w:rPr>
          <w:delText>KO</w:delText>
        </w:r>
        <w:r w:rsidR="00713921" w:rsidRPr="00262598" w:rsidDel="00530072">
          <w:rPr>
            <w:rFonts w:ascii="Arial" w:hAnsi="Arial" w:cs="Arial"/>
            <w:color w:val="000000" w:themeColor="text1"/>
            <w:sz w:val="22"/>
            <w:szCs w:val="22"/>
          </w:rPr>
          <w:delText xml:space="preserve"> </w:delText>
        </w:r>
      </w:del>
      <w:ins w:id="112" w:author="Dave Bridges" w:date="2021-06-16T11:50:00Z">
        <w:r w:rsidR="00530072">
          <w:rPr>
            <w:rFonts w:ascii="Arial" w:hAnsi="Arial" w:cs="Arial"/>
            <w:color w:val="000000" w:themeColor="text1"/>
            <w:sz w:val="22"/>
            <w:szCs w:val="22"/>
          </w:rPr>
          <w:t>knockout</w:t>
        </w:r>
        <w:r w:rsidR="00530072" w:rsidRPr="00262598">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and </w:t>
      </w:r>
      <w:del w:id="113" w:author="Dave Bridges" w:date="2021-06-16T11:50:00Z">
        <w:r w:rsidRPr="00EF5551" w:rsidDel="00530072">
          <w:rPr>
            <w:rFonts w:ascii="Arial" w:hAnsi="Arial" w:cs="Arial"/>
            <w:color w:val="000000" w:themeColor="text1"/>
            <w:sz w:val="22"/>
            <w:szCs w:val="22"/>
          </w:rPr>
          <w:delText xml:space="preserve">WT </w:delText>
        </w:r>
      </w:del>
      <w:ins w:id="114" w:author="Dave Bridges" w:date="2021-06-16T11:50:00Z">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115"/>
      <w:commentRangeStart w:id="116"/>
      <w:del w:id="117" w:author="Dave Bridges" w:date="2021-06-16T11:51:00Z">
        <w:r w:rsidRPr="00EF5551" w:rsidDel="00530072">
          <w:rPr>
            <w:rFonts w:ascii="Arial" w:hAnsi="Arial" w:cs="Arial"/>
            <w:color w:val="000000" w:themeColor="text1"/>
            <w:sz w:val="22"/>
            <w:szCs w:val="22"/>
          </w:rPr>
          <w:delText xml:space="preserve">KO </w:delText>
        </w:r>
      </w:del>
      <w:ins w:id="118" w:author="Dave Bridges" w:date="2021-06-16T11:51:00Z">
        <w:r w:rsidR="00530072">
          <w:rPr>
            <w:rFonts w:ascii="Arial" w:hAnsi="Arial" w:cs="Arial"/>
            <w:color w:val="000000" w:themeColor="text1"/>
            <w:sz w:val="22"/>
            <w:szCs w:val="22"/>
          </w:rPr>
          <w:t>Knockout</w:t>
        </w:r>
        <w:r w:rsidR="00530072"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115"/>
      <w:r w:rsidR="00AC714A">
        <w:rPr>
          <w:rStyle w:val="CommentReference"/>
        </w:rPr>
        <w:commentReference w:id="115"/>
      </w:r>
      <w:commentRangeEnd w:id="116"/>
      <w:r w:rsidR="00624373">
        <w:rPr>
          <w:rStyle w:val="CommentReference"/>
        </w:rPr>
        <w:commentReference w:id="116"/>
      </w:r>
      <w:r w:rsidRPr="00EF5551">
        <w:rPr>
          <w:rFonts w:ascii="Arial" w:hAnsi="Arial" w:cs="Arial"/>
          <w:color w:val="000000" w:themeColor="text1"/>
          <w:sz w:val="22"/>
          <w:szCs w:val="22"/>
        </w:rPr>
        <w:t xml:space="preserve">While </w:t>
      </w:r>
      <w:del w:id="119" w:author="Dave Bridges" w:date="2021-06-16T11:51:00Z">
        <w:r w:rsidRPr="00EF5551" w:rsidDel="00530072">
          <w:rPr>
            <w:rFonts w:ascii="Arial" w:hAnsi="Arial" w:cs="Arial"/>
            <w:color w:val="000000" w:themeColor="text1"/>
            <w:sz w:val="22"/>
            <w:szCs w:val="22"/>
          </w:rPr>
          <w:delText xml:space="preserve">WT </w:delText>
        </w:r>
      </w:del>
      <w:ins w:id="120" w:author="Dave Bridges" w:date="2021-06-16T11:51:00Z">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dams lost</w:t>
      </w:r>
      <w:ins w:id="121" w:author="Dave Bridges" w:date="2021-06-16T11:51:00Z">
        <w:r w:rsidR="00530072">
          <w:rPr>
            <w:rFonts w:ascii="Arial" w:hAnsi="Arial" w:cs="Arial"/>
            <w:color w:val="000000" w:themeColor="text1"/>
            <w:sz w:val="22"/>
            <w:szCs w:val="22"/>
          </w:rPr>
          <w:t xml:space="preserve"> a small amount</w:t>
        </w:r>
      </w:ins>
      <w:r w:rsidRPr="00EF5551">
        <w:rPr>
          <w:rFonts w:ascii="Arial" w:hAnsi="Arial" w:cs="Arial"/>
          <w:color w:val="000000" w:themeColor="text1"/>
          <w:sz w:val="22"/>
          <w:szCs w:val="22"/>
        </w:rPr>
        <w:t xml:space="preserve"> fat mass during lactation, KO dams gained </w:t>
      </w:r>
      <w:commentRangeStart w:id="122"/>
      <w:r w:rsidR="0063716F" w:rsidRPr="00AF1420">
        <w:rPr>
          <w:rFonts w:ascii="Arial" w:hAnsi="Arial" w:cs="Arial"/>
          <w:color w:val="000000" w:themeColor="text1"/>
          <w:sz w:val="22"/>
          <w:szCs w:val="22"/>
        </w:rPr>
        <w:t>71% more fat mass</w:t>
      </w:r>
      <w:commentRangeEnd w:id="122"/>
      <w:r w:rsidR="00530072">
        <w:rPr>
          <w:rStyle w:val="CommentReference"/>
        </w:rPr>
        <w:commentReference w:id="122"/>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6FD8DAAC"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w:t>
      </w:r>
      <w:del w:id="123" w:author="Dave Bridges" w:date="2021-06-16T11:54:00Z">
        <w:r w:rsidR="0031147B" w:rsidDel="00C83BA3">
          <w:rPr>
            <w:rFonts w:ascii="Arial" w:hAnsi="Arial" w:cs="Arial"/>
            <w:color w:val="000000" w:themeColor="text1"/>
            <w:sz w:val="22"/>
            <w:szCs w:val="22"/>
          </w:rPr>
          <w:delText xml:space="preserve"> </w:delText>
        </w:r>
      </w:del>
      <w:ins w:id="124" w:author="Dave Bridges" w:date="2021-06-16T11:54:00Z">
        <w:r w:rsidR="00C83BA3">
          <w:rPr>
            <w:rFonts w:ascii="Arial" w:hAnsi="Arial" w:cs="Arial"/>
            <w:color w:val="000000" w:themeColor="text1"/>
            <w:sz w:val="22"/>
            <w:szCs w:val="22"/>
          </w:rPr>
          <w:t xml:space="preserve"> glands</w:t>
        </w:r>
      </w:ins>
      <w:del w:id="125" w:author="Dave Bridges" w:date="2021-06-16T11:54:00Z">
        <w:r w:rsidR="0031147B" w:rsidDel="00C83BA3">
          <w:rPr>
            <w:rFonts w:ascii="Arial" w:hAnsi="Arial" w:cs="Arial"/>
            <w:color w:val="000000" w:themeColor="text1"/>
            <w:sz w:val="22"/>
            <w:szCs w:val="22"/>
          </w:rPr>
          <w:delText xml:space="preserve">glands from the adipocyte </w:delText>
        </w:r>
        <w:r w:rsidR="0031147B" w:rsidDel="00C83BA3">
          <w:rPr>
            <w:rFonts w:ascii="Arial" w:hAnsi="Arial" w:cs="Arial"/>
            <w:i/>
            <w:color w:val="000000" w:themeColor="text1"/>
            <w:sz w:val="22"/>
            <w:szCs w:val="22"/>
          </w:rPr>
          <w:delText xml:space="preserve">Tsc1 </w:delText>
        </w:r>
        <w:r w:rsidR="00137CEA" w:rsidDel="00C83BA3">
          <w:rPr>
            <w:rFonts w:ascii="Arial" w:hAnsi="Arial" w:cs="Arial"/>
            <w:color w:val="000000" w:themeColor="text1"/>
            <w:sz w:val="22"/>
            <w:szCs w:val="22"/>
          </w:rPr>
          <w:delText>KO and WT</w:delText>
        </w:r>
        <w:r w:rsidR="0031147B" w:rsidDel="00C83BA3">
          <w:rPr>
            <w:rFonts w:ascii="Arial" w:hAnsi="Arial" w:cs="Arial"/>
            <w:color w:val="000000" w:themeColor="text1"/>
            <w:sz w:val="22"/>
            <w:szCs w:val="22"/>
          </w:rPr>
          <w:delText xml:space="preserve"> dams</w:delText>
        </w:r>
      </w:del>
      <w:r w:rsidR="0031147B">
        <w:rPr>
          <w:rFonts w:ascii="Arial" w:hAnsi="Arial" w:cs="Arial"/>
          <w:color w:val="000000" w:themeColor="text1"/>
          <w:sz w:val="22"/>
          <w:szCs w:val="22"/>
        </w:rPr>
        <w:t>.</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del w:id="126" w:author="Dave Bridges" w:date="2021-06-16T11:54:00Z">
        <w:r w:rsidR="00845743" w:rsidDel="00C83BA3">
          <w:rPr>
            <w:rFonts w:ascii="Arial" w:hAnsi="Arial" w:cs="Arial"/>
            <w:color w:val="000000" w:themeColor="text1"/>
            <w:sz w:val="22"/>
            <w:szCs w:val="22"/>
          </w:rPr>
          <w:delText>KO</w:delText>
        </w:r>
        <w:r w:rsidR="00713921" w:rsidDel="00C83BA3">
          <w:rPr>
            <w:rFonts w:ascii="Arial" w:hAnsi="Arial" w:cs="Arial"/>
            <w:color w:val="000000" w:themeColor="text1"/>
            <w:sz w:val="22"/>
            <w:szCs w:val="22"/>
          </w:rPr>
          <w:delText xml:space="preserve"> </w:delText>
        </w:r>
      </w:del>
      <w:ins w:id="127" w:author="Dave Bridges" w:date="2021-06-16T11:54:00Z">
        <w:r w:rsidR="00C83BA3">
          <w:rPr>
            <w:rFonts w:ascii="Arial" w:hAnsi="Arial" w:cs="Arial"/>
            <w:color w:val="000000" w:themeColor="text1"/>
            <w:sz w:val="22"/>
            <w:szCs w:val="22"/>
          </w:rPr>
          <w:t xml:space="preserve">knockout </w:t>
        </w:r>
      </w:ins>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w:r>
      <w:del w:id="128" w:author="Dave Bridges" w:date="2021-06-16T11:54:00Z">
        <w:r w:rsidR="00713921" w:rsidDel="00C83BA3">
          <w:rPr>
            <w:rFonts w:ascii="Arial" w:hAnsi="Arial" w:cs="Arial"/>
            <w:color w:val="000000" w:themeColor="text1"/>
            <w:sz w:val="22"/>
            <w:szCs w:val="22"/>
          </w:rPr>
          <w:delText xml:space="preserve">WT </w:delText>
        </w:r>
      </w:del>
      <w:ins w:id="129" w:author="Dave Bridges" w:date="2021-06-16T11:54:00Z">
        <w:r w:rsidR="00C83BA3">
          <w:rPr>
            <w:rFonts w:ascii="Arial" w:hAnsi="Arial" w:cs="Arial"/>
            <w:color w:val="000000" w:themeColor="text1"/>
            <w:sz w:val="22"/>
            <w:szCs w:val="22"/>
          </w:rPr>
          <w:t xml:space="preserve">wild-type </w:t>
        </w:r>
      </w:ins>
      <w:r w:rsidR="00713921">
        <w:rPr>
          <w:rFonts w:ascii="Arial" w:hAnsi="Arial" w:cs="Arial"/>
          <w:color w:val="000000" w:themeColor="text1"/>
          <w:sz w:val="22"/>
          <w:szCs w:val="22"/>
        </w:rPr>
        <w:t>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0E6F8B5A"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w:r>
      <w:del w:id="130" w:author="Dave Bridges" w:date="2021-06-16T11:54:00Z">
        <w:r w:rsidR="00CF0074" w:rsidDel="00C83BA3">
          <w:rPr>
            <w:rFonts w:ascii="Arial" w:hAnsi="Arial" w:cs="Arial"/>
            <w:color w:val="000000" w:themeColor="text1"/>
            <w:sz w:val="22"/>
            <w:szCs w:val="22"/>
          </w:rPr>
          <w:delText xml:space="preserve">WT and KO </w:delText>
        </w:r>
      </w:del>
      <w:r w:rsidR="00CF0074">
        <w:rPr>
          <w:rFonts w:ascii="Arial" w:hAnsi="Arial" w:cs="Arial"/>
          <w:color w:val="000000" w:themeColor="text1"/>
          <w:sz w:val="22"/>
          <w:szCs w:val="22"/>
        </w:rPr>
        <w:t xml:space="preserve">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131"/>
      <w:commentRangeStart w:id="132"/>
      <w:r>
        <w:rPr>
          <w:rFonts w:ascii="Arial" w:hAnsi="Arial" w:cs="Arial"/>
          <w:color w:val="000000" w:themeColor="text1"/>
          <w:sz w:val="22"/>
          <w:szCs w:val="22"/>
        </w:rPr>
        <w:t xml:space="preserve">nearly twice </w:t>
      </w:r>
      <w:commentRangeEnd w:id="131"/>
      <w:r w:rsidR="0060425F">
        <w:rPr>
          <w:rStyle w:val="CommentReference"/>
        </w:rPr>
        <w:commentReference w:id="131"/>
      </w:r>
      <w:commentRangeEnd w:id="132"/>
      <w:r w:rsidR="008C489C">
        <w:rPr>
          <w:rStyle w:val="CommentReference"/>
        </w:rPr>
        <w:commentReference w:id="132"/>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1DA500B5"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w:t>
      </w:r>
      <w:del w:id="133" w:author="Dave Bridges" w:date="2021-06-16T11:55:00Z">
        <w:r w:rsidR="00FB33FA" w:rsidRPr="00465E83" w:rsidDel="00C83BA3">
          <w:rPr>
            <w:rFonts w:ascii="Arial" w:hAnsi="Arial" w:cs="Arial"/>
            <w:color w:val="000000" w:themeColor="text1"/>
            <w:sz w:val="22"/>
            <w:szCs w:val="22"/>
          </w:rPr>
          <w:delText xml:space="preserve">KO and WT </w:delText>
        </w:r>
      </w:del>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del w:id="134" w:author="Dave Bridges" w:date="2021-06-16T11:55:00Z">
        <w:r w:rsidR="004B7D4E" w:rsidDel="00C83BA3">
          <w:rPr>
            <w:rFonts w:ascii="Arial" w:hAnsi="Arial" w:cs="Arial"/>
            <w:color w:val="000000" w:themeColor="text1"/>
            <w:sz w:val="22"/>
            <w:szCs w:val="22"/>
          </w:rPr>
          <w:delText xml:space="preserve">KO </w:delText>
        </w:r>
      </w:del>
      <w:ins w:id="135" w:author="Dave Bridges" w:date="2021-06-16T11:55:00Z">
        <w:r w:rsidR="00C83BA3">
          <w:rPr>
            <w:rFonts w:ascii="Arial" w:hAnsi="Arial" w:cs="Arial"/>
            <w:color w:val="000000" w:themeColor="text1"/>
            <w:sz w:val="22"/>
            <w:szCs w:val="22"/>
          </w:rPr>
          <w:t xml:space="preserve">Adipocyte </w:t>
        </w:r>
        <w:r w:rsidR="00C83BA3">
          <w:rPr>
            <w:rFonts w:ascii="Arial" w:hAnsi="Arial" w:cs="Arial"/>
            <w:i/>
            <w:color w:val="000000" w:themeColor="text1"/>
            <w:sz w:val="22"/>
            <w:szCs w:val="22"/>
          </w:rPr>
          <w:t>Tsc1</w:t>
        </w:r>
        <w:r w:rsidR="00C83BA3">
          <w:rPr>
            <w:rFonts w:ascii="Arial" w:hAnsi="Arial" w:cs="Arial"/>
            <w:color w:val="000000" w:themeColor="text1"/>
            <w:sz w:val="22"/>
            <w:szCs w:val="22"/>
          </w:rPr>
          <w:t xml:space="preserve"> knockout </w:t>
        </w:r>
      </w:ins>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del w:id="136" w:author="Dave Bridges" w:date="2021-06-16T11:55:00Z">
        <w:r w:rsidR="008275DF" w:rsidDel="00C83BA3">
          <w:rPr>
            <w:rFonts w:ascii="Arial" w:hAnsi="Arial" w:cs="Arial"/>
            <w:color w:val="000000" w:themeColor="text1"/>
            <w:sz w:val="22"/>
            <w:szCs w:val="22"/>
          </w:rPr>
          <w:delText>different</w:delText>
        </w:r>
        <w:r w:rsidR="004B7D4E" w:rsidDel="00C83BA3">
          <w:rPr>
            <w:rFonts w:ascii="Arial" w:hAnsi="Arial" w:cs="Arial"/>
            <w:color w:val="000000" w:themeColor="text1"/>
            <w:sz w:val="22"/>
            <w:szCs w:val="22"/>
          </w:rPr>
          <w:delText xml:space="preserve"> </w:delText>
        </w:r>
      </w:del>
      <w:ins w:id="137" w:author="Dave Bridges" w:date="2021-06-16T11:55:00Z">
        <w:r w:rsidR="00C83BA3">
          <w:rPr>
            <w:rFonts w:ascii="Arial" w:hAnsi="Arial" w:cs="Arial"/>
            <w:color w:val="000000" w:themeColor="text1"/>
            <w:sz w:val="22"/>
            <w:szCs w:val="22"/>
          </w:rPr>
          <w:t xml:space="preserve">wider </w:t>
        </w:r>
      </w:ins>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w:t>
      </w:r>
      <w:ins w:id="138" w:author="Dave Bridges" w:date="2021-06-16T11:55:00Z">
        <w:r w:rsidR="00C83BA3">
          <w:rPr>
            <w:rFonts w:ascii="Arial" w:hAnsi="Arial" w:cs="Arial"/>
            <w:color w:val="000000" w:themeColor="text1"/>
            <w:sz w:val="22"/>
            <w:szCs w:val="22"/>
          </w:rPr>
          <w:t xml:space="preserve"> </w:t>
        </w:r>
      </w:ins>
      <w:del w:id="139" w:author="Dave Bridges" w:date="2021-06-16T11:55:00Z">
        <w:r w:rsidR="008275DF" w:rsidDel="00C83BA3">
          <w:rPr>
            <w:rFonts w:ascii="Arial" w:hAnsi="Arial" w:cs="Arial"/>
            <w:color w:val="000000" w:themeColor="text1"/>
            <w:sz w:val="22"/>
            <w:szCs w:val="22"/>
          </w:rPr>
          <w:delText>s</w:delText>
        </w:r>
        <w:r w:rsidR="004B7D4E" w:rsidDel="00C83BA3">
          <w:rPr>
            <w:rFonts w:ascii="Arial" w:hAnsi="Arial" w:cs="Arial"/>
            <w:color w:val="000000" w:themeColor="text1"/>
            <w:sz w:val="22"/>
            <w:szCs w:val="22"/>
          </w:rPr>
          <w:delText xml:space="preserve"> </w:delText>
        </w:r>
      </w:del>
      <w:r w:rsidR="004B7D4E">
        <w:rPr>
          <w:rFonts w:ascii="Arial" w:hAnsi="Arial" w:cs="Arial"/>
          <w:color w:val="000000" w:themeColor="text1"/>
          <w:sz w:val="22"/>
          <w:szCs w:val="22"/>
        </w:rPr>
        <w:t>(</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del w:id="140" w:author="Dave Bridges" w:date="2021-06-16T11:55:00Z">
        <w:r w:rsidR="00264FA5" w:rsidDel="00C83BA3">
          <w:rPr>
            <w:rFonts w:ascii="Arial" w:hAnsi="Arial" w:cs="Arial"/>
            <w:color w:val="000000" w:themeColor="text1"/>
            <w:sz w:val="22"/>
            <w:szCs w:val="22"/>
          </w:rPr>
          <w:delText xml:space="preserve">KO </w:delText>
        </w:r>
      </w:del>
      <w:ins w:id="141" w:author="Dave Bridges" w:date="2021-06-16T11:55:00Z">
        <w:r w:rsidR="00C83BA3">
          <w:rPr>
            <w:rFonts w:ascii="Arial" w:hAnsi="Arial" w:cs="Arial"/>
            <w:color w:val="000000" w:themeColor="text1"/>
            <w:sz w:val="22"/>
            <w:szCs w:val="22"/>
          </w:rPr>
          <w:t xml:space="preserve">Knockout </w:t>
        </w:r>
      </w:ins>
      <w:r w:rsidR="00264FA5">
        <w:rPr>
          <w:rFonts w:ascii="Arial" w:hAnsi="Arial" w:cs="Arial"/>
          <w:color w:val="000000" w:themeColor="text1"/>
          <w:sz w:val="22"/>
          <w:szCs w:val="22"/>
        </w:rPr>
        <w:t>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del w:id="142" w:author="Dave Bridges" w:date="2021-06-16T11:56:00Z">
        <w:r w:rsidR="004D2647" w:rsidDel="00C83BA3">
          <w:rPr>
            <w:rFonts w:ascii="Arial" w:hAnsi="Arial" w:cs="Arial"/>
            <w:color w:val="000000" w:themeColor="text1"/>
            <w:sz w:val="22"/>
            <w:szCs w:val="22"/>
          </w:rPr>
          <w:delText>Consistent with this finding</w:delText>
        </w:r>
      </w:del>
      <w:ins w:id="143" w:author="Dave Bridges" w:date="2021-06-16T11:56:00Z">
        <w:r w:rsidR="00C83BA3">
          <w:rPr>
            <w:rFonts w:ascii="Arial" w:hAnsi="Arial" w:cs="Arial"/>
            <w:color w:val="000000" w:themeColor="text1"/>
            <w:sz w:val="22"/>
            <w:szCs w:val="22"/>
          </w:rPr>
          <w:t>Similarly</w:t>
        </w:r>
      </w:ins>
      <w:r w:rsidR="004D2647">
        <w:rPr>
          <w:rFonts w:ascii="Arial" w:hAnsi="Arial" w:cs="Arial"/>
          <w:color w:val="000000" w:themeColor="text1"/>
          <w:sz w:val="22"/>
          <w:szCs w:val="22"/>
        </w:rPr>
        <w:t>,</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765D1E87"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ins w:id="144" w:author="Dave Bridges" w:date="2021-06-16T11:57:00Z">
        <w:r w:rsidR="000E0625">
          <w:rPr>
            <w:rFonts w:ascii="Arial" w:hAnsi="Arial" w:cs="Arial"/>
            <w:color w:val="000000" w:themeColor="text1"/>
            <w:sz w:val="22"/>
            <w:szCs w:val="22"/>
          </w:rPr>
          <w:t xml:space="preserve"> from a 2x2 ANOVA</w:t>
        </w:r>
      </w:ins>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t>
      </w:r>
      <w:del w:id="145" w:author="Dave Bridges" w:date="2021-06-16T11:56:00Z">
        <w:r w:rsidR="009C6571" w:rsidDel="000E0625">
          <w:rPr>
            <w:rFonts w:ascii="Arial" w:hAnsi="Arial" w:cs="Arial"/>
            <w:color w:val="000000" w:themeColor="text1"/>
            <w:sz w:val="22"/>
            <w:szCs w:val="22"/>
          </w:rPr>
          <w:delText xml:space="preserve">was </w:delText>
        </w:r>
        <w:r w:rsidR="008B3CA4" w:rsidRPr="00EF5551" w:rsidDel="000E0625">
          <w:rPr>
            <w:rFonts w:ascii="Arial" w:hAnsi="Arial" w:cs="Arial"/>
            <w:color w:val="000000" w:themeColor="text1"/>
            <w:sz w:val="22"/>
            <w:szCs w:val="22"/>
          </w:rPr>
          <w:delText xml:space="preserve">not </w:delText>
        </w:r>
        <w:r w:rsidR="00AD6BBC" w:rsidDel="000E0625">
          <w:rPr>
            <w:rFonts w:ascii="Arial" w:hAnsi="Arial" w:cs="Arial"/>
            <w:color w:val="000000" w:themeColor="text1"/>
            <w:sz w:val="22"/>
            <w:szCs w:val="22"/>
          </w:rPr>
          <w:delText xml:space="preserve">significantly </w:delText>
        </w:r>
        <w:r w:rsidR="008B3CA4" w:rsidRPr="00EF5551" w:rsidDel="000E0625">
          <w:rPr>
            <w:rFonts w:ascii="Arial" w:hAnsi="Arial" w:cs="Arial"/>
            <w:color w:val="000000" w:themeColor="text1"/>
            <w:sz w:val="22"/>
            <w:szCs w:val="22"/>
          </w:rPr>
          <w:delText>different</w:delText>
        </w:r>
      </w:del>
      <w:ins w:id="146" w:author="Dave Bridges" w:date="2021-06-16T11:56:00Z">
        <w:r w:rsidR="000E0625">
          <w:rPr>
            <w:rFonts w:ascii="Arial" w:hAnsi="Arial" w:cs="Arial"/>
            <w:color w:val="000000" w:themeColor="text1"/>
            <w:sz w:val="22"/>
            <w:szCs w:val="22"/>
          </w:rPr>
          <w:t>did not reach statistical significance</w:t>
        </w:r>
      </w:ins>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w:t>
      </w:r>
      <w:del w:id="147" w:author="Dave Bridges" w:date="2021-06-16T11:57:00Z">
        <w:r w:rsidR="009C6571" w:rsidDel="000E0625">
          <w:rPr>
            <w:rFonts w:ascii="Arial" w:hAnsi="Arial" w:cs="Arial"/>
            <w:color w:val="000000" w:themeColor="text1"/>
            <w:sz w:val="22"/>
            <w:szCs w:val="22"/>
          </w:rPr>
          <w:delText>2</w:delText>
        </w:r>
      </w:del>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at the offspring of KO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w:t>
      </w:r>
      <w:del w:id="148" w:author="Dave Bridges" w:date="2021-06-16T11:57:00Z">
        <w:r w:rsidR="00AD6BBC" w:rsidDel="000E0625">
          <w:rPr>
            <w:rFonts w:ascii="Arial" w:hAnsi="Arial" w:cs="Arial"/>
            <w:color w:val="000000" w:themeColor="text1"/>
            <w:sz w:val="22"/>
            <w:szCs w:val="22"/>
          </w:rPr>
          <w:delText>ing</w:delText>
        </w:r>
      </w:del>
      <w:r w:rsidR="00AD6BBC">
        <w:rPr>
          <w:rFonts w:ascii="Arial" w:hAnsi="Arial" w:cs="Arial"/>
          <w:color w:val="000000" w:themeColor="text1"/>
          <w:sz w:val="22"/>
          <w:szCs w:val="22"/>
        </w:rPr>
        <w:t xml:space="preserve">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0363DF03"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ins w:id="149" w:author="Dave Bridges" w:date="2021-06-16T11:58:00Z">
        <w:r w:rsidR="000E0625">
          <w:rPr>
            <w:rFonts w:ascii="Arial" w:hAnsi="Arial" w:cs="Arial"/>
            <w:color w:val="000000" w:themeColor="text1"/>
            <w:sz w:val="22"/>
            <w:szCs w:val="22"/>
          </w:rPr>
          <w:t>.  M</w:t>
        </w:r>
      </w:ins>
      <w:del w:id="150" w:author="Dave Bridges" w:date="2021-06-16T11:58:00Z">
        <w:r w:rsidR="004442CF" w:rsidDel="000E0625">
          <w:rPr>
            <w:rFonts w:ascii="Arial" w:hAnsi="Arial" w:cs="Arial"/>
            <w:color w:val="000000" w:themeColor="text1"/>
            <w:sz w:val="22"/>
            <w:szCs w:val="22"/>
          </w:rPr>
          <w:delText xml:space="preserve"> using </w:delText>
        </w:r>
        <w:r w:rsidDel="000E0625">
          <w:rPr>
            <w:rFonts w:ascii="Arial" w:hAnsi="Arial" w:cs="Arial"/>
            <w:color w:val="000000" w:themeColor="text1"/>
            <w:sz w:val="22"/>
            <w:szCs w:val="22"/>
          </w:rPr>
          <w:delText>the weigh-suckle-weigh method</w:delText>
        </w:r>
        <w:r w:rsidR="00AD6BBC" w:rsidDel="000E0625">
          <w:rPr>
            <w:rFonts w:ascii="Arial" w:hAnsi="Arial" w:cs="Arial"/>
            <w:color w:val="000000" w:themeColor="text1"/>
            <w:sz w:val="22"/>
            <w:szCs w:val="22"/>
          </w:rPr>
          <w:delText>.</w:delText>
        </w:r>
        <w:r w:rsidR="004442CF" w:rsidDel="000E0625">
          <w:rPr>
            <w:rFonts w:ascii="Arial" w:hAnsi="Arial" w:cs="Arial"/>
            <w:color w:val="000000" w:themeColor="text1"/>
            <w:sz w:val="22"/>
            <w:szCs w:val="22"/>
          </w:rPr>
          <w:delText xml:space="preserve"> </w:delText>
        </w:r>
        <w:r w:rsidR="00675466" w:rsidDel="000E0625">
          <w:rPr>
            <w:rFonts w:ascii="Arial" w:hAnsi="Arial" w:cs="Arial"/>
            <w:color w:val="000000" w:themeColor="text1"/>
            <w:sz w:val="22"/>
            <w:szCs w:val="22"/>
          </w:rPr>
          <w:delText>Offspring</w:delText>
        </w:r>
        <w:r w:rsidDel="000E0625">
          <w:rPr>
            <w:rFonts w:ascii="Arial" w:hAnsi="Arial" w:cs="Arial"/>
            <w:color w:val="000000" w:themeColor="text1"/>
            <w:sz w:val="22"/>
            <w:szCs w:val="22"/>
          </w:rPr>
          <w:delText xml:space="preserve"> weight gain</w:delText>
        </w:r>
        <w:r w:rsidR="004442CF" w:rsidDel="000E0625">
          <w:rPr>
            <w:rFonts w:ascii="Arial" w:hAnsi="Arial" w:cs="Arial"/>
            <w:color w:val="000000" w:themeColor="text1"/>
            <w:sz w:val="22"/>
            <w:szCs w:val="22"/>
          </w:rPr>
          <w:delText xml:space="preserve"> after a full hour of nursing</w:delText>
        </w:r>
        <w:r w:rsidR="00AD7CBC" w:rsidDel="000E0625">
          <w:rPr>
            <w:rFonts w:ascii="Arial" w:hAnsi="Arial" w:cs="Arial"/>
            <w:color w:val="000000" w:themeColor="text1"/>
            <w:sz w:val="22"/>
            <w:szCs w:val="22"/>
          </w:rPr>
          <w:delText>, and by extension m</w:delText>
        </w:r>
      </w:del>
      <w:r w:rsidR="00AD7CBC">
        <w:rPr>
          <w:rFonts w:ascii="Arial" w:hAnsi="Arial" w:cs="Arial"/>
          <w:color w:val="000000" w:themeColor="text1"/>
          <w:sz w:val="22"/>
          <w:szCs w:val="22"/>
        </w:rPr>
        <w:t xml:space="preserve">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ins w:id="151" w:author="Dave Bridges" w:date="2021-06-16T11:58:00Z">
        <w:r w:rsidR="000E0625">
          <w:rPr>
            <w:rFonts w:ascii="Arial" w:hAnsi="Arial" w:cs="Arial"/>
            <w:color w:val="000000" w:themeColor="text1"/>
            <w:sz w:val="22"/>
            <w:szCs w:val="22"/>
          </w:rPr>
          <w:t>s</w:t>
        </w:r>
      </w:ins>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ins w:id="152" w:author="Dave Bridges" w:date="2021-06-16T11:58:00Z">
        <w:r w:rsidR="000E0625">
          <w:rPr>
            <w:rFonts w:ascii="Arial" w:hAnsi="Arial" w:cs="Arial"/>
            <w:color w:val="000000" w:themeColor="text1"/>
            <w:sz w:val="22"/>
            <w:szCs w:val="22"/>
          </w:rPr>
          <w:t>-B</w:t>
        </w:r>
      </w:ins>
      <w:r w:rsidR="00A73410">
        <w:rPr>
          <w:rFonts w:ascii="Arial" w:hAnsi="Arial" w:cs="Arial"/>
          <w:color w:val="000000" w:themeColor="text1"/>
          <w:sz w:val="22"/>
          <w:szCs w:val="22"/>
        </w:rPr>
        <w:t>)</w:t>
      </w:r>
      <w:r w:rsidR="008B3CA4" w:rsidRPr="00EF5551">
        <w:rPr>
          <w:rFonts w:ascii="Arial" w:hAnsi="Arial" w:cs="Arial"/>
          <w:color w:val="000000" w:themeColor="text1"/>
          <w:sz w:val="22"/>
          <w:szCs w:val="22"/>
        </w:rPr>
        <w:t xml:space="preserve">. </w:t>
      </w:r>
      <w:ins w:id="153" w:author="Dave Bridges" w:date="2021-06-16T11:58:00Z">
        <w:r w:rsidR="000E0625">
          <w:rPr>
            <w:rFonts w:ascii="Arial" w:hAnsi="Arial" w:cs="Arial"/>
            <w:color w:val="000000" w:themeColor="text1"/>
            <w:sz w:val="22"/>
            <w:szCs w:val="22"/>
          </w:rPr>
          <w:t xml:space="preserve">This suggests </w:t>
        </w:r>
      </w:ins>
      <w:del w:id="154" w:author="Dave Bridges" w:date="2021-06-16T11:58:00Z">
        <w:r w:rsidR="0047727E" w:rsidDel="000E0625">
          <w:rPr>
            <w:rFonts w:ascii="Arial" w:hAnsi="Arial" w:cs="Arial"/>
            <w:color w:val="000000" w:themeColor="text1"/>
            <w:sz w:val="22"/>
            <w:szCs w:val="22"/>
          </w:rPr>
          <w:delText xml:space="preserve">Similar data were obtained by measuring the </w:delText>
        </w:r>
        <w:r w:rsidR="00DB7DD8" w:rsidDel="000E0625">
          <w:rPr>
            <w:rFonts w:ascii="Arial" w:hAnsi="Arial" w:cs="Arial"/>
            <w:color w:val="000000" w:themeColor="text1"/>
            <w:sz w:val="22"/>
            <w:szCs w:val="22"/>
          </w:rPr>
          <w:delText xml:space="preserve">weight of the </w:delText>
        </w:r>
        <w:r w:rsidR="0047727E" w:rsidDel="000E0625">
          <w:rPr>
            <w:rFonts w:ascii="Arial" w:hAnsi="Arial" w:cs="Arial"/>
            <w:color w:val="000000" w:themeColor="text1"/>
            <w:sz w:val="22"/>
            <w:szCs w:val="22"/>
          </w:rPr>
          <w:delText xml:space="preserve">dams pre- and post- </w:delText>
        </w:r>
        <w:r w:rsidR="004442CF" w:rsidDel="000E0625">
          <w:rPr>
            <w:rFonts w:ascii="Arial" w:hAnsi="Arial" w:cs="Arial"/>
            <w:color w:val="000000" w:themeColor="text1"/>
            <w:sz w:val="22"/>
            <w:szCs w:val="22"/>
          </w:rPr>
          <w:delText xml:space="preserve">nursing for one hour </w:delText>
        </w:r>
        <w:r w:rsidR="00C302BE" w:rsidDel="000E0625">
          <w:rPr>
            <w:rFonts w:ascii="Arial" w:hAnsi="Arial" w:cs="Arial"/>
            <w:color w:val="000000" w:themeColor="text1"/>
            <w:sz w:val="22"/>
            <w:szCs w:val="22"/>
          </w:rPr>
          <w:delText>(Supplementary Figure 2</w:delText>
        </w:r>
        <w:r w:rsidR="00A73410" w:rsidDel="000E0625">
          <w:rPr>
            <w:rFonts w:ascii="Arial" w:hAnsi="Arial" w:cs="Arial"/>
            <w:color w:val="000000" w:themeColor="text1"/>
            <w:sz w:val="22"/>
            <w:szCs w:val="22"/>
          </w:rPr>
          <w:delText>B</w:delText>
        </w:r>
        <w:r w:rsidR="00C302BE" w:rsidDel="000E0625">
          <w:rPr>
            <w:rFonts w:ascii="Arial" w:hAnsi="Arial" w:cs="Arial"/>
            <w:color w:val="000000" w:themeColor="text1"/>
            <w:sz w:val="22"/>
            <w:szCs w:val="22"/>
          </w:rPr>
          <w:delText>)</w:delText>
        </w:r>
        <w:r w:rsidR="007C52E8" w:rsidDel="000E0625">
          <w:rPr>
            <w:rFonts w:ascii="Arial" w:hAnsi="Arial" w:cs="Arial"/>
            <w:color w:val="000000" w:themeColor="text1"/>
            <w:sz w:val="22"/>
            <w:szCs w:val="22"/>
          </w:rPr>
          <w:delText xml:space="preserve"> highlighting </w:delText>
        </w:r>
      </w:del>
      <w:r w:rsidR="007C52E8">
        <w:rPr>
          <w:rFonts w:ascii="Arial" w:hAnsi="Arial" w:cs="Arial"/>
          <w:color w:val="000000" w:themeColor="text1"/>
          <w:sz w:val="22"/>
          <w:szCs w:val="22"/>
        </w:rPr>
        <w:t xml:space="preserve">that the differences we saw in offspring weight were not driven by increased milk output in the </w:t>
      </w:r>
      <w:del w:id="155" w:author="Dave Bridges" w:date="2021-06-16T11:58:00Z">
        <w:r w:rsidR="007C52E8" w:rsidDel="000E0625">
          <w:rPr>
            <w:rFonts w:ascii="Arial" w:hAnsi="Arial" w:cs="Arial"/>
            <w:color w:val="000000" w:themeColor="text1"/>
            <w:sz w:val="22"/>
            <w:szCs w:val="22"/>
          </w:rPr>
          <w:delText xml:space="preserve">KO </w:delText>
        </w:r>
      </w:del>
      <w:ins w:id="156" w:author="Dave Bridges" w:date="2021-06-16T11:58:00Z">
        <w:r w:rsidR="000E0625">
          <w:rPr>
            <w:rFonts w:ascii="Arial" w:hAnsi="Arial" w:cs="Arial"/>
            <w:color w:val="000000" w:themeColor="text1"/>
            <w:sz w:val="22"/>
            <w:szCs w:val="22"/>
          </w:rPr>
          <w:t>knockout</w:t>
        </w:r>
        <w:r w:rsidR="000E0625">
          <w:rPr>
            <w:rFonts w:ascii="Arial" w:hAnsi="Arial" w:cs="Arial"/>
            <w:color w:val="000000" w:themeColor="text1"/>
            <w:sz w:val="22"/>
            <w:szCs w:val="22"/>
          </w:rPr>
          <w:t xml:space="preserve"> </w:t>
        </w:r>
      </w:ins>
      <w:r w:rsidR="007C52E8">
        <w:rPr>
          <w:rFonts w:ascii="Arial" w:hAnsi="Arial" w:cs="Arial"/>
          <w:color w:val="000000" w:themeColor="text1"/>
          <w:sz w:val="22"/>
          <w:szCs w:val="22"/>
        </w:rPr>
        <w:t>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del w:id="157" w:author="Dave Bridges" w:date="2021-06-16T11:58:00Z">
        <w:r w:rsidR="00845743" w:rsidDel="000E0625">
          <w:rPr>
            <w:rFonts w:ascii="Arial" w:hAnsi="Arial" w:cs="Arial"/>
            <w:color w:val="000000" w:themeColor="text1"/>
            <w:sz w:val="22"/>
            <w:szCs w:val="22"/>
          </w:rPr>
          <w:delText>KO</w:delText>
        </w:r>
        <w:r w:rsidR="00453D2A" w:rsidDel="000E0625">
          <w:rPr>
            <w:rFonts w:ascii="Arial" w:hAnsi="Arial" w:cs="Arial"/>
            <w:color w:val="000000" w:themeColor="text1"/>
            <w:sz w:val="22"/>
            <w:szCs w:val="22"/>
          </w:rPr>
          <w:delText xml:space="preserve"> </w:delText>
        </w:r>
      </w:del>
      <w:ins w:id="158" w:author="Dave Bridges" w:date="2021-06-16T11:58:00Z">
        <w:r w:rsidR="000E0625">
          <w:rPr>
            <w:rFonts w:ascii="Arial" w:hAnsi="Arial" w:cs="Arial"/>
            <w:color w:val="000000" w:themeColor="text1"/>
            <w:sz w:val="22"/>
            <w:szCs w:val="22"/>
          </w:rPr>
          <w:t xml:space="preserve">adipocyte </w:t>
        </w:r>
        <w:r w:rsidR="000E0625">
          <w:rPr>
            <w:rFonts w:ascii="Arial" w:hAnsi="Arial" w:cs="Arial"/>
            <w:i/>
            <w:color w:val="000000" w:themeColor="text1"/>
            <w:sz w:val="22"/>
            <w:szCs w:val="22"/>
          </w:rPr>
          <w:t>Tsc1</w:t>
        </w:r>
        <w:r w:rsidR="000E0625">
          <w:rPr>
            <w:rFonts w:ascii="Arial" w:hAnsi="Arial" w:cs="Arial"/>
            <w:color w:val="000000" w:themeColor="text1"/>
            <w:sz w:val="22"/>
            <w:szCs w:val="22"/>
          </w:rPr>
          <w:t xml:space="preserve"> knockout</w:t>
        </w:r>
        <w:r w:rsidR="000E0625">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dams had </w:t>
      </w:r>
      <w:ins w:id="159" w:author="Dave Bridges" w:date="2021-06-16T11:59:00Z">
        <w:r w:rsidR="003C5684">
          <w:rPr>
            <w:rFonts w:ascii="Arial" w:hAnsi="Arial" w:cs="Arial"/>
            <w:color w:val="000000" w:themeColor="text1"/>
            <w:sz w:val="22"/>
            <w:szCs w:val="22"/>
          </w:rPr>
          <w:t xml:space="preserve">a </w:t>
        </w:r>
      </w:ins>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w:r>
      <w:del w:id="160" w:author="Dave Bridges" w:date="2021-06-16T11:58:00Z">
        <w:r w:rsidR="008B3CA4" w:rsidRPr="00EF5551" w:rsidDel="000E0625">
          <w:rPr>
            <w:rFonts w:ascii="Arial" w:hAnsi="Arial" w:cs="Arial"/>
            <w:color w:val="000000" w:themeColor="text1"/>
            <w:sz w:val="22"/>
            <w:szCs w:val="22"/>
          </w:rPr>
          <w:delText xml:space="preserve">WT </w:delText>
        </w:r>
      </w:del>
      <w:ins w:id="161" w:author="Dave Bridges" w:date="2021-06-16T11:58:00Z">
        <w:r w:rsidR="000E0625">
          <w:rPr>
            <w:rFonts w:ascii="Arial" w:hAnsi="Arial" w:cs="Arial"/>
            <w:color w:val="000000" w:themeColor="text1"/>
            <w:sz w:val="22"/>
            <w:szCs w:val="22"/>
          </w:rPr>
          <w:t>wild-type</w:t>
        </w:r>
        <w:r w:rsidR="000E0625"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w:t>
      </w:r>
      <w:del w:id="162" w:author="Dave Bridges" w:date="2021-06-16T11:59:00Z">
        <w:r w:rsidR="00503A9A" w:rsidDel="000E0625">
          <w:rPr>
            <w:rFonts w:ascii="Arial" w:hAnsi="Arial" w:cs="Arial"/>
            <w:color w:val="000000" w:themeColor="text1"/>
            <w:sz w:val="22"/>
            <w:szCs w:val="22"/>
          </w:rPr>
          <w:delText xml:space="preserve">KO </w:delText>
        </w:r>
      </w:del>
      <w:ins w:id="163" w:author="Dave Bridges" w:date="2021-06-16T11:59:00Z">
        <w:r w:rsidR="000E0625">
          <w:rPr>
            <w:rFonts w:ascii="Arial" w:hAnsi="Arial" w:cs="Arial"/>
            <w:color w:val="000000" w:themeColor="text1"/>
            <w:sz w:val="22"/>
            <w:szCs w:val="22"/>
          </w:rPr>
          <w:t>knockout</w:t>
        </w:r>
        <w:r w:rsidR="000E0625">
          <w:rPr>
            <w:rFonts w:ascii="Arial" w:hAnsi="Arial" w:cs="Arial"/>
            <w:color w:val="000000" w:themeColor="text1"/>
            <w:sz w:val="22"/>
            <w:szCs w:val="22"/>
          </w:rPr>
          <w:t xml:space="preserve"> </w:t>
        </w:r>
      </w:ins>
      <w:r w:rsidR="00503A9A">
        <w:rPr>
          <w:rFonts w:ascii="Arial" w:hAnsi="Arial" w:cs="Arial"/>
          <w:color w:val="000000" w:themeColor="text1"/>
          <w:sz w:val="22"/>
          <w:szCs w:val="22"/>
        </w:rPr>
        <w:t xml:space="preserve">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24610A40"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w:t>
      </w:r>
      <w:del w:id="164" w:author="Dave Bridges" w:date="2021-06-16T11:59:00Z">
        <w:r w:rsidR="00F66797" w:rsidRPr="00262598" w:rsidDel="003C5684">
          <w:rPr>
            <w:rFonts w:ascii="Arial" w:hAnsi="Arial" w:cs="Arial"/>
            <w:color w:val="000000" w:themeColor="text1"/>
            <w:sz w:val="22"/>
            <w:szCs w:val="22"/>
          </w:rPr>
          <w:delText xml:space="preserve">KO </w:delText>
        </w:r>
      </w:del>
      <w:ins w:id="165" w:author="Dave Bridges" w:date="2021-06-16T11:59:00Z">
        <w:r w:rsidR="003C5684">
          <w:rPr>
            <w:rFonts w:ascii="Arial" w:hAnsi="Arial" w:cs="Arial"/>
            <w:color w:val="000000" w:themeColor="text1"/>
            <w:sz w:val="22"/>
            <w:szCs w:val="22"/>
          </w:rPr>
          <w:t>knockout milk</w:t>
        </w:r>
        <w:r w:rsidR="003C5684" w:rsidRPr="00262598">
          <w:rPr>
            <w:rFonts w:ascii="Arial" w:hAnsi="Arial" w:cs="Arial"/>
            <w:color w:val="000000" w:themeColor="text1"/>
            <w:sz w:val="22"/>
            <w:szCs w:val="22"/>
          </w:rPr>
          <w:t xml:space="preserve"> </w:t>
        </w:r>
      </w:ins>
      <w:del w:id="166" w:author="Dave Bridges" w:date="2021-06-16T11:59:00Z">
        <w:r w:rsidR="00704322" w:rsidRPr="00262598" w:rsidDel="003C5684">
          <w:rPr>
            <w:rFonts w:ascii="Arial" w:hAnsi="Arial" w:cs="Arial"/>
            <w:color w:val="000000" w:themeColor="text1"/>
            <w:sz w:val="22"/>
            <w:szCs w:val="22"/>
          </w:rPr>
          <w:delText>compared to the WT</w:delText>
        </w:r>
        <w:r w:rsidR="00324B67" w:rsidDel="003C5684">
          <w:rPr>
            <w:rFonts w:ascii="Arial" w:hAnsi="Arial" w:cs="Arial"/>
            <w:color w:val="000000" w:themeColor="text1"/>
            <w:sz w:val="22"/>
            <w:szCs w:val="22"/>
          </w:rPr>
          <w:delText xml:space="preserve"> </w:delText>
        </w:r>
      </w:del>
      <w:r w:rsidR="00324B67">
        <w:rPr>
          <w:rFonts w:ascii="Arial" w:hAnsi="Arial" w:cs="Arial"/>
          <w:color w:val="000000" w:themeColor="text1"/>
          <w:sz w:val="22"/>
          <w:szCs w:val="22"/>
        </w:rPr>
        <w:t>(</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del w:id="167" w:author="Dave Bridges" w:date="2021-06-16T12:00:00Z">
        <w:r w:rsidR="00845743" w:rsidDel="005857E3">
          <w:rPr>
            <w:rFonts w:ascii="Arial" w:hAnsi="Arial" w:cs="Arial"/>
            <w:color w:val="000000" w:themeColor="text1"/>
            <w:sz w:val="22"/>
            <w:szCs w:val="22"/>
          </w:rPr>
          <w:delText>KO</w:delText>
        </w:r>
        <w:r w:rsidR="00CD289F" w:rsidDel="005857E3">
          <w:rPr>
            <w:rFonts w:ascii="Arial" w:hAnsi="Arial" w:cs="Arial"/>
            <w:color w:val="000000" w:themeColor="text1"/>
            <w:sz w:val="22"/>
            <w:szCs w:val="22"/>
          </w:rPr>
          <w:delText xml:space="preserve"> </w:delText>
        </w:r>
      </w:del>
      <w:ins w:id="168" w:author="Dave Bridges" w:date="2021-06-16T12:00:00Z">
        <w:r w:rsidR="005857E3">
          <w:rPr>
            <w:rFonts w:ascii="Arial" w:hAnsi="Arial" w:cs="Arial"/>
            <w:color w:val="000000" w:themeColor="text1"/>
            <w:sz w:val="22"/>
            <w:szCs w:val="22"/>
          </w:rPr>
          <w:t>knockout</w:t>
        </w:r>
        <w:r w:rsidR="005857E3">
          <w:rPr>
            <w:rFonts w:ascii="Arial" w:hAnsi="Arial" w:cs="Arial"/>
            <w:color w:val="000000" w:themeColor="text1"/>
            <w:sz w:val="22"/>
            <w:szCs w:val="22"/>
          </w:rPr>
          <w:t xml:space="preserve"> </w:t>
        </w:r>
      </w:ins>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845743">
        <w:rPr>
          <w:rFonts w:ascii="Arial" w:hAnsi="Arial" w:cs="Arial"/>
          <w:color w:val="000000" w:themeColor="text1"/>
          <w:sz w:val="22"/>
          <w:szCs w:val="22"/>
        </w:rPr>
        <w:t>KO</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w:t>
      </w:r>
      <w:del w:id="169" w:author="Dave Bridges" w:date="2021-06-16T12:00:00Z">
        <w:r w:rsidR="00704322" w:rsidRPr="00262598" w:rsidDel="005857E3">
          <w:rPr>
            <w:rFonts w:ascii="Arial" w:hAnsi="Arial" w:cs="Arial"/>
            <w:color w:val="000000" w:themeColor="text1"/>
            <w:sz w:val="22"/>
            <w:szCs w:val="22"/>
          </w:rPr>
          <w:delText xml:space="preserve">rate </w:delText>
        </w:r>
      </w:del>
      <w:ins w:id="170" w:author="Dave Bridges" w:date="2021-06-16T12:00:00Z">
        <w:r w:rsidR="005857E3">
          <w:rPr>
            <w:rFonts w:ascii="Arial" w:hAnsi="Arial" w:cs="Arial"/>
            <w:color w:val="000000" w:themeColor="text1"/>
            <w:sz w:val="22"/>
            <w:szCs w:val="22"/>
          </w:rPr>
          <w:t>level</w:t>
        </w:r>
        <w:r w:rsidR="005857E3" w:rsidRPr="00262598">
          <w:rPr>
            <w:rFonts w:ascii="Arial" w:hAnsi="Arial" w:cs="Arial"/>
            <w:color w:val="000000" w:themeColor="text1"/>
            <w:sz w:val="22"/>
            <w:szCs w:val="22"/>
          </w:rPr>
          <w:t xml:space="preserve"> </w:t>
        </w:r>
      </w:ins>
      <w:r w:rsidR="00704322" w:rsidRPr="00262598">
        <w:rPr>
          <w:rFonts w:ascii="Arial" w:hAnsi="Arial" w:cs="Arial"/>
          <w:color w:val="000000" w:themeColor="text1"/>
          <w:sz w:val="22"/>
          <w:szCs w:val="22"/>
        </w:rPr>
        <w:t xml:space="preserve">of </w:t>
      </w:r>
      <w:r w:rsidR="00022D02">
        <w:rPr>
          <w:rFonts w:ascii="Arial" w:hAnsi="Arial" w:cs="Arial"/>
          <w:color w:val="000000" w:themeColor="text1"/>
          <w:sz w:val="22"/>
          <w:szCs w:val="22"/>
        </w:rPr>
        <w:t xml:space="preserve">desaturation </w:t>
      </w:r>
      <w:del w:id="171" w:author="Dave Bridges" w:date="2021-06-16T12:00:00Z">
        <w:r w:rsidR="00022D02" w:rsidDel="005857E3">
          <w:rPr>
            <w:rFonts w:ascii="Arial" w:hAnsi="Arial" w:cs="Arial"/>
            <w:color w:val="000000" w:themeColor="text1"/>
            <w:sz w:val="22"/>
            <w:szCs w:val="22"/>
          </w:rPr>
          <w:delText xml:space="preserve">from </w:delText>
        </w:r>
        <w:r w:rsidR="00704322" w:rsidRPr="00262598" w:rsidDel="005857E3">
          <w:rPr>
            <w:rFonts w:ascii="Arial" w:hAnsi="Arial" w:cs="Arial"/>
            <w:color w:val="000000" w:themeColor="text1"/>
            <w:sz w:val="22"/>
            <w:szCs w:val="22"/>
          </w:rPr>
          <w:delText xml:space="preserve">SFA to MUFA </w:delText>
        </w:r>
      </w:del>
      <w:r w:rsidR="00704322"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3F75AB04"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KO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ins w:id="172" w:author="Dave Bridges" w:date="2021-06-16T12:01:00Z">
        <w:r w:rsidR="00780EEB">
          <w:rPr>
            <w:rFonts w:ascii="Arial" w:hAnsi="Arial" w:cs="Arial"/>
            <w:color w:val="000000" w:themeColor="text1"/>
            <w:sz w:val="22"/>
            <w:szCs w:val="22"/>
          </w:rPr>
          <w:t xml:space="preserve">significantly </w:t>
        </w:r>
      </w:ins>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del w:id="173" w:author="Dave Bridges" w:date="2021-06-16T12:01:00Z">
        <w:r w:rsidR="00C95521" w:rsidDel="00780EEB">
          <w:rPr>
            <w:rFonts w:ascii="Arial" w:hAnsi="Arial" w:cs="Arial"/>
            <w:color w:val="000000" w:themeColor="text1"/>
            <w:sz w:val="22"/>
            <w:szCs w:val="22"/>
          </w:rPr>
          <w:delText xml:space="preserve">largely </w:delText>
        </w:r>
      </w:del>
      <w:r w:rsidR="00A0360B">
        <w:rPr>
          <w:rFonts w:ascii="Arial" w:hAnsi="Arial" w:cs="Arial"/>
          <w:color w:val="000000" w:themeColor="text1"/>
          <w:sz w:val="22"/>
          <w:szCs w:val="22"/>
        </w:rPr>
        <w:t>similar</w:t>
      </w:r>
      <w:r>
        <w:rPr>
          <w:rFonts w:ascii="Arial" w:hAnsi="Arial" w:cs="Arial"/>
          <w:color w:val="000000" w:themeColor="text1"/>
          <w:sz w:val="22"/>
          <w:szCs w:val="22"/>
        </w:rPr>
        <w:t>, suggesting that</w:t>
      </w:r>
      <w:ins w:id="174" w:author="Dave Bridges" w:date="2021-06-16T12:01:00Z">
        <w:r w:rsidR="00780EEB">
          <w:rPr>
            <w:rFonts w:ascii="Arial" w:hAnsi="Arial" w:cs="Arial"/>
            <w:color w:val="000000" w:themeColor="text1"/>
            <w:sz w:val="22"/>
            <w:szCs w:val="22"/>
          </w:rPr>
          <w:t xml:space="preserve"> either</w:t>
        </w:r>
      </w:ins>
      <w:r>
        <w:rPr>
          <w:rFonts w:ascii="Arial" w:hAnsi="Arial" w:cs="Arial"/>
          <w:color w:val="000000" w:themeColor="text1"/>
          <w:sz w:val="22"/>
          <w:szCs w:val="22"/>
        </w:rPr>
        <w:t xml:space="preserve"> </w:t>
      </w:r>
      <w:r w:rsidR="00B54E9A">
        <w:rPr>
          <w:rFonts w:ascii="Arial" w:hAnsi="Arial" w:cs="Arial"/>
          <w:color w:val="000000" w:themeColor="text1"/>
          <w:sz w:val="22"/>
          <w:szCs w:val="22"/>
        </w:rPr>
        <w:t xml:space="preserve">the </w:t>
      </w:r>
      <w:del w:id="175" w:author="Dave Bridges" w:date="2021-06-16T12:01:00Z">
        <w:r w:rsidR="00B54E9A" w:rsidDel="00780EEB">
          <w:rPr>
            <w:rFonts w:ascii="Arial" w:hAnsi="Arial" w:cs="Arial"/>
            <w:color w:val="000000" w:themeColor="text1"/>
            <w:sz w:val="22"/>
            <w:szCs w:val="22"/>
          </w:rPr>
          <w:delText xml:space="preserve">upstream </w:delText>
        </w:r>
        <w:r w:rsidDel="00780EEB">
          <w:rPr>
            <w:rFonts w:ascii="Arial" w:hAnsi="Arial" w:cs="Arial"/>
            <w:color w:val="000000" w:themeColor="text1"/>
            <w:sz w:val="22"/>
            <w:szCs w:val="22"/>
          </w:rPr>
          <w:delText>ALA/EPA</w:delText>
        </w:r>
        <w:r w:rsidR="00A0360B" w:rsidDel="00780EEB">
          <w:rPr>
            <w:rFonts w:ascii="Arial" w:hAnsi="Arial" w:cs="Arial"/>
            <w:color w:val="000000" w:themeColor="text1"/>
            <w:sz w:val="22"/>
            <w:szCs w:val="22"/>
          </w:rPr>
          <w:delText>/</w:delText>
        </w:r>
        <w:r w:rsidR="00426914" w:rsidDel="00780EEB">
          <w:rPr>
            <w:rFonts w:ascii="Arial" w:hAnsi="Arial" w:cs="Arial"/>
            <w:color w:val="000000" w:themeColor="text1"/>
            <w:sz w:val="22"/>
            <w:szCs w:val="22"/>
          </w:rPr>
          <w:delText>docosapentaenoic acid (</w:delText>
        </w:r>
        <w:r w:rsidR="00A0360B" w:rsidDel="00780EEB">
          <w:rPr>
            <w:rFonts w:ascii="Arial" w:hAnsi="Arial" w:cs="Arial"/>
            <w:color w:val="000000" w:themeColor="text1"/>
            <w:sz w:val="22"/>
            <w:szCs w:val="22"/>
          </w:rPr>
          <w:delText>DPA</w:delText>
        </w:r>
        <w:r w:rsidR="00426914" w:rsidDel="00780EEB">
          <w:rPr>
            <w:rFonts w:ascii="Arial" w:hAnsi="Arial" w:cs="Arial"/>
            <w:color w:val="000000" w:themeColor="text1"/>
            <w:sz w:val="22"/>
            <w:szCs w:val="22"/>
          </w:rPr>
          <w:delText>)</w:delText>
        </w:r>
        <w:r w:rsidDel="00780EEB">
          <w:rPr>
            <w:rFonts w:ascii="Arial" w:hAnsi="Arial" w:cs="Arial"/>
            <w:color w:val="000000" w:themeColor="text1"/>
            <w:sz w:val="22"/>
            <w:szCs w:val="22"/>
          </w:rPr>
          <w:delText xml:space="preserve"> </w:delText>
        </w:r>
      </w:del>
      <w:r>
        <w:rPr>
          <w:rFonts w:ascii="Arial" w:hAnsi="Arial" w:cs="Arial"/>
          <w:color w:val="000000" w:themeColor="text1"/>
          <w:sz w:val="22"/>
          <w:szCs w:val="22"/>
        </w:rPr>
        <w:t xml:space="preserve">conversion </w:t>
      </w:r>
      <w:ins w:id="176" w:author="Dave Bridges" w:date="2021-06-16T12:01:00Z">
        <w:r w:rsidR="00780EEB">
          <w:rPr>
            <w:rFonts w:ascii="Arial" w:hAnsi="Arial" w:cs="Arial"/>
            <w:color w:val="000000" w:themeColor="text1"/>
            <w:sz w:val="22"/>
            <w:szCs w:val="22"/>
          </w:rPr>
          <w:t xml:space="preserve">from precursors </w:t>
        </w:r>
      </w:ins>
      <w:r>
        <w:rPr>
          <w:rFonts w:ascii="Arial" w:hAnsi="Arial" w:cs="Arial"/>
          <w:color w:val="000000" w:themeColor="text1"/>
          <w:sz w:val="22"/>
          <w:szCs w:val="22"/>
        </w:rPr>
        <w:t xml:space="preserve">into DHA </w:t>
      </w:r>
      <w:r w:rsidR="00A0360B">
        <w:rPr>
          <w:rFonts w:ascii="Arial" w:hAnsi="Arial" w:cs="Arial"/>
          <w:color w:val="000000" w:themeColor="text1"/>
          <w:sz w:val="22"/>
          <w:szCs w:val="22"/>
        </w:rPr>
        <w:t xml:space="preserve">may be </w:t>
      </w:r>
      <w:commentRangeStart w:id="177"/>
      <w:r w:rsidR="00A0360B">
        <w:rPr>
          <w:rFonts w:ascii="Arial" w:hAnsi="Arial" w:cs="Arial"/>
          <w:color w:val="000000" w:themeColor="text1"/>
          <w:sz w:val="22"/>
          <w:szCs w:val="22"/>
        </w:rPr>
        <w:t>increased</w:t>
      </w:r>
      <w:commentRangeEnd w:id="177"/>
      <w:r w:rsidR="00686AFF">
        <w:rPr>
          <w:rFonts w:ascii="Arial" w:hAnsi="Arial" w:cs="Arial"/>
          <w:color w:val="000000" w:themeColor="text1"/>
          <w:sz w:val="22"/>
          <w:szCs w:val="22"/>
        </w:rPr>
        <w:t xml:space="preserve"> </w:t>
      </w:r>
      <w:r w:rsidR="00426914">
        <w:rPr>
          <w:rStyle w:val="CommentReference"/>
        </w:rPr>
        <w:commentReference w:id="177"/>
      </w:r>
      <w:r w:rsidR="00686AFF">
        <w:rPr>
          <w:rFonts w:ascii="Arial" w:hAnsi="Arial" w:cs="Arial"/>
          <w:color w:val="000000" w:themeColor="text1"/>
          <w:sz w:val="22"/>
          <w:szCs w:val="22"/>
        </w:rPr>
        <w:t>or</w:t>
      </w:r>
      <w:ins w:id="178" w:author="Dave Bridges" w:date="2021-06-16T12:01:00Z">
        <w:r w:rsidR="00780EEB">
          <w:rPr>
            <w:rFonts w:ascii="Arial" w:hAnsi="Arial" w:cs="Arial"/>
            <w:color w:val="000000" w:themeColor="text1"/>
            <w:sz w:val="22"/>
            <w:szCs w:val="22"/>
          </w:rPr>
          <w:t xml:space="preserve"> there is</w:t>
        </w:r>
      </w:ins>
      <w:r w:rsidR="00686AFF">
        <w:rPr>
          <w:rFonts w:ascii="Arial" w:hAnsi="Arial" w:cs="Arial"/>
          <w:color w:val="000000" w:themeColor="text1"/>
          <w:sz w:val="22"/>
          <w:szCs w:val="22"/>
        </w:rPr>
        <w:t xml:space="preserve"> selective sparing of DHA from catabolism</w:t>
      </w:r>
      <w:del w:id="179" w:author="Dave Bridges" w:date="2021-06-16T12:01:00Z">
        <w:r w:rsidR="00686AFF" w:rsidDel="00780EEB">
          <w:rPr>
            <w:rFonts w:ascii="Arial" w:hAnsi="Arial" w:cs="Arial"/>
            <w:color w:val="000000" w:themeColor="text1"/>
            <w:sz w:val="22"/>
            <w:szCs w:val="22"/>
          </w:rPr>
          <w:delText xml:space="preserve"> occurs </w:delText>
        </w:r>
        <w:r w:rsidDel="00780EEB">
          <w:rPr>
            <w:rFonts w:ascii="Arial" w:hAnsi="Arial" w:cs="Arial"/>
            <w:color w:val="000000" w:themeColor="text1"/>
            <w:sz w:val="22"/>
            <w:szCs w:val="22"/>
          </w:rPr>
          <w:delText xml:space="preserve">in the adipocyte </w:delText>
        </w:r>
        <w:r w:rsidDel="00780EEB">
          <w:rPr>
            <w:rFonts w:ascii="Arial" w:hAnsi="Arial" w:cs="Arial"/>
            <w:i/>
            <w:color w:val="000000" w:themeColor="text1"/>
            <w:sz w:val="22"/>
            <w:szCs w:val="22"/>
          </w:rPr>
          <w:delText>Tsc1</w:delText>
        </w:r>
        <w:r w:rsidDel="00780EEB">
          <w:rPr>
            <w:rFonts w:ascii="Arial" w:hAnsi="Arial" w:cs="Arial"/>
            <w:color w:val="000000" w:themeColor="text1"/>
            <w:sz w:val="22"/>
            <w:szCs w:val="22"/>
          </w:rPr>
          <w:delText xml:space="preserve"> knockout dams</w:delText>
        </w:r>
      </w:del>
      <w:r>
        <w:rPr>
          <w:rFonts w:ascii="Arial" w:hAnsi="Arial" w:cs="Arial"/>
          <w:color w:val="000000" w:themeColor="text1"/>
          <w:sz w:val="22"/>
          <w:szCs w:val="22"/>
        </w:rPr>
        <w:t>.</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4F18FD84"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w:t>
      </w:r>
      <w:del w:id="180" w:author="Dave Bridges" w:date="2021-06-16T12:02:00Z">
        <w:r w:rsidR="00D25638" w:rsidRPr="00D25638" w:rsidDel="008017FC">
          <w:rPr>
            <w:rFonts w:ascii="Arial" w:hAnsi="Arial" w:cs="Arial"/>
            <w:sz w:val="22"/>
          </w:rPr>
          <w:delText>gene expression</w:delText>
        </w:r>
      </w:del>
      <w:ins w:id="181" w:author="Dave Bridges" w:date="2021-06-16T12:02:00Z">
        <w:r w:rsidR="008017FC">
          <w:rPr>
            <w:rFonts w:ascii="Arial" w:hAnsi="Arial" w:cs="Arial"/>
            <w:sz w:val="22"/>
          </w:rPr>
          <w:t>biology</w:t>
        </w:r>
      </w:ins>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del w:id="182" w:author="Dave Bridges" w:date="2021-06-16T12:02:00Z">
        <w:r w:rsidR="00845743" w:rsidDel="008017FC">
          <w:rPr>
            <w:rFonts w:ascii="Arial" w:hAnsi="Arial" w:cs="Arial"/>
            <w:sz w:val="22"/>
          </w:rPr>
          <w:delText xml:space="preserve">WT </w:delText>
        </w:r>
      </w:del>
      <w:ins w:id="183" w:author="Dave Bridges" w:date="2021-06-16T12:02:00Z">
        <w:r w:rsidR="008017FC">
          <w:rPr>
            <w:rFonts w:ascii="Arial" w:hAnsi="Arial" w:cs="Arial"/>
            <w:sz w:val="22"/>
          </w:rPr>
          <w:t>wild-type</w:t>
        </w:r>
        <w:r w:rsidR="008017FC">
          <w:rPr>
            <w:rFonts w:ascii="Arial" w:hAnsi="Arial" w:cs="Arial"/>
            <w:sz w:val="22"/>
          </w:rPr>
          <w:t xml:space="preserve"> </w:t>
        </w:r>
      </w:ins>
      <w:r w:rsidR="00845743">
        <w:rPr>
          <w:rFonts w:ascii="Arial" w:hAnsi="Arial" w:cs="Arial"/>
          <w:sz w:val="22"/>
        </w:rPr>
        <w:t xml:space="preserve">and </w:t>
      </w:r>
      <w:del w:id="184" w:author="Dave Bridges" w:date="2021-06-16T12:02:00Z">
        <w:r w:rsidR="00845743" w:rsidDel="008017FC">
          <w:rPr>
            <w:rFonts w:ascii="Arial" w:hAnsi="Arial" w:cs="Arial"/>
            <w:sz w:val="22"/>
          </w:rPr>
          <w:delText xml:space="preserve">KO </w:delText>
        </w:r>
      </w:del>
      <w:ins w:id="185" w:author="Dave Bridges" w:date="2021-06-16T12:02:00Z">
        <w:r w:rsidR="008017FC">
          <w:rPr>
            <w:rFonts w:ascii="Arial" w:hAnsi="Arial" w:cs="Arial"/>
            <w:sz w:val="22"/>
          </w:rPr>
          <w:t>knockout</w:t>
        </w:r>
        <w:r w:rsidR="008017FC">
          <w:rPr>
            <w:rFonts w:ascii="Arial" w:hAnsi="Arial" w:cs="Arial"/>
            <w:sz w:val="22"/>
          </w:rPr>
          <w:t xml:space="preserve"> </w:t>
        </w:r>
      </w:ins>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KO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commentRangeStart w:id="186"/>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del w:id="187" w:author="Dave Bridges" w:date="2021-06-16T12:03:00Z">
        <w:r w:rsidR="00BE7FD0" w:rsidDel="00470E84">
          <w:rPr>
            <w:rFonts w:ascii="Arial" w:hAnsi="Arial" w:cs="Arial"/>
            <w:sz w:val="22"/>
          </w:rPr>
          <w:delText>the enzyme involved in</w:delText>
        </w:r>
        <w:r w:rsidR="00B12700" w:rsidRPr="00D66383" w:rsidDel="00470E84">
          <w:rPr>
            <w:rFonts w:ascii="Arial" w:hAnsi="Arial" w:cs="Arial"/>
            <w:sz w:val="22"/>
          </w:rPr>
          <w:delText xml:space="preserve"> </w:delText>
        </w:r>
        <w:r w:rsidR="00D66383" w:rsidRPr="00D66383" w:rsidDel="00470E84">
          <w:rPr>
            <w:rFonts w:ascii="Arial" w:hAnsi="Arial" w:cs="Arial"/>
            <w:color w:val="000000" w:themeColor="text1"/>
            <w:sz w:val="22"/>
            <w:szCs w:val="22"/>
          </w:rPr>
          <w:sym w:font="Symbol" w:char="F077"/>
        </w:r>
        <w:r w:rsidR="00B12700" w:rsidRPr="00D66383" w:rsidDel="00470E84">
          <w:rPr>
            <w:rFonts w:ascii="Arial" w:hAnsi="Arial" w:cs="Arial"/>
            <w:sz w:val="22"/>
          </w:rPr>
          <w:delText>-6</w:delText>
        </w:r>
        <w:r w:rsidR="00B12700" w:rsidDel="00470E84">
          <w:rPr>
            <w:rFonts w:ascii="Arial" w:hAnsi="Arial" w:cs="Arial"/>
            <w:sz w:val="22"/>
          </w:rPr>
          <w:delText xml:space="preserve"> </w:delText>
        </w:r>
        <w:r w:rsidR="00BE7FD0" w:rsidDel="00470E84">
          <w:rPr>
            <w:rFonts w:ascii="Arial" w:hAnsi="Arial" w:cs="Arial"/>
            <w:sz w:val="22"/>
          </w:rPr>
          <w:delText>metabolism,</w:delText>
        </w:r>
        <w:r w:rsidR="00B12700" w:rsidDel="00470E84">
          <w:rPr>
            <w:rFonts w:ascii="Arial" w:hAnsi="Arial" w:cs="Arial"/>
            <w:sz w:val="22"/>
          </w:rPr>
          <w:delText xml:space="preserve"> </w:delText>
        </w:r>
      </w:del>
      <w:r w:rsidR="00B12700">
        <w:rPr>
          <w:rFonts w:ascii="Arial" w:hAnsi="Arial" w:cs="Arial"/>
          <w:sz w:val="22"/>
        </w:rPr>
        <w:t>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commentRangeEnd w:id="186"/>
      <w:r w:rsidR="001E50AD">
        <w:rPr>
          <w:rStyle w:val="CommentReference"/>
        </w:rPr>
        <w:commentReference w:id="186"/>
      </w:r>
      <w:commentRangeStart w:id="188"/>
      <w:commentRangeStart w:id="189"/>
      <w:r w:rsidR="0001319C" w:rsidRPr="00F32254">
        <w:rPr>
          <w:rFonts w:ascii="Arial" w:hAnsi="Arial" w:cs="Arial"/>
          <w:sz w:val="22"/>
          <w:highlight w:val="yellow"/>
        </w:rPr>
        <w:t>The increased expression of adipon</w:t>
      </w:r>
      <w:r w:rsidR="00EA0A35" w:rsidRPr="00F32254">
        <w:rPr>
          <w:rFonts w:ascii="Arial" w:hAnsi="Arial" w:cs="Arial"/>
          <w:sz w:val="22"/>
          <w:highlight w:val="yellow"/>
        </w:rPr>
        <w:t>ec</w:t>
      </w:r>
      <w:r w:rsidR="0001319C" w:rsidRPr="00F32254">
        <w:rPr>
          <w:rFonts w:ascii="Arial" w:hAnsi="Arial" w:cs="Arial"/>
          <w:sz w:val="22"/>
          <w:highlight w:val="yellow"/>
        </w:rPr>
        <w:t xml:space="preserve">tin in </w:t>
      </w:r>
      <w:r w:rsidR="00EA0A35" w:rsidRPr="00F32254">
        <w:rPr>
          <w:rFonts w:ascii="Arial" w:hAnsi="Arial" w:cs="Arial"/>
          <w:sz w:val="22"/>
          <w:highlight w:val="yellow"/>
        </w:rPr>
        <w:t>KO mammary glands has been shown to increase the size and number of lipid droplets in the mammary glands of lactating mice at peak lactation https://academic.oup.com/endo/article/156/4/1504/2803767</w:t>
      </w:r>
      <w:commentRangeEnd w:id="188"/>
      <w:r w:rsidR="008017FC">
        <w:rPr>
          <w:rStyle w:val="CommentReference"/>
        </w:rPr>
        <w:commentReference w:id="188"/>
      </w:r>
      <w:commentRangeEnd w:id="189"/>
      <w:r w:rsidR="008017FC">
        <w:rPr>
          <w:rStyle w:val="CommentReference"/>
        </w:rPr>
        <w:commentReference w:id="189"/>
      </w:r>
    </w:p>
    <w:p w14:paraId="012BED28" w14:textId="77777777" w:rsidR="00487AC0" w:rsidRDefault="00487AC0" w:rsidP="00C55AF5">
      <w:pPr>
        <w:rPr>
          <w:rFonts w:ascii="Arial" w:hAnsi="Arial" w:cs="Arial"/>
          <w:sz w:val="22"/>
        </w:rPr>
      </w:pPr>
    </w:p>
    <w:p w14:paraId="13C779BF" w14:textId="4EF6B813"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 xml:space="preserve">ignificantly differentially expressed biological pathways (180 </w:t>
      </w:r>
      <w:r w:rsidR="00487AC0">
        <w:rPr>
          <w:rFonts w:ascii="Arial" w:hAnsi="Arial" w:cs="Arial"/>
          <w:sz w:val="22"/>
        </w:rPr>
        <w:lastRenderedPageBreak/>
        <w:t>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w:t>
      </w:r>
      <w:bookmarkStart w:id="190" w:name="_GoBack"/>
      <w:bookmarkEnd w:id="190"/>
      <w:del w:id="191" w:author="Dave Bridges" w:date="2021-06-16T12:05:00Z">
        <w:r w:rsidR="00487AC0" w:rsidDel="00491EDA">
          <w:rPr>
            <w:rFonts w:ascii="Arial" w:hAnsi="Arial" w:cs="Arial"/>
            <w:sz w:val="22"/>
          </w:rPr>
          <w:delText xml:space="preserve">overlap of the </w:delText>
        </w:r>
      </w:del>
      <w:r w:rsidR="00487AC0">
        <w:rPr>
          <w:rFonts w:ascii="Arial" w:hAnsi="Arial" w:cs="Arial"/>
          <w:sz w:val="22"/>
        </w:rPr>
        <w:t xml:space="preserve">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192"/>
      <w:commentRangeStart w:id="193"/>
      <w:commentRangeStart w:id="194"/>
      <w:commentRangeStart w:id="195"/>
      <w:r w:rsidR="00CB042A">
        <w:rPr>
          <w:rFonts w:ascii="Arial" w:hAnsi="Arial" w:cs="Arial"/>
          <w:sz w:val="22"/>
        </w:rPr>
        <w:t>adaptive immune cells in these mammary glands</w:t>
      </w:r>
      <w:commentRangeEnd w:id="192"/>
      <w:r w:rsidR="00F21112">
        <w:rPr>
          <w:rStyle w:val="CommentReference"/>
        </w:rPr>
        <w:commentReference w:id="192"/>
      </w:r>
      <w:commentRangeEnd w:id="193"/>
      <w:commentRangeEnd w:id="194"/>
      <w:commentRangeEnd w:id="195"/>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2C09D7">
        <w:rPr>
          <w:rStyle w:val="CommentReference"/>
        </w:rPr>
        <w:commentReference w:id="193"/>
      </w:r>
      <w:r w:rsidR="00D635AB">
        <w:rPr>
          <w:rStyle w:val="CommentReference"/>
        </w:rPr>
        <w:commentReference w:id="194"/>
      </w:r>
      <w:r w:rsidR="00470E84">
        <w:rPr>
          <w:rStyle w:val="CommentReference"/>
        </w:rPr>
        <w:commentReference w:id="195"/>
      </w:r>
      <w:r w:rsidR="00CB042A">
        <w:rPr>
          <w:rFonts w:ascii="Arial" w:hAnsi="Arial" w:cs="Arial"/>
          <w:sz w:val="22"/>
        </w:rPr>
        <w:t>.</w:t>
      </w:r>
      <w:r w:rsidR="00EF70DB">
        <w:rPr>
          <w:rFonts w:ascii="Arial" w:hAnsi="Arial" w:cs="Arial"/>
          <w:sz w:val="22"/>
        </w:rPr>
        <w:t xml:space="preserve"> This could be primarily driven by the increased DHA levels in the milk of KO dams</w:t>
      </w:r>
      <w:r w:rsidR="0080376F">
        <w:rPr>
          <w:rFonts w:ascii="Arial" w:hAnsi="Arial" w:cs="Arial"/>
          <w:sz w:val="22"/>
        </w:rPr>
        <w:t>,</w:t>
      </w:r>
      <w:r w:rsidR="00EF70DB">
        <w:rPr>
          <w:rFonts w:ascii="Arial" w:hAnsi="Arial" w:cs="Arial"/>
          <w:sz w:val="22"/>
        </w:rPr>
        <w:t xml:space="preserve"> and therefore in the circulation of KO mice</w:t>
      </w:r>
      <w:r w:rsidR="0080376F">
        <w:rPr>
          <w:rFonts w:ascii="Arial" w:hAnsi="Arial" w:cs="Arial"/>
          <w:sz w:val="22"/>
        </w:rPr>
        <w:t xml:space="preserve">, which promote an anti-inflammatory state and </w:t>
      </w:r>
      <w:r w:rsidR="009A6AB0">
        <w:rPr>
          <w:rFonts w:ascii="Arial" w:hAnsi="Arial" w:cs="Arial"/>
          <w:sz w:val="22"/>
        </w:rPr>
        <w:t>reduce immune cell activation</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12904170"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(36)","plainTextFormattedCitation":"(36)","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(36)</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ins w:id="196" w:author="Noura El Habbal" w:date="2021-05-12T02:27:00Z">
        <w:r w:rsidR="009A4FDC" w:rsidRPr="00EF5551">
          <w:rPr>
            <w:rFonts w:ascii="Arial" w:hAnsi="Arial" w:cs="Arial"/>
            <w:color w:val="000000" w:themeColor="text1"/>
            <w:sz w:val="22"/>
            <w:szCs w:val="22"/>
          </w:rPr>
          <w:fldChar w:fldCharType="begin" w:fldLock="1"/>
        </w:r>
      </w:ins>
      <w:r w:rsidR="00F101F5">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mendeley":{"formattedCitation":"(24, 25)","plainTextFormattedCitation":"(24, 25)","previouslyFormattedCitation":"(24, 25)"},"properties":{"noteIndex":0},"schema":"https://github.com/citation-style-language/schema/raw/master/csl-citation.json"}</w:instrText>
      </w:r>
      <w:ins w:id="197"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198"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199"/>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{"citationItems":[{"id":"ITEM-1","itemData":{"DOI":"10.2337/diabetes.53.11.2748","ISSN":"0012-1797","author":[{"dropping-particle":"","family":"Kim","given":"Jae Eun","non-dropping-particle":"","parse-names":false,"suffix":""},{"dropping-particle":"","family":"Chen","given":"Jie","non-dropping-particle":"","parse-names":false,"suffix":""}],"container-title":"Diabetes","id":"ITEM-1","issue":"11","issued":{"date-parts":[["2004","10","25"]]},"page":"2748-2756","title":"Regulation of Peroxisome Proliferator-Activated Receptor- Activity by Mammalian Target of Rapamycin and Amino Acids in Adipogenesis","type":"article-journal","volume":"53"},"uris":["http://www.mendeley.com/documents/?uuid=3c18cdb4-aa78-4bdc-ad00-4262d07996b6"]},{"id":"ITEM-2","itemData":{"DOI":"10.1016/j.bbrc.2004.07.050","ISSN":"0006-291X","PMID":"15358118","abstract":"Here,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PPARgamma,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communications","id":"ITEM-2","issue":"4","issued":{"date-parts":[["2004","9","3"]]},"page":"942-8","title":"Regulation of adipocyte differentiation and insulin action with rapamycin.","type":"article-journal","volume":"321"},"uris":["http://www.mendeley.com/documents/?uuid=17e21812-ad96-4dfc-a1fe-60456eb6df96"]},{"id":"ITEM-3","itemData":{"abstract":"Differentiating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(37–39)","plainTextFormattedCitation":"(37–39)","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(37–39)</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199"/>
      <w:r w:rsidR="00146CB1">
        <w:rPr>
          <w:rStyle w:val="CommentReference"/>
        </w:rPr>
        <w:commentReference w:id="199"/>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commentRangeStart w:id="200"/>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commentRangeEnd w:id="200"/>
      <w:r w:rsidR="00245A45">
        <w:rPr>
          <w:rStyle w:val="CommentReference"/>
        </w:rPr>
        <w:commentReference w:id="200"/>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w:t>
      </w:r>
      <w:commentRangeStart w:id="201"/>
      <w:commentRangeStart w:id="202"/>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201"/>
      <w:r w:rsidR="00BA2274">
        <w:rPr>
          <w:rStyle w:val="CommentReference"/>
        </w:rPr>
        <w:commentReference w:id="201"/>
      </w:r>
      <w:commentRangeEnd w:id="202"/>
      <w:r w:rsidR="00146CB1">
        <w:rPr>
          <w:rStyle w:val="CommentReference"/>
        </w:rPr>
        <w:commentReference w:id="202"/>
      </w:r>
    </w:p>
    <w:p w14:paraId="6D8C972E" w14:textId="77777777" w:rsidR="00011C59" w:rsidRDefault="00011C59" w:rsidP="00C55AF5">
      <w:pPr>
        <w:rPr>
          <w:rFonts w:ascii="Arial" w:hAnsi="Arial" w:cs="Arial"/>
          <w:color w:val="000000" w:themeColor="text1"/>
          <w:sz w:val="22"/>
          <w:szCs w:val="22"/>
        </w:rPr>
      </w:pPr>
    </w:p>
    <w:p w14:paraId="6018343A" w14:textId="047BD31F"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Metabolism","id":"ITEM-1","issue":"6","issued":{"date-parts":[["2016"]]},"page":"422-432","publisher":"Elsevier GmbH","title":"Raptor/mTORC1 loss in adipocytes causes progressive lipodystrophy and fatty liver disease","type":"article-journal","volume":"5"},"uris":["http://www.mendeley.com/documents/?uuid=ee150d11-feb5-4474-aecc-46d213d415a3"]},{"id":"ITEM-2","itemData":{"DOI":"10.1016/j.cmet.2008.09.003","ISBN":"1550-4131","ISSN":"15504131","PMID":"19046571","abstract":"raptor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Metabolism","id":"ITEM-2","issue":"5","issued":{"date-parts":[["2008"]]},"page":"399-410","title":"Adipose-Specific Knockout of raptor Results in Lean Mice with Enhanced Mitochondrial Respiration","type":"article-journal","volume":"8"},"uris":["http://www.mendeley.com/documents/?uuid=7d661654-a7ee-4f96-b3e3-42d78d9217df"]}],"mendeley":{"formattedCitation":"(40,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Metabolism","id":"ITEM-1","issue":"6","issued":{"date-parts":[["2016"]]},"page":"422-432","publisher":"Elsevier GmbH","title":"Raptor/mTORC1 loss in adipocytes causes progressive lipodystrophy and fatty liver disease","type":"article-journal","volume":"5"},"uris":["http://www.mendeley.com/documents/?uuid=ee150d11-feb5-4474-aecc-46d213d415a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203"/>
      <w:r>
        <w:rPr>
          <w:rFonts w:ascii="Arial" w:hAnsi="Arial" w:cs="Arial"/>
          <w:color w:val="000000" w:themeColor="text1"/>
          <w:sz w:val="22"/>
          <w:szCs w:val="22"/>
        </w:rPr>
        <w:t>two</w:t>
      </w:r>
      <w:commentRangeEnd w:id="203"/>
      <w:r w:rsidR="00D22AC0">
        <w:rPr>
          <w:rStyle w:val="CommentReference"/>
        </w:rPr>
        <w:commentReference w:id="203"/>
      </w:r>
      <w:r>
        <w:rPr>
          <w:rFonts w:ascii="Arial" w:hAnsi="Arial" w:cs="Arial"/>
          <w:color w:val="000000" w:themeColor="text1"/>
          <w:sz w:val="22"/>
          <w:szCs w:val="22"/>
        </w:rPr>
        <w:t xml:space="preserve"> potential explanations, </w:t>
      </w:r>
      <w:commentRangeStart w:id="204"/>
      <w:commentRangeStart w:id="205"/>
      <w:r>
        <w:rPr>
          <w:rFonts w:ascii="Arial" w:hAnsi="Arial" w:cs="Arial"/>
          <w:color w:val="000000" w:themeColor="text1"/>
          <w:sz w:val="22"/>
          <w:szCs w:val="22"/>
        </w:rPr>
        <w:t xml:space="preserve">one is that </w:t>
      </w:r>
      <w:r w:rsidR="00DE55CA">
        <w:rPr>
          <w:rFonts w:ascii="Arial" w:hAnsi="Arial" w:cs="Arial"/>
          <w:color w:val="000000" w:themeColor="text1"/>
          <w:sz w:val="22"/>
          <w:szCs w:val="22"/>
        </w:rPr>
        <w:t xml:space="preserve">in the KO </w:t>
      </w:r>
      <w:r>
        <w:rPr>
          <w:rFonts w:ascii="Arial" w:hAnsi="Arial" w:cs="Arial"/>
          <w:color w:val="000000" w:themeColor="text1"/>
          <w:sz w:val="22"/>
          <w:szCs w:val="22"/>
        </w:rPr>
        <w:t xml:space="preserve">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204"/>
      <w:r w:rsidR="000677A5">
        <w:rPr>
          <w:rStyle w:val="CommentReference"/>
        </w:rPr>
        <w:commentReference w:id="204"/>
      </w:r>
      <w:commentRangeEnd w:id="205"/>
      <w:r w:rsidR="00DE55CA">
        <w:rPr>
          <w:rFonts w:ascii="Arial" w:hAnsi="Arial" w:cs="Arial"/>
          <w:color w:val="000000" w:themeColor="text1"/>
          <w:sz w:val="22"/>
          <w:szCs w:val="22"/>
        </w:rPr>
        <w:t xml:space="preserve"> into the milk</w:t>
      </w:r>
      <w:r w:rsidR="00DC5970">
        <w:rPr>
          <w:rStyle w:val="CommentReference"/>
        </w:rPr>
        <w:commentReference w:id="205"/>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6A045ED2"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(43)","plainTextFormattedCitation":"(43)","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(44)","plainTextFormattedCitation":"(44)","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w:t>
      </w:r>
      <w:commentRangeStart w:id="206"/>
      <w:r w:rsidR="00AD46FF">
        <w:rPr>
          <w:rFonts w:ascii="Arial" w:hAnsi="Arial" w:cs="Arial"/>
          <w:color w:val="000000" w:themeColor="text1"/>
          <w:sz w:val="22"/>
          <w:szCs w:val="22"/>
        </w:rPr>
        <w:t>cell-types.</w:t>
      </w:r>
      <w:r w:rsidR="0058600C" w:rsidRPr="0058600C">
        <w:rPr>
          <w:rFonts w:ascii="Arial" w:hAnsi="Arial" w:cs="Arial"/>
          <w:color w:val="000000" w:themeColor="text1"/>
          <w:sz w:val="22"/>
          <w:szCs w:val="22"/>
        </w:rPr>
        <w:t xml:space="preserve"> </w:t>
      </w:r>
      <w:commentRangeEnd w:id="206"/>
      <w:r w:rsidR="00242C83">
        <w:rPr>
          <w:rStyle w:val="CommentReference"/>
        </w:rPr>
        <w:commentReference w:id="206"/>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466FEF3C"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(45–47)","plainTextFormattedCitation":"(45–47)","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(45–47)</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207"/>
      <w:r w:rsidR="00955460">
        <w:rPr>
          <w:rFonts w:ascii="Arial" w:hAnsi="Arial" w:cs="Arial"/>
          <w:color w:val="000000" w:themeColor="text1"/>
          <w:sz w:val="22"/>
          <w:szCs w:val="22"/>
        </w:rPr>
        <w:t xml:space="preserve">PC-DHA </w:t>
      </w:r>
      <w:commentRangeEnd w:id="207"/>
      <w:r w:rsidR="002F4FE3">
        <w:rPr>
          <w:rStyle w:val="CommentReference"/>
        </w:rPr>
        <w:commentReference w:id="207"/>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F101F5">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F36FA6" w:rsidRPr="00F36FA6">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w:t>
      </w:r>
      <w:commentRangeStart w:id="208"/>
      <w:r w:rsidR="00AD46FF">
        <w:rPr>
          <w:rFonts w:ascii="Arial" w:hAnsi="Arial" w:cs="Arial"/>
          <w:color w:val="000000" w:themeColor="text1"/>
          <w:sz w:val="22"/>
          <w:szCs w:val="22"/>
        </w:rPr>
        <w:t xml:space="preserve">The DHA levels may also be linked to our observation of reduced gene expression of markers of adaptive immune cells. </w:t>
      </w:r>
      <w:commentRangeEnd w:id="208"/>
      <w:r w:rsidR="006055B6">
        <w:rPr>
          <w:rStyle w:val="CommentReference"/>
        </w:rPr>
        <w:commentReference w:id="208"/>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209"/>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209"/>
      <w:r w:rsidR="00A32620">
        <w:rPr>
          <w:rStyle w:val="CommentReference"/>
        </w:rPr>
        <w:commentReference w:id="209"/>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0BC8D254" w14:textId="145CA629" w:rsidR="00F101F5" w:rsidRPr="00F101F5" w:rsidRDefault="001745BF" w:rsidP="00F101F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F101F5" w:rsidRPr="00F101F5">
        <w:rPr>
          <w:rFonts w:ascii="Arial" w:hAnsi="Arial" w:cs="Arial"/>
          <w:noProof/>
          <w:sz w:val="22"/>
        </w:rPr>
        <w:t xml:space="preserve">1. Lessen, R., and K. Kavanagh. 2015. Position of the academy of nutrition and dietetics: Promoting and supporting breastfeeding. </w:t>
      </w:r>
      <w:r w:rsidR="00F101F5" w:rsidRPr="00F101F5">
        <w:rPr>
          <w:rFonts w:ascii="Arial" w:hAnsi="Arial" w:cs="Arial"/>
          <w:i/>
          <w:iCs/>
          <w:noProof/>
          <w:sz w:val="22"/>
        </w:rPr>
        <w:t>J. Acad. Nutr. Diet.</w:t>
      </w:r>
      <w:r w:rsidR="00F101F5" w:rsidRPr="00F101F5">
        <w:rPr>
          <w:rFonts w:ascii="Arial" w:hAnsi="Arial" w:cs="Arial"/>
          <w:noProof/>
          <w:sz w:val="22"/>
        </w:rPr>
        <w:t xml:space="preserve"> </w:t>
      </w:r>
      <w:r w:rsidR="00F101F5" w:rsidRPr="00F101F5">
        <w:rPr>
          <w:rFonts w:ascii="Arial" w:hAnsi="Arial" w:cs="Arial"/>
          <w:b/>
          <w:bCs/>
          <w:noProof/>
          <w:sz w:val="22"/>
        </w:rPr>
        <w:t>115</w:t>
      </w:r>
      <w:r w:rsidR="00F101F5" w:rsidRPr="00F101F5">
        <w:rPr>
          <w:rFonts w:ascii="Arial" w:hAnsi="Arial" w:cs="Arial"/>
          <w:noProof/>
          <w:sz w:val="22"/>
        </w:rPr>
        <w:t>: 444–449.</w:t>
      </w:r>
      <w:r w:rsidR="00F101F5" w:rsidRPr="00F101F5">
        <w:rPr>
          <w:rFonts w:ascii="Arial" w:hAnsi="Arial" w:cs="Arial"/>
          <w:noProof/>
          <w:sz w:val="22"/>
        </w:rPr>
        <w:tab/>
      </w:r>
    </w:p>
    <w:p w14:paraId="32399126"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 Macias, H., and L. Hinck. 2012. Mammary gland development. </w:t>
      </w:r>
      <w:r w:rsidRPr="00F101F5">
        <w:rPr>
          <w:rFonts w:ascii="Arial" w:hAnsi="Arial" w:cs="Arial"/>
          <w:i/>
          <w:iCs/>
          <w:noProof/>
          <w:sz w:val="22"/>
        </w:rPr>
        <w:t>Wiley Interdiscip. Rev. Dev. Biol.</w:t>
      </w:r>
      <w:r w:rsidRPr="00F101F5">
        <w:rPr>
          <w:rFonts w:ascii="Arial" w:hAnsi="Arial" w:cs="Arial"/>
          <w:noProof/>
          <w:sz w:val="22"/>
        </w:rPr>
        <w:t xml:space="preserve"> </w:t>
      </w:r>
      <w:r w:rsidRPr="00F101F5">
        <w:rPr>
          <w:rFonts w:ascii="Arial" w:hAnsi="Arial" w:cs="Arial"/>
          <w:b/>
          <w:bCs/>
          <w:noProof/>
          <w:sz w:val="22"/>
        </w:rPr>
        <w:t>1</w:t>
      </w:r>
      <w:r w:rsidRPr="00F101F5">
        <w:rPr>
          <w:rFonts w:ascii="Arial" w:hAnsi="Arial" w:cs="Arial"/>
          <w:noProof/>
          <w:sz w:val="22"/>
        </w:rPr>
        <w:t>: 533–57.</w:t>
      </w:r>
      <w:r w:rsidRPr="00F101F5">
        <w:rPr>
          <w:rFonts w:ascii="Arial" w:hAnsi="Arial" w:cs="Arial"/>
          <w:noProof/>
          <w:sz w:val="22"/>
        </w:rPr>
        <w:tab/>
      </w:r>
    </w:p>
    <w:p w14:paraId="658224D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 Hartmann, P. E., R. A. Owens, D. B. Cox, and J. C. Kent. 1996. Establishing lactation Breast development and control of milk synthesis.</w:t>
      </w:r>
      <w:r w:rsidRPr="00F101F5">
        <w:rPr>
          <w:rFonts w:ascii="Arial" w:hAnsi="Arial" w:cs="Arial"/>
          <w:noProof/>
          <w:sz w:val="22"/>
        </w:rPr>
        <w:tab/>
      </w:r>
    </w:p>
    <w:p w14:paraId="4CCCA9C8"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 Landskroner-Eiger, S., J. Park, D. Israel, J. W. Pollard, and P. E. Scherer. 2010. Morphogenesis of the developing mammary gland: stage-dependent impact of adipocytes. </w:t>
      </w:r>
      <w:r w:rsidRPr="00F101F5">
        <w:rPr>
          <w:rFonts w:ascii="Arial" w:hAnsi="Arial" w:cs="Arial"/>
          <w:i/>
          <w:iCs/>
          <w:noProof/>
          <w:sz w:val="22"/>
        </w:rPr>
        <w:t>Dev. Biol.</w:t>
      </w:r>
      <w:r w:rsidRPr="00F101F5">
        <w:rPr>
          <w:rFonts w:ascii="Arial" w:hAnsi="Arial" w:cs="Arial"/>
          <w:noProof/>
          <w:sz w:val="22"/>
        </w:rPr>
        <w:t xml:space="preserve"> </w:t>
      </w:r>
      <w:r w:rsidRPr="00F101F5">
        <w:rPr>
          <w:rFonts w:ascii="Arial" w:hAnsi="Arial" w:cs="Arial"/>
          <w:b/>
          <w:bCs/>
          <w:noProof/>
          <w:sz w:val="22"/>
        </w:rPr>
        <w:t>344</w:t>
      </w:r>
      <w:r w:rsidRPr="00F101F5">
        <w:rPr>
          <w:rFonts w:ascii="Arial" w:hAnsi="Arial" w:cs="Arial"/>
          <w:noProof/>
          <w:sz w:val="22"/>
        </w:rPr>
        <w:t>: 968–78.</w:t>
      </w:r>
      <w:r w:rsidRPr="00F101F5">
        <w:rPr>
          <w:rFonts w:ascii="Arial" w:hAnsi="Arial" w:cs="Arial"/>
          <w:noProof/>
          <w:sz w:val="22"/>
        </w:rPr>
        <w:tab/>
      </w:r>
    </w:p>
    <w:p w14:paraId="629A331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5. Machino, M. 1976. Growth and Differentiation, Vo1.</w:t>
      </w:r>
      <w:r w:rsidRPr="00F101F5">
        <w:rPr>
          <w:rFonts w:ascii="Arial" w:hAnsi="Arial" w:cs="Arial"/>
          <w:noProof/>
          <w:sz w:val="22"/>
        </w:rPr>
        <w:tab/>
      </w:r>
    </w:p>
    <w:p w14:paraId="50A63C70"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F101F5">
        <w:rPr>
          <w:rFonts w:ascii="Arial" w:hAnsi="Arial" w:cs="Arial"/>
          <w:i/>
          <w:iCs/>
          <w:noProof/>
          <w:sz w:val="22"/>
        </w:rPr>
        <w:t>Nat. Commun.</w:t>
      </w:r>
      <w:r w:rsidRPr="00F101F5">
        <w:rPr>
          <w:rFonts w:ascii="Arial" w:hAnsi="Arial" w:cs="Arial"/>
          <w:noProof/>
          <w:sz w:val="22"/>
        </w:rPr>
        <w:t xml:space="preserve"> </w:t>
      </w:r>
      <w:r w:rsidRPr="00F101F5">
        <w:rPr>
          <w:rFonts w:ascii="Arial" w:hAnsi="Arial" w:cs="Arial"/>
          <w:b/>
          <w:bCs/>
          <w:noProof/>
          <w:sz w:val="22"/>
        </w:rPr>
        <w:t>9</w:t>
      </w:r>
      <w:r w:rsidRPr="00F101F5">
        <w:rPr>
          <w:rFonts w:ascii="Arial" w:hAnsi="Arial" w:cs="Arial"/>
          <w:noProof/>
          <w:sz w:val="22"/>
        </w:rPr>
        <w:t>: 3592.</w:t>
      </w:r>
      <w:r w:rsidRPr="00F101F5">
        <w:rPr>
          <w:rFonts w:ascii="Arial" w:hAnsi="Arial" w:cs="Arial"/>
          <w:noProof/>
          <w:sz w:val="22"/>
        </w:rPr>
        <w:tab/>
      </w:r>
    </w:p>
    <w:p w14:paraId="14697B0B"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7. Products - Data Briefs - Number 392 - November 2020.</w:t>
      </w:r>
      <w:r w:rsidRPr="00F101F5">
        <w:rPr>
          <w:rFonts w:ascii="Arial" w:hAnsi="Arial" w:cs="Arial"/>
          <w:noProof/>
          <w:sz w:val="22"/>
        </w:rPr>
        <w:tab/>
      </w:r>
    </w:p>
    <w:p w14:paraId="2DA20D1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8. Barker, D. J. P. 2007. The origins of the developmental origins theory. </w:t>
      </w:r>
      <w:r w:rsidRPr="00F101F5">
        <w:rPr>
          <w:rFonts w:ascii="Arial" w:hAnsi="Arial" w:cs="Arial"/>
          <w:i/>
          <w:iCs/>
          <w:noProof/>
          <w:sz w:val="22"/>
        </w:rPr>
        <w:t>J. Intern. Med.</w:t>
      </w:r>
      <w:r w:rsidRPr="00F101F5">
        <w:rPr>
          <w:rFonts w:ascii="Arial" w:hAnsi="Arial" w:cs="Arial"/>
          <w:noProof/>
          <w:sz w:val="22"/>
        </w:rPr>
        <w:t xml:space="preserve"> </w:t>
      </w:r>
      <w:r w:rsidRPr="00F101F5">
        <w:rPr>
          <w:rFonts w:ascii="Arial" w:hAnsi="Arial" w:cs="Arial"/>
          <w:b/>
          <w:bCs/>
          <w:noProof/>
          <w:sz w:val="22"/>
        </w:rPr>
        <w:t>261</w:t>
      </w:r>
      <w:r w:rsidRPr="00F101F5">
        <w:rPr>
          <w:rFonts w:ascii="Arial" w:hAnsi="Arial" w:cs="Arial"/>
          <w:noProof/>
          <w:sz w:val="22"/>
        </w:rPr>
        <w:t>: 412–417.</w:t>
      </w:r>
      <w:r w:rsidRPr="00F101F5">
        <w:rPr>
          <w:rFonts w:ascii="Arial" w:hAnsi="Arial" w:cs="Arial"/>
          <w:noProof/>
          <w:sz w:val="22"/>
        </w:rPr>
        <w:tab/>
      </w:r>
    </w:p>
    <w:p w14:paraId="3CDE139C"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9. Ramji, N., J. Quinlan, P. Murphy, and J. M. G. Crane. 2016. The Impact of Maternal Obesity on Breastfeeding. </w:t>
      </w:r>
      <w:r w:rsidRPr="00F101F5">
        <w:rPr>
          <w:rFonts w:ascii="Arial" w:hAnsi="Arial" w:cs="Arial"/>
          <w:i/>
          <w:iCs/>
          <w:noProof/>
          <w:sz w:val="22"/>
        </w:rPr>
        <w:t>J. Obstet. Gynaecol. Canada</w:t>
      </w:r>
      <w:r w:rsidRPr="00F101F5">
        <w:rPr>
          <w:rFonts w:ascii="Arial" w:hAnsi="Arial" w:cs="Arial"/>
          <w:noProof/>
          <w:sz w:val="22"/>
        </w:rPr>
        <w:t xml:space="preserve">. </w:t>
      </w:r>
      <w:r w:rsidRPr="00F101F5">
        <w:rPr>
          <w:rFonts w:ascii="Arial" w:hAnsi="Arial" w:cs="Arial"/>
          <w:b/>
          <w:bCs/>
          <w:noProof/>
          <w:sz w:val="22"/>
        </w:rPr>
        <w:t>38</w:t>
      </w:r>
      <w:r w:rsidRPr="00F101F5">
        <w:rPr>
          <w:rFonts w:ascii="Arial" w:hAnsi="Arial" w:cs="Arial"/>
          <w:noProof/>
          <w:sz w:val="22"/>
        </w:rPr>
        <w:t>: 703–711.</w:t>
      </w:r>
      <w:r w:rsidRPr="00F101F5">
        <w:rPr>
          <w:rFonts w:ascii="Arial" w:hAnsi="Arial" w:cs="Arial"/>
          <w:noProof/>
          <w:sz w:val="22"/>
        </w:rPr>
        <w:tab/>
      </w:r>
    </w:p>
    <w:p w14:paraId="2EA32E1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10. Rasmussen, K. M., and C. L. Kjolhede. 2004. Prepregnant overweight and obesity diminish the prolactin response to suckling in the first week postpartum. </w:t>
      </w:r>
      <w:r w:rsidRPr="00F101F5">
        <w:rPr>
          <w:rFonts w:ascii="Arial" w:hAnsi="Arial" w:cs="Arial"/>
          <w:i/>
          <w:iCs/>
          <w:noProof/>
          <w:sz w:val="22"/>
        </w:rPr>
        <w:t>Pediatrics</w:t>
      </w:r>
      <w:r w:rsidRPr="00F101F5">
        <w:rPr>
          <w:rFonts w:ascii="Arial" w:hAnsi="Arial" w:cs="Arial"/>
          <w:noProof/>
          <w:sz w:val="22"/>
        </w:rPr>
        <w:t xml:space="preserve">. </w:t>
      </w:r>
      <w:r w:rsidRPr="00F101F5">
        <w:rPr>
          <w:rFonts w:ascii="Arial" w:hAnsi="Arial" w:cs="Arial"/>
          <w:b/>
          <w:bCs/>
          <w:noProof/>
          <w:sz w:val="22"/>
        </w:rPr>
        <w:t>113</w:t>
      </w:r>
      <w:r w:rsidRPr="00F101F5">
        <w:rPr>
          <w:rFonts w:ascii="Arial" w:hAnsi="Arial" w:cs="Arial"/>
          <w:noProof/>
          <w:sz w:val="22"/>
        </w:rPr>
        <w:t>: e465-71.</w:t>
      </w:r>
      <w:r w:rsidRPr="00F101F5">
        <w:rPr>
          <w:rFonts w:ascii="Arial" w:hAnsi="Arial" w:cs="Arial"/>
          <w:noProof/>
          <w:sz w:val="22"/>
        </w:rPr>
        <w:tab/>
      </w:r>
    </w:p>
    <w:p w14:paraId="452C5A89"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F101F5">
        <w:rPr>
          <w:rFonts w:ascii="Arial" w:hAnsi="Arial" w:cs="Arial"/>
          <w:i/>
          <w:iCs/>
          <w:noProof/>
          <w:sz w:val="22"/>
        </w:rPr>
        <w:t>Pediatr. Obes.</w:t>
      </w:r>
      <w:r w:rsidRPr="00F101F5">
        <w:rPr>
          <w:rFonts w:ascii="Arial" w:hAnsi="Arial" w:cs="Arial"/>
          <w:noProof/>
          <w:sz w:val="22"/>
        </w:rPr>
        <w:t xml:space="preserve"> </w:t>
      </w:r>
      <w:r w:rsidRPr="00F101F5">
        <w:rPr>
          <w:rFonts w:ascii="Arial" w:hAnsi="Arial" w:cs="Arial"/>
          <w:b/>
          <w:bCs/>
          <w:noProof/>
          <w:sz w:val="22"/>
        </w:rPr>
        <w:t>12</w:t>
      </w:r>
      <w:r w:rsidRPr="00F101F5">
        <w:rPr>
          <w:rFonts w:ascii="Arial" w:hAnsi="Arial" w:cs="Arial"/>
          <w:noProof/>
          <w:sz w:val="22"/>
        </w:rPr>
        <w:t>: 171–178.</w:t>
      </w:r>
      <w:r w:rsidRPr="00F101F5">
        <w:rPr>
          <w:rFonts w:ascii="Arial" w:hAnsi="Arial" w:cs="Arial"/>
          <w:noProof/>
          <w:sz w:val="22"/>
        </w:rPr>
        <w:tab/>
      </w:r>
    </w:p>
    <w:p w14:paraId="519A115C"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lastRenderedPageBreak/>
        <w:t xml:space="preserve">12. Castillo, H., I. S. Santos, and A. Matijasevich. 2016. Maternal pre-pregnancy BMI, gestational weight gain and breastfeeding. </w:t>
      </w:r>
      <w:r w:rsidRPr="00F101F5">
        <w:rPr>
          <w:rFonts w:ascii="Arial" w:hAnsi="Arial" w:cs="Arial"/>
          <w:i/>
          <w:iCs/>
          <w:noProof/>
          <w:sz w:val="22"/>
        </w:rPr>
        <w:t>Eur. J. Clin. Nutr.</w:t>
      </w:r>
      <w:r w:rsidRPr="00F101F5">
        <w:rPr>
          <w:rFonts w:ascii="Arial" w:hAnsi="Arial" w:cs="Arial"/>
          <w:noProof/>
          <w:sz w:val="22"/>
        </w:rPr>
        <w:t xml:space="preserve"> </w:t>
      </w:r>
      <w:r w:rsidRPr="00F101F5">
        <w:rPr>
          <w:rFonts w:ascii="Arial" w:hAnsi="Arial" w:cs="Arial"/>
          <w:b/>
          <w:bCs/>
          <w:noProof/>
          <w:sz w:val="22"/>
        </w:rPr>
        <w:t>70</w:t>
      </w:r>
      <w:r w:rsidRPr="00F101F5">
        <w:rPr>
          <w:rFonts w:ascii="Arial" w:hAnsi="Arial" w:cs="Arial"/>
          <w:noProof/>
          <w:sz w:val="22"/>
        </w:rPr>
        <w:t>: 431–436.</w:t>
      </w:r>
      <w:r w:rsidRPr="00F101F5">
        <w:rPr>
          <w:rFonts w:ascii="Arial" w:hAnsi="Arial" w:cs="Arial"/>
          <w:noProof/>
          <w:sz w:val="22"/>
        </w:rPr>
        <w:tab/>
      </w:r>
    </w:p>
    <w:p w14:paraId="1E98DD3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F101F5">
        <w:rPr>
          <w:rFonts w:ascii="Arial" w:hAnsi="Arial" w:cs="Arial"/>
          <w:i/>
          <w:iCs/>
          <w:noProof/>
          <w:sz w:val="22"/>
        </w:rPr>
        <w:t>Nutrients</w:t>
      </w:r>
      <w:r w:rsidRPr="00F101F5">
        <w:rPr>
          <w:rFonts w:ascii="Arial" w:hAnsi="Arial" w:cs="Arial"/>
          <w:noProof/>
          <w:sz w:val="22"/>
        </w:rPr>
        <w:t xml:space="preserve">. </w:t>
      </w:r>
      <w:r w:rsidRPr="00F101F5">
        <w:rPr>
          <w:rFonts w:ascii="Arial" w:hAnsi="Arial" w:cs="Arial"/>
          <w:b/>
          <w:bCs/>
          <w:noProof/>
          <w:sz w:val="22"/>
        </w:rPr>
        <w:t>10</w:t>
      </w:r>
      <w:r w:rsidRPr="00F101F5">
        <w:rPr>
          <w:rFonts w:ascii="Arial" w:hAnsi="Arial" w:cs="Arial"/>
          <w:noProof/>
          <w:sz w:val="22"/>
        </w:rPr>
        <w:t>.</w:t>
      </w:r>
      <w:r w:rsidRPr="00F101F5">
        <w:rPr>
          <w:rFonts w:ascii="Arial" w:hAnsi="Arial" w:cs="Arial"/>
          <w:noProof/>
          <w:sz w:val="22"/>
        </w:rPr>
        <w:tab/>
      </w:r>
    </w:p>
    <w:p w14:paraId="696BB5A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F101F5">
        <w:rPr>
          <w:rFonts w:ascii="Arial" w:hAnsi="Arial" w:cs="Arial"/>
          <w:i/>
          <w:iCs/>
          <w:noProof/>
          <w:sz w:val="22"/>
        </w:rPr>
        <w:t>Nutrients</w:t>
      </w:r>
      <w:r w:rsidRPr="00F101F5">
        <w:rPr>
          <w:rFonts w:ascii="Arial" w:hAnsi="Arial" w:cs="Arial"/>
          <w:noProof/>
          <w:sz w:val="22"/>
        </w:rPr>
        <w:t xml:space="preserve">. </w:t>
      </w:r>
      <w:r w:rsidRPr="00F101F5">
        <w:rPr>
          <w:rFonts w:ascii="Arial" w:hAnsi="Arial" w:cs="Arial"/>
          <w:b/>
          <w:bCs/>
          <w:noProof/>
          <w:sz w:val="22"/>
        </w:rPr>
        <w:t>11</w:t>
      </w:r>
      <w:r w:rsidRPr="00F101F5">
        <w:rPr>
          <w:rFonts w:ascii="Arial" w:hAnsi="Arial" w:cs="Arial"/>
          <w:noProof/>
          <w:sz w:val="22"/>
        </w:rPr>
        <w:t>.</w:t>
      </w:r>
      <w:r w:rsidRPr="00F101F5">
        <w:rPr>
          <w:rFonts w:ascii="Arial" w:hAnsi="Arial" w:cs="Arial"/>
          <w:noProof/>
          <w:sz w:val="22"/>
        </w:rPr>
        <w:tab/>
      </w:r>
    </w:p>
    <w:p w14:paraId="64241790"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F101F5">
        <w:rPr>
          <w:rFonts w:ascii="Arial" w:hAnsi="Arial" w:cs="Arial"/>
          <w:i/>
          <w:iCs/>
          <w:noProof/>
          <w:sz w:val="22"/>
        </w:rPr>
        <w:t>Acta Diabetol.</w:t>
      </w:r>
      <w:r w:rsidRPr="00F101F5">
        <w:rPr>
          <w:rFonts w:ascii="Arial" w:hAnsi="Arial" w:cs="Arial"/>
          <w:noProof/>
          <w:sz w:val="22"/>
        </w:rPr>
        <w:t xml:space="preserve"> </w:t>
      </w:r>
      <w:r w:rsidRPr="00F101F5">
        <w:rPr>
          <w:rFonts w:ascii="Arial" w:hAnsi="Arial" w:cs="Arial"/>
          <w:b/>
          <w:bCs/>
          <w:noProof/>
          <w:sz w:val="22"/>
        </w:rPr>
        <w:t>52</w:t>
      </w:r>
      <w:r w:rsidRPr="00F101F5">
        <w:rPr>
          <w:rFonts w:ascii="Arial" w:hAnsi="Arial" w:cs="Arial"/>
          <w:noProof/>
          <w:sz w:val="22"/>
        </w:rPr>
        <w:t>: 257–266.</w:t>
      </w:r>
      <w:r w:rsidRPr="00F101F5">
        <w:rPr>
          <w:rFonts w:ascii="Arial" w:hAnsi="Arial" w:cs="Arial"/>
          <w:noProof/>
          <w:sz w:val="22"/>
        </w:rPr>
        <w:tab/>
      </w:r>
    </w:p>
    <w:p w14:paraId="57A8D7FC"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16. Cai, H., L. Q. Dong, and F. Liu. 2016. Recent Advances in Adipose mTOR Signaling and Function: Therapeutic Prospects. </w:t>
      </w:r>
      <w:r w:rsidRPr="00F101F5">
        <w:rPr>
          <w:rFonts w:ascii="Arial" w:hAnsi="Arial" w:cs="Arial"/>
          <w:i/>
          <w:iCs/>
          <w:noProof/>
          <w:sz w:val="22"/>
        </w:rPr>
        <w:t>Trends Pharmacol. Sci.</w:t>
      </w:r>
      <w:r w:rsidRPr="00F101F5">
        <w:rPr>
          <w:rFonts w:ascii="Arial" w:hAnsi="Arial" w:cs="Arial"/>
          <w:noProof/>
          <w:sz w:val="22"/>
        </w:rPr>
        <w:t xml:space="preserve"> </w:t>
      </w:r>
      <w:r w:rsidRPr="00F101F5">
        <w:rPr>
          <w:rFonts w:ascii="Arial" w:hAnsi="Arial" w:cs="Arial"/>
          <w:b/>
          <w:bCs/>
          <w:noProof/>
          <w:sz w:val="22"/>
        </w:rPr>
        <w:t>37</w:t>
      </w:r>
      <w:r w:rsidRPr="00F101F5">
        <w:rPr>
          <w:rFonts w:ascii="Arial" w:hAnsi="Arial" w:cs="Arial"/>
          <w:noProof/>
          <w:sz w:val="22"/>
        </w:rPr>
        <w:t>: 303–317.</w:t>
      </w:r>
      <w:r w:rsidRPr="00F101F5">
        <w:rPr>
          <w:rFonts w:ascii="Arial" w:hAnsi="Arial" w:cs="Arial"/>
          <w:noProof/>
          <w:sz w:val="22"/>
        </w:rPr>
        <w:tab/>
      </w:r>
    </w:p>
    <w:p w14:paraId="0372D53D"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17. Wang, X., and C. G. Proud. 2006. The mTOR Pathway in the Control of Protein Synthesis. </w:t>
      </w:r>
      <w:r w:rsidRPr="00F101F5">
        <w:rPr>
          <w:rFonts w:ascii="Arial" w:hAnsi="Arial" w:cs="Arial"/>
          <w:i/>
          <w:iCs/>
          <w:noProof/>
          <w:sz w:val="22"/>
        </w:rPr>
        <w:t>Physiology</w:t>
      </w:r>
      <w:r w:rsidRPr="00F101F5">
        <w:rPr>
          <w:rFonts w:ascii="Arial" w:hAnsi="Arial" w:cs="Arial"/>
          <w:noProof/>
          <w:sz w:val="22"/>
        </w:rPr>
        <w:t xml:space="preserve">. </w:t>
      </w:r>
      <w:r w:rsidRPr="00F101F5">
        <w:rPr>
          <w:rFonts w:ascii="Arial" w:hAnsi="Arial" w:cs="Arial"/>
          <w:b/>
          <w:bCs/>
          <w:noProof/>
          <w:sz w:val="22"/>
        </w:rPr>
        <w:t>21</w:t>
      </w:r>
      <w:r w:rsidRPr="00F101F5">
        <w:rPr>
          <w:rFonts w:ascii="Arial" w:hAnsi="Arial" w:cs="Arial"/>
          <w:noProof/>
          <w:sz w:val="22"/>
        </w:rPr>
        <w:t>: 362–369.</w:t>
      </w:r>
      <w:r w:rsidRPr="00F101F5">
        <w:rPr>
          <w:rFonts w:ascii="Arial" w:hAnsi="Arial" w:cs="Arial"/>
          <w:noProof/>
          <w:sz w:val="22"/>
        </w:rPr>
        <w:tab/>
      </w:r>
    </w:p>
    <w:p w14:paraId="676B2DD8"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18. Laplante, M., and D. M. Sabatini. 2009. An emerging role of mTOR in lipid biosynthesis. </w:t>
      </w:r>
      <w:r w:rsidRPr="00F101F5">
        <w:rPr>
          <w:rFonts w:ascii="Arial" w:hAnsi="Arial" w:cs="Arial"/>
          <w:i/>
          <w:iCs/>
          <w:noProof/>
          <w:sz w:val="22"/>
        </w:rPr>
        <w:t>Curr. Biol.</w:t>
      </w:r>
      <w:r w:rsidRPr="00F101F5">
        <w:rPr>
          <w:rFonts w:ascii="Arial" w:hAnsi="Arial" w:cs="Arial"/>
          <w:noProof/>
          <w:sz w:val="22"/>
        </w:rPr>
        <w:t xml:space="preserve"> </w:t>
      </w:r>
      <w:r w:rsidRPr="00F101F5">
        <w:rPr>
          <w:rFonts w:ascii="Arial" w:hAnsi="Arial" w:cs="Arial"/>
          <w:b/>
          <w:bCs/>
          <w:noProof/>
          <w:sz w:val="22"/>
        </w:rPr>
        <w:t>19</w:t>
      </w:r>
      <w:r w:rsidRPr="00F101F5">
        <w:rPr>
          <w:rFonts w:ascii="Arial" w:hAnsi="Arial" w:cs="Arial"/>
          <w:noProof/>
          <w:sz w:val="22"/>
        </w:rPr>
        <w:t>: R1046-52.</w:t>
      </w:r>
      <w:r w:rsidRPr="00F101F5">
        <w:rPr>
          <w:rFonts w:ascii="Arial" w:hAnsi="Arial" w:cs="Arial"/>
          <w:noProof/>
          <w:sz w:val="22"/>
        </w:rPr>
        <w:tab/>
      </w:r>
    </w:p>
    <w:p w14:paraId="15CAA98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19. Catania, C., E. Binder, and D. Cota. 2011. mTORC1 signaling in energy balance and metabolic disease. </w:t>
      </w:r>
      <w:r w:rsidRPr="00F101F5">
        <w:rPr>
          <w:rFonts w:ascii="Arial" w:hAnsi="Arial" w:cs="Arial"/>
          <w:i/>
          <w:iCs/>
          <w:noProof/>
          <w:sz w:val="22"/>
        </w:rPr>
        <w:t>Int. J. Obes.</w:t>
      </w:r>
      <w:r w:rsidRPr="00F101F5">
        <w:rPr>
          <w:rFonts w:ascii="Arial" w:hAnsi="Arial" w:cs="Arial"/>
          <w:noProof/>
          <w:sz w:val="22"/>
        </w:rPr>
        <w:t xml:space="preserve"> </w:t>
      </w:r>
      <w:r w:rsidRPr="00F101F5">
        <w:rPr>
          <w:rFonts w:ascii="Arial" w:hAnsi="Arial" w:cs="Arial"/>
          <w:b/>
          <w:bCs/>
          <w:noProof/>
          <w:sz w:val="22"/>
        </w:rPr>
        <w:t>35</w:t>
      </w:r>
      <w:r w:rsidRPr="00F101F5">
        <w:rPr>
          <w:rFonts w:ascii="Arial" w:hAnsi="Arial" w:cs="Arial"/>
          <w:noProof/>
          <w:sz w:val="22"/>
        </w:rPr>
        <w:t>: 751–761.</w:t>
      </w:r>
      <w:r w:rsidRPr="00F101F5">
        <w:rPr>
          <w:rFonts w:ascii="Arial" w:hAnsi="Arial" w:cs="Arial"/>
          <w:noProof/>
          <w:sz w:val="22"/>
        </w:rPr>
        <w:tab/>
      </w:r>
    </w:p>
    <w:p w14:paraId="1AD5CB9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F101F5">
        <w:rPr>
          <w:rFonts w:ascii="Arial" w:hAnsi="Arial" w:cs="Arial"/>
          <w:i/>
          <w:iCs/>
          <w:noProof/>
          <w:sz w:val="22"/>
        </w:rPr>
        <w:t>Sci. Rep.</w:t>
      </w:r>
      <w:r w:rsidRPr="00F101F5">
        <w:rPr>
          <w:rFonts w:ascii="Arial" w:hAnsi="Arial" w:cs="Arial"/>
          <w:noProof/>
          <w:sz w:val="22"/>
        </w:rPr>
        <w:t xml:space="preserve"> </w:t>
      </w:r>
      <w:r w:rsidRPr="00F101F5">
        <w:rPr>
          <w:rFonts w:ascii="Arial" w:hAnsi="Arial" w:cs="Arial"/>
          <w:b/>
          <w:bCs/>
          <w:noProof/>
          <w:sz w:val="22"/>
        </w:rPr>
        <w:t>6</w:t>
      </w:r>
      <w:r w:rsidRPr="00F101F5">
        <w:rPr>
          <w:rFonts w:ascii="Arial" w:hAnsi="Arial" w:cs="Arial"/>
          <w:noProof/>
          <w:sz w:val="22"/>
        </w:rPr>
        <w:t>: 19587.</w:t>
      </w:r>
      <w:r w:rsidRPr="00F101F5">
        <w:rPr>
          <w:rFonts w:ascii="Arial" w:hAnsi="Arial" w:cs="Arial"/>
          <w:noProof/>
          <w:sz w:val="22"/>
        </w:rPr>
        <w:tab/>
      </w:r>
    </w:p>
    <w:p w14:paraId="16F0919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21. Rezaei, R., Z. Wu, Y. Hou, F. W. Bazer, and G. Wu. 2016. Amino acids and mammary gland development: nutritional implications for milk production and neonatal growth. </w:t>
      </w:r>
      <w:r w:rsidRPr="00F101F5">
        <w:rPr>
          <w:rFonts w:ascii="Arial" w:hAnsi="Arial" w:cs="Arial"/>
          <w:i/>
          <w:iCs/>
          <w:noProof/>
          <w:sz w:val="22"/>
        </w:rPr>
        <w:t>J. Anim. Sci. Biotechnol.</w:t>
      </w:r>
      <w:r w:rsidRPr="00F101F5">
        <w:rPr>
          <w:rFonts w:ascii="Arial" w:hAnsi="Arial" w:cs="Arial"/>
          <w:noProof/>
          <w:sz w:val="22"/>
        </w:rPr>
        <w:t xml:space="preserve"> </w:t>
      </w:r>
      <w:r w:rsidRPr="00F101F5">
        <w:rPr>
          <w:rFonts w:ascii="Arial" w:hAnsi="Arial" w:cs="Arial"/>
          <w:b/>
          <w:bCs/>
          <w:noProof/>
          <w:sz w:val="22"/>
        </w:rPr>
        <w:t>7</w:t>
      </w:r>
      <w:r w:rsidRPr="00F101F5">
        <w:rPr>
          <w:rFonts w:ascii="Arial" w:hAnsi="Arial" w:cs="Arial"/>
          <w:noProof/>
          <w:sz w:val="22"/>
        </w:rPr>
        <w:t>: 20.</w:t>
      </w:r>
      <w:r w:rsidRPr="00F101F5">
        <w:rPr>
          <w:rFonts w:ascii="Arial" w:hAnsi="Arial" w:cs="Arial"/>
          <w:noProof/>
          <w:sz w:val="22"/>
        </w:rPr>
        <w:tab/>
      </w:r>
    </w:p>
    <w:p w14:paraId="260DFBA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F101F5">
        <w:rPr>
          <w:rFonts w:ascii="Arial" w:hAnsi="Arial" w:cs="Arial"/>
          <w:i/>
          <w:iCs/>
          <w:noProof/>
          <w:sz w:val="22"/>
        </w:rPr>
        <w:t xml:space="preserve">Hum. Mol. </w:t>
      </w:r>
      <w:r w:rsidRPr="00F101F5">
        <w:rPr>
          <w:rFonts w:ascii="Arial" w:hAnsi="Arial" w:cs="Arial"/>
          <w:i/>
          <w:iCs/>
          <w:noProof/>
          <w:sz w:val="22"/>
        </w:rPr>
        <w:lastRenderedPageBreak/>
        <w:t>Genet.</w:t>
      </w:r>
      <w:r w:rsidRPr="00F101F5">
        <w:rPr>
          <w:rFonts w:ascii="Arial" w:hAnsi="Arial" w:cs="Arial"/>
          <w:noProof/>
          <w:sz w:val="22"/>
        </w:rPr>
        <w:t xml:space="preserve"> </w:t>
      </w:r>
      <w:r w:rsidRPr="00F101F5">
        <w:rPr>
          <w:rFonts w:ascii="Arial" w:hAnsi="Arial" w:cs="Arial"/>
          <w:b/>
          <w:bCs/>
          <w:noProof/>
          <w:sz w:val="22"/>
        </w:rPr>
        <w:t>11</w:t>
      </w:r>
      <w:r w:rsidRPr="00F101F5">
        <w:rPr>
          <w:rFonts w:ascii="Arial" w:hAnsi="Arial" w:cs="Arial"/>
          <w:noProof/>
          <w:sz w:val="22"/>
        </w:rPr>
        <w:t>: 525–34.</w:t>
      </w:r>
      <w:r w:rsidRPr="00F101F5">
        <w:rPr>
          <w:rFonts w:ascii="Arial" w:hAnsi="Arial" w:cs="Arial"/>
          <w:noProof/>
          <w:sz w:val="22"/>
        </w:rPr>
        <w:tab/>
      </w:r>
    </w:p>
    <w:p w14:paraId="017B7562"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23. Eguchi, J., X. Wang, S. Yu, E. E. Kershaw, P. C. Chiu, J. Dushay, J. L. Estall, U. Klein, E. Maratos-Flier, and E. D. Rosen. 2011. Transcriptional control of adipose lipid handling by IRF4. </w:t>
      </w:r>
      <w:r w:rsidRPr="00F101F5">
        <w:rPr>
          <w:rFonts w:ascii="Arial" w:hAnsi="Arial" w:cs="Arial"/>
          <w:i/>
          <w:iCs/>
          <w:noProof/>
          <w:sz w:val="22"/>
        </w:rPr>
        <w:t>Cell Metab.</w:t>
      </w:r>
      <w:r w:rsidRPr="00F101F5">
        <w:rPr>
          <w:rFonts w:ascii="Arial" w:hAnsi="Arial" w:cs="Arial"/>
          <w:noProof/>
          <w:sz w:val="22"/>
        </w:rPr>
        <w:t xml:space="preserve"> </w:t>
      </w:r>
      <w:r w:rsidRPr="00F101F5">
        <w:rPr>
          <w:rFonts w:ascii="Arial" w:hAnsi="Arial" w:cs="Arial"/>
          <w:b/>
          <w:bCs/>
          <w:noProof/>
          <w:sz w:val="22"/>
        </w:rPr>
        <w:t>13</w:t>
      </w:r>
      <w:r w:rsidRPr="00F101F5">
        <w:rPr>
          <w:rFonts w:ascii="Arial" w:hAnsi="Arial" w:cs="Arial"/>
          <w:noProof/>
          <w:sz w:val="22"/>
        </w:rPr>
        <w:t>: 249–59.</w:t>
      </w:r>
      <w:r w:rsidRPr="00F101F5">
        <w:rPr>
          <w:rFonts w:ascii="Arial" w:hAnsi="Arial" w:cs="Arial"/>
          <w:noProof/>
          <w:sz w:val="22"/>
        </w:rPr>
        <w:tab/>
      </w:r>
    </w:p>
    <w:p w14:paraId="7852E9EB"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24. Wang, F., S. E. Mullican, J. R. DiSpirito, L. C. Peed, and M. a Lazar. 2013. Lipoatrophy and severe metabolic disturbance in mice with fat-specific deletion of PPARγ. </w:t>
      </w:r>
      <w:r w:rsidRPr="00F101F5">
        <w:rPr>
          <w:rFonts w:ascii="Arial" w:hAnsi="Arial" w:cs="Arial"/>
          <w:i/>
          <w:iCs/>
          <w:noProof/>
          <w:sz w:val="22"/>
        </w:rPr>
        <w:t>Proc. Natl. Acad. Sci. U. S. A.</w:t>
      </w:r>
      <w:r w:rsidRPr="00F101F5">
        <w:rPr>
          <w:rFonts w:ascii="Arial" w:hAnsi="Arial" w:cs="Arial"/>
          <w:noProof/>
          <w:sz w:val="22"/>
        </w:rPr>
        <w:t xml:space="preserve"> </w:t>
      </w:r>
      <w:r w:rsidRPr="00F101F5">
        <w:rPr>
          <w:rFonts w:ascii="Arial" w:hAnsi="Arial" w:cs="Arial"/>
          <w:b/>
          <w:bCs/>
          <w:noProof/>
          <w:sz w:val="22"/>
        </w:rPr>
        <w:t>110</w:t>
      </w:r>
      <w:r w:rsidRPr="00F101F5">
        <w:rPr>
          <w:rFonts w:ascii="Arial" w:hAnsi="Arial" w:cs="Arial"/>
          <w:noProof/>
          <w:sz w:val="22"/>
        </w:rPr>
        <w:t>: 18656–61.</w:t>
      </w:r>
      <w:r w:rsidRPr="00F101F5">
        <w:rPr>
          <w:rFonts w:ascii="Arial" w:hAnsi="Arial" w:cs="Arial"/>
          <w:noProof/>
          <w:sz w:val="22"/>
        </w:rPr>
        <w:tab/>
      </w:r>
    </w:p>
    <w:p w14:paraId="1FE4DAD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25. Wang, Z. V., Y. Deng, Q. A. Wang, K. Sun, and P. E. Scherer. 2010. Identification and characterization of a promoter cassette conferring adipocyte-specific gene expression. </w:t>
      </w:r>
      <w:r w:rsidRPr="00F101F5">
        <w:rPr>
          <w:rFonts w:ascii="Arial" w:hAnsi="Arial" w:cs="Arial"/>
          <w:i/>
          <w:iCs/>
          <w:noProof/>
          <w:sz w:val="22"/>
        </w:rPr>
        <w:t>Endocrinology</w:t>
      </w:r>
      <w:r w:rsidRPr="00F101F5">
        <w:rPr>
          <w:rFonts w:ascii="Arial" w:hAnsi="Arial" w:cs="Arial"/>
          <w:noProof/>
          <w:sz w:val="22"/>
        </w:rPr>
        <w:t xml:space="preserve">. </w:t>
      </w:r>
      <w:r w:rsidRPr="00F101F5">
        <w:rPr>
          <w:rFonts w:ascii="Arial" w:hAnsi="Arial" w:cs="Arial"/>
          <w:b/>
          <w:bCs/>
          <w:noProof/>
          <w:sz w:val="22"/>
        </w:rPr>
        <w:t>151</w:t>
      </w:r>
      <w:r w:rsidRPr="00F101F5">
        <w:rPr>
          <w:rFonts w:ascii="Arial" w:hAnsi="Arial" w:cs="Arial"/>
          <w:noProof/>
          <w:sz w:val="22"/>
        </w:rPr>
        <w:t>: 2933–2939.</w:t>
      </w:r>
      <w:r w:rsidRPr="00F101F5">
        <w:rPr>
          <w:rFonts w:ascii="Arial" w:hAnsi="Arial" w:cs="Arial"/>
          <w:noProof/>
          <w:sz w:val="22"/>
        </w:rPr>
        <w:tab/>
      </w:r>
    </w:p>
    <w:p w14:paraId="29ACB39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26. Wang, Q. A., A. Song, R. K. Gupta, B. Deplancke, and P. E. Scherer. 2018. Reversible De-differentiation of Mature White Adipocytes into Preadipocyte-like Precursors during Lactation. </w:t>
      </w:r>
      <w:r w:rsidRPr="00F101F5">
        <w:rPr>
          <w:rFonts w:ascii="Arial" w:hAnsi="Arial" w:cs="Arial"/>
          <w:i/>
          <w:iCs/>
          <w:noProof/>
          <w:sz w:val="22"/>
        </w:rPr>
        <w:t>Cell Metab.</w:t>
      </w:r>
      <w:r w:rsidRPr="00F101F5">
        <w:rPr>
          <w:rFonts w:ascii="Arial" w:hAnsi="Arial" w:cs="Arial"/>
          <w:noProof/>
          <w:sz w:val="22"/>
        </w:rPr>
        <w:t xml:space="preserve"> </w:t>
      </w:r>
      <w:r w:rsidRPr="00F101F5">
        <w:rPr>
          <w:rFonts w:ascii="Arial" w:hAnsi="Arial" w:cs="Arial"/>
          <w:b/>
          <w:bCs/>
          <w:noProof/>
          <w:sz w:val="22"/>
        </w:rPr>
        <w:t>28</w:t>
      </w:r>
      <w:r w:rsidRPr="00F101F5">
        <w:rPr>
          <w:rFonts w:ascii="Arial" w:hAnsi="Arial" w:cs="Arial"/>
          <w:noProof/>
          <w:sz w:val="22"/>
        </w:rPr>
        <w:t>: 282-288.e3.</w:t>
      </w:r>
      <w:r w:rsidRPr="00F101F5">
        <w:rPr>
          <w:rFonts w:ascii="Arial" w:hAnsi="Arial" w:cs="Arial"/>
          <w:noProof/>
          <w:sz w:val="22"/>
        </w:rPr>
        <w:tab/>
      </w:r>
    </w:p>
    <w:p w14:paraId="61726BE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w:t>
      </w:r>
      <w:r w:rsidRPr="00F101F5">
        <w:rPr>
          <w:rFonts w:ascii="Arial" w:hAnsi="Arial" w:cs="Arial"/>
          <w:noProof/>
          <w:sz w:val="22"/>
        </w:rPr>
        <w:tab/>
      </w:r>
    </w:p>
    <w:p w14:paraId="7DA1E0F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28. Collares, F. P., C. V. Gonçalves, and J. S. Ferreira. 1997. Creamatocrit as a rapid method to estimate the contents of total milk lipids. </w:t>
      </w:r>
      <w:r w:rsidRPr="00F101F5">
        <w:rPr>
          <w:rFonts w:ascii="Arial" w:hAnsi="Arial" w:cs="Arial"/>
          <w:i/>
          <w:iCs/>
          <w:noProof/>
          <w:sz w:val="22"/>
        </w:rPr>
        <w:t>Food Chem.</w:t>
      </w:r>
      <w:r w:rsidRPr="00F101F5">
        <w:rPr>
          <w:rFonts w:ascii="Arial" w:hAnsi="Arial" w:cs="Arial"/>
          <w:noProof/>
          <w:sz w:val="22"/>
        </w:rPr>
        <w:t xml:space="preserve"> </w:t>
      </w:r>
      <w:r w:rsidRPr="00F101F5">
        <w:rPr>
          <w:rFonts w:ascii="Arial" w:hAnsi="Arial" w:cs="Arial"/>
          <w:b/>
          <w:bCs/>
          <w:noProof/>
          <w:sz w:val="22"/>
        </w:rPr>
        <w:t>60</w:t>
      </w:r>
      <w:r w:rsidRPr="00F101F5">
        <w:rPr>
          <w:rFonts w:ascii="Arial" w:hAnsi="Arial" w:cs="Arial"/>
          <w:noProof/>
          <w:sz w:val="22"/>
        </w:rPr>
        <w:t>: 465–467.</w:t>
      </w:r>
      <w:r w:rsidRPr="00F101F5">
        <w:rPr>
          <w:rFonts w:ascii="Arial" w:hAnsi="Arial" w:cs="Arial"/>
          <w:noProof/>
          <w:sz w:val="22"/>
        </w:rPr>
        <w:tab/>
      </w:r>
    </w:p>
    <w:p w14:paraId="46406D7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29. Patro, R., G. Duggal, M. I. Love, R. A. Irizarry, and C. Kingsford. 2017. Salmon provides fast and bias-aware quantification of transcript expression. </w:t>
      </w:r>
      <w:r w:rsidRPr="00F101F5">
        <w:rPr>
          <w:rFonts w:ascii="Arial" w:hAnsi="Arial" w:cs="Arial"/>
          <w:i/>
          <w:iCs/>
          <w:noProof/>
          <w:sz w:val="22"/>
        </w:rPr>
        <w:t>Nat. Methods</w:t>
      </w:r>
      <w:r w:rsidRPr="00F101F5">
        <w:rPr>
          <w:rFonts w:ascii="Arial" w:hAnsi="Arial" w:cs="Arial"/>
          <w:noProof/>
          <w:sz w:val="22"/>
        </w:rPr>
        <w:t xml:space="preserve">. </w:t>
      </w:r>
      <w:r w:rsidRPr="00F101F5">
        <w:rPr>
          <w:rFonts w:ascii="Arial" w:hAnsi="Arial" w:cs="Arial"/>
          <w:b/>
          <w:bCs/>
          <w:noProof/>
          <w:sz w:val="22"/>
        </w:rPr>
        <w:t>14</w:t>
      </w:r>
      <w:r w:rsidRPr="00F101F5">
        <w:rPr>
          <w:rFonts w:ascii="Arial" w:hAnsi="Arial" w:cs="Arial"/>
          <w:noProof/>
          <w:sz w:val="22"/>
        </w:rPr>
        <w:t>: 417–419.</w:t>
      </w:r>
      <w:r w:rsidRPr="00F101F5">
        <w:rPr>
          <w:rFonts w:ascii="Arial" w:hAnsi="Arial" w:cs="Arial"/>
          <w:noProof/>
          <w:sz w:val="22"/>
        </w:rPr>
        <w:tab/>
      </w:r>
    </w:p>
    <w:p w14:paraId="30B3A939"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F101F5">
        <w:rPr>
          <w:rFonts w:ascii="Arial" w:hAnsi="Arial" w:cs="Arial"/>
          <w:i/>
          <w:iCs/>
          <w:noProof/>
          <w:sz w:val="22"/>
        </w:rPr>
        <w:t>PLoS Comput. Biol.</w:t>
      </w:r>
      <w:r w:rsidRPr="00F101F5">
        <w:rPr>
          <w:rFonts w:ascii="Arial" w:hAnsi="Arial" w:cs="Arial"/>
          <w:noProof/>
          <w:sz w:val="22"/>
        </w:rPr>
        <w:t xml:space="preserve"> </w:t>
      </w:r>
      <w:r w:rsidRPr="00F101F5">
        <w:rPr>
          <w:rFonts w:ascii="Arial" w:hAnsi="Arial" w:cs="Arial"/>
          <w:b/>
          <w:bCs/>
          <w:noProof/>
          <w:sz w:val="22"/>
        </w:rPr>
        <w:t>16</w:t>
      </w:r>
      <w:r w:rsidRPr="00F101F5">
        <w:rPr>
          <w:rFonts w:ascii="Arial" w:hAnsi="Arial" w:cs="Arial"/>
          <w:noProof/>
          <w:sz w:val="22"/>
        </w:rPr>
        <w:t>: 1–13.</w:t>
      </w:r>
      <w:r w:rsidRPr="00F101F5">
        <w:rPr>
          <w:rFonts w:ascii="Arial" w:hAnsi="Arial" w:cs="Arial"/>
          <w:noProof/>
          <w:sz w:val="22"/>
        </w:rPr>
        <w:tab/>
      </w:r>
    </w:p>
    <w:p w14:paraId="776FBE61"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31. Soneson, C., M. I. Love, and M. D. Robinson. 2016. Differential analyses for RNA-seq: Transcript-level estimates improve gene-level inferences [version 2; referees: 2 approved]. </w:t>
      </w:r>
      <w:r w:rsidRPr="00F101F5">
        <w:rPr>
          <w:rFonts w:ascii="Arial" w:hAnsi="Arial" w:cs="Arial"/>
          <w:i/>
          <w:iCs/>
          <w:noProof/>
          <w:sz w:val="22"/>
        </w:rPr>
        <w:t>F1000Research</w:t>
      </w:r>
      <w:r w:rsidRPr="00F101F5">
        <w:rPr>
          <w:rFonts w:ascii="Arial" w:hAnsi="Arial" w:cs="Arial"/>
          <w:noProof/>
          <w:sz w:val="22"/>
        </w:rPr>
        <w:t xml:space="preserve">. </w:t>
      </w:r>
      <w:r w:rsidRPr="00F101F5">
        <w:rPr>
          <w:rFonts w:ascii="Arial" w:hAnsi="Arial" w:cs="Arial"/>
          <w:b/>
          <w:bCs/>
          <w:noProof/>
          <w:sz w:val="22"/>
        </w:rPr>
        <w:t>4</w:t>
      </w:r>
      <w:r w:rsidRPr="00F101F5">
        <w:rPr>
          <w:rFonts w:ascii="Arial" w:hAnsi="Arial" w:cs="Arial"/>
          <w:noProof/>
          <w:sz w:val="22"/>
        </w:rPr>
        <w:t>: 1–23.</w:t>
      </w:r>
      <w:r w:rsidRPr="00F101F5">
        <w:rPr>
          <w:rFonts w:ascii="Arial" w:hAnsi="Arial" w:cs="Arial"/>
          <w:noProof/>
          <w:sz w:val="22"/>
        </w:rPr>
        <w:tab/>
      </w:r>
    </w:p>
    <w:p w14:paraId="14E784C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32. Love, M. I., W. Huber, and S. Anders. 2014. Moderated estimation of fold change and dispersion for RNA-seq data with DESeq2. </w:t>
      </w:r>
      <w:r w:rsidRPr="00F101F5">
        <w:rPr>
          <w:rFonts w:ascii="Arial" w:hAnsi="Arial" w:cs="Arial"/>
          <w:i/>
          <w:iCs/>
          <w:noProof/>
          <w:sz w:val="22"/>
        </w:rPr>
        <w:t>Genome Biol.</w:t>
      </w:r>
      <w:r w:rsidRPr="00F101F5">
        <w:rPr>
          <w:rFonts w:ascii="Arial" w:hAnsi="Arial" w:cs="Arial"/>
          <w:noProof/>
          <w:sz w:val="22"/>
        </w:rPr>
        <w:t xml:space="preserve"> </w:t>
      </w:r>
      <w:r w:rsidRPr="00F101F5">
        <w:rPr>
          <w:rFonts w:ascii="Arial" w:hAnsi="Arial" w:cs="Arial"/>
          <w:b/>
          <w:bCs/>
          <w:noProof/>
          <w:sz w:val="22"/>
        </w:rPr>
        <w:t>15</w:t>
      </w:r>
      <w:r w:rsidRPr="00F101F5">
        <w:rPr>
          <w:rFonts w:ascii="Arial" w:hAnsi="Arial" w:cs="Arial"/>
          <w:noProof/>
          <w:sz w:val="22"/>
        </w:rPr>
        <w:t>: 550.</w:t>
      </w:r>
      <w:r w:rsidRPr="00F101F5">
        <w:rPr>
          <w:rFonts w:ascii="Arial" w:hAnsi="Arial" w:cs="Arial"/>
          <w:noProof/>
          <w:sz w:val="22"/>
        </w:rPr>
        <w:tab/>
      </w:r>
    </w:p>
    <w:p w14:paraId="10DE862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33. MontpellierRessourcesImagerie. 2020. Adipocytes Tools.</w:t>
      </w:r>
      <w:r w:rsidRPr="00F101F5">
        <w:rPr>
          <w:rFonts w:ascii="Arial" w:hAnsi="Arial" w:cs="Arial"/>
          <w:noProof/>
          <w:sz w:val="22"/>
        </w:rPr>
        <w:tab/>
      </w:r>
    </w:p>
    <w:p w14:paraId="43CDBCF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lastRenderedPageBreak/>
        <w:t>34. R: The R Project for Statistical Computing.</w:t>
      </w:r>
      <w:r w:rsidRPr="00F101F5">
        <w:rPr>
          <w:rFonts w:ascii="Arial" w:hAnsi="Arial" w:cs="Arial"/>
          <w:noProof/>
          <w:sz w:val="22"/>
        </w:rPr>
        <w:tab/>
      </w:r>
    </w:p>
    <w:p w14:paraId="46D83DE8"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35. Bates, D., M. Mächler, B. Bolker, and S. Walker. 2014. No Title. </w:t>
      </w:r>
      <w:r w:rsidRPr="00F101F5">
        <w:rPr>
          <w:rFonts w:ascii="Arial" w:hAnsi="Arial" w:cs="Arial"/>
          <w:i/>
          <w:iCs/>
          <w:noProof/>
          <w:sz w:val="22"/>
        </w:rPr>
        <w:t>ArXiv e-prints</w:t>
      </w:r>
      <w:r w:rsidRPr="00F101F5">
        <w:rPr>
          <w:rFonts w:ascii="Arial" w:hAnsi="Arial" w:cs="Arial"/>
          <w:noProof/>
          <w:sz w:val="22"/>
        </w:rPr>
        <w:t xml:space="preserve">. </w:t>
      </w:r>
      <w:r w:rsidRPr="00F101F5">
        <w:rPr>
          <w:rFonts w:ascii="Arial" w:hAnsi="Arial" w:cs="Arial"/>
          <w:b/>
          <w:bCs/>
          <w:noProof/>
          <w:sz w:val="22"/>
        </w:rPr>
        <w:t>arXiv:1406</w:t>
      </w:r>
      <w:r w:rsidRPr="00F101F5">
        <w:rPr>
          <w:rFonts w:ascii="Arial" w:hAnsi="Arial" w:cs="Arial"/>
          <w:noProof/>
          <w:sz w:val="22"/>
        </w:rPr>
        <w:t>.</w:t>
      </w:r>
      <w:r w:rsidRPr="00F101F5">
        <w:rPr>
          <w:rFonts w:ascii="Arial" w:hAnsi="Arial" w:cs="Arial"/>
          <w:noProof/>
          <w:sz w:val="22"/>
        </w:rPr>
        <w:tab/>
      </w:r>
    </w:p>
    <w:p w14:paraId="70CBBAC1"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36. Ballard, O., and A. L. Morrow. 2013. Human Milk Composition. Nutrients and Bioactive Factors. </w:t>
      </w:r>
      <w:r w:rsidRPr="00F101F5">
        <w:rPr>
          <w:rFonts w:ascii="Arial" w:hAnsi="Arial" w:cs="Arial"/>
          <w:i/>
          <w:iCs/>
          <w:noProof/>
          <w:sz w:val="22"/>
        </w:rPr>
        <w:t>Pediatr. Clin. North Am.</w:t>
      </w:r>
      <w:r w:rsidRPr="00F101F5">
        <w:rPr>
          <w:rFonts w:ascii="Arial" w:hAnsi="Arial" w:cs="Arial"/>
          <w:noProof/>
          <w:sz w:val="22"/>
        </w:rPr>
        <w:t xml:space="preserve"> </w:t>
      </w:r>
      <w:r w:rsidRPr="00F101F5">
        <w:rPr>
          <w:rFonts w:ascii="Arial" w:hAnsi="Arial" w:cs="Arial"/>
          <w:b/>
          <w:bCs/>
          <w:noProof/>
          <w:sz w:val="22"/>
        </w:rPr>
        <w:t>60</w:t>
      </w:r>
      <w:r w:rsidRPr="00F101F5">
        <w:rPr>
          <w:rFonts w:ascii="Arial" w:hAnsi="Arial" w:cs="Arial"/>
          <w:noProof/>
          <w:sz w:val="22"/>
        </w:rPr>
        <w:t>: 49–74.</w:t>
      </w:r>
      <w:r w:rsidRPr="00F101F5">
        <w:rPr>
          <w:rFonts w:ascii="Arial" w:hAnsi="Arial" w:cs="Arial"/>
          <w:noProof/>
          <w:sz w:val="22"/>
        </w:rPr>
        <w:tab/>
      </w:r>
    </w:p>
    <w:p w14:paraId="52C87746"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37. Kim, J. E., and J. Chen. 2004. Regulation of Peroxisome Proliferator-Activated Receptor- Activity by Mammalian Target of Rapamycin and Amino Acids in Adipogenesis. </w:t>
      </w:r>
      <w:r w:rsidRPr="00F101F5">
        <w:rPr>
          <w:rFonts w:ascii="Arial" w:hAnsi="Arial" w:cs="Arial"/>
          <w:i/>
          <w:iCs/>
          <w:noProof/>
          <w:sz w:val="22"/>
        </w:rPr>
        <w:t>Diabetes</w:t>
      </w:r>
      <w:r w:rsidRPr="00F101F5">
        <w:rPr>
          <w:rFonts w:ascii="Arial" w:hAnsi="Arial" w:cs="Arial"/>
          <w:noProof/>
          <w:sz w:val="22"/>
        </w:rPr>
        <w:t xml:space="preserve">. </w:t>
      </w:r>
      <w:r w:rsidRPr="00F101F5">
        <w:rPr>
          <w:rFonts w:ascii="Arial" w:hAnsi="Arial" w:cs="Arial"/>
          <w:b/>
          <w:bCs/>
          <w:noProof/>
          <w:sz w:val="22"/>
        </w:rPr>
        <w:t>53</w:t>
      </w:r>
      <w:r w:rsidRPr="00F101F5">
        <w:rPr>
          <w:rFonts w:ascii="Arial" w:hAnsi="Arial" w:cs="Arial"/>
          <w:noProof/>
          <w:sz w:val="22"/>
        </w:rPr>
        <w:t>: 2748–2756.</w:t>
      </w:r>
      <w:r w:rsidRPr="00F101F5">
        <w:rPr>
          <w:rFonts w:ascii="Arial" w:hAnsi="Arial" w:cs="Arial"/>
          <w:noProof/>
          <w:sz w:val="22"/>
        </w:rPr>
        <w:tab/>
      </w:r>
    </w:p>
    <w:p w14:paraId="6F948754"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38. Cho, H. J., J. Park, H. W. Lee, Y. S. Lee, and J. B. Kim. 2004. Regulation of adipocyte differentiation and insulin action with rapamycin. </w:t>
      </w:r>
      <w:r w:rsidRPr="00F101F5">
        <w:rPr>
          <w:rFonts w:ascii="Arial" w:hAnsi="Arial" w:cs="Arial"/>
          <w:i/>
          <w:iCs/>
          <w:noProof/>
          <w:sz w:val="22"/>
        </w:rPr>
        <w:t>Biochem. Biophys. Res. Commun.</w:t>
      </w:r>
      <w:r w:rsidRPr="00F101F5">
        <w:rPr>
          <w:rFonts w:ascii="Arial" w:hAnsi="Arial" w:cs="Arial"/>
          <w:noProof/>
          <w:sz w:val="22"/>
        </w:rPr>
        <w:t xml:space="preserve"> </w:t>
      </w:r>
      <w:r w:rsidRPr="00F101F5">
        <w:rPr>
          <w:rFonts w:ascii="Arial" w:hAnsi="Arial" w:cs="Arial"/>
          <w:b/>
          <w:bCs/>
          <w:noProof/>
          <w:sz w:val="22"/>
        </w:rPr>
        <w:t>321</w:t>
      </w:r>
      <w:r w:rsidRPr="00F101F5">
        <w:rPr>
          <w:rFonts w:ascii="Arial" w:hAnsi="Arial" w:cs="Arial"/>
          <w:noProof/>
          <w:sz w:val="22"/>
        </w:rPr>
        <w:t>: 942–8.</w:t>
      </w:r>
      <w:r w:rsidRPr="00F101F5">
        <w:rPr>
          <w:rFonts w:ascii="Arial" w:hAnsi="Arial" w:cs="Arial"/>
          <w:noProof/>
          <w:sz w:val="22"/>
        </w:rPr>
        <w:tab/>
      </w:r>
    </w:p>
    <w:p w14:paraId="3018859F"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39. Yeh, W.-C., B. E. Bierert, and S. L. Mcknightt. 1995. Rapamycin inhibits clonal expansion and adipogenic differentiation of 3T3-L1 cells.</w:t>
      </w:r>
      <w:r w:rsidRPr="00F101F5">
        <w:rPr>
          <w:rFonts w:ascii="Arial" w:hAnsi="Arial" w:cs="Arial"/>
          <w:noProof/>
          <w:sz w:val="22"/>
        </w:rPr>
        <w:tab/>
      </w:r>
    </w:p>
    <w:p w14:paraId="37CAF20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40. Lee, P. L., Y. Tang, H. Li, and D. A. Guertin. 2016. Raptor/mTORC1 loss in adipocytes causes progressive lipodystrophy and fatty liver disease. </w:t>
      </w:r>
      <w:r w:rsidRPr="00F101F5">
        <w:rPr>
          <w:rFonts w:ascii="Arial" w:hAnsi="Arial" w:cs="Arial"/>
          <w:i/>
          <w:iCs/>
          <w:noProof/>
          <w:sz w:val="22"/>
        </w:rPr>
        <w:t>Mol. Metab.</w:t>
      </w:r>
      <w:r w:rsidRPr="00F101F5">
        <w:rPr>
          <w:rFonts w:ascii="Arial" w:hAnsi="Arial" w:cs="Arial"/>
          <w:noProof/>
          <w:sz w:val="22"/>
        </w:rPr>
        <w:t xml:space="preserve"> </w:t>
      </w:r>
      <w:r w:rsidRPr="00F101F5">
        <w:rPr>
          <w:rFonts w:ascii="Arial" w:hAnsi="Arial" w:cs="Arial"/>
          <w:b/>
          <w:bCs/>
          <w:noProof/>
          <w:sz w:val="22"/>
        </w:rPr>
        <w:t>5</w:t>
      </w:r>
      <w:r w:rsidRPr="00F101F5">
        <w:rPr>
          <w:rFonts w:ascii="Arial" w:hAnsi="Arial" w:cs="Arial"/>
          <w:noProof/>
          <w:sz w:val="22"/>
        </w:rPr>
        <w:t>: 422–432.</w:t>
      </w:r>
      <w:r w:rsidRPr="00F101F5">
        <w:rPr>
          <w:rFonts w:ascii="Arial" w:hAnsi="Arial" w:cs="Arial"/>
          <w:noProof/>
          <w:sz w:val="22"/>
        </w:rPr>
        <w:tab/>
      </w:r>
    </w:p>
    <w:p w14:paraId="7FB3415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41. Polak, P., N. Cybulski, J. N. Feige, J. Auwerx, M. A. Rüegg, and M. N. Hall. 2008. Adipose-Specific Knockout of raptor Results in Lean Mice with Enhanced Mitochondrial Respiration. </w:t>
      </w:r>
      <w:r w:rsidRPr="00F101F5">
        <w:rPr>
          <w:rFonts w:ascii="Arial" w:hAnsi="Arial" w:cs="Arial"/>
          <w:i/>
          <w:iCs/>
          <w:noProof/>
          <w:sz w:val="22"/>
        </w:rPr>
        <w:t>Cell Metab.</w:t>
      </w:r>
      <w:r w:rsidRPr="00F101F5">
        <w:rPr>
          <w:rFonts w:ascii="Arial" w:hAnsi="Arial" w:cs="Arial"/>
          <w:noProof/>
          <w:sz w:val="22"/>
        </w:rPr>
        <w:t xml:space="preserve"> </w:t>
      </w:r>
      <w:r w:rsidRPr="00F101F5">
        <w:rPr>
          <w:rFonts w:ascii="Arial" w:hAnsi="Arial" w:cs="Arial"/>
          <w:b/>
          <w:bCs/>
          <w:noProof/>
          <w:sz w:val="22"/>
        </w:rPr>
        <w:t>8</w:t>
      </w:r>
      <w:r w:rsidRPr="00F101F5">
        <w:rPr>
          <w:rFonts w:ascii="Arial" w:hAnsi="Arial" w:cs="Arial"/>
          <w:noProof/>
          <w:sz w:val="22"/>
        </w:rPr>
        <w:t>: 399–410.</w:t>
      </w:r>
      <w:r w:rsidRPr="00F101F5">
        <w:rPr>
          <w:rFonts w:ascii="Arial" w:hAnsi="Arial" w:cs="Arial"/>
          <w:noProof/>
          <w:sz w:val="22"/>
        </w:rPr>
        <w:tab/>
      </w:r>
    </w:p>
    <w:p w14:paraId="1ADEA829"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F101F5">
        <w:rPr>
          <w:rFonts w:ascii="Arial" w:hAnsi="Arial" w:cs="Arial"/>
          <w:i/>
          <w:iCs/>
          <w:noProof/>
          <w:sz w:val="22"/>
        </w:rPr>
        <w:t>Biochim. Biophys. Acta - Mol. Cell Biol. Lipids</w:t>
      </w:r>
      <w:r w:rsidRPr="00F101F5">
        <w:rPr>
          <w:rFonts w:ascii="Arial" w:hAnsi="Arial" w:cs="Arial"/>
          <w:noProof/>
          <w:sz w:val="22"/>
        </w:rPr>
        <w:t xml:space="preserve">. </w:t>
      </w:r>
      <w:r w:rsidRPr="00F101F5">
        <w:rPr>
          <w:rFonts w:ascii="Arial" w:hAnsi="Arial" w:cs="Arial"/>
          <w:b/>
          <w:bCs/>
          <w:noProof/>
          <w:sz w:val="22"/>
        </w:rPr>
        <w:t>1861</w:t>
      </w:r>
      <w:r w:rsidRPr="00F101F5">
        <w:rPr>
          <w:rFonts w:ascii="Arial" w:hAnsi="Arial" w:cs="Arial"/>
          <w:noProof/>
          <w:sz w:val="22"/>
        </w:rPr>
        <w:t>: 430–438.</w:t>
      </w:r>
      <w:r w:rsidRPr="00F101F5">
        <w:rPr>
          <w:rFonts w:ascii="Arial" w:hAnsi="Arial" w:cs="Arial"/>
          <w:noProof/>
          <w:sz w:val="22"/>
        </w:rPr>
        <w:tab/>
      </w:r>
    </w:p>
    <w:p w14:paraId="6AE5E29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43. Schwertfeger, K. L., J. L. McManaman, C. A. Palmer, M. C. Neville, and S. M. Anderson. 2003. Expression of constitutively activated Akt in the mammary gland leads to excess lipid synthesis during pregnancy and lactation. </w:t>
      </w:r>
      <w:r w:rsidRPr="00F101F5">
        <w:rPr>
          <w:rFonts w:ascii="Arial" w:hAnsi="Arial" w:cs="Arial"/>
          <w:i/>
          <w:iCs/>
          <w:noProof/>
          <w:sz w:val="22"/>
        </w:rPr>
        <w:t>J. Lipid Res.</w:t>
      </w:r>
      <w:r w:rsidRPr="00F101F5">
        <w:rPr>
          <w:rFonts w:ascii="Arial" w:hAnsi="Arial" w:cs="Arial"/>
          <w:noProof/>
          <w:sz w:val="22"/>
        </w:rPr>
        <w:t xml:space="preserve"> </w:t>
      </w:r>
      <w:r w:rsidRPr="00F101F5">
        <w:rPr>
          <w:rFonts w:ascii="Arial" w:hAnsi="Arial" w:cs="Arial"/>
          <w:b/>
          <w:bCs/>
          <w:noProof/>
          <w:sz w:val="22"/>
        </w:rPr>
        <w:t>44</w:t>
      </w:r>
      <w:r w:rsidRPr="00F101F5">
        <w:rPr>
          <w:rFonts w:ascii="Arial" w:hAnsi="Arial" w:cs="Arial"/>
          <w:noProof/>
          <w:sz w:val="22"/>
        </w:rPr>
        <w:t>: 1100–12.</w:t>
      </w:r>
      <w:r w:rsidRPr="00F101F5">
        <w:rPr>
          <w:rFonts w:ascii="Arial" w:hAnsi="Arial" w:cs="Arial"/>
          <w:noProof/>
          <w:sz w:val="22"/>
        </w:rPr>
        <w:tab/>
      </w:r>
    </w:p>
    <w:p w14:paraId="1033AA4F"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44. Che, L., M. Xu, K. Gao, C. Zhu, L. Wang, X. Yang, X. Wen, H. Xiao, Z. Jiang, and D. Wu. 2019. Valine increases milk fat synthesis in mammary gland of gilts through stimulating AKT/MTOR/SREBP1 pathway†. </w:t>
      </w:r>
      <w:r w:rsidRPr="00F101F5">
        <w:rPr>
          <w:rFonts w:ascii="Arial" w:hAnsi="Arial" w:cs="Arial"/>
          <w:i/>
          <w:iCs/>
          <w:noProof/>
          <w:sz w:val="22"/>
        </w:rPr>
        <w:t>Biol. Reprod.</w:t>
      </w:r>
      <w:r w:rsidRPr="00F101F5">
        <w:rPr>
          <w:rFonts w:ascii="Arial" w:hAnsi="Arial" w:cs="Arial"/>
          <w:noProof/>
          <w:sz w:val="22"/>
        </w:rPr>
        <w:t xml:space="preserve"> </w:t>
      </w:r>
      <w:r w:rsidRPr="00F101F5">
        <w:rPr>
          <w:rFonts w:ascii="Arial" w:hAnsi="Arial" w:cs="Arial"/>
          <w:b/>
          <w:bCs/>
          <w:noProof/>
          <w:sz w:val="22"/>
        </w:rPr>
        <w:t>101</w:t>
      </w:r>
      <w:r w:rsidRPr="00F101F5">
        <w:rPr>
          <w:rFonts w:ascii="Arial" w:hAnsi="Arial" w:cs="Arial"/>
          <w:noProof/>
          <w:sz w:val="22"/>
        </w:rPr>
        <w:t>: 126–137.</w:t>
      </w:r>
      <w:r w:rsidRPr="00F101F5">
        <w:rPr>
          <w:rFonts w:ascii="Arial" w:hAnsi="Arial" w:cs="Arial"/>
          <w:noProof/>
          <w:sz w:val="22"/>
        </w:rPr>
        <w:tab/>
      </w:r>
    </w:p>
    <w:p w14:paraId="2919432F"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45. Helland, I. B., L. Smith, B. Blomen, K. Saarem, O. D. Saugstad, and C. A. Drevon. 2008. </w:t>
      </w:r>
      <w:r w:rsidRPr="00F101F5">
        <w:rPr>
          <w:rFonts w:ascii="Arial" w:hAnsi="Arial" w:cs="Arial"/>
          <w:noProof/>
          <w:sz w:val="22"/>
        </w:rPr>
        <w:lastRenderedPageBreak/>
        <w:t xml:space="preserve">Effect of supplementing pregnant and lactating mothers with n-3 very-long-chain fatty acids on children’s iq and body mass index at 7 years of age. </w:t>
      </w:r>
      <w:r w:rsidRPr="00F101F5">
        <w:rPr>
          <w:rFonts w:ascii="Arial" w:hAnsi="Arial" w:cs="Arial"/>
          <w:i/>
          <w:iCs/>
          <w:noProof/>
          <w:sz w:val="22"/>
        </w:rPr>
        <w:t>Pediatrics</w:t>
      </w:r>
      <w:r w:rsidRPr="00F101F5">
        <w:rPr>
          <w:rFonts w:ascii="Arial" w:hAnsi="Arial" w:cs="Arial"/>
          <w:noProof/>
          <w:sz w:val="22"/>
        </w:rPr>
        <w:t xml:space="preserve">. </w:t>
      </w:r>
      <w:r w:rsidRPr="00F101F5">
        <w:rPr>
          <w:rFonts w:ascii="Arial" w:hAnsi="Arial" w:cs="Arial"/>
          <w:b/>
          <w:bCs/>
          <w:noProof/>
          <w:sz w:val="22"/>
        </w:rPr>
        <w:t>122</w:t>
      </w:r>
      <w:r w:rsidRPr="00F101F5">
        <w:rPr>
          <w:rFonts w:ascii="Arial" w:hAnsi="Arial" w:cs="Arial"/>
          <w:noProof/>
          <w:sz w:val="22"/>
        </w:rPr>
        <w:t>: e472–e479.</w:t>
      </w:r>
      <w:r w:rsidRPr="00F101F5">
        <w:rPr>
          <w:rFonts w:ascii="Arial" w:hAnsi="Arial" w:cs="Arial"/>
          <w:noProof/>
          <w:sz w:val="22"/>
        </w:rPr>
        <w:tab/>
      </w:r>
    </w:p>
    <w:p w14:paraId="49333B8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46. Jensen, C. L., R. G. Voigt, T. C. Prager, Y. L. Zou, J. K. Fraley, J. C. Rozelle, M. R. Turcich, A. M. Llorente, R. E. Anderson, and W. C. Heird. 2005. Effects of maternal docosahexaenoic acid intake on visual function and neurodevelopment in breastfed term infants. </w:t>
      </w:r>
      <w:r w:rsidRPr="00F101F5">
        <w:rPr>
          <w:rFonts w:ascii="Arial" w:hAnsi="Arial" w:cs="Arial"/>
          <w:i/>
          <w:iCs/>
          <w:noProof/>
          <w:sz w:val="22"/>
        </w:rPr>
        <w:t>Am. J. Clin. Nutr.</w:t>
      </w:r>
      <w:r w:rsidRPr="00F101F5">
        <w:rPr>
          <w:rFonts w:ascii="Arial" w:hAnsi="Arial" w:cs="Arial"/>
          <w:noProof/>
          <w:sz w:val="22"/>
        </w:rPr>
        <w:t xml:space="preserve"> </w:t>
      </w:r>
      <w:r w:rsidRPr="00F101F5">
        <w:rPr>
          <w:rFonts w:ascii="Arial" w:hAnsi="Arial" w:cs="Arial"/>
          <w:b/>
          <w:bCs/>
          <w:noProof/>
          <w:sz w:val="22"/>
        </w:rPr>
        <w:t>82</w:t>
      </w:r>
      <w:r w:rsidRPr="00F101F5">
        <w:rPr>
          <w:rFonts w:ascii="Arial" w:hAnsi="Arial" w:cs="Arial"/>
          <w:noProof/>
          <w:sz w:val="22"/>
        </w:rPr>
        <w:t>: 125–132.</w:t>
      </w:r>
      <w:r w:rsidRPr="00F101F5">
        <w:rPr>
          <w:rFonts w:ascii="Arial" w:hAnsi="Arial" w:cs="Arial"/>
          <w:noProof/>
          <w:sz w:val="22"/>
        </w:rPr>
        <w:tab/>
      </w:r>
    </w:p>
    <w:p w14:paraId="4D7FF25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47.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F101F5">
        <w:rPr>
          <w:rFonts w:ascii="Arial" w:hAnsi="Arial" w:cs="Arial"/>
          <w:i/>
          <w:iCs/>
          <w:noProof/>
          <w:sz w:val="22"/>
        </w:rPr>
        <w:t>Am. J. Clin. Nutr.</w:t>
      </w:r>
      <w:r w:rsidRPr="00F101F5">
        <w:rPr>
          <w:rFonts w:ascii="Arial" w:hAnsi="Arial" w:cs="Arial"/>
          <w:noProof/>
          <w:sz w:val="22"/>
        </w:rPr>
        <w:t xml:space="preserve"> </w:t>
      </w:r>
      <w:r w:rsidRPr="00F101F5">
        <w:rPr>
          <w:rFonts w:ascii="Arial" w:hAnsi="Arial" w:cs="Arial"/>
          <w:b/>
          <w:bCs/>
          <w:noProof/>
          <w:sz w:val="22"/>
        </w:rPr>
        <w:t>91</w:t>
      </w:r>
      <w:r w:rsidRPr="00F101F5">
        <w:rPr>
          <w:rFonts w:ascii="Arial" w:hAnsi="Arial" w:cs="Arial"/>
          <w:noProof/>
          <w:sz w:val="22"/>
        </w:rPr>
        <w:t>: 848–859.</w:t>
      </w:r>
      <w:r w:rsidRPr="00F101F5">
        <w:rPr>
          <w:rFonts w:ascii="Arial" w:hAnsi="Arial" w:cs="Arial"/>
          <w:noProof/>
          <w:sz w:val="22"/>
        </w:rPr>
        <w:tab/>
      </w:r>
    </w:p>
    <w:p w14:paraId="40804826"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F101F5">
        <w:rPr>
          <w:rFonts w:ascii="Arial" w:hAnsi="Arial" w:cs="Arial"/>
          <w:i/>
          <w:iCs/>
          <w:noProof/>
          <w:sz w:val="22"/>
        </w:rPr>
        <w:t>Nature</w:t>
      </w:r>
      <w:r w:rsidRPr="00F101F5">
        <w:rPr>
          <w:rFonts w:ascii="Arial" w:hAnsi="Arial" w:cs="Arial"/>
          <w:noProof/>
          <w:sz w:val="22"/>
        </w:rPr>
        <w:t xml:space="preserve">. </w:t>
      </w:r>
      <w:r w:rsidRPr="00F101F5">
        <w:rPr>
          <w:rFonts w:ascii="Arial" w:hAnsi="Arial" w:cs="Arial"/>
          <w:b/>
          <w:bCs/>
          <w:noProof/>
          <w:sz w:val="22"/>
        </w:rPr>
        <w:t>509</w:t>
      </w:r>
      <w:r w:rsidRPr="00F101F5">
        <w:rPr>
          <w:rFonts w:ascii="Arial" w:hAnsi="Arial" w:cs="Arial"/>
          <w:noProof/>
          <w:sz w:val="22"/>
        </w:rPr>
        <w:t>: 503–506.</w:t>
      </w:r>
      <w:r w:rsidRPr="00F101F5">
        <w:rPr>
          <w:rFonts w:ascii="Arial" w:hAnsi="Arial" w:cs="Arial"/>
          <w:noProof/>
          <w:sz w:val="22"/>
        </w:rPr>
        <w:tab/>
      </w:r>
    </w:p>
    <w:p w14:paraId="4A00B6D0" w14:textId="4F39B7F9" w:rsidR="0085513B" w:rsidRDefault="001745BF" w:rsidP="00F101F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70F24868"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t>
      </w:r>
      <w:proofErr w:type="gramStart"/>
      <w:r w:rsidR="00A3627A" w:rsidRPr="000E1113">
        <w:rPr>
          <w:rFonts w:ascii="Arial" w:hAnsi="Arial" w:cs="Arial"/>
          <w:i w:val="0"/>
          <w:iCs w:val="0"/>
          <w:sz w:val="22"/>
          <w:szCs w:val="22"/>
        </w:rPr>
        <w:t>whole body</w:t>
      </w:r>
      <w:proofErr w:type="gramEnd"/>
      <w:r w:rsidR="00A3627A" w:rsidRPr="000E1113">
        <w:rPr>
          <w:rFonts w:ascii="Arial" w:hAnsi="Arial" w:cs="Arial"/>
          <w:i w:val="0"/>
          <w:iCs w:val="0"/>
          <w:sz w:val="22"/>
          <w:szCs w:val="22"/>
        </w:rPr>
        <w:t xml:space="preserve"> adipocytes for </w:t>
      </w:r>
      <w:r w:rsidR="00845743">
        <w:rPr>
          <w:rFonts w:ascii="Arial" w:hAnsi="Arial" w:cs="Arial"/>
          <w:i w:val="0"/>
          <w:iCs w:val="0"/>
          <w:sz w:val="22"/>
          <w:szCs w:val="22"/>
        </w:rPr>
        <w:t>WT</w:t>
      </w:r>
      <w:r w:rsidR="00A3627A" w:rsidRPr="000E1113">
        <w:rPr>
          <w:rFonts w:ascii="Arial" w:hAnsi="Arial" w:cs="Arial"/>
          <w:i w:val="0"/>
          <w:iCs w:val="0"/>
          <w:sz w:val="22"/>
          <w:szCs w:val="22"/>
        </w:rPr>
        <w:t xml:space="preserve"> (in green) and </w:t>
      </w:r>
      <w:r w:rsidR="00845743">
        <w:rPr>
          <w:rFonts w:ascii="Arial" w:hAnsi="Arial" w:cs="Arial"/>
          <w:i w:val="0"/>
          <w:iCs w:val="0"/>
          <w:sz w:val="22"/>
          <w:szCs w:val="22"/>
        </w:rPr>
        <w:t>KO</w:t>
      </w:r>
      <w:r w:rsidR="00A3627A" w:rsidRPr="000E1113">
        <w:rPr>
          <w:rFonts w:ascii="Arial" w:hAnsi="Arial" w:cs="Arial"/>
          <w:i w:val="0"/>
          <w:iCs w:val="0"/>
          <w:sz w:val="22"/>
          <w:szCs w:val="22"/>
        </w:rPr>
        <w:t xml:space="preserve">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KO</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D49CE0F"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C223AB" w:rsidRPr="00AB16E7">
        <w:rPr>
          <w:rFonts w:ascii="Arial" w:hAnsi="Arial" w:cs="Arial"/>
          <w:bCs/>
          <w:i w:val="0"/>
          <w:sz w:val="22"/>
          <w:szCs w:val="22"/>
        </w:rPr>
        <w:t xml:space="preserve">H&amp;E </w:t>
      </w:r>
      <w:r w:rsidR="00C223A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 xml:space="preserve">11 dams </w:t>
      </w:r>
      <w:commentRangeStart w:id="210"/>
      <w:r w:rsidR="00612126">
        <w:rPr>
          <w:rFonts w:ascii="Arial" w:hAnsi="Arial" w:cs="Arial"/>
          <w:bCs/>
          <w:i w:val="0"/>
          <w:sz w:val="22"/>
          <w:szCs w:val="22"/>
        </w:rPr>
        <w:t>total</w:t>
      </w:r>
      <w:commentRangeEnd w:id="210"/>
      <w:r w:rsidR="00530072">
        <w:rPr>
          <w:rStyle w:val="CommentReference"/>
          <w:i w:val="0"/>
          <w:iCs w:val="0"/>
          <w:color w:val="auto"/>
        </w:rPr>
        <w:commentReference w:id="210"/>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6AF8042B"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proofErr w:type="gramStart"/>
      <w:r w:rsidR="00A12BAB">
        <w:rPr>
          <w:rFonts w:ascii="Arial" w:hAnsi="Arial" w:cs="Arial"/>
          <w:i w:val="0"/>
          <w:sz w:val="22"/>
          <w:szCs w:val="22"/>
        </w:rPr>
        <w:t>offspring</w:t>
      </w:r>
      <w:proofErr w:type="gramEnd"/>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133DC31A"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KO </w:t>
      </w:r>
      <w:r w:rsidR="000B3E80">
        <w:rPr>
          <w:rFonts w:ascii="Arial" w:hAnsi="Arial" w:cs="Arial"/>
          <w:i w:val="0"/>
          <w:sz w:val="22"/>
          <w:szCs w:val="22"/>
        </w:rPr>
        <w:t>and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 of KO</w:t>
      </w:r>
      <w:r w:rsidR="000B3E80">
        <w:rPr>
          <w:rFonts w:ascii="Arial" w:hAnsi="Arial" w:cs="Arial"/>
          <w:i w:val="0"/>
          <w:sz w:val="22"/>
          <w:szCs w:val="22"/>
        </w:rPr>
        <w:t xml:space="preserve"> and WT</w:t>
      </w:r>
      <w:r w:rsidRPr="00AB16E7">
        <w:rPr>
          <w:rFonts w:ascii="Arial" w:hAnsi="Arial" w:cs="Arial"/>
          <w:i w:val="0"/>
          <w:sz w:val="22"/>
          <w:szCs w:val="22"/>
        </w:rPr>
        <w:t>. (</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w:t>
      </w:r>
      <w:r w:rsidR="000B3E80">
        <w:rPr>
          <w:rFonts w:ascii="Arial" w:hAnsi="Arial" w:cs="Arial"/>
          <w:i w:val="0"/>
          <w:sz w:val="22"/>
          <w:szCs w:val="22"/>
        </w:rPr>
        <w:t xml:space="preserve"> and WT</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MUFA/SFA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 xml:space="preserve">.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of KO and WT.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w:t>
      </w:r>
      <w:r w:rsidR="000B3E80">
        <w:rPr>
          <w:rFonts w:ascii="Arial" w:hAnsi="Arial" w:cs="Arial"/>
          <w:i w:val="0"/>
          <w:sz w:val="22"/>
          <w:szCs w:val="22"/>
        </w:rPr>
        <w:t xml:space="preserve"> and WT</w:t>
      </w:r>
      <w:r w:rsidRPr="00D66383">
        <w:rPr>
          <w:rFonts w:ascii="Arial" w:hAnsi="Arial" w:cs="Arial"/>
          <w:i w:val="0"/>
          <w:sz w:val="22"/>
          <w:szCs w:val="22"/>
        </w:rPr>
        <w:t>.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6A84EB2E"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845743">
        <w:rPr>
          <w:rFonts w:ascii="Arial" w:hAnsi="Arial" w:cs="Arial"/>
          <w:i w:val="0"/>
          <w:sz w:val="22"/>
          <w:szCs w:val="22"/>
        </w:rPr>
        <w:t>WT</w:t>
      </w:r>
      <w:r w:rsidR="002B624B">
        <w:rPr>
          <w:rFonts w:ascii="Arial" w:hAnsi="Arial" w:cs="Arial"/>
          <w:i w:val="0"/>
          <w:sz w:val="22"/>
          <w:szCs w:val="22"/>
        </w:rPr>
        <w:t xml:space="preserve"> and </w:t>
      </w:r>
      <w:r w:rsidR="00845743">
        <w:rPr>
          <w:rFonts w:ascii="Arial" w:hAnsi="Arial" w:cs="Arial"/>
          <w:i w:val="0"/>
          <w:sz w:val="22"/>
          <w:szCs w:val="22"/>
        </w:rPr>
        <w:t>KO</w:t>
      </w:r>
      <w:r w:rsidR="002B624B">
        <w:rPr>
          <w:rFonts w:ascii="Arial" w:hAnsi="Arial" w:cs="Arial"/>
          <w:i w:val="0"/>
          <w:sz w:val="22"/>
          <w:szCs w:val="22"/>
        </w:rPr>
        <w:t xml:space="preserve">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 xml:space="preserve">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 xml:space="preserve">G) T- and B-Cell gene expression markers. Asterisks indicate q&lt;0.05, number sign indicates </w:t>
      </w:r>
      <w:commentRangeStart w:id="211"/>
      <w:r w:rsidR="002B624B">
        <w:rPr>
          <w:rFonts w:ascii="Arial" w:hAnsi="Arial" w:cs="Arial"/>
          <w:i w:val="0"/>
          <w:sz w:val="22"/>
          <w:szCs w:val="22"/>
        </w:rPr>
        <w:t>p&lt;0.05</w:t>
      </w:r>
      <w:r w:rsidR="00000782">
        <w:rPr>
          <w:rFonts w:ascii="Arial" w:hAnsi="Arial" w:cs="Arial"/>
          <w:i w:val="0"/>
          <w:sz w:val="22"/>
          <w:szCs w:val="22"/>
        </w:rPr>
        <w:t>.</w:t>
      </w:r>
      <w:commentRangeEnd w:id="211"/>
      <w:r w:rsidR="008648A8">
        <w:rPr>
          <w:rStyle w:val="CommentReference"/>
          <w:i w:val="0"/>
          <w:iCs w:val="0"/>
          <w:color w:val="auto"/>
        </w:rPr>
        <w:commentReference w:id="211"/>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ve Bridges" w:date="2021-06-16T11:18:00Z" w:initials="DB">
    <w:p w14:paraId="04BA08E3" w14:textId="358338B6" w:rsidR="00C83BA3" w:rsidRDefault="00C83BA3">
      <w:pPr>
        <w:pStyle w:val="CommentText"/>
      </w:pPr>
      <w:r>
        <w:rPr>
          <w:rStyle w:val="CommentReference"/>
        </w:rPr>
        <w:annotationRef/>
      </w:r>
      <w:r>
        <w:t>How much higher</w:t>
      </w:r>
    </w:p>
  </w:comment>
  <w:comment w:id="17" w:author="Dave Bridges" w:date="2021-06-16T11:19:00Z" w:initials="DB">
    <w:p w14:paraId="6FFF6ECB" w14:textId="5A6EFD07" w:rsidR="00C83BA3" w:rsidRDefault="00C83BA3">
      <w:pPr>
        <w:pStyle w:val="CommentText"/>
      </w:pPr>
      <w:r>
        <w:rPr>
          <w:rStyle w:val="CommentReference"/>
        </w:rPr>
        <w:annotationRef/>
      </w:r>
      <w:r>
        <w:t>If this isn’t the meta-analysis you should describe that instead.</w:t>
      </w:r>
    </w:p>
  </w:comment>
  <w:comment w:id="22" w:author="Dave Bridges" w:date="2021-06-16T11:20:00Z" w:initials="DB">
    <w:p w14:paraId="45CC24E6" w14:textId="373AE6BA" w:rsidR="00C83BA3" w:rsidRDefault="00C83BA3">
      <w:pPr>
        <w:pStyle w:val="CommentText"/>
      </w:pPr>
      <w:r>
        <w:rPr>
          <w:rStyle w:val="CommentReference"/>
        </w:rPr>
        <w:annotationRef/>
      </w:r>
      <w:r>
        <w:t xml:space="preserve">Amino acid and energy dependent mTORC1 activation is independent of </w:t>
      </w:r>
      <w:proofErr w:type="spellStart"/>
      <w:r>
        <w:t>Akt</w:t>
      </w:r>
      <w:proofErr w:type="spellEnd"/>
    </w:p>
  </w:comment>
  <w:comment w:id="87" w:author="Noura El Habbal" w:date="2021-06-10T13:14:00Z" w:initials="NEH">
    <w:p w14:paraId="330ABF09" w14:textId="74241194" w:rsidR="00C83BA3" w:rsidRDefault="00C83BA3">
      <w:pPr>
        <w:pStyle w:val="CommentText"/>
      </w:pPr>
      <w:r>
        <w:rPr>
          <w:rStyle w:val="CommentReference"/>
        </w:rPr>
        <w:annotationRef/>
      </w:r>
      <w:r>
        <w:t>Or 139? @</w:t>
      </w:r>
      <w:proofErr w:type="spellStart"/>
      <w:r>
        <w:t>dave</w:t>
      </w:r>
      <w:proofErr w:type="spellEnd"/>
    </w:p>
  </w:comment>
  <w:comment w:id="92" w:author="Dave Bridges" w:date="2021-06-16T11:48:00Z" w:initials="DB">
    <w:p w14:paraId="2813E931" w14:textId="727B71EF" w:rsidR="00C83BA3" w:rsidRDefault="00C83BA3" w:rsidP="00D12017">
      <w:r>
        <w:rPr>
          <w:rStyle w:val="CommentReference"/>
        </w:rPr>
        <w:annotationRef/>
      </w:r>
      <w:r>
        <w:rPr>
          <w:rFonts w:ascii="Verdana" w:hAnsi="Verdana"/>
          <w:color w:val="000000"/>
          <w:sz w:val="17"/>
          <w:szCs w:val="17"/>
          <w:shd w:val="clear" w:color="auto" w:fill="FFFFFF"/>
        </w:rPr>
        <w:t>Add this Yu G, Wang L, Han Y, He Q (2012). “</w:t>
      </w:r>
      <w:proofErr w:type="spellStart"/>
      <w:r>
        <w:rPr>
          <w:rFonts w:ascii="Verdana" w:hAnsi="Verdana"/>
          <w:color w:val="000000"/>
          <w:sz w:val="17"/>
          <w:szCs w:val="17"/>
          <w:shd w:val="clear" w:color="auto" w:fill="FFFFFF"/>
        </w:rPr>
        <w:t>clusterProfiler</w:t>
      </w:r>
      <w:proofErr w:type="spellEnd"/>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an</w:t>
      </w:r>
      <w:proofErr w:type="gramEnd"/>
      <w:r>
        <w:rPr>
          <w:rFonts w:ascii="Verdana" w:hAnsi="Verdana"/>
          <w:color w:val="000000"/>
          <w:sz w:val="17"/>
          <w:szCs w:val="17"/>
          <w:shd w:val="clear" w:color="auto" w:fill="FFFFFF"/>
        </w:rPr>
        <w:t xml:space="preserve"> R package for comparing biological themes among gene clusters.” </w:t>
      </w:r>
      <w:r>
        <w:rPr>
          <w:rStyle w:val="Emphasis"/>
          <w:rFonts w:ascii="Verdana" w:hAnsi="Verdana"/>
          <w:color w:val="000000"/>
          <w:sz w:val="17"/>
          <w:szCs w:val="17"/>
          <w:shd w:val="clear" w:color="auto" w:fill="FFFFFF"/>
        </w:rPr>
        <w:t>OMICS: A Journal of Integrative Biology</w:t>
      </w:r>
      <w:r>
        <w:rPr>
          <w:rFonts w:ascii="Verdana" w:hAnsi="Verdana"/>
          <w:color w:val="000000"/>
          <w:sz w:val="17"/>
          <w:szCs w:val="17"/>
          <w:shd w:val="clear" w:color="auto" w:fill="FFFFFF"/>
        </w:rPr>
        <w:t>, </w:t>
      </w:r>
      <w:r>
        <w:rPr>
          <w:rFonts w:ascii="Verdana" w:hAnsi="Verdana"/>
          <w:b/>
          <w:bCs/>
          <w:color w:val="000000"/>
          <w:sz w:val="17"/>
          <w:szCs w:val="17"/>
          <w:shd w:val="clear" w:color="auto" w:fill="FFFFFF"/>
        </w:rPr>
        <w:t>16</w:t>
      </w:r>
      <w:r>
        <w:rPr>
          <w:rFonts w:ascii="Verdana" w:hAnsi="Verdana"/>
          <w:color w:val="000000"/>
          <w:sz w:val="17"/>
          <w:szCs w:val="17"/>
          <w:shd w:val="clear" w:color="auto" w:fill="FFFFFF"/>
        </w:rPr>
        <w:t xml:space="preserve">(5), 284-287. </w:t>
      </w:r>
      <w:proofErr w:type="spellStart"/>
      <w:r>
        <w:rPr>
          <w:rFonts w:ascii="Verdana" w:hAnsi="Verdana"/>
          <w:color w:val="000000"/>
          <w:sz w:val="17"/>
          <w:szCs w:val="17"/>
          <w:shd w:val="clear" w:color="auto" w:fill="FFFFFF"/>
        </w:rPr>
        <w:t>doi</w:t>
      </w:r>
      <w:proofErr w:type="spellEnd"/>
      <w:r>
        <w:rPr>
          <w:rFonts w:ascii="Verdana" w:hAnsi="Verdana"/>
          <w:color w:val="000000"/>
          <w:sz w:val="17"/>
          <w:szCs w:val="17"/>
          <w:shd w:val="clear" w:color="auto" w:fill="FFFFFF"/>
        </w:rPr>
        <w:t>: </w:t>
      </w:r>
      <w:hyperlink r:id="rId1" w:history="1">
        <w:r>
          <w:rPr>
            <w:rStyle w:val="Hyperlink"/>
            <w:rFonts w:ascii="Verdana" w:hAnsi="Verdana"/>
            <w:color w:val="1A81C2"/>
            <w:sz w:val="17"/>
            <w:szCs w:val="17"/>
            <w:shd w:val="clear" w:color="auto" w:fill="FFFFFF"/>
          </w:rPr>
          <w:t>10.1089/omi.2011.0118</w:t>
        </w:r>
      </w:hyperlink>
      <w:r>
        <w:rPr>
          <w:rFonts w:ascii="Verdana" w:hAnsi="Verdana"/>
          <w:color w:val="000000"/>
          <w:sz w:val="17"/>
          <w:szCs w:val="17"/>
          <w:shd w:val="clear" w:color="auto" w:fill="FFFFFF"/>
        </w:rPr>
        <w:t>.</w:t>
      </w:r>
    </w:p>
    <w:p w14:paraId="40AA5881" w14:textId="62121AF0" w:rsidR="00C83BA3" w:rsidRDefault="00C83BA3">
      <w:pPr>
        <w:pStyle w:val="CommentText"/>
      </w:pPr>
    </w:p>
  </w:comment>
  <w:comment w:id="115" w:author="Molly Carter" w:date="2021-05-18T14:27:00Z" w:initials="MC">
    <w:p w14:paraId="033298B9" w14:textId="77777777" w:rsidR="00C83BA3" w:rsidRDefault="00C83BA3">
      <w:pPr>
        <w:pStyle w:val="CommentText"/>
      </w:pPr>
      <w:r>
        <w:rPr>
          <w:rStyle w:val="CommentReference"/>
        </w:rPr>
        <w:annotationRef/>
      </w:r>
      <w:r>
        <w:t>I think it would be good to show</w:t>
      </w:r>
    </w:p>
    <w:p w14:paraId="1F3F45AD" w14:textId="7DFD8DB7" w:rsidR="00C83BA3" w:rsidRDefault="00C83BA3">
      <w:pPr>
        <w:pStyle w:val="CommentText"/>
      </w:pPr>
      <w:r>
        <w:t xml:space="preserve"> this as a rough % if possible</w:t>
      </w:r>
    </w:p>
  </w:comment>
  <w:comment w:id="116" w:author="Noura El Habbal" w:date="2021-06-04T11:28:00Z" w:initials="NEH">
    <w:p w14:paraId="2DD79EB5" w14:textId="6E9F2B07" w:rsidR="00C83BA3" w:rsidRDefault="00C83BA3">
      <w:pPr>
        <w:pStyle w:val="CommentText"/>
      </w:pPr>
      <w:r>
        <w:rPr>
          <w:rStyle w:val="CommentReference"/>
        </w:rPr>
        <w:annotationRef/>
      </w:r>
      <w:r>
        <w:t>Noura to check % and if needed to add</w:t>
      </w:r>
    </w:p>
  </w:comment>
  <w:comment w:id="122" w:author="Dave Bridges" w:date="2021-06-16T11:51:00Z" w:initials="DB">
    <w:p w14:paraId="6B450FD6" w14:textId="2B49BC57" w:rsidR="00C83BA3" w:rsidRDefault="00C83BA3">
      <w:pPr>
        <w:pStyle w:val="CommentText"/>
      </w:pPr>
      <w:r>
        <w:rPr>
          <w:rStyle w:val="CommentReference"/>
        </w:rPr>
        <w:annotationRef/>
      </w:r>
      <w:r>
        <w:t xml:space="preserve">If one is negative, </w:t>
      </w:r>
      <w:proofErr w:type="spellStart"/>
      <w:r>
        <w:t>im</w:t>
      </w:r>
      <w:proofErr w:type="spellEnd"/>
      <w:r>
        <w:t xml:space="preserve"> not sure how you can have a percent increase saying more fat mass </w:t>
      </w:r>
      <w:proofErr w:type="spellStart"/>
      <w:r>
        <w:t>acretion</w:t>
      </w:r>
      <w:proofErr w:type="spellEnd"/>
    </w:p>
  </w:comment>
  <w:comment w:id="131" w:author="Redd, JeAnna" w:date="2021-06-02T10:52:00Z" w:initials="RJ">
    <w:p w14:paraId="13A811D0" w14:textId="48695392" w:rsidR="00C83BA3" w:rsidRDefault="00C83BA3">
      <w:pPr>
        <w:pStyle w:val="CommentText"/>
      </w:pPr>
      <w:r>
        <w:rPr>
          <w:rStyle w:val="CommentReference"/>
        </w:rPr>
        <w:annotationRef/>
      </w:r>
      <w:r>
        <w:t>Bar graph looks like 3x</w:t>
      </w:r>
    </w:p>
  </w:comment>
  <w:comment w:id="132" w:author="Noura El Habbal" w:date="2021-06-04T12:31:00Z" w:initials="NEH">
    <w:p w14:paraId="6CD48D39" w14:textId="209EC1F8" w:rsidR="00C83BA3" w:rsidRDefault="00C83BA3">
      <w:pPr>
        <w:pStyle w:val="CommentText"/>
      </w:pPr>
      <w:r>
        <w:rPr>
          <w:rStyle w:val="CommentReference"/>
        </w:rPr>
        <w:annotationRef/>
      </w:r>
      <w:r>
        <w:t>Agree, Noura to check</w:t>
      </w:r>
    </w:p>
  </w:comment>
  <w:comment w:id="177" w:author="Noura El Habbal" w:date="2021-06-05T18:42:00Z" w:initials="NEH">
    <w:p w14:paraId="281B8993" w14:textId="21ECEA1C" w:rsidR="00C83BA3" w:rsidRDefault="00C83BA3">
      <w:pPr>
        <w:pStyle w:val="CommentText"/>
      </w:pPr>
      <w:r>
        <w:rPr>
          <w:rStyle w:val="CommentReference"/>
        </w:rPr>
        <w:annotationRef/>
      </w:r>
      <w:r>
        <w:t>But this seems untrue given the similar EPA levels (not less EPA in KO v WT)</w:t>
      </w:r>
    </w:p>
  </w:comment>
  <w:comment w:id="186" w:author="Noura El Habbal" w:date="2021-06-10T17:46:00Z" w:initials="NEH">
    <w:p w14:paraId="5606F30D" w14:textId="08814C88" w:rsidR="00C83BA3" w:rsidRDefault="00C83BA3">
      <w:pPr>
        <w:pStyle w:val="CommentText"/>
      </w:pPr>
      <w:r>
        <w:rPr>
          <w:rStyle w:val="CommentReference"/>
        </w:rPr>
        <w:annotationRef/>
      </w:r>
      <w:r>
        <w:t xml:space="preserve">Which omega pathway these enzymes correspond to is unclear. Majority are for AA (w6) metabolism! Which makes this section unclear to </w:t>
      </w:r>
      <w:proofErr w:type="gramStart"/>
      <w:r>
        <w:t>me.</w:t>
      </w:r>
      <w:proofErr w:type="gramEnd"/>
    </w:p>
  </w:comment>
  <w:comment w:id="188" w:author="Dave Bridges" w:date="2021-06-16T12:03:00Z" w:initials="DB">
    <w:p w14:paraId="364900F5" w14:textId="08F05A20" w:rsidR="008017FC" w:rsidRDefault="008017FC">
      <w:pPr>
        <w:pStyle w:val="CommentText"/>
      </w:pPr>
      <w:r>
        <w:rPr>
          <w:rStyle w:val="CommentReference"/>
        </w:rPr>
        <w:annotationRef/>
      </w:r>
    </w:p>
  </w:comment>
  <w:comment w:id="189" w:author="Dave Bridges" w:date="2021-06-16T12:03:00Z" w:initials="DB">
    <w:p w14:paraId="0BC86654" w14:textId="2600B788" w:rsidR="008017FC" w:rsidRDefault="008017FC">
      <w:pPr>
        <w:pStyle w:val="CommentText"/>
      </w:pPr>
      <w:r>
        <w:rPr>
          <w:rStyle w:val="CommentReference"/>
        </w:rPr>
        <w:annotationRef/>
      </w:r>
      <w:proofErr w:type="spellStart"/>
      <w:proofErr w:type="gramStart"/>
      <w:r>
        <w:t>Lets</w:t>
      </w:r>
      <w:proofErr w:type="spellEnd"/>
      <w:proofErr w:type="gramEnd"/>
      <w:r>
        <w:t xml:space="preserve"> discuss</w:t>
      </w:r>
    </w:p>
  </w:comment>
  <w:comment w:id="192" w:author="Gregg, Brigid" w:date="2021-05-17T09:59:00Z" w:initials="GB">
    <w:p w14:paraId="0FC2FC2B" w14:textId="71A39407" w:rsidR="00C83BA3" w:rsidRDefault="00C83BA3">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193" w:author="Hannah" w:date="2021-05-25T15:11:00Z" w:initials="H">
    <w:p w14:paraId="36E057E1" w14:textId="77777777" w:rsidR="00C83BA3" w:rsidRDefault="00C83BA3"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194" w:author="Noura El Habbal" w:date="2021-06-10T17:45:00Z" w:initials="NEH">
    <w:p w14:paraId="1A6E33F6" w14:textId="2D08D9BA" w:rsidR="00C83BA3" w:rsidRDefault="00C83BA3">
      <w:pPr>
        <w:pStyle w:val="CommentText"/>
      </w:pPr>
      <w:r>
        <w:rPr>
          <w:rStyle w:val="CommentReference"/>
        </w:rPr>
        <w:annotationRef/>
      </w:r>
      <w:r>
        <w:t>Cannot answer Hannah’s questions here, but added a logical link between DHA levels in milk (coming from maternal circulation) and how DHA could exert inhibitory effect on immune markers</w:t>
      </w:r>
    </w:p>
  </w:comment>
  <w:comment w:id="195" w:author="Dave Bridges" w:date="2021-06-16T12:04:00Z" w:initials="DB">
    <w:p w14:paraId="0CC2998E" w14:textId="12AF149A" w:rsidR="00470E84" w:rsidRDefault="00470E84">
      <w:pPr>
        <w:pStyle w:val="CommentText"/>
      </w:pPr>
      <w:r>
        <w:rPr>
          <w:rStyle w:val="CommentReference"/>
        </w:rPr>
        <w:annotationRef/>
      </w:r>
      <w:proofErr w:type="gramStart"/>
      <w:r>
        <w:t>Yes</w:t>
      </w:r>
      <w:proofErr w:type="gramEnd"/>
      <w:r>
        <w:t xml:space="preserve"> we decided not to look at this, flow would be the appropriate tool here.</w:t>
      </w:r>
    </w:p>
  </w:comment>
  <w:comment w:id="199" w:author="Noura El Habbal" w:date="2021-06-04T12:48:00Z" w:initials="NEH">
    <w:p w14:paraId="08037696" w14:textId="16649938" w:rsidR="00C83BA3" w:rsidRDefault="00C83BA3">
      <w:pPr>
        <w:pStyle w:val="CommentText"/>
      </w:pPr>
      <w:r>
        <w:rPr>
          <w:rStyle w:val="CommentReference"/>
        </w:rPr>
        <w:annotationRef/>
      </w:r>
      <w:r>
        <w:t>Check these refs are for peripheral only</w:t>
      </w:r>
    </w:p>
  </w:comment>
  <w:comment w:id="200" w:author="Noura El Habbal" w:date="2021-06-10T18:02:00Z" w:initials="NEH">
    <w:p w14:paraId="01D674B1" w14:textId="7CACEA82" w:rsidR="00C83BA3" w:rsidRDefault="00C83BA3">
      <w:pPr>
        <w:pStyle w:val="CommentText"/>
      </w:pPr>
      <w:r>
        <w:rPr>
          <w:rStyle w:val="CommentReference"/>
        </w:rPr>
        <w:annotationRef/>
      </w:r>
      <w:r>
        <w:t xml:space="preserve">Noura needs further explanation here- what do you mean? </w:t>
      </w:r>
      <w:proofErr w:type="gramStart"/>
      <w:r>
        <w:t>Also</w:t>
      </w:r>
      <w:proofErr w:type="gramEnd"/>
      <w:r>
        <w:t xml:space="preserve"> should we refer back to adiponectin increases in </w:t>
      </w:r>
      <w:proofErr w:type="spellStart"/>
      <w:r>
        <w:t>rnaseq</w:t>
      </w:r>
      <w:proofErr w:type="spellEnd"/>
      <w:r>
        <w:t xml:space="preserve"> and how that by itself can increase lipid droplet number in epithelial cells? </w:t>
      </w:r>
    </w:p>
  </w:comment>
  <w:comment w:id="201" w:author="Hannah" w:date="2021-05-25T15:36:00Z" w:initials="H">
    <w:p w14:paraId="7EF0E9A1" w14:textId="77777777" w:rsidR="00C83BA3" w:rsidRDefault="00C83BA3"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202" w:author="Noura El Habbal" w:date="2021-06-04T12:49:00Z" w:initials="NEH">
    <w:p w14:paraId="50E7B742" w14:textId="7CD3F240" w:rsidR="00C83BA3" w:rsidRDefault="00C83BA3">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203" w:author="Redd, JeAnna" w:date="2021-06-02T13:28:00Z" w:initials="RJ">
    <w:p w14:paraId="18F5ED73" w14:textId="344BE84A" w:rsidR="00C83BA3" w:rsidRDefault="00C83BA3">
      <w:pPr>
        <w:pStyle w:val="CommentText"/>
      </w:pPr>
      <w:r>
        <w:rPr>
          <w:rStyle w:val="CommentReference"/>
        </w:rPr>
        <w:annotationRef/>
      </w:r>
      <w:r>
        <w:t>What’s the second?</w:t>
      </w:r>
    </w:p>
  </w:comment>
  <w:comment w:id="204" w:author="Hannah" w:date="2021-05-26T08:36:00Z" w:initials="H">
    <w:p w14:paraId="69E2F1DB" w14:textId="77777777" w:rsidR="00C83BA3" w:rsidRDefault="00C83BA3" w:rsidP="000677A5">
      <w:pPr>
        <w:pStyle w:val="CommentText"/>
      </w:pPr>
      <w:r>
        <w:rPr>
          <w:rStyle w:val="CommentReference"/>
        </w:rPr>
        <w:annotationRef/>
      </w:r>
      <w:r>
        <w:t>Is there any change in circulating lipids/lipoproteins?</w:t>
      </w:r>
    </w:p>
  </w:comment>
  <w:comment w:id="205" w:author="Noura El Habbal" w:date="2021-06-04T12:53:00Z" w:initials="NEH">
    <w:p w14:paraId="038DCAF4" w14:textId="4610DF53" w:rsidR="00C83BA3" w:rsidRDefault="00C83BA3">
      <w:pPr>
        <w:pStyle w:val="CommentText"/>
      </w:pPr>
      <w:r>
        <w:rPr>
          <w:rStyle w:val="CommentReference"/>
        </w:rPr>
        <w:annotationRef/>
      </w:r>
      <w:r>
        <w:t>Cannot answer this</w:t>
      </w:r>
    </w:p>
  </w:comment>
  <w:comment w:id="206" w:author="Noura El Habbal" w:date="2021-06-10T18:08:00Z" w:initials="NEH">
    <w:p w14:paraId="4378F8C6" w14:textId="73978312" w:rsidR="00C83BA3" w:rsidRDefault="00C83BA3">
      <w:pPr>
        <w:pStyle w:val="CommentText"/>
      </w:pPr>
      <w:r>
        <w:rPr>
          <w:rStyle w:val="CommentReference"/>
        </w:rPr>
        <w:annotationRef/>
      </w:r>
      <w:r>
        <w:t>Which cells are being referenced here? @</w:t>
      </w:r>
      <w:proofErr w:type="spellStart"/>
      <w:r>
        <w:t>dave</w:t>
      </w:r>
      <w:proofErr w:type="spellEnd"/>
    </w:p>
  </w:comment>
  <w:comment w:id="207" w:author="Noura El Habbal" w:date="2021-06-04T12:56:00Z" w:initials="NEH">
    <w:p w14:paraId="6CF5D3A8" w14:textId="05184ED6" w:rsidR="00C83BA3" w:rsidRDefault="00C83BA3">
      <w:pPr>
        <w:pStyle w:val="CommentText"/>
      </w:pPr>
      <w:r>
        <w:rPr>
          <w:rStyle w:val="CommentReference"/>
        </w:rPr>
        <w:annotationRef/>
      </w:r>
      <w:r>
        <w:t>PC? Need to spell out prior to abbreviation?</w:t>
      </w:r>
    </w:p>
  </w:comment>
  <w:comment w:id="208" w:author="Noura El Habbal" w:date="2021-06-10T18:10:00Z" w:initials="NEH">
    <w:p w14:paraId="6D7DCE31" w14:textId="0168CFAB" w:rsidR="00C83BA3" w:rsidRDefault="00C83BA3">
      <w:pPr>
        <w:pStyle w:val="CommentText"/>
      </w:pPr>
      <w:r>
        <w:rPr>
          <w:rStyle w:val="CommentReference"/>
        </w:rPr>
        <w:annotationRef/>
      </w:r>
      <w:r>
        <w:t xml:space="preserve">Can add the reference sent to </w:t>
      </w:r>
      <w:proofErr w:type="spellStart"/>
      <w:r>
        <w:t>dave</w:t>
      </w:r>
      <w:proofErr w:type="spellEnd"/>
      <w:r>
        <w:t xml:space="preserve"> about DHA reducing inflammatory markers</w:t>
      </w:r>
    </w:p>
  </w:comment>
  <w:comment w:id="209" w:author="Gregg, Brigid" w:date="2021-05-17T10:13:00Z" w:initials="GB">
    <w:p w14:paraId="66537B91" w14:textId="06FDDB30" w:rsidR="00C83BA3" w:rsidRDefault="00C83BA3">
      <w:pPr>
        <w:pStyle w:val="CommentText"/>
      </w:pPr>
      <w:r>
        <w:rPr>
          <w:rStyle w:val="CommentReference"/>
        </w:rPr>
        <w:annotationRef/>
      </w:r>
      <w:r>
        <w:t xml:space="preserve">This seems a little too stark. May be better to put this as a future direction than as a limitation. </w:t>
      </w:r>
    </w:p>
  </w:comment>
  <w:comment w:id="210" w:author="Dave Bridges" w:date="2021-06-16T11:53:00Z" w:initials="DB">
    <w:p w14:paraId="46CB1B83" w14:textId="5B63CBBA" w:rsidR="00C83BA3" w:rsidRDefault="00C83BA3">
      <w:pPr>
        <w:pStyle w:val="CommentText"/>
      </w:pPr>
      <w:r>
        <w:rPr>
          <w:rStyle w:val="CommentReference"/>
        </w:rPr>
        <w:annotationRef/>
      </w:r>
      <w:r>
        <w:t>How many adipocytes per dam?</w:t>
      </w:r>
    </w:p>
  </w:comment>
  <w:comment w:id="211" w:author="Noura El Habbal" w:date="2021-06-10T18:32:00Z" w:initials="NEH">
    <w:p w14:paraId="083F34B5" w14:textId="30D1ED5E" w:rsidR="00C83BA3" w:rsidRDefault="00C83BA3">
      <w:pPr>
        <w:pStyle w:val="CommentText"/>
      </w:pPr>
      <w:r>
        <w:rPr>
          <w:rStyle w:val="CommentReference"/>
        </w:rPr>
        <w:annotationRef/>
      </w:r>
      <w:r>
        <w:t xml:space="preserve">Do we need n =11 or 10 dams?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BA08E3" w15:done="0"/>
  <w15:commentEx w15:paraId="6FFF6ECB" w15:done="0"/>
  <w15:commentEx w15:paraId="45CC24E6" w15:done="0"/>
  <w15:commentEx w15:paraId="330ABF09" w15:done="0"/>
  <w15:commentEx w15:paraId="40AA5881" w15:done="0"/>
  <w15:commentEx w15:paraId="1F3F45AD" w15:done="0"/>
  <w15:commentEx w15:paraId="2DD79EB5" w15:paraIdParent="1F3F45AD" w15:done="0"/>
  <w15:commentEx w15:paraId="6B450FD6" w15:done="0"/>
  <w15:commentEx w15:paraId="13A811D0" w15:done="0"/>
  <w15:commentEx w15:paraId="6CD48D39" w15:paraIdParent="13A811D0" w15:done="0"/>
  <w15:commentEx w15:paraId="281B8993" w15:done="0"/>
  <w15:commentEx w15:paraId="5606F30D" w15:done="0"/>
  <w15:commentEx w15:paraId="364900F5" w15:done="0"/>
  <w15:commentEx w15:paraId="0BC86654" w15:done="0"/>
  <w15:commentEx w15:paraId="0FC2FC2B" w15:done="0"/>
  <w15:commentEx w15:paraId="36E057E1" w15:paraIdParent="0FC2FC2B" w15:done="0"/>
  <w15:commentEx w15:paraId="1A6E33F6" w15:paraIdParent="0FC2FC2B" w15:done="0"/>
  <w15:commentEx w15:paraId="0CC2998E" w15:paraIdParent="0FC2FC2B" w15:done="0"/>
  <w15:commentEx w15:paraId="08037696" w15:done="0"/>
  <w15:commentEx w15:paraId="01D674B1"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4378F8C6" w15:done="0"/>
  <w15:commentEx w15:paraId="6CF5D3A8" w15:done="0"/>
  <w15:commentEx w15:paraId="6D7DCE31" w15:done="0"/>
  <w15:commentEx w15:paraId="66537B91" w15:done="0"/>
  <w15:commentEx w15:paraId="46CB1B83" w15:done="0"/>
  <w15:commentEx w15:paraId="083F3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BA08E3" w16cid:durableId="24745C9C"/>
  <w16cid:commentId w16cid:paraId="6FFF6ECB" w16cid:durableId="24745CD2"/>
  <w16cid:commentId w16cid:paraId="45CC24E6" w16cid:durableId="24745D17"/>
  <w16cid:commentId w16cid:paraId="330ABF09" w16cid:durableId="246C8EC2"/>
  <w16cid:commentId w16cid:paraId="40AA5881" w16cid:durableId="24746375"/>
  <w16cid:commentId w16cid:paraId="1F3F45AD" w16cid:durableId="244E4D5E"/>
  <w16cid:commentId w16cid:paraId="2DD79EB5" w16cid:durableId="24648CCC"/>
  <w16cid:commentId w16cid:paraId="6B450FD6" w16cid:durableId="24746441"/>
  <w16cid:commentId w16cid:paraId="13A811D0" w16cid:durableId="2461E164"/>
  <w16cid:commentId w16cid:paraId="6CD48D39" w16cid:durableId="24649BBC"/>
  <w16cid:commentId w16cid:paraId="281B8993" w16cid:durableId="24664401"/>
  <w16cid:commentId w16cid:paraId="5606F30D" w16cid:durableId="246CCE6A"/>
  <w16cid:commentId w16cid:paraId="364900F5" w16cid:durableId="24746709"/>
  <w16cid:commentId w16cid:paraId="0BC86654" w16cid:durableId="24746724"/>
  <w16cid:commentId w16cid:paraId="0FC2FC2B" w16cid:durableId="244CBD1B"/>
  <w16cid:commentId w16cid:paraId="36E057E1" w16cid:durableId="24579217"/>
  <w16cid:commentId w16cid:paraId="1A6E33F6" w16cid:durableId="246CCE34"/>
  <w16cid:commentId w16cid:paraId="0CC2998E" w16cid:durableId="24746765"/>
  <w16cid:commentId w16cid:paraId="08037696" w16cid:durableId="24649FB3"/>
  <w16cid:commentId w16cid:paraId="01D674B1" w16cid:durableId="246CD218"/>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4378F8C6" w16cid:durableId="246CD381"/>
  <w16cid:commentId w16cid:paraId="6CF5D3A8" w16cid:durableId="2464A168"/>
  <w16cid:commentId w16cid:paraId="6D7DCE31" w16cid:durableId="246CD41E"/>
  <w16cid:commentId w16cid:paraId="66537B91" w16cid:durableId="244CC050"/>
  <w16cid:commentId w16cid:paraId="46CB1B83" w16cid:durableId="247464C4"/>
  <w16cid:commentId w16cid:paraId="083F34B5" w16cid:durableId="246CD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A84FE" w14:textId="77777777" w:rsidR="00576A52" w:rsidRDefault="00576A52" w:rsidP="006E77C5">
      <w:r>
        <w:separator/>
      </w:r>
    </w:p>
  </w:endnote>
  <w:endnote w:type="continuationSeparator" w:id="0">
    <w:p w14:paraId="1A4AD765" w14:textId="77777777" w:rsidR="00576A52" w:rsidRDefault="00576A52"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53AC3" w14:textId="77777777" w:rsidR="00576A52" w:rsidRDefault="00576A52" w:rsidP="006E77C5">
      <w:r>
        <w:separator/>
      </w:r>
    </w:p>
  </w:footnote>
  <w:footnote w:type="continuationSeparator" w:id="0">
    <w:p w14:paraId="784234E3" w14:textId="77777777" w:rsidR="00576A52" w:rsidRDefault="00576A52"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rson w15:author="Redd, JeAnna">
    <w15:presenceInfo w15:providerId="AD" w15:userId="S::reddj@umich.edu::261b19bd-b8f1-4078-b7a0-ff2a46d854ae"/>
  </w15:person>
  <w15:person w15:author="Gregg, Brigid">
    <w15:presenceInfo w15:providerId="AD" w15:userId="S::greggb@umich.edu::104594f6-d5be-4b98-b6a0-c044238b8a24"/>
  </w15:person>
  <w15:person w15:author="Hannah">
    <w15:presenceInfo w15:providerId="Windows Live" w15:userId="adde8f7a08c15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51B7"/>
    <w:rsid w:val="0004159E"/>
    <w:rsid w:val="00041D18"/>
    <w:rsid w:val="000465AE"/>
    <w:rsid w:val="0004723C"/>
    <w:rsid w:val="00047E32"/>
    <w:rsid w:val="00054A08"/>
    <w:rsid w:val="00055BEB"/>
    <w:rsid w:val="00061031"/>
    <w:rsid w:val="00061C56"/>
    <w:rsid w:val="000623C8"/>
    <w:rsid w:val="00064EDB"/>
    <w:rsid w:val="00065B59"/>
    <w:rsid w:val="000677A5"/>
    <w:rsid w:val="00070FC8"/>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3E80"/>
    <w:rsid w:val="000B7664"/>
    <w:rsid w:val="000C06E4"/>
    <w:rsid w:val="000C45AD"/>
    <w:rsid w:val="000C537A"/>
    <w:rsid w:val="000D0963"/>
    <w:rsid w:val="000E0625"/>
    <w:rsid w:val="000E1113"/>
    <w:rsid w:val="000E46BE"/>
    <w:rsid w:val="000E696C"/>
    <w:rsid w:val="000E797E"/>
    <w:rsid w:val="000F21A7"/>
    <w:rsid w:val="000F2F2B"/>
    <w:rsid w:val="000F6E7F"/>
    <w:rsid w:val="00111F09"/>
    <w:rsid w:val="001238E9"/>
    <w:rsid w:val="00124B3B"/>
    <w:rsid w:val="00125E99"/>
    <w:rsid w:val="0012670F"/>
    <w:rsid w:val="00127348"/>
    <w:rsid w:val="00130A99"/>
    <w:rsid w:val="00133EC4"/>
    <w:rsid w:val="00137CEA"/>
    <w:rsid w:val="0014067A"/>
    <w:rsid w:val="00143D60"/>
    <w:rsid w:val="00144346"/>
    <w:rsid w:val="00145D97"/>
    <w:rsid w:val="0014699F"/>
    <w:rsid w:val="00146CB1"/>
    <w:rsid w:val="00151265"/>
    <w:rsid w:val="001533D5"/>
    <w:rsid w:val="001554ED"/>
    <w:rsid w:val="00156603"/>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6EEF"/>
    <w:rsid w:val="00242C83"/>
    <w:rsid w:val="00243164"/>
    <w:rsid w:val="00245A45"/>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0325"/>
    <w:rsid w:val="002F27A1"/>
    <w:rsid w:val="002F2B63"/>
    <w:rsid w:val="002F4FE3"/>
    <w:rsid w:val="00304891"/>
    <w:rsid w:val="0031147B"/>
    <w:rsid w:val="00324B67"/>
    <w:rsid w:val="003302F8"/>
    <w:rsid w:val="00331307"/>
    <w:rsid w:val="00335F77"/>
    <w:rsid w:val="003375B7"/>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94F"/>
    <w:rsid w:val="00395F4B"/>
    <w:rsid w:val="003A077D"/>
    <w:rsid w:val="003A2354"/>
    <w:rsid w:val="003A51B3"/>
    <w:rsid w:val="003A5362"/>
    <w:rsid w:val="003B4BF6"/>
    <w:rsid w:val="003C168A"/>
    <w:rsid w:val="003C2596"/>
    <w:rsid w:val="003C2CE9"/>
    <w:rsid w:val="003C33B1"/>
    <w:rsid w:val="003C5684"/>
    <w:rsid w:val="003D5455"/>
    <w:rsid w:val="003D6E2D"/>
    <w:rsid w:val="003E1827"/>
    <w:rsid w:val="003F0902"/>
    <w:rsid w:val="003F4595"/>
    <w:rsid w:val="003F46B5"/>
    <w:rsid w:val="003F551A"/>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0E84"/>
    <w:rsid w:val="00472186"/>
    <w:rsid w:val="00472C36"/>
    <w:rsid w:val="00474B99"/>
    <w:rsid w:val="0047727E"/>
    <w:rsid w:val="00477FA8"/>
    <w:rsid w:val="004818E3"/>
    <w:rsid w:val="00487AC0"/>
    <w:rsid w:val="00490A2B"/>
    <w:rsid w:val="00491997"/>
    <w:rsid w:val="00491ECB"/>
    <w:rsid w:val="00491EDA"/>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D2A06"/>
    <w:rsid w:val="004E78CF"/>
    <w:rsid w:val="004F2273"/>
    <w:rsid w:val="00500E81"/>
    <w:rsid w:val="00502CD7"/>
    <w:rsid w:val="00503A9A"/>
    <w:rsid w:val="00510235"/>
    <w:rsid w:val="00511A1A"/>
    <w:rsid w:val="005133A4"/>
    <w:rsid w:val="00513603"/>
    <w:rsid w:val="00514300"/>
    <w:rsid w:val="00520024"/>
    <w:rsid w:val="005217F9"/>
    <w:rsid w:val="00521A0A"/>
    <w:rsid w:val="00523516"/>
    <w:rsid w:val="00524698"/>
    <w:rsid w:val="00530072"/>
    <w:rsid w:val="00536AAE"/>
    <w:rsid w:val="00545235"/>
    <w:rsid w:val="00545FBB"/>
    <w:rsid w:val="00550187"/>
    <w:rsid w:val="0055174F"/>
    <w:rsid w:val="00554447"/>
    <w:rsid w:val="005552EE"/>
    <w:rsid w:val="00563308"/>
    <w:rsid w:val="00564FF9"/>
    <w:rsid w:val="00572314"/>
    <w:rsid w:val="005731E4"/>
    <w:rsid w:val="0057447E"/>
    <w:rsid w:val="0057531F"/>
    <w:rsid w:val="00576A52"/>
    <w:rsid w:val="00577E2F"/>
    <w:rsid w:val="00580999"/>
    <w:rsid w:val="00580AF3"/>
    <w:rsid w:val="005857E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F0524"/>
    <w:rsid w:val="005F0E99"/>
    <w:rsid w:val="005F2606"/>
    <w:rsid w:val="005F282B"/>
    <w:rsid w:val="005F3894"/>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716F"/>
    <w:rsid w:val="00641423"/>
    <w:rsid w:val="00642F88"/>
    <w:rsid w:val="00645908"/>
    <w:rsid w:val="00647E73"/>
    <w:rsid w:val="006565E6"/>
    <w:rsid w:val="006609A2"/>
    <w:rsid w:val="00661BE9"/>
    <w:rsid w:val="00664AFB"/>
    <w:rsid w:val="00665941"/>
    <w:rsid w:val="00667C7B"/>
    <w:rsid w:val="006711E2"/>
    <w:rsid w:val="00675466"/>
    <w:rsid w:val="0067693B"/>
    <w:rsid w:val="00677B79"/>
    <w:rsid w:val="00681A64"/>
    <w:rsid w:val="006852AE"/>
    <w:rsid w:val="0068583E"/>
    <w:rsid w:val="00686AFF"/>
    <w:rsid w:val="006910C1"/>
    <w:rsid w:val="006932B2"/>
    <w:rsid w:val="00695A94"/>
    <w:rsid w:val="006A138B"/>
    <w:rsid w:val="006A3265"/>
    <w:rsid w:val="006A5E26"/>
    <w:rsid w:val="006B12FE"/>
    <w:rsid w:val="006B3864"/>
    <w:rsid w:val="006B5D0A"/>
    <w:rsid w:val="006C1F2E"/>
    <w:rsid w:val="006C5FD4"/>
    <w:rsid w:val="006D0A4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D39"/>
    <w:rsid w:val="00721C13"/>
    <w:rsid w:val="00722B5D"/>
    <w:rsid w:val="0072421A"/>
    <w:rsid w:val="00731C06"/>
    <w:rsid w:val="00731CB7"/>
    <w:rsid w:val="00735B56"/>
    <w:rsid w:val="00736FDD"/>
    <w:rsid w:val="007400BE"/>
    <w:rsid w:val="00741207"/>
    <w:rsid w:val="00742E00"/>
    <w:rsid w:val="007464D2"/>
    <w:rsid w:val="00746C90"/>
    <w:rsid w:val="00747AE1"/>
    <w:rsid w:val="00763350"/>
    <w:rsid w:val="00770943"/>
    <w:rsid w:val="00771BED"/>
    <w:rsid w:val="00772D1C"/>
    <w:rsid w:val="007749C7"/>
    <w:rsid w:val="00780EEB"/>
    <w:rsid w:val="007840D6"/>
    <w:rsid w:val="0078411D"/>
    <w:rsid w:val="00785932"/>
    <w:rsid w:val="00790E70"/>
    <w:rsid w:val="00795006"/>
    <w:rsid w:val="00795B64"/>
    <w:rsid w:val="007A2D56"/>
    <w:rsid w:val="007A4323"/>
    <w:rsid w:val="007B155F"/>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17FC"/>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D08"/>
    <w:rsid w:val="00880D08"/>
    <w:rsid w:val="008812BF"/>
    <w:rsid w:val="00883552"/>
    <w:rsid w:val="00885E82"/>
    <w:rsid w:val="0089305A"/>
    <w:rsid w:val="008968F6"/>
    <w:rsid w:val="0089718E"/>
    <w:rsid w:val="008A330F"/>
    <w:rsid w:val="008A559B"/>
    <w:rsid w:val="008A697C"/>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C75"/>
    <w:rsid w:val="008F21D8"/>
    <w:rsid w:val="008F34F5"/>
    <w:rsid w:val="008F371D"/>
    <w:rsid w:val="008F3C22"/>
    <w:rsid w:val="008F6F27"/>
    <w:rsid w:val="009004FA"/>
    <w:rsid w:val="009016EA"/>
    <w:rsid w:val="00902C37"/>
    <w:rsid w:val="0090516C"/>
    <w:rsid w:val="0091131D"/>
    <w:rsid w:val="00914A7A"/>
    <w:rsid w:val="00914BCE"/>
    <w:rsid w:val="00915809"/>
    <w:rsid w:val="00923CA8"/>
    <w:rsid w:val="009277E5"/>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AD7"/>
    <w:rsid w:val="00A56B15"/>
    <w:rsid w:val="00A62878"/>
    <w:rsid w:val="00A71107"/>
    <w:rsid w:val="00A71819"/>
    <w:rsid w:val="00A7312E"/>
    <w:rsid w:val="00A73410"/>
    <w:rsid w:val="00A770C2"/>
    <w:rsid w:val="00A857D5"/>
    <w:rsid w:val="00A85F17"/>
    <w:rsid w:val="00A9054A"/>
    <w:rsid w:val="00A95095"/>
    <w:rsid w:val="00AB16E7"/>
    <w:rsid w:val="00AC0A55"/>
    <w:rsid w:val="00AC258F"/>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AF74E2"/>
    <w:rsid w:val="00B04202"/>
    <w:rsid w:val="00B06B38"/>
    <w:rsid w:val="00B119B7"/>
    <w:rsid w:val="00B12700"/>
    <w:rsid w:val="00B1384A"/>
    <w:rsid w:val="00B14229"/>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9089D"/>
    <w:rsid w:val="00B92C1B"/>
    <w:rsid w:val="00B94B98"/>
    <w:rsid w:val="00B95266"/>
    <w:rsid w:val="00BA0137"/>
    <w:rsid w:val="00BA2274"/>
    <w:rsid w:val="00BA5ACE"/>
    <w:rsid w:val="00BA62B4"/>
    <w:rsid w:val="00BB0E3A"/>
    <w:rsid w:val="00BB1A7F"/>
    <w:rsid w:val="00BB38AA"/>
    <w:rsid w:val="00BB3B3F"/>
    <w:rsid w:val="00BB6A28"/>
    <w:rsid w:val="00BC1D78"/>
    <w:rsid w:val="00BC296F"/>
    <w:rsid w:val="00BC76A3"/>
    <w:rsid w:val="00BD0A0D"/>
    <w:rsid w:val="00BD31B4"/>
    <w:rsid w:val="00BD3F12"/>
    <w:rsid w:val="00BD5ABB"/>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3BA3"/>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EEA"/>
    <w:rsid w:val="00D33833"/>
    <w:rsid w:val="00D37475"/>
    <w:rsid w:val="00D41030"/>
    <w:rsid w:val="00D41270"/>
    <w:rsid w:val="00D4484C"/>
    <w:rsid w:val="00D44A37"/>
    <w:rsid w:val="00D51D9A"/>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B1ACA"/>
    <w:rsid w:val="00DB2E8D"/>
    <w:rsid w:val="00DB4DB8"/>
    <w:rsid w:val="00DB7204"/>
    <w:rsid w:val="00DB7C4E"/>
    <w:rsid w:val="00DB7DD8"/>
    <w:rsid w:val="00DC0F4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7310"/>
    <w:rsid w:val="00E50597"/>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6E5F"/>
    <w:rsid w:val="00ED29EF"/>
    <w:rsid w:val="00ED3E7B"/>
    <w:rsid w:val="00ED7393"/>
    <w:rsid w:val="00EE05F8"/>
    <w:rsid w:val="00EE0F83"/>
    <w:rsid w:val="00EE1DFC"/>
    <w:rsid w:val="00EE1F20"/>
    <w:rsid w:val="00EE392F"/>
    <w:rsid w:val="00EF1089"/>
    <w:rsid w:val="00EF17DE"/>
    <w:rsid w:val="00EF539B"/>
    <w:rsid w:val="00EF5551"/>
    <w:rsid w:val="00EF70DB"/>
    <w:rsid w:val="00F03568"/>
    <w:rsid w:val="00F06841"/>
    <w:rsid w:val="00F101F5"/>
    <w:rsid w:val="00F10DF8"/>
    <w:rsid w:val="00F13216"/>
    <w:rsid w:val="00F132DD"/>
    <w:rsid w:val="00F21112"/>
    <w:rsid w:val="00F21796"/>
    <w:rsid w:val="00F23A33"/>
    <w:rsid w:val="00F32254"/>
    <w:rsid w:val="00F36FA6"/>
    <w:rsid w:val="00F40523"/>
    <w:rsid w:val="00F43DD4"/>
    <w:rsid w:val="00F46ACA"/>
    <w:rsid w:val="00F47F21"/>
    <w:rsid w:val="00F54B10"/>
    <w:rsid w:val="00F61881"/>
    <w:rsid w:val="00F61F27"/>
    <w:rsid w:val="00F64F58"/>
    <w:rsid w:val="00F65022"/>
    <w:rsid w:val="00F65C4B"/>
    <w:rsid w:val="00F66797"/>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i.org/10.1089/omi.2011.011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6B000-EF12-694B-A9BE-53CD1FEA2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17</Pages>
  <Words>26295</Words>
  <Characters>149884</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153</cp:revision>
  <dcterms:created xsi:type="dcterms:W3CDTF">2021-06-07T18:07:00Z</dcterms:created>
  <dcterms:modified xsi:type="dcterms:W3CDTF">2021-06-16T16:05:00Z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