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1</w:t>
      </w:r>
      <w:r w:rsidR="007F680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53DEB8E"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0.125g 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2</w:t>
      </w:r>
      <w:r w:rsidR="007F680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w:t>
      </w:r>
      <w:r>
        <w:rPr>
          <w:rFonts w:ascii="Arial" w:hAnsi="Arial" w:cs="Arial"/>
          <w:color w:val="000000" w:themeColor="text1"/>
          <w:sz w:val="22"/>
          <w:szCs w:val="22"/>
        </w:rPr>
        <w:t xml:space="preserve">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11"/>
      <w:commentRangeStart w:id="12"/>
      <w:commentRangeEnd w:id="11"/>
      <w:r w:rsidR="00465E83">
        <w:rPr>
          <w:rStyle w:val="CommentReference"/>
          <w:rFonts w:asciiTheme="minorHAnsi" w:eastAsiaTheme="minorHAnsi" w:hAnsiTheme="minorHAnsi" w:cstheme="minorBidi"/>
          <w:color w:val="auto"/>
        </w:rPr>
        <w:commentReference w:id="11"/>
      </w:r>
      <w:commentRangeEnd w:id="12"/>
      <w:r w:rsidR="00713921">
        <w:rPr>
          <w:rStyle w:val="CommentReference"/>
          <w:rFonts w:asciiTheme="minorHAnsi" w:eastAsiaTheme="minorHAnsi" w:hAnsiTheme="minorHAnsi" w:cstheme="minorBidi"/>
          <w:color w:val="auto"/>
        </w:rPr>
        <w:commentReference w:id="12"/>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5173824C"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lastRenderedPageBreak/>
        <w:t>WT</w:t>
      </w:r>
      <w:r w:rsidR="0072421A">
        <w:rPr>
          <w:rStyle w:val="CommentReference"/>
        </w:rPr>
        <w:commentReference w:id="13"/>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24E6D878"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14"/>
      <w:r w:rsidR="00D25638">
        <w:rPr>
          <w:rFonts w:ascii="Arial" w:hAnsi="Arial" w:cs="Arial"/>
          <w:sz w:val="22"/>
        </w:rPr>
        <w:t xml:space="preserve">139 </w:t>
      </w:r>
      <w:commentRangeEnd w:id="14"/>
      <w:r w:rsidR="00453D2A">
        <w:rPr>
          <w:rStyle w:val="CommentReference"/>
        </w:rPr>
        <w:commentReference w:id="14"/>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w:t>
      </w:r>
      <w:r w:rsidR="00B12700">
        <w:rPr>
          <w:rFonts w:ascii="Arial" w:hAnsi="Arial" w:cs="Arial"/>
          <w:sz w:val="22"/>
        </w:rPr>
        <w:t>ed slightly</w:t>
      </w:r>
      <w:r w:rsidR="004E78CF">
        <w:rPr>
          <w:rFonts w:ascii="Arial" w:hAnsi="Arial" w:cs="Arial"/>
          <w:sz w:val="22"/>
        </w:rPr>
        <w:t xml:space="preserve"> </w:t>
      </w:r>
      <w:commentRangeStart w:id="15"/>
      <w:r w:rsidR="004E78CF">
        <w:rPr>
          <w:rFonts w:ascii="Arial" w:hAnsi="Arial" w:cs="Arial"/>
          <w:sz w:val="22"/>
        </w:rPr>
        <w:t>downwards</w:t>
      </w:r>
      <w:commentRangeEnd w:id="15"/>
      <w:r w:rsidR="00453D2A">
        <w:rPr>
          <w:rStyle w:val="CommentReference"/>
        </w:rPr>
        <w:commentReference w:id="15"/>
      </w:r>
      <w:r w:rsidR="00D15783">
        <w:rPr>
          <w:rFonts w:ascii="Arial" w:hAnsi="Arial" w:cs="Arial"/>
          <w:sz w:val="22"/>
        </w:rPr>
        <w:t>.</w:t>
      </w:r>
      <w:r w:rsidR="006B5D0A">
        <w:rPr>
          <w:rFonts w:ascii="Arial" w:hAnsi="Arial" w:cs="Arial"/>
          <w:sz w:val="22"/>
        </w:rPr>
        <w:t xml:space="preserve"> 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4413C9">
        <w:rPr>
          <w:rFonts w:ascii="Arial" w:hAnsi="Arial" w:cs="Arial"/>
          <w:sz w:val="22"/>
        </w:rPr>
        <w:t>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 xml:space="preserve">were </w:t>
      </w:r>
      <w:r w:rsidR="00B12700">
        <w:rPr>
          <w:rFonts w:ascii="Arial" w:hAnsi="Arial" w:cs="Arial"/>
          <w:sz w:val="22"/>
        </w:rPr>
        <w:t>s</w:t>
      </w:r>
      <w:r w:rsidR="004413C9">
        <w:rPr>
          <w:rFonts w:ascii="Arial" w:hAnsi="Arial" w:cs="Arial"/>
          <w:sz w:val="22"/>
        </w:rPr>
        <w:t>ignificantly upregulated 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16"/>
      <w:r w:rsidR="00B12700">
        <w:rPr>
          <w:rFonts w:ascii="Arial" w:hAnsi="Arial" w:cs="Arial"/>
          <w:sz w:val="22"/>
        </w:rPr>
        <w:t>Gpx3</w:t>
      </w:r>
      <w:commentRangeEnd w:id="16"/>
      <w:r w:rsidR="00453D2A">
        <w:rPr>
          <w:rStyle w:val="CommentReference"/>
        </w:rPr>
        <w:commentReference w:id="16"/>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17"/>
      <w:r w:rsidR="004C07F6">
        <w:rPr>
          <w:rFonts w:ascii="Arial" w:hAnsi="Arial" w:cs="Arial"/>
          <w:sz w:val="22"/>
        </w:rPr>
        <w:t xml:space="preserve">downregulated </w:t>
      </w:r>
      <w:commentRangeEnd w:id="17"/>
      <w:r w:rsidR="00453D2A">
        <w:rPr>
          <w:rStyle w:val="CommentReference"/>
        </w:rPr>
        <w:commentReference w:id="17"/>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3A5362">
        <w:rPr>
          <w:rFonts w:ascii="Arial" w:hAnsi="Arial" w:cs="Arial"/>
          <w:sz w:val="22"/>
        </w:rPr>
        <w:t xml:space="preserve"> </w:t>
      </w:r>
      <w:r w:rsidR="00D51D9A">
        <w:rPr>
          <w:rFonts w:ascii="Arial" w:hAnsi="Arial" w:cs="Arial"/>
          <w:sz w:val="22"/>
        </w:rPr>
        <w:t xml:space="preserve">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 xml:space="preserve">differentiation and </w:t>
      </w:r>
      <w:commentRangeStart w:id="18"/>
      <w:r w:rsidR="00C36D7B">
        <w:rPr>
          <w:rFonts w:ascii="Arial" w:hAnsi="Arial" w:cs="Arial"/>
          <w:sz w:val="22"/>
        </w:rPr>
        <w:t>function</w:t>
      </w:r>
      <w:commentRangeEnd w:id="18"/>
      <w:r w:rsidR="003A5362">
        <w:rPr>
          <w:rStyle w:val="CommentReference"/>
        </w:rPr>
        <w:commentReference w:id="18"/>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65E0EF8" w14:textId="694B6E5F" w:rsid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330AD000" w14:textId="66D97879" w:rsidR="009745B2" w:rsidRDefault="009745B2" w:rsidP="009745B2">
      <w:pPr>
        <w:rPr>
          <w:rFonts w:ascii="Arial" w:hAnsi="Arial" w:cs="Arial"/>
          <w:color w:val="000000" w:themeColor="text1"/>
          <w:sz w:val="22"/>
          <w:szCs w:val="22"/>
        </w:rPr>
      </w:pPr>
      <w:r>
        <w:rPr>
          <w:rFonts w:ascii="Arial" w:hAnsi="Arial" w:cs="Arial"/>
          <w:color w:val="000000" w:themeColor="text1"/>
          <w:sz w:val="22"/>
          <w:szCs w:val="22"/>
        </w:rPr>
        <w:t>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w:t>
      </w:r>
      <w:bookmarkStart w:id="19" w:name="_GoBack"/>
      <w:bookmarkEnd w:id="19"/>
      <w:r w:rsidRPr="00EF5551">
        <w:rPr>
          <w:rFonts w:ascii="Arial" w:hAnsi="Arial" w:cs="Arial"/>
          <w:color w:val="000000" w:themeColor="text1"/>
          <w:sz w:val="22"/>
          <w:szCs w:val="22"/>
        </w:rPr>
        <w:t xml:space="preserve">ealed higher fat percentage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composition. </w:t>
      </w:r>
    </w:p>
    <w:p w14:paraId="3FEF9ED0" w14:textId="77777777" w:rsidR="009745B2" w:rsidRDefault="009745B2" w:rsidP="009745B2">
      <w:pPr>
        <w:rPr>
          <w:rFonts w:ascii="Arial" w:hAnsi="Arial" w:cs="Arial"/>
          <w:color w:val="000000" w:themeColor="text1"/>
          <w:sz w:val="22"/>
          <w:szCs w:val="22"/>
        </w:rPr>
      </w:pPr>
    </w:p>
    <w:p w14:paraId="078914F8" w14:textId="367F48CC" w:rsidR="009745B2" w:rsidRDefault="009745B2" w:rsidP="009745B2">
      <w:pPr>
        <w:tabs>
          <w:tab w:val="left" w:pos="6139"/>
        </w:tabs>
        <w:rPr>
          <w:rFonts w:ascii="Arial" w:hAnsi="Arial" w:cs="Arial"/>
          <w:color w:val="000000" w:themeColor="text1"/>
          <w:sz w:val="22"/>
          <w:szCs w:val="22"/>
        </w:rPr>
      </w:pPr>
      <w:r>
        <w:rPr>
          <w:rFonts w:ascii="Arial" w:hAnsi="Arial" w:cs="Arial"/>
          <w:color w:val="000000" w:themeColor="text1"/>
          <w:sz w:val="22"/>
          <w:szCs w:val="22"/>
        </w:rPr>
        <w:lastRenderedPageBreak/>
        <w:t xml:space="preserve">Include papers about rapamycin where they stop lactation </w:t>
      </w:r>
      <w:r>
        <w:rPr>
          <w:rFonts w:ascii="Arial" w:hAnsi="Arial" w:cs="Arial"/>
          <w:color w:val="000000" w:themeColor="text1"/>
          <w:sz w:val="22"/>
          <w:szCs w:val="22"/>
        </w:rPr>
        <w:tab/>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250EE967"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w:t>
      </w:r>
      <w:r w:rsidR="00345FC7">
        <w:rPr>
          <w:rFonts w:ascii="Arial" w:hAnsi="Arial" w:cs="Arial"/>
          <w:color w:val="000000" w:themeColor="text1"/>
          <w:sz w:val="22"/>
          <w:szCs w:val="22"/>
        </w:rPr>
        <w:t>through</w:t>
      </w:r>
      <w:r>
        <w:rPr>
          <w:rFonts w:ascii="Arial" w:hAnsi="Arial" w:cs="Arial"/>
          <w:color w:val="000000" w:themeColor="text1"/>
          <w:sz w:val="22"/>
          <w:szCs w:val="22"/>
        </w:rPr>
        <w:t xml:space="preserve"> </w:t>
      </w:r>
      <w:r w:rsidR="00345FC7">
        <w:rPr>
          <w:rFonts w:ascii="Arial" w:hAnsi="Arial" w:cs="Arial"/>
          <w:color w:val="000000" w:themeColor="text1"/>
          <w:sz w:val="22"/>
          <w:szCs w:val="22"/>
        </w:rPr>
        <w:t>higher</w:t>
      </w:r>
      <w:r>
        <w:rPr>
          <w:rFonts w:ascii="Arial" w:hAnsi="Arial" w:cs="Arial"/>
          <w:color w:val="000000" w:themeColor="text1"/>
          <w:sz w:val="22"/>
          <w:szCs w:val="22"/>
        </w:rPr>
        <w:t xml:space="preserve"> </w:t>
      </w:r>
      <w:r w:rsidR="00345FC7">
        <w:rPr>
          <w:rFonts w:ascii="Arial" w:hAnsi="Arial" w:cs="Arial"/>
          <w:color w:val="000000" w:themeColor="text1"/>
          <w:sz w:val="22"/>
          <w:szCs w:val="22"/>
        </w:rPr>
        <w:t>energy intake from fat. Milk composition analyses revealed higher milk fat percentage and a healthy 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49F49D47"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788DBFAB" w:rsidR="00354569" w:rsidRPr="00EF5551" w:rsidRDefault="00ED3E7B" w:rsidP="00354569">
      <w:pPr>
        <w:rPr>
          <w:rFonts w:ascii="Arial" w:hAnsi="Arial" w:cs="Arial"/>
          <w:color w:val="000000" w:themeColor="text1"/>
          <w:sz w:val="22"/>
          <w:szCs w:val="22"/>
        </w:rPr>
      </w:pPr>
      <w:r>
        <w:rPr>
          <w:rFonts w:ascii="Arial" w:hAnsi="Arial" w:cs="Arial"/>
          <w:color w:val="000000" w:themeColor="text1"/>
          <w:sz w:val="22"/>
          <w:szCs w:val="22"/>
        </w:rPr>
        <w:t xml:space="preserve">Specifically we noticed an increase in DHA. </w:t>
      </w:r>
      <w:r w:rsidR="00354569">
        <w:rPr>
          <w:rFonts w:ascii="Arial" w:hAnsi="Arial" w:cs="Arial"/>
          <w:color w:val="000000" w:themeColor="text1"/>
          <w:sz w:val="22"/>
          <w:szCs w:val="22"/>
        </w:rPr>
        <w: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20"/>
      <w:r w:rsidR="00354569">
        <w:rPr>
          <w:rFonts w:ascii="Arial" w:hAnsi="Arial" w:cs="Arial"/>
          <w:color w:val="000000" w:themeColor="text1"/>
          <w:sz w:val="22"/>
          <w:szCs w:val="22"/>
        </w:rPr>
        <w:t>levels</w:t>
      </w:r>
      <w:commentRangeEnd w:id="20"/>
      <w:r w:rsidR="00DE18E7">
        <w:rPr>
          <w:rStyle w:val="CommentReference"/>
        </w:rPr>
        <w:commentReference w:id="20"/>
      </w:r>
      <w:r w:rsidR="00354569">
        <w:rPr>
          <w:rFonts w:ascii="Arial" w:hAnsi="Arial" w:cs="Arial"/>
          <w:color w:val="000000" w:themeColor="text1"/>
          <w:sz w:val="22"/>
          <w:szCs w:val="22"/>
        </w:rPr>
        <w:t xml:space="preserve">. </w:t>
      </w:r>
    </w:p>
    <w:p w14:paraId="0E70689B" w14:textId="48941D9D" w:rsidR="007840D6" w:rsidRDefault="007840D6" w:rsidP="00785932">
      <w:pPr>
        <w:rPr>
          <w:rFonts w:ascii="Arial" w:hAnsi="Arial" w:cs="Arial"/>
          <w:color w:val="000000" w:themeColor="text1"/>
          <w:sz w:val="22"/>
          <w:szCs w:val="22"/>
        </w:rPr>
      </w:pP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703–711. [online] 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171–178. [online]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431–436. [online] 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15. De La Garza Puentes, A., A. M. Alemany, A. M. Chisaguano, R. M. Goyanes, A. I. Castellote, F. J. Torres-Espínola, L. García-Valdés, M. Escudero-Marín, M. T. Segura, C. </w:t>
      </w:r>
      <w:r w:rsidRPr="003375B7">
        <w:rPr>
          <w:rFonts w:ascii="Arial" w:hAnsi="Arial" w:cs="Arial"/>
          <w:noProof/>
          <w:sz w:val="22"/>
        </w:rPr>
        <w:lastRenderedPageBreak/>
        <w:t xml:space="preserve">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1164–73. [online]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J. Anim. 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xml:space="preserve">: 279–90. [online] </w:t>
      </w:r>
      <w:r w:rsidRPr="003375B7">
        <w:rPr>
          <w:rFonts w:ascii="Arial" w:hAnsi="Arial" w:cs="Arial"/>
          <w:noProof/>
          <w:sz w:val="22"/>
        </w:rPr>
        <w:lastRenderedPageBreak/>
        <w:t>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1100–12. [online] 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DE18E7" w:rsidRDefault="00DE18E7">
      <w:pPr>
        <w:pStyle w:val="CommentText"/>
      </w:pPr>
      <w:r>
        <w:rPr>
          <w:rStyle w:val="CommentReference"/>
        </w:rPr>
        <w:annotationRef/>
      </w:r>
      <w:r>
        <w:t>Noura is this correct?</w:t>
      </w:r>
    </w:p>
  </w:comment>
  <w:comment w:id="1" w:author="Noura El Habbal" w:date="2021-04-15T05:41:00Z" w:initials="NEH">
    <w:p w14:paraId="0420FC08" w14:textId="77777777" w:rsidR="00DE18E7" w:rsidRPr="00BE0544" w:rsidRDefault="00DE18E7"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DE18E7" w:rsidRPr="00BE0544" w:rsidRDefault="00DE18E7"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DE18E7" w:rsidRDefault="00DE18E7">
      <w:pPr>
        <w:pStyle w:val="CommentText"/>
      </w:pPr>
    </w:p>
  </w:comment>
  <w:comment w:id="2" w:author="Dave Bridges" w:date="2021-04-02T10:19:00Z" w:initials="DB">
    <w:p w14:paraId="709A879C" w14:textId="178A71B2" w:rsidR="00DE18E7" w:rsidRDefault="00DE18E7">
      <w:pPr>
        <w:pStyle w:val="CommentText"/>
      </w:pPr>
      <w:r>
        <w:rPr>
          <w:rStyle w:val="CommentReference"/>
        </w:rPr>
        <w:annotationRef/>
      </w:r>
      <w:r>
        <w:t>need details on which sequencer.</w:t>
      </w:r>
    </w:p>
  </w:comment>
  <w:comment w:id="3" w:author="Dave Bridges" w:date="2021-03-12T10:21:00Z" w:initials="DB">
    <w:p w14:paraId="25A6239C" w14:textId="77777777" w:rsidR="00DE18E7" w:rsidRPr="00D62FC3" w:rsidRDefault="00DE18E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E18E7" w:rsidRDefault="00DE18E7" w:rsidP="00A47D44">
      <w:pPr>
        <w:pStyle w:val="CommentText"/>
      </w:pPr>
    </w:p>
  </w:comment>
  <w:comment w:id="4" w:author="Dave Bridges" w:date="2021-03-12T11:05:00Z" w:initials="DB">
    <w:p w14:paraId="5A547272" w14:textId="77777777" w:rsidR="00DE18E7" w:rsidRDefault="00DE18E7" w:rsidP="00A47D44">
      <w:pPr>
        <w:pStyle w:val="CommentText"/>
      </w:pPr>
      <w:r>
        <w:rPr>
          <w:rStyle w:val="CommentReference"/>
        </w:rPr>
        <w:annotationRef/>
      </w:r>
      <w:r>
        <w:t>add provisional GSE number</w:t>
      </w:r>
    </w:p>
  </w:comment>
  <w:comment w:id="5" w:author="Noura El Habbal" w:date="2021-01-12T23:09:00Z" w:initials="NEH">
    <w:p w14:paraId="06E95FD5" w14:textId="31CD8905" w:rsidR="00DE18E7" w:rsidRDefault="00DE18E7">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DE18E7" w:rsidRDefault="00DE18E7">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DE18E7" w:rsidRDefault="00DE18E7">
      <w:pPr>
        <w:pStyle w:val="CommentText"/>
      </w:pPr>
      <w:r>
        <w:rPr>
          <w:rStyle w:val="CommentReference"/>
        </w:rPr>
        <w:annotationRef/>
      </w:r>
      <w:r>
        <w:t>Methods from Brigid.</w:t>
      </w:r>
    </w:p>
  </w:comment>
  <w:comment w:id="8" w:author="Noura El Habbal" w:date="2021-04-15T06:05:00Z" w:initials="NEH">
    <w:p w14:paraId="05CF8F78" w14:textId="6C9D9B08" w:rsidR="00DE18E7" w:rsidRDefault="00DE18E7">
      <w:pPr>
        <w:pStyle w:val="CommentText"/>
      </w:pPr>
      <w:r>
        <w:rPr>
          <w:rStyle w:val="CommentReference"/>
        </w:rPr>
        <w:annotationRef/>
      </w:r>
      <w:r>
        <w:t>Allison wrote this part</w:t>
      </w:r>
    </w:p>
  </w:comment>
  <w:comment w:id="9" w:author="Noura El Habbal" w:date="2021-01-13T00:42:00Z" w:initials="NEH">
    <w:p w14:paraId="261CB930" w14:textId="77777777" w:rsidR="00DE18E7" w:rsidRDefault="00DE18E7">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DE18E7" w:rsidRDefault="00DE18E7">
      <w:pPr>
        <w:pStyle w:val="CommentText"/>
      </w:pPr>
    </w:p>
    <w:p w14:paraId="6701DD84" w14:textId="1067FB03" w:rsidR="00DE18E7" w:rsidRDefault="00DE18E7">
      <w:pPr>
        <w:pStyle w:val="CommentText"/>
      </w:pPr>
      <w:r>
        <w:t xml:space="preserve">But it seems higher from the graph! </w:t>
      </w:r>
    </w:p>
    <w:p w14:paraId="00154B4E" w14:textId="6DFDDB89" w:rsidR="00DE18E7" w:rsidRDefault="00DE18E7">
      <w:pPr>
        <w:pStyle w:val="CommentText"/>
      </w:pPr>
      <w:r>
        <w:t>Please check R code, in Maternal Data. Rmd,  line 323</w:t>
      </w:r>
    </w:p>
    <w:p w14:paraId="536ABB09" w14:textId="36F92993" w:rsidR="00DE18E7" w:rsidRDefault="00DE18E7">
      <w:pPr>
        <w:pStyle w:val="CommentText"/>
      </w:pPr>
    </w:p>
  </w:comment>
  <w:comment w:id="10" w:author="Noura El Habbal" w:date="2021-04-06T23:57:00Z" w:initials="NEH">
    <w:p w14:paraId="49DF351C" w14:textId="7AC75DC9" w:rsidR="00DE18E7" w:rsidRDefault="00DE18E7">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26T16:26:00Z" w:initials="NEH">
    <w:p w14:paraId="568235F5" w14:textId="77777777" w:rsidR="00465E83" w:rsidRDefault="00465E83">
      <w:pPr>
        <w:pStyle w:val="CommentText"/>
      </w:pPr>
      <w:r>
        <w:rPr>
          <w:rStyle w:val="CommentReference"/>
        </w:rPr>
        <w:annotationRef/>
      </w:r>
      <w:r>
        <w:t xml:space="preserve">Allison wrote the findings here, but pending </w:t>
      </w:r>
      <w:r>
        <w:t xml:space="preserve">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713921" w:rsidRDefault="00713921">
      <w:pPr>
        <w:pStyle w:val="CommentText"/>
      </w:pPr>
    </w:p>
    <w:p w14:paraId="704F365F" w14:textId="5C5CCC12" w:rsidR="00713921" w:rsidRDefault="00713921">
      <w:pPr>
        <w:pStyle w:val="CommentText"/>
      </w:pPr>
    </w:p>
  </w:comment>
  <w:comment w:id="12" w:author="Noura El Habbal" w:date="2021-04-26T16:42:00Z" w:initials="NEH">
    <w:p w14:paraId="7E9BEDE2" w14:textId="412CAC57" w:rsidR="00713921" w:rsidRDefault="00713921">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13" w:author="Noura El Habbal" w:date="2021-04-15T06:14:00Z" w:initials="NEH">
    <w:p w14:paraId="3AD9F7E5" w14:textId="73E79D8B" w:rsidR="00DE18E7" w:rsidRDefault="00DE18E7">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26T16:49:00Z" w:initials="NEH">
    <w:p w14:paraId="34E75090" w14:textId="6F972AB5" w:rsidR="00453D2A" w:rsidRDefault="00453D2A">
      <w:pPr>
        <w:pStyle w:val="CommentText"/>
      </w:pPr>
      <w:r>
        <w:rPr>
          <w:rStyle w:val="CommentReference"/>
        </w:rPr>
        <w:annotationRef/>
      </w:r>
      <w:r>
        <w:t>Didn’t we have 152 downregulated and 112 upregulated genes? So more than 139? @Dave</w:t>
      </w:r>
    </w:p>
  </w:comment>
  <w:comment w:id="15" w:author="Noura El Habbal" w:date="2021-04-26T16:50:00Z" w:initials="NEH">
    <w:p w14:paraId="7BF6BB67" w14:textId="3E0296CA" w:rsidR="00453D2A" w:rsidRDefault="00453D2A">
      <w:pPr>
        <w:pStyle w:val="CommentText"/>
      </w:pPr>
      <w:r>
        <w:rPr>
          <w:rStyle w:val="CommentReference"/>
        </w:rPr>
        <w:annotationRef/>
      </w:r>
      <w:r>
        <w:t>Can we add something here to say which could confirm the lack of discrepancy in milk protein concentration across genotypes?</w:t>
      </w:r>
    </w:p>
  </w:comment>
  <w:comment w:id="16" w:author="Noura El Habbal" w:date="2021-04-26T16:52:00Z" w:initials="NEH">
    <w:p w14:paraId="137553AC" w14:textId="19CF8FB7" w:rsidR="00453D2A" w:rsidRDefault="00453D2A">
      <w:pPr>
        <w:pStyle w:val="CommentText"/>
      </w:pPr>
      <w:r>
        <w:rPr>
          <w:rStyle w:val="CommentReference"/>
        </w:rPr>
        <w:annotationRef/>
      </w:r>
      <w:r>
        <w:t>Italic?</w:t>
      </w:r>
    </w:p>
  </w:comment>
  <w:comment w:id="17" w:author="Noura El Habbal" w:date="2021-04-26T16:52:00Z" w:initials="NEH">
    <w:p w14:paraId="4AC90FE2" w14:textId="1F6C4531" w:rsidR="00453D2A" w:rsidRDefault="00453D2A">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18" w:author="Noura El Habbal" w:date="2021-04-26T16:53:00Z" w:initials="NEH">
    <w:p w14:paraId="470B2AD1" w14:textId="530E5E7B" w:rsidR="003A5362" w:rsidRDefault="003A5362">
      <w:pPr>
        <w:pStyle w:val="CommentText"/>
      </w:pPr>
      <w:r>
        <w:rPr>
          <w:rStyle w:val="CommentReference"/>
        </w:rPr>
        <w:annotationRef/>
      </w:r>
      <w:r>
        <w:t xml:space="preserve">Should we include the other downregulated pathways? Like chromatin.., sensory perception…? </w:t>
      </w:r>
    </w:p>
  </w:comment>
  <w:comment w:id="20" w:author="Noura El Habbal" w:date="2021-04-15T10:23:00Z" w:initials="NEH">
    <w:p w14:paraId="3F8FD278" w14:textId="1B085204" w:rsidR="00DE18E7" w:rsidRDefault="00DE18E7">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DE18E7" w:rsidRDefault="00DE18E7">
      <w:pPr>
        <w:pStyle w:val="CommentText"/>
      </w:pPr>
      <w:r>
        <w:t>Shows that pla2</w:t>
      </w:r>
    </w:p>
    <w:p w14:paraId="4A1BEB89" w14:textId="77777777" w:rsidR="00DE18E7" w:rsidRDefault="00DE18E7">
      <w:pPr>
        <w:pStyle w:val="CommentText"/>
      </w:pPr>
    </w:p>
    <w:p w14:paraId="28D54EB7" w14:textId="77777777" w:rsidR="00DE18E7" w:rsidRDefault="00060E34">
      <w:pPr>
        <w:pStyle w:val="CommentText"/>
      </w:pPr>
      <w:hyperlink r:id="rId2" w:anchor="r07" w:history="1">
        <w:r w:rsidR="00DE18E7" w:rsidRPr="0050477C">
          <w:rPr>
            <w:rStyle w:val="Hyperlink"/>
          </w:rPr>
          <w:t>https://www.ncbi.nlm.nih.gov/pmc/articles/PMC5743847/#r07</w:t>
        </w:r>
      </w:hyperlink>
      <w:r w:rsidR="00DE18E7">
        <w:t xml:space="preserve"> </w:t>
      </w:r>
    </w:p>
    <w:p w14:paraId="1B7C35FE" w14:textId="0694DE8D" w:rsidR="00DE18E7" w:rsidRDefault="00DE18E7">
      <w:pPr>
        <w:pStyle w:val="CommentText"/>
      </w:pPr>
      <w:r>
        <w:t>this connects</w:t>
      </w:r>
      <w:r w:rsidR="000A2B1A">
        <w:t xml:space="preserve">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7BF6BB67" w15:done="0"/>
  <w15:commentEx w15:paraId="137553AC" w15:done="0"/>
  <w15:commentEx w15:paraId="4AC90FE2" w15:done="0"/>
  <w15:commentEx w15:paraId="470B2AD1"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704F365F" w16cid:durableId="24316828"/>
  <w16cid:commentId w16cid:paraId="7E9BEDE2" w16cid:durableId="24316BF6"/>
  <w16cid:commentId w16cid:paraId="34E75090" w16cid:durableId="24316D80"/>
  <w16cid:commentId w16cid:paraId="7BF6BB67" w16cid:durableId="24316DC2"/>
  <w16cid:commentId w16cid:paraId="137553AC" w16cid:durableId="24316E33"/>
  <w16cid:commentId w16cid:paraId="4AC90FE2" w16cid:durableId="24316E46"/>
  <w16cid:commentId w16cid:paraId="470B2AD1" w16cid:durableId="24316E83"/>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ADB79" w14:textId="77777777" w:rsidR="00060E34" w:rsidRDefault="00060E34" w:rsidP="006E77C5">
      <w:r>
        <w:separator/>
      </w:r>
    </w:p>
  </w:endnote>
  <w:endnote w:type="continuationSeparator" w:id="0">
    <w:p w14:paraId="4E8CA7EC" w14:textId="77777777" w:rsidR="00060E34" w:rsidRDefault="00060E3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594DF" w14:textId="77777777" w:rsidR="00060E34" w:rsidRDefault="00060E34" w:rsidP="006E77C5">
      <w:r>
        <w:separator/>
      </w:r>
    </w:p>
  </w:footnote>
  <w:footnote w:type="continuationSeparator" w:id="0">
    <w:p w14:paraId="4BE6F6F9" w14:textId="77777777" w:rsidR="00060E34" w:rsidRDefault="00060E3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22D02"/>
    <w:rsid w:val="000300D1"/>
    <w:rsid w:val="000351B7"/>
    <w:rsid w:val="0004159E"/>
    <w:rsid w:val="00054A08"/>
    <w:rsid w:val="00060E34"/>
    <w:rsid w:val="0007224B"/>
    <w:rsid w:val="0009729A"/>
    <w:rsid w:val="000A2B1A"/>
    <w:rsid w:val="000B7664"/>
    <w:rsid w:val="000C06E4"/>
    <w:rsid w:val="000D0963"/>
    <w:rsid w:val="00111F09"/>
    <w:rsid w:val="00124B3B"/>
    <w:rsid w:val="00125E99"/>
    <w:rsid w:val="00127348"/>
    <w:rsid w:val="0014067A"/>
    <w:rsid w:val="00143D60"/>
    <w:rsid w:val="00144346"/>
    <w:rsid w:val="00160880"/>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5257E"/>
    <w:rsid w:val="002539DB"/>
    <w:rsid w:val="00254644"/>
    <w:rsid w:val="00262598"/>
    <w:rsid w:val="00266802"/>
    <w:rsid w:val="002832DF"/>
    <w:rsid w:val="00294453"/>
    <w:rsid w:val="00294851"/>
    <w:rsid w:val="002A4C4A"/>
    <w:rsid w:val="002B60B0"/>
    <w:rsid w:val="002C4DF5"/>
    <w:rsid w:val="002C6A8D"/>
    <w:rsid w:val="002E394B"/>
    <w:rsid w:val="002E7CDE"/>
    <w:rsid w:val="0031147B"/>
    <w:rsid w:val="00324B67"/>
    <w:rsid w:val="00335F77"/>
    <w:rsid w:val="003375B7"/>
    <w:rsid w:val="00345FC7"/>
    <w:rsid w:val="0034722F"/>
    <w:rsid w:val="003537E1"/>
    <w:rsid w:val="00353C47"/>
    <w:rsid w:val="00354569"/>
    <w:rsid w:val="00383D4B"/>
    <w:rsid w:val="003A077D"/>
    <w:rsid w:val="003A5362"/>
    <w:rsid w:val="003C2CE9"/>
    <w:rsid w:val="003C33B1"/>
    <w:rsid w:val="003D6E2D"/>
    <w:rsid w:val="003E1827"/>
    <w:rsid w:val="003F0902"/>
    <w:rsid w:val="004125BF"/>
    <w:rsid w:val="004413C9"/>
    <w:rsid w:val="00441EFD"/>
    <w:rsid w:val="00453D2A"/>
    <w:rsid w:val="00463907"/>
    <w:rsid w:val="00465E83"/>
    <w:rsid w:val="00472C36"/>
    <w:rsid w:val="0047727E"/>
    <w:rsid w:val="00491997"/>
    <w:rsid w:val="00494187"/>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C3BBD"/>
    <w:rsid w:val="005C5118"/>
    <w:rsid w:val="005E03CE"/>
    <w:rsid w:val="005F0524"/>
    <w:rsid w:val="005F0E99"/>
    <w:rsid w:val="005F2606"/>
    <w:rsid w:val="005F282B"/>
    <w:rsid w:val="006164B7"/>
    <w:rsid w:val="00641423"/>
    <w:rsid w:val="00645908"/>
    <w:rsid w:val="00647E73"/>
    <w:rsid w:val="00665941"/>
    <w:rsid w:val="006852AE"/>
    <w:rsid w:val="0068583E"/>
    <w:rsid w:val="006A138B"/>
    <w:rsid w:val="006A3265"/>
    <w:rsid w:val="006A5E26"/>
    <w:rsid w:val="006B12FE"/>
    <w:rsid w:val="006B3864"/>
    <w:rsid w:val="006B5D0A"/>
    <w:rsid w:val="006C1F2E"/>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356D"/>
    <w:rsid w:val="00853EA7"/>
    <w:rsid w:val="00867F2A"/>
    <w:rsid w:val="00872B2E"/>
    <w:rsid w:val="00877D08"/>
    <w:rsid w:val="00883552"/>
    <w:rsid w:val="008968F6"/>
    <w:rsid w:val="008B3CA4"/>
    <w:rsid w:val="008B6BD1"/>
    <w:rsid w:val="008C177E"/>
    <w:rsid w:val="008D174B"/>
    <w:rsid w:val="008D27D2"/>
    <w:rsid w:val="008D31D2"/>
    <w:rsid w:val="008E6AF3"/>
    <w:rsid w:val="008E7F3D"/>
    <w:rsid w:val="008F21D8"/>
    <w:rsid w:val="008F6F27"/>
    <w:rsid w:val="0091131D"/>
    <w:rsid w:val="00914BCE"/>
    <w:rsid w:val="00923CA8"/>
    <w:rsid w:val="00933873"/>
    <w:rsid w:val="0093396E"/>
    <w:rsid w:val="00944B23"/>
    <w:rsid w:val="00962979"/>
    <w:rsid w:val="00965A52"/>
    <w:rsid w:val="009745B2"/>
    <w:rsid w:val="00987D6A"/>
    <w:rsid w:val="009970F3"/>
    <w:rsid w:val="00997DDE"/>
    <w:rsid w:val="009A1ED6"/>
    <w:rsid w:val="009B36EB"/>
    <w:rsid w:val="009D5728"/>
    <w:rsid w:val="009F294F"/>
    <w:rsid w:val="009F5662"/>
    <w:rsid w:val="009F626C"/>
    <w:rsid w:val="00A041C1"/>
    <w:rsid w:val="00A21216"/>
    <w:rsid w:val="00A26992"/>
    <w:rsid w:val="00A443B5"/>
    <w:rsid w:val="00A46275"/>
    <w:rsid w:val="00A47D44"/>
    <w:rsid w:val="00A56B15"/>
    <w:rsid w:val="00A71819"/>
    <w:rsid w:val="00A857D5"/>
    <w:rsid w:val="00AC395A"/>
    <w:rsid w:val="00AD1176"/>
    <w:rsid w:val="00AD149B"/>
    <w:rsid w:val="00AD2F62"/>
    <w:rsid w:val="00AD6BBC"/>
    <w:rsid w:val="00AF094E"/>
    <w:rsid w:val="00AF0F1F"/>
    <w:rsid w:val="00B12700"/>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5CEF"/>
    <w:rsid w:val="00C07665"/>
    <w:rsid w:val="00C2693F"/>
    <w:rsid w:val="00C2784E"/>
    <w:rsid w:val="00C33BAC"/>
    <w:rsid w:val="00C36D7B"/>
    <w:rsid w:val="00C37BB4"/>
    <w:rsid w:val="00C40699"/>
    <w:rsid w:val="00C458BA"/>
    <w:rsid w:val="00C535D7"/>
    <w:rsid w:val="00C57D5F"/>
    <w:rsid w:val="00C677E6"/>
    <w:rsid w:val="00C77FAB"/>
    <w:rsid w:val="00C82687"/>
    <w:rsid w:val="00C95521"/>
    <w:rsid w:val="00C96C3A"/>
    <w:rsid w:val="00CA0E46"/>
    <w:rsid w:val="00CA373C"/>
    <w:rsid w:val="00CA4DA9"/>
    <w:rsid w:val="00CB192F"/>
    <w:rsid w:val="00CB22E4"/>
    <w:rsid w:val="00CB298C"/>
    <w:rsid w:val="00CD0D8A"/>
    <w:rsid w:val="00CD289F"/>
    <w:rsid w:val="00CD5354"/>
    <w:rsid w:val="00CE4AA9"/>
    <w:rsid w:val="00CE4B7C"/>
    <w:rsid w:val="00CE5071"/>
    <w:rsid w:val="00CF249B"/>
    <w:rsid w:val="00D15783"/>
    <w:rsid w:val="00D21277"/>
    <w:rsid w:val="00D25638"/>
    <w:rsid w:val="00D2675D"/>
    <w:rsid w:val="00D30BF4"/>
    <w:rsid w:val="00D37475"/>
    <w:rsid w:val="00D41030"/>
    <w:rsid w:val="00D51D9A"/>
    <w:rsid w:val="00D56DA3"/>
    <w:rsid w:val="00D60AE2"/>
    <w:rsid w:val="00D670B8"/>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9451-31D2-BD49-9B7C-756E4EDC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20</Pages>
  <Words>20793</Words>
  <Characters>118521</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187</cp:revision>
  <dcterms:created xsi:type="dcterms:W3CDTF">2020-02-05T19:13:00Z</dcterms:created>
  <dcterms:modified xsi:type="dcterms:W3CDTF">2021-04-26T20:54:00Z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