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</w:t>
      </w:r>
      <w:r>
        <w:t>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493D7E75" w:rsidR="001439D7" w:rsidRP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0DE70B6B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 sex differences 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2AB2B7B7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proofErr w:type="gramStart"/>
      <w:r w:rsidR="001439D7">
        <w:t>10 week old</w:t>
      </w:r>
      <w:proofErr w:type="gramEnd"/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</w:t>
      </w:r>
      <w:r w:rsidR="00995600">
        <w:t>-C</w:t>
      </w:r>
      <w:bookmarkStart w:id="1" w:name="_GoBack"/>
      <w:bookmarkEnd w:id="1"/>
      <w:r w:rsidR="00C618A0">
        <w:t>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0695CE70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70DF6"/>
    <w:rsid w:val="00105583"/>
    <w:rsid w:val="0011248D"/>
    <w:rsid w:val="001439D7"/>
    <w:rsid w:val="00155F2B"/>
    <w:rsid w:val="001E040B"/>
    <w:rsid w:val="0024539A"/>
    <w:rsid w:val="00463B2E"/>
    <w:rsid w:val="004D5751"/>
    <w:rsid w:val="00701B92"/>
    <w:rsid w:val="007A6AD5"/>
    <w:rsid w:val="00837683"/>
    <w:rsid w:val="008B654B"/>
    <w:rsid w:val="00995600"/>
    <w:rsid w:val="00A47882"/>
    <w:rsid w:val="00AD5EAE"/>
    <w:rsid w:val="00C17A26"/>
    <w:rsid w:val="00C5027D"/>
    <w:rsid w:val="00C618A0"/>
    <w:rsid w:val="00CC1DD3"/>
    <w:rsid w:val="00D20F92"/>
    <w:rsid w:val="00DD4D6E"/>
    <w:rsid w:val="00DF5F91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13</cp:revision>
  <dcterms:created xsi:type="dcterms:W3CDTF">2019-11-08T15:45:00Z</dcterms:created>
  <dcterms:modified xsi:type="dcterms:W3CDTF">2023-08-04T14:14:00Z</dcterms:modified>
</cp:coreProperties>
</file>