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15C232F8" w14:textId="7F58F28E" w:rsidR="00A47882" w:rsidRPr="00A47882" w:rsidRDefault="00A47882" w:rsidP="00A47882">
      <w:r>
        <w:t xml:space="preserve">Wild-type mice are defined as homozygous </w:t>
      </w:r>
      <w:proofErr w:type="spellStart"/>
      <w:r>
        <w:t>floxed</w:t>
      </w:r>
      <w:proofErr w:type="spellEnd"/>
      <w:r>
        <w:t xml:space="preserve"> </w:t>
      </w:r>
      <w:r>
        <w:rPr>
          <w:i/>
        </w:rPr>
        <w:t>Tsc1</w:t>
      </w:r>
      <w:r>
        <w:t xml:space="preserve">, absent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transgene, while Muscle </w:t>
      </w:r>
      <w:r>
        <w:rPr>
          <w:i/>
        </w:rPr>
        <w:t>Tsc1</w:t>
      </w:r>
      <w:r>
        <w:t xml:space="preserve"> knockout mice are defined as homozygous </w:t>
      </w:r>
      <w:proofErr w:type="spellStart"/>
      <w:r>
        <w:t>floxed</w:t>
      </w:r>
      <w:proofErr w:type="spellEnd"/>
      <w:r>
        <w:t xml:space="preserve"> </w:t>
      </w:r>
      <w:r>
        <w:rPr>
          <w:i/>
        </w:rPr>
        <w:t>Tsc1</w:t>
      </w:r>
      <w:r>
        <w:t xml:space="preserve">, with one copy of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transgene.</w:t>
      </w:r>
    </w:p>
    <w:p w14:paraId="3FFC0C3F" w14:textId="77777777" w:rsidR="00A47882" w:rsidRDefault="00A47882" w:rsidP="00A47882">
      <w:pPr>
        <w:pStyle w:val="Heading2"/>
      </w:pPr>
    </w:p>
    <w:p w14:paraId="3BB2BB91" w14:textId="23784E19" w:rsidR="00A47882" w:rsidRPr="00A47882" w:rsidRDefault="00A47882" w:rsidP="00A47882">
      <w:pPr>
        <w:pStyle w:val="Heading2"/>
      </w:pPr>
      <w:r>
        <w:t>BHB Tolerance Test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547DE407" w14:textId="7B9073F1" w:rsidR="004D5751" w:rsidRDefault="0024539A" w:rsidP="0024539A">
      <w:pPr>
        <w:pStyle w:val="Heading2"/>
      </w:pPr>
      <w:r>
        <w:t>KD Improves KB Disposal</w:t>
      </w:r>
    </w:p>
    <w:p w14:paraId="651394E6" w14:textId="77777777" w:rsidR="00A47882" w:rsidRDefault="00A47882" w:rsidP="0024539A">
      <w:pPr>
        <w:pStyle w:val="Heading2"/>
      </w:pPr>
    </w:p>
    <w:p w14:paraId="4361F6E6" w14:textId="77777777" w:rsidR="00A47882" w:rsidRDefault="0024539A" w:rsidP="0024539A">
      <w:pPr>
        <w:pStyle w:val="Heading2"/>
      </w:pPr>
      <w:r>
        <w:t>KD Increases Muscle MTOR activity</w:t>
      </w: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0DE70B6B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 xml:space="preserve">we found a significant reduction in BHB levels after the challenge (p=0.004).  </w:t>
      </w:r>
      <w:r w:rsidR="00070DF6">
        <w:lastRenderedPageBreak/>
        <w:t>Similarly, when calculating the area under the curve from 0 to 60 minutes, there was a reduction in the knockouts, after adjusting for sex (25%; p=0.016). When stratifying by sex, knockouts had 41% lower AUC in males and 11% lower in females though sex differences did not reach statistical significance</w:t>
      </w:r>
      <w:r w:rsidR="0011248D">
        <w:t xml:space="preserve"> (p=0.20)</w:t>
      </w:r>
      <w:bookmarkStart w:id="0" w:name="_GoBack"/>
      <w:bookmarkEnd w:id="0"/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6421ABA4" w14:textId="1851CB5A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70DF6"/>
    <w:rsid w:val="00105583"/>
    <w:rsid w:val="0011248D"/>
    <w:rsid w:val="00155F2B"/>
    <w:rsid w:val="0024539A"/>
    <w:rsid w:val="004D5751"/>
    <w:rsid w:val="007A6AD5"/>
    <w:rsid w:val="00837683"/>
    <w:rsid w:val="008B654B"/>
    <w:rsid w:val="00A47882"/>
    <w:rsid w:val="00AD5EAE"/>
    <w:rsid w:val="00C17A26"/>
    <w:rsid w:val="00C5027D"/>
    <w:rsid w:val="00CC1DD3"/>
    <w:rsid w:val="00D20F92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/>
      <vt:lpstr>ABSTRACT</vt:lpstr>
      <vt:lpstr/>
      <vt:lpstr>INTRODUCTION</vt:lpstr>
      <vt:lpstr/>
      <vt:lpstr>METHODS</vt:lpstr>
      <vt:lpstr/>
      <vt:lpstr>RESULTS</vt:lpstr>
      <vt:lpstr>    KD Improves KB Disposal</vt:lpstr>
      <vt:lpstr>    KD Increases Muscle MTOR activity Activation of MTOR promotes Ketone Disposal</vt:lpstr>
      <vt:lpstr>    MTORC regulates expression of Ketolysis genes</vt:lpstr>
      <vt:lpstr>DISCUSSION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8</cp:revision>
  <dcterms:created xsi:type="dcterms:W3CDTF">2019-11-08T15:45:00Z</dcterms:created>
  <dcterms:modified xsi:type="dcterms:W3CDTF">2023-06-02T16:40:00Z</dcterms:modified>
</cp:coreProperties>
</file>