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E94A" w14:textId="77777777" w:rsidR="00CA7F51" w:rsidRDefault="00CA7F51" w:rsidP="00CA7F51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Declaration of Interests</w:t>
      </w:r>
      <w:bookmarkStart w:id="0" w:name="_GoBack"/>
      <w:bookmarkEnd w:id="0"/>
    </w:p>
    <w:p w14:paraId="1DDF683E" w14:textId="77777777" w:rsidR="00CA7F51" w:rsidRDefault="00CA7F51" w:rsidP="00CA7F51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authors have no competing interests to declare, except </w:t>
      </w:r>
      <w:r w:rsidRPr="00F12853">
        <w:rPr>
          <w:rFonts w:ascii="Arial" w:hAnsi="Arial" w:cs="Arial"/>
          <w:color w:val="000000" w:themeColor="text1"/>
          <w:sz w:val="22"/>
          <w:szCs w:val="22"/>
        </w:rPr>
        <w:t>JCH</w:t>
      </w:r>
      <w:r>
        <w:rPr>
          <w:rFonts w:ascii="Arial" w:hAnsi="Arial" w:cs="Arial"/>
          <w:color w:val="000000" w:themeColor="text1"/>
          <w:sz w:val="22"/>
          <w:szCs w:val="22"/>
        </w:rPr>
        <w:t>, who</w:t>
      </w:r>
      <w:r w:rsidRPr="00F12853">
        <w:rPr>
          <w:rFonts w:ascii="Arial" w:hAnsi="Arial" w:cs="Arial"/>
          <w:color w:val="000000" w:themeColor="text1"/>
          <w:sz w:val="22"/>
          <w:szCs w:val="22"/>
        </w:rPr>
        <w:t xml:space="preserve"> is a consultant for Rhythm Pharmaceuticals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1308A7" w14:textId="77777777" w:rsidR="000C06E4" w:rsidRDefault="000C06E4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51"/>
    <w:rsid w:val="000C06E4"/>
    <w:rsid w:val="00143D60"/>
    <w:rsid w:val="006B12FE"/>
    <w:rsid w:val="00C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0363"/>
  <w14:defaultImageDpi w14:val="32767"/>
  <w15:chartTrackingRefBased/>
  <w15:docId w15:val="{F4DA49CA-604A-1948-97FD-3D558309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F51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2019-07-29T20:20:00Z</dcterms:created>
  <dcterms:modified xsi:type="dcterms:W3CDTF">2019-07-29T20:20:00Z</dcterms:modified>
</cp:coreProperties>
</file>