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14B88E53" w14:textId="789AE86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sidR="006B7740">
        <w:rPr>
          <w:rFonts w:ascii="Arial" w:hAnsi="Arial" w:cs="Arial"/>
          <w:color w:val="000000" w:themeColor="text1"/>
          <w:sz w:val="22"/>
          <w:szCs w:val="22"/>
        </w:rPr>
        <w:t>Here, 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r w:rsidR="006B7740">
        <w:rPr>
          <w:rFonts w:ascii="Arial" w:hAnsi="Arial" w:cs="Arial"/>
          <w:color w:val="000000" w:themeColor="text1"/>
          <w:sz w:val="22"/>
          <w:szCs w:val="22"/>
        </w:rPr>
        <w:t xml:space="preserve"> </w:t>
      </w: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These findings support the hypothesis that activation of mTORC1 and its downstream targets, specifically in skeletal muscle, may play a role in nutrient-dependent thermogenesis and aging. </w:t>
      </w: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63F0866D"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r w:rsidR="006B7740">
        <w:rPr>
          <w:rFonts w:ascii="Arial" w:hAnsi="Arial" w:cs="Arial"/>
          <w:color w:val="000000" w:themeColor="text1"/>
          <w:sz w:val="22"/>
          <w:szCs w:val="22"/>
        </w:rPr>
        <w:t>, sarcolipin</w:t>
      </w:r>
    </w:p>
    <w:p w14:paraId="42A16D24" w14:textId="66F269A0"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CCB0C71" w:rsidR="009B110D"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14A94BC8" w:rsidR="00802891" w:rsidRPr="00D71F75" w:rsidRDefault="00802891"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w:t>
      </w:r>
      <w:r w:rsidR="00A97268" w:rsidRPr="00D71F75">
        <w:rPr>
          <w:rFonts w:ascii="Arial" w:hAnsi="Arial" w:cs="Arial"/>
          <w:bCs/>
          <w:color w:val="000000" w:themeColor="text1"/>
          <w:sz w:val="22"/>
          <w:szCs w:val="22"/>
        </w:rPr>
        <w:lastRenderedPageBreak/>
        <w:t>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3DCCED88" w:rsidR="0039667E" w:rsidRPr="00D71F75" w:rsidRDefault="00B3409A"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79C144E2" w:rsidR="00540EBE" w:rsidRPr="00D71F75" w:rsidRDefault="00540EBE" w:rsidP="002D338B">
      <w:pPr>
        <w:pStyle w:val="Heading2"/>
        <w:spacing w:line="360" w:lineRule="auto"/>
        <w:rPr>
          <w:rFonts w:ascii="Arial" w:hAnsi="Arial" w:cs="Arial"/>
          <w:color w:val="000000" w:themeColor="text1"/>
          <w:sz w:val="22"/>
          <w:szCs w:val="22"/>
        </w:rPr>
      </w:pPr>
      <w:proofErr w:type="spellStart"/>
      <w:r w:rsidRPr="00D71F75">
        <w:rPr>
          <w:rFonts w:ascii="Arial" w:hAnsi="Arial" w:cs="Arial"/>
          <w:color w:val="000000" w:themeColor="text1"/>
          <w:sz w:val="22"/>
          <w:szCs w:val="22"/>
        </w:rPr>
        <w:t>Hyperinsulinemic</w:t>
      </w:r>
      <w:proofErr w:type="spellEnd"/>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w:t>
      </w:r>
      <w:r w:rsidRPr="00D71F75">
        <w:rPr>
          <w:rFonts w:ascii="Arial" w:hAnsi="Arial" w:cs="Arial"/>
          <w:color w:val="000000" w:themeColor="text1"/>
          <w:sz w:val="22"/>
          <w:szCs w:val="22"/>
        </w:rPr>
        <w:lastRenderedPageBreak/>
        <w:t xml:space="preserve">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067C8113"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717069D3" w:rsidR="00540EBE" w:rsidRPr="00D71F75" w:rsidRDefault="00F82FCB" w:rsidP="002D338B">
      <w:pPr>
        <w:spacing w:line="360" w:lineRule="auto"/>
        <w:rPr>
          <w:rFonts w:ascii="Arial" w:hAnsi="Arial" w:cs="Arial"/>
          <w:b/>
          <w:bCs/>
          <w:color w:val="000000" w:themeColor="text1"/>
          <w:sz w:val="22"/>
          <w:szCs w:val="22"/>
        </w:rPr>
      </w:pPr>
      <w:r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w:t>
      </w:r>
      <w:r w:rsidRPr="00D71F75">
        <w:rPr>
          <w:rFonts w:ascii="Arial" w:hAnsi="Arial" w:cs="Arial"/>
          <w:color w:val="000000" w:themeColor="text1"/>
          <w:sz w:val="22"/>
          <w:szCs w:val="22"/>
        </w:rPr>
        <w:lastRenderedPageBreak/>
        <w:t xml:space="preserve">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0098BF23"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7EE96260" w:rsidR="00F82FCB" w:rsidRPr="00D71F75" w:rsidRDefault="00F82FCB" w:rsidP="002D338B">
      <w:pPr>
        <w:pStyle w:val="Heading2"/>
        <w:spacing w:line="360" w:lineRule="auto"/>
        <w:rPr>
          <w:rFonts w:ascii="Arial" w:eastAsiaTheme="minorEastAsia" w:hAnsi="Arial" w:cs="Arial"/>
          <w:b w:val="0"/>
          <w:bCs w:val="0"/>
          <w:color w:val="000000" w:themeColor="text1"/>
          <w:sz w:val="22"/>
          <w:szCs w:val="22"/>
        </w:rPr>
      </w:pPr>
      <w:r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5A6FF3B6" w:rsidR="00AE30D5" w:rsidRPr="00D71F75" w:rsidRDefault="00AE30D5"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Statistical Analyses</w:t>
      </w:r>
    </w:p>
    <w:p w14:paraId="08382C47" w14:textId="2EB231C5"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 xml:space="preserve">For longitudinal measurements (body weights, fat mass and lean mass), data were analyzed by mixed linear models using </w:t>
      </w:r>
      <w:r w:rsidR="00396BD8" w:rsidRPr="00D71F75">
        <w:rPr>
          <w:rFonts w:ascii="Arial" w:hAnsi="Arial" w:cs="Arial"/>
          <w:color w:val="000000" w:themeColor="text1"/>
          <w:sz w:val="22"/>
          <w:szCs w:val="22"/>
        </w:rPr>
        <w:lastRenderedPageBreak/>
        <w:t>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13E575A5" w:rsidR="007B624A" w:rsidRPr="0052352B" w:rsidRDefault="007B624A"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Results</w:t>
      </w:r>
    </w:p>
    <w:p w14:paraId="67FACF5E" w14:textId="64DEFD53" w:rsidR="00EE7DA9" w:rsidRPr="0052352B" w:rsidRDefault="00EE7DA9"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followed by three days of 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0B62C19F" w:rsidR="0087648E" w:rsidRPr="0052352B" w:rsidRDefault="0087648E"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during the dark period </w:t>
      </w:r>
      <w:r w:rsidR="00B44CBD" w:rsidRPr="0052352B">
        <w:rPr>
          <w:rFonts w:ascii="Arial" w:hAnsi="Arial" w:cs="Arial"/>
          <w:color w:val="000000" w:themeColor="text1"/>
          <w:sz w:val="22"/>
          <w:szCs w:val="22"/>
        </w:rPr>
        <w:lastRenderedPageBreak/>
        <w:t>(</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66AAB073" w:rsidR="00184574" w:rsidRPr="0052352B" w:rsidRDefault="00184574" w:rsidP="002D338B">
      <w:pPr>
        <w:spacing w:line="360" w:lineRule="auto"/>
        <w:rPr>
          <w:rFonts w:ascii="Arial" w:hAnsi="Arial" w:cs="Arial"/>
          <w:b/>
          <w:color w:val="000000" w:themeColor="text1"/>
          <w:sz w:val="22"/>
          <w:szCs w:val="22"/>
        </w:rPr>
      </w:pPr>
      <w:r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3D4014C1" w:rsidR="0087648E" w:rsidRPr="0052352B" w:rsidRDefault="00350EC3"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5E68F5F2" w:rsidR="00363043" w:rsidRPr="0052352B" w:rsidRDefault="00BE2E30" w:rsidP="002D338B">
      <w:pPr>
        <w:spacing w:line="360" w:lineRule="auto"/>
        <w:rPr>
          <w:rFonts w:ascii="Arial" w:hAnsi="Arial" w:cs="Arial"/>
          <w:b/>
          <w:bCs/>
          <w:color w:val="000000" w:themeColor="text1"/>
          <w:sz w:val="22"/>
          <w:szCs w:val="22"/>
        </w:rPr>
      </w:pPr>
      <w:r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w:t>
      </w:r>
      <w:r w:rsidR="00363043" w:rsidRPr="0052352B">
        <w:rPr>
          <w:rFonts w:ascii="Arial" w:hAnsi="Arial" w:cs="Arial"/>
          <w:color w:val="000000" w:themeColor="text1"/>
          <w:sz w:val="22"/>
          <w:szCs w:val="22"/>
        </w:rPr>
        <w:lastRenderedPageBreak/>
        <w:t xml:space="preserve">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7BB029D7" w:rsidR="00E7425C" w:rsidRPr="0052352B" w:rsidRDefault="00E7425C"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lastRenderedPageBreak/>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304210A5" w:rsidR="00827301" w:rsidRPr="0052352B" w:rsidRDefault="00827301"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71856760" w:rsidR="00B43DA6" w:rsidRPr="0052352B" w:rsidRDefault="00B43DA6"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25DBBB1F" w:rsidR="00D86AFE" w:rsidRPr="0052352B" w:rsidRDefault="005C6497"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A667CE" w:rsidR="007B624A" w:rsidRPr="0052352B" w:rsidRDefault="002B4C32"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lastRenderedPageBreak/>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 xml:space="preserve">We predict that the </w:t>
      </w:r>
      <w:r w:rsidR="00F6297F" w:rsidRPr="0052352B">
        <w:rPr>
          <w:rFonts w:ascii="Arial" w:hAnsi="Arial" w:cs="Arial"/>
          <w:color w:val="000000" w:themeColor="text1"/>
          <w:sz w:val="22"/>
          <w:szCs w:val="22"/>
        </w:rPr>
        <w:lastRenderedPageBreak/>
        <w:t>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7FE937FA"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5848113B" w:rsidR="007B7AEB" w:rsidRPr="0052352B" w:rsidRDefault="007B7AEB"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5C0EB1BE" w:rsidR="007B624A" w:rsidRPr="0052352B" w:rsidRDefault="007B624A" w:rsidP="002D338B">
      <w:pPr>
        <w:pStyle w:val="Heading1"/>
        <w:spacing w:line="360" w:lineRule="auto"/>
        <w:rPr>
          <w:rFonts w:ascii="Arial" w:hAnsi="Arial" w:cs="Arial"/>
          <w:color w:val="000000" w:themeColor="text1"/>
          <w:sz w:val="22"/>
          <w:szCs w:val="22"/>
        </w:rPr>
      </w:pPr>
      <w:bookmarkStart w:id="0" w:name="_GoBack"/>
      <w:bookmarkEnd w:id="0"/>
      <w:r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 xml:space="preserve">Yecies, J.L., Zhang, H.H., Menon, S., Liu, S., Yecies, D., Lipovsky, A.I., et al., 2011. Akt Stimulates Hepatic SREBP1c and Lipogenesis through Parallel mTORC1-Dependent and </w:t>
      </w:r>
      <w:r w:rsidRPr="00772807">
        <w:rPr>
          <w:rFonts w:ascii="Arial" w:hAnsi="Arial" w:cs="Arial"/>
          <w:noProof/>
          <w:color w:val="000000" w:themeColor="text1"/>
          <w:sz w:val="22"/>
          <w:szCs w:val="22"/>
        </w:rPr>
        <w:lastRenderedPageBreak/>
        <w:t>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 xml:space="preserve">Castets, P., Lin, S., Rion, N., Di Fulvio, S., Romanino, K., Guridi, M., et al., 2013. Sustained activation of mTORC1 in skeletal muscle inhibits constitutive and starvation-induced autophagy </w:t>
      </w:r>
      <w:r w:rsidRPr="00772807">
        <w:rPr>
          <w:rFonts w:ascii="Arial" w:hAnsi="Arial" w:cs="Arial"/>
          <w:noProof/>
          <w:color w:val="000000" w:themeColor="text1"/>
          <w:sz w:val="22"/>
          <w:szCs w:val="22"/>
        </w:rPr>
        <w:lastRenderedPageBreak/>
        <w:t>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 xml:space="preserve">Rantanen, T., Volpato, S., Ferrucci, L., Heikkinen, E., Fried, L.P., Guralnik, J.M., 2003. Handgrip </w:t>
      </w:r>
      <w:r w:rsidRPr="00772807">
        <w:rPr>
          <w:rFonts w:ascii="Arial" w:hAnsi="Arial" w:cs="Arial"/>
          <w:noProof/>
          <w:color w:val="000000" w:themeColor="text1"/>
          <w:sz w:val="22"/>
          <w:szCs w:val="22"/>
        </w:rPr>
        <w:lastRenderedPageBreak/>
        <w:t>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 xml:space="preserve">Benjamini, Y., Hochberg, Y., 1995. Controlling the False Discovery Rate: A Practical and </w:t>
      </w:r>
      <w:r w:rsidRPr="00772807">
        <w:rPr>
          <w:rFonts w:ascii="Arial" w:hAnsi="Arial" w:cs="Arial"/>
          <w:noProof/>
          <w:color w:val="000000" w:themeColor="text1"/>
          <w:sz w:val="22"/>
          <w:szCs w:val="22"/>
        </w:rPr>
        <w:lastRenderedPageBreak/>
        <w:t>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 xml:space="preserve">Philp, A., Schenk, S., Perez-Schindler, J., Hamilton, D.L., Breen, L., Laverone, E., et al., 2015. Rapamycin does not prevent increases in myofibrillar or mitochondrial protein synthesis following </w:t>
      </w:r>
      <w:r w:rsidRPr="00772807">
        <w:rPr>
          <w:rFonts w:ascii="Arial" w:hAnsi="Arial" w:cs="Arial"/>
          <w:noProof/>
          <w:color w:val="000000" w:themeColor="text1"/>
          <w:sz w:val="22"/>
          <w:szCs w:val="22"/>
        </w:rPr>
        <w:lastRenderedPageBreak/>
        <w:t>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 xml:space="preserve">Garcia-Roves, P., Huss, J.M., Han, D.-H., Hancock, C.R., Iglesias-Gutierrez, E., Chen, M., et al., </w:t>
      </w:r>
      <w:r w:rsidRPr="00772807">
        <w:rPr>
          <w:rFonts w:ascii="Arial" w:hAnsi="Arial" w:cs="Arial"/>
          <w:noProof/>
          <w:color w:val="000000" w:themeColor="text1"/>
          <w:sz w:val="22"/>
          <w:szCs w:val="22"/>
        </w:rPr>
        <w:lastRenderedPageBreak/>
        <w:t>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 xml:space="preserve">Anselmi, C.V., Malovini, A., Roncarati, R., Novelli, V., Villa, F., Condorelli, G., et al., 2009. Association of the FOXO3A locus with extreme longevity in a southern Italian centenarian study. </w:t>
      </w:r>
      <w:r w:rsidRPr="00772807">
        <w:rPr>
          <w:rFonts w:ascii="Arial" w:hAnsi="Arial" w:cs="Arial"/>
          <w:noProof/>
          <w:color w:val="000000" w:themeColor="text1"/>
          <w:sz w:val="22"/>
          <w:szCs w:val="22"/>
        </w:rPr>
        <w:lastRenderedPageBreak/>
        <w:t>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Hwangbo, D.S., Gershman, B., Tu, M.-P., Palmer, M., Tatar, M., 2004. Drosophila dFOXO controls lifespan and regulates insulin signalling in brain and fat body. Nature 429(6991): 562–6, 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74BB5" w14:textId="77777777" w:rsidR="001D2CEC" w:rsidRDefault="001D2CEC" w:rsidP="00907F04">
      <w:r>
        <w:separator/>
      </w:r>
    </w:p>
  </w:endnote>
  <w:endnote w:type="continuationSeparator" w:id="0">
    <w:p w14:paraId="6C91EAAE" w14:textId="77777777" w:rsidR="001D2CEC" w:rsidRDefault="001D2CEC" w:rsidP="00907F04">
      <w:r>
        <w:continuationSeparator/>
      </w:r>
    </w:p>
  </w:endnote>
  <w:endnote w:type="continuationNotice" w:id="1">
    <w:p w14:paraId="527C2060" w14:textId="77777777" w:rsidR="001D2CEC" w:rsidRDefault="001D2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44277" w14:textId="77777777" w:rsidR="001D2CEC" w:rsidRDefault="001D2CEC" w:rsidP="00907F04">
      <w:r>
        <w:separator/>
      </w:r>
    </w:p>
  </w:footnote>
  <w:footnote w:type="continuationSeparator" w:id="0">
    <w:p w14:paraId="601B0E83" w14:textId="77777777" w:rsidR="001D2CEC" w:rsidRDefault="001D2CEC" w:rsidP="00907F04">
      <w:r>
        <w:continuationSeparator/>
      </w:r>
    </w:p>
  </w:footnote>
  <w:footnote w:type="continuationNotice" w:id="1">
    <w:p w14:paraId="2B04A083" w14:textId="77777777" w:rsidR="001D2CEC" w:rsidRDefault="001D2C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2CEC"/>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1778"/>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740"/>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0947"/>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5947"/>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77B0-C354-8A44-BB9C-1817318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64557</Words>
  <Characters>367981</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cp:revision>
  <cp:lastPrinted>2019-03-04T18:31:00Z</cp:lastPrinted>
  <dcterms:created xsi:type="dcterms:W3CDTF">2019-07-30T13:54:00Z</dcterms:created>
  <dcterms:modified xsi:type="dcterms:W3CDTF">2019-07-30T21:42:00Z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