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A5C0F">
      <w:pPr>
        <w:pStyle w:val="Heading1"/>
        <w:spacing w:before="0" w:line="360" w:lineRule="auto"/>
        <w:rPr>
          <w:rFonts w:ascii="Arial" w:hAnsi="Arial" w:cs="Arial"/>
          <w:color w:val="000000" w:themeColor="text1"/>
          <w:sz w:val="24"/>
          <w:szCs w:val="24"/>
        </w:rPr>
      </w:pPr>
      <w:r w:rsidRPr="0099408D">
        <w:rPr>
          <w:rFonts w:ascii="Arial" w:hAnsi="Arial" w:cs="Arial"/>
          <w:color w:val="000000" w:themeColor="text1"/>
          <w:sz w:val="24"/>
          <w:szCs w:val="24"/>
        </w:rPr>
        <w:t>Title:</w:t>
      </w:r>
    </w:p>
    <w:p w14:paraId="26F75320" w14:textId="197A1B51" w:rsidR="00245445" w:rsidRPr="00E803D4" w:rsidRDefault="00033EA6" w:rsidP="008A5C0F">
      <w:pPr>
        <w:pStyle w:val="Heading1"/>
        <w:spacing w:before="0" w:line="360" w:lineRule="auto"/>
        <w:rPr>
          <w:rFonts w:ascii="Arial" w:hAnsi="Arial" w:cs="Arial"/>
          <w:b w:val="0"/>
          <w:bCs w:val="0"/>
          <w:color w:val="000000" w:themeColor="text1"/>
          <w:sz w:val="22"/>
          <w:szCs w:val="22"/>
        </w:rPr>
      </w:pPr>
      <w:r w:rsidRPr="00E803D4">
        <w:rPr>
          <w:rFonts w:ascii="Arial" w:hAnsi="Arial" w:cs="Arial"/>
          <w:b w:val="0"/>
          <w:bCs w:val="0"/>
          <w:color w:val="000000" w:themeColor="text1"/>
          <w:sz w:val="22"/>
          <w:szCs w:val="22"/>
        </w:rPr>
        <w:t xml:space="preserve">Skeletal </w:t>
      </w:r>
      <w:r w:rsidR="00245445" w:rsidRPr="00E803D4">
        <w:rPr>
          <w:rFonts w:ascii="Arial" w:hAnsi="Arial" w:cs="Arial"/>
          <w:b w:val="0"/>
          <w:bCs w:val="0"/>
          <w:color w:val="000000" w:themeColor="text1"/>
          <w:sz w:val="22"/>
          <w:szCs w:val="22"/>
        </w:rPr>
        <w:t xml:space="preserve">Muscle mTORC1 Activation </w:t>
      </w:r>
      <w:r w:rsidR="000740D6" w:rsidRPr="00E803D4">
        <w:rPr>
          <w:rFonts w:ascii="Arial" w:hAnsi="Arial" w:cs="Arial"/>
          <w:b w:val="0"/>
          <w:bCs w:val="0"/>
          <w:color w:val="000000" w:themeColor="text1"/>
          <w:sz w:val="22"/>
          <w:szCs w:val="22"/>
        </w:rPr>
        <w:t>Increase</w:t>
      </w:r>
      <w:r w:rsidRPr="00E803D4">
        <w:rPr>
          <w:rFonts w:ascii="Arial" w:hAnsi="Arial" w:cs="Arial"/>
          <w:b w:val="0"/>
          <w:bCs w:val="0"/>
          <w:color w:val="000000" w:themeColor="text1"/>
          <w:sz w:val="22"/>
          <w:szCs w:val="22"/>
        </w:rPr>
        <w:t>s</w:t>
      </w:r>
      <w:r w:rsidR="000740D6" w:rsidRPr="00E803D4">
        <w:rPr>
          <w:rFonts w:ascii="Arial" w:hAnsi="Arial" w:cs="Arial"/>
          <w:b w:val="0"/>
          <w:bCs w:val="0"/>
          <w:color w:val="000000" w:themeColor="text1"/>
          <w:sz w:val="22"/>
          <w:szCs w:val="22"/>
        </w:rPr>
        <w:t xml:space="preserve"> Energy Expenditure and </w:t>
      </w:r>
      <w:r w:rsidRPr="00E803D4">
        <w:rPr>
          <w:rFonts w:ascii="Arial" w:hAnsi="Arial" w:cs="Arial"/>
          <w:b w:val="0"/>
          <w:bCs w:val="0"/>
          <w:color w:val="000000" w:themeColor="text1"/>
          <w:sz w:val="22"/>
          <w:szCs w:val="22"/>
        </w:rPr>
        <w:t xml:space="preserve">Reduces </w:t>
      </w:r>
      <w:r w:rsidR="0064581C" w:rsidRPr="00E803D4">
        <w:rPr>
          <w:rFonts w:ascii="Arial" w:hAnsi="Arial" w:cs="Arial"/>
          <w:b w:val="0"/>
          <w:bCs w:val="0"/>
          <w:color w:val="000000" w:themeColor="text1"/>
          <w:sz w:val="22"/>
          <w:szCs w:val="22"/>
        </w:rPr>
        <w:t xml:space="preserve">Longevity </w:t>
      </w:r>
      <w:r w:rsidR="00B91EDD" w:rsidRPr="00E803D4">
        <w:rPr>
          <w:rFonts w:ascii="Arial" w:hAnsi="Arial" w:cs="Arial"/>
          <w:b w:val="0"/>
          <w:bCs w:val="0"/>
          <w:color w:val="000000" w:themeColor="text1"/>
          <w:sz w:val="22"/>
          <w:szCs w:val="22"/>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Author names and affiliations:</w:t>
      </w:r>
    </w:p>
    <w:p w14:paraId="27026BB1" w14:textId="760C401B"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JeAnna</w:t>
      </w:r>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Detrick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A8280B" w:rsidRPr="00D71F75">
        <w:rPr>
          <w:rFonts w:ascii="Arial" w:hAnsi="Arial" w:cs="Arial"/>
          <w:color w:val="000000" w:themeColor="text1"/>
          <w:sz w:val="22"/>
          <w:szCs w:val="22"/>
        </w:rPr>
        <w:t>Lu</w:t>
      </w:r>
      <w:r w:rsidR="00A8280B">
        <w:rPr>
          <w:rFonts w:ascii="Arial" w:hAnsi="Arial" w:cs="Arial"/>
          <w:color w:val="000000" w:themeColor="text1"/>
          <w:sz w:val="22"/>
          <w:szCs w:val="22"/>
          <w:vertAlign w:val="superscript"/>
        </w:rPr>
        <w:t>8</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9137E9">
        <w:rPr>
          <w:rFonts w:ascii="Arial" w:hAnsi="Arial" w:cs="Arial"/>
          <w:color w:val="000000" w:themeColor="text1"/>
          <w:sz w:val="22"/>
          <w:szCs w:val="22"/>
          <w:vertAlign w:val="superscript"/>
        </w:rPr>
        <w:t>*</w:t>
      </w:r>
      <w:r w:rsidR="009137E9" w:rsidRPr="009137E9">
        <w:rPr>
          <w:rFonts w:ascii="Arial" w:hAnsi="Arial" w:cs="Arial"/>
          <w:color w:val="000000" w:themeColor="text1"/>
          <w:sz w:val="22"/>
          <w:szCs w:val="22"/>
          <w:vertAlign w:val="superscript"/>
        </w:rPr>
        <w:t>,</w:t>
      </w:r>
      <w:r w:rsidR="00D71F75" w:rsidRPr="00D71F75">
        <w:rPr>
          <w:rFonts w:ascii="Arial" w:hAnsi="Arial" w:cs="Arial"/>
          <w:color w:val="000000" w:themeColor="text1"/>
          <w:sz w:val="22"/>
          <w:szCs w:val="22"/>
          <w:vertAlign w:val="superscript"/>
        </w:rPr>
        <w:t>1,2,4,5</w:t>
      </w:r>
      <w:r w:rsidR="00A8280B">
        <w:rPr>
          <w:rFonts w:ascii="Arial" w:hAnsi="Arial" w:cs="Arial"/>
          <w:color w:val="000000" w:themeColor="text1"/>
          <w:sz w:val="22"/>
          <w:szCs w:val="22"/>
          <w:vertAlign w:val="superscript"/>
        </w:rPr>
        <w:t>,8</w:t>
      </w:r>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 xml:space="preserve">Postal 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Telephone: +1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0844E3F3" w14:textId="564E4844" w:rsidR="002D338B" w:rsidRDefault="002D338B" w:rsidP="004E2C1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27F94DC5" w:rsidR="002D338B" w:rsidRDefault="000A5478" w:rsidP="004E2C1E">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 xml:space="preserve">have </w:t>
      </w:r>
      <w:r w:rsidR="002D338B">
        <w:rPr>
          <w:rFonts w:ascii="Arial" w:hAnsi="Arial" w:cs="Arial"/>
          <w:color w:val="000000" w:themeColor="text1"/>
          <w:sz w:val="22"/>
          <w:szCs w:val="22"/>
        </w:rPr>
        <w:t>no competing interests</w:t>
      </w:r>
      <w:r>
        <w:rPr>
          <w:rFonts w:ascii="Arial" w:hAnsi="Arial" w:cs="Arial"/>
          <w:color w:val="000000" w:themeColor="text1"/>
          <w:sz w:val="22"/>
          <w:szCs w:val="22"/>
        </w:rPr>
        <w:t xml:space="preserve"> 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sidR="00DE2DB0">
        <w:rPr>
          <w:rFonts w:ascii="Arial" w:hAnsi="Arial" w:cs="Arial"/>
          <w:color w:val="000000" w:themeColor="text1"/>
          <w:sz w:val="22"/>
          <w:szCs w:val="22"/>
        </w:rPr>
        <w:t>.</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8FD25D7" w14:textId="4A0A4959"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Abstract</w:t>
      </w:r>
      <w:r w:rsidR="00995DC3">
        <w:rPr>
          <w:rFonts w:ascii="Arial" w:hAnsi="Arial" w:cs="Arial"/>
          <w:color w:val="000000" w:themeColor="text1"/>
          <w:sz w:val="22"/>
          <w:szCs w:val="22"/>
        </w:rPr>
        <w:t>:</w:t>
      </w:r>
    </w:p>
    <w:p w14:paraId="14B88E53" w14:textId="789AE86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sidR="006B7740">
        <w:rPr>
          <w:rFonts w:ascii="Arial" w:hAnsi="Arial" w:cs="Arial"/>
          <w:color w:val="000000" w:themeColor="text1"/>
          <w:sz w:val="22"/>
          <w:szCs w:val="22"/>
        </w:rPr>
        <w:t>Here, 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r w:rsidR="006B7740">
        <w:rPr>
          <w:rFonts w:ascii="Arial" w:hAnsi="Arial" w:cs="Arial"/>
          <w:color w:val="000000" w:themeColor="text1"/>
          <w:sz w:val="22"/>
          <w:szCs w:val="22"/>
        </w:rPr>
        <w:t xml:space="preserve"> </w:t>
      </w: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mechanisms that involve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Additionally, we </w:t>
      </w:r>
      <w:r>
        <w:rPr>
          <w:rFonts w:ascii="Arial" w:hAnsi="Arial" w:cs="Arial"/>
          <w:color w:val="000000" w:themeColor="text1"/>
          <w:sz w:val="22"/>
          <w:szCs w:val="22"/>
        </w:rPr>
        <w:t>report</w:t>
      </w:r>
      <w:r w:rsidRPr="00D71F75">
        <w:rPr>
          <w:rFonts w:ascii="Arial" w:hAnsi="Arial" w:cs="Arial"/>
          <w:color w:val="000000" w:themeColor="text1"/>
          <w:sz w:val="22"/>
          <w:szCs w:val="22"/>
        </w:rPr>
        <w:t xml:space="preserve"> that constitutive activation of mTORC1 in skeletal muscle reduces lifespan. These findings support the hypothesis that activation of mTORC1 and its downstream targets, specifically in skeletal muscle, may play a role in nutrient-dependent thermogenesis and aging. </w:t>
      </w:r>
    </w:p>
    <w:p w14:paraId="44F3A833" w14:textId="77777777" w:rsidR="00995DC3" w:rsidRDefault="00995DC3" w:rsidP="0035485C">
      <w:pPr>
        <w:spacing w:line="360" w:lineRule="auto"/>
        <w:rPr>
          <w:rFonts w:ascii="Arial" w:hAnsi="Arial" w:cs="Arial"/>
          <w:b/>
          <w:bCs/>
          <w:color w:val="000000" w:themeColor="text1"/>
          <w:sz w:val="22"/>
          <w:szCs w:val="22"/>
        </w:rPr>
      </w:pPr>
    </w:p>
    <w:p w14:paraId="5EE03E6B" w14:textId="63F0866D" w:rsidR="00AA6C9F" w:rsidRPr="00D71F75" w:rsidRDefault="00AA6C9F" w:rsidP="0035485C">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 aging, obesity</w:t>
      </w:r>
      <w:r w:rsidR="006B7740">
        <w:rPr>
          <w:rFonts w:ascii="Arial" w:hAnsi="Arial" w:cs="Arial"/>
          <w:color w:val="000000" w:themeColor="text1"/>
          <w:sz w:val="22"/>
          <w:szCs w:val="22"/>
        </w:rPr>
        <w:t>, sarcolipin</w:t>
      </w:r>
    </w:p>
    <w:p w14:paraId="42A16D24" w14:textId="66F269A0"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Introduction</w:t>
      </w:r>
    </w:p>
    <w:p w14:paraId="0F4F6248" w14:textId="08521490"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867669" w:rsidRPr="00D71F75">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[1]</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E2598A" w:rsidRPr="00D71F75">
        <w:rPr>
          <w:rFonts w:ascii="Arial" w:hAnsi="Arial" w:cs="Arial"/>
          <w:color w:val="000000" w:themeColor="text1"/>
          <w:sz w:val="22"/>
          <w:szCs w:val="22"/>
        </w:rPr>
        <w:t>Current</w:t>
      </w:r>
      <w:r w:rsidR="00AC305E" w:rsidRPr="00D71F75">
        <w:rPr>
          <w:rFonts w:ascii="Arial" w:hAnsi="Arial" w:cs="Arial"/>
          <w:color w:val="000000" w:themeColor="text1"/>
          <w:sz w:val="22"/>
          <w:szCs w:val="22"/>
        </w:rPr>
        <w:t xml:space="preserve"> modalities to prevent or reverse</w:t>
      </w:r>
      <w:r w:rsidR="00E2598A" w:rsidRPr="00D71F75">
        <w:rPr>
          <w:rFonts w:ascii="Arial" w:hAnsi="Arial" w:cs="Arial"/>
          <w:color w:val="000000" w:themeColor="text1"/>
          <w:sz w:val="22"/>
          <w:szCs w:val="22"/>
        </w:rPr>
        <w:t xml:space="preserve"> obesity are ineffective and short-lived</w:t>
      </w:r>
      <w:r w:rsidR="002748C8" w:rsidRPr="00D71F75">
        <w:rPr>
          <w:rFonts w:ascii="Arial" w:hAnsi="Arial" w:cs="Arial"/>
          <w:color w:val="000000" w:themeColor="text1"/>
          <w:sz w:val="22"/>
          <w:szCs w:val="22"/>
        </w:rPr>
        <w:t>,</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either </w:t>
      </w:r>
      <w:r w:rsidR="00E2598A" w:rsidRPr="00D71F75">
        <w:rPr>
          <w:rFonts w:ascii="Arial" w:hAnsi="Arial" w:cs="Arial"/>
          <w:color w:val="000000" w:themeColor="text1"/>
          <w:sz w:val="22"/>
          <w:szCs w:val="22"/>
        </w:rPr>
        <w:t>due to</w:t>
      </w:r>
      <w:r w:rsidR="00CD6826" w:rsidRPr="00D71F75">
        <w:rPr>
          <w:rFonts w:ascii="Arial" w:hAnsi="Arial" w:cs="Arial"/>
          <w:color w:val="000000" w:themeColor="text1"/>
          <w:sz w:val="22"/>
          <w:szCs w:val="22"/>
        </w:rPr>
        <w:t xml:space="preserve"> poor</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adherence to </w:t>
      </w:r>
      <w:r w:rsidR="00CD6826" w:rsidRPr="00D71F75">
        <w:rPr>
          <w:rFonts w:ascii="Arial" w:hAnsi="Arial" w:cs="Arial"/>
          <w:color w:val="000000" w:themeColor="text1"/>
          <w:sz w:val="22"/>
          <w:szCs w:val="22"/>
        </w:rPr>
        <w:t xml:space="preserve">lifestyle </w:t>
      </w:r>
      <w:r w:rsidR="00A32136" w:rsidRPr="00D71F75">
        <w:rPr>
          <w:rFonts w:ascii="Arial" w:hAnsi="Arial" w:cs="Arial"/>
          <w:color w:val="000000" w:themeColor="text1"/>
          <w:sz w:val="22"/>
          <w:szCs w:val="22"/>
        </w:rPr>
        <w:t xml:space="preserve">interventions or </w:t>
      </w:r>
      <w:r w:rsidR="00E2598A" w:rsidRPr="00D71F75">
        <w:rPr>
          <w:rFonts w:ascii="Arial" w:hAnsi="Arial" w:cs="Arial"/>
          <w:color w:val="000000" w:themeColor="text1"/>
          <w:sz w:val="22"/>
          <w:szCs w:val="22"/>
        </w:rPr>
        <w:t xml:space="preserve">reductions in energy expenditure and increases in hunger after weight loss </w:t>
      </w:r>
      <w:r w:rsidR="00E2598A" w:rsidRPr="00D71F75">
        <w:rPr>
          <w:rFonts w:ascii="Arial" w:hAnsi="Arial" w:cs="Arial"/>
          <w:color w:val="000000" w:themeColor="text1"/>
          <w:sz w:val="22"/>
          <w:szCs w:val="22"/>
        </w:rPr>
        <w:fldChar w:fldCharType="begin" w:fldLock="1"/>
      </w:r>
      <w:r w:rsidR="00D04C5A" w:rsidRPr="00D71F75">
        <w:rPr>
          <w:rFonts w:ascii="Arial" w:hAnsi="Arial" w:cs="Arial"/>
          <w:color w:val="000000" w:themeColor="text1"/>
          <w:sz w:val="22"/>
          <w:szCs w:val="22"/>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[2–4]</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 xml:space="preserve">.  </w:t>
      </w:r>
      <w:r w:rsidR="00974B1E" w:rsidRPr="00D71F75">
        <w:rPr>
          <w:rFonts w:ascii="Arial" w:hAnsi="Arial" w:cs="Arial"/>
          <w:color w:val="000000" w:themeColor="text1"/>
          <w:sz w:val="22"/>
          <w:szCs w:val="22"/>
        </w:rPr>
        <w:t xml:space="preserve">The genetic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[5–8]</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21764288"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[9]</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[10–12]</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[13]</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[14–16]</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[10,17]</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093CE57C"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[18,19]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myoatrophy,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[6,20,21]</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[22–24]</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[25–27]</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672DEBCE"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[28–33]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[20,34,35]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7CCB0C71" w:rsidR="009B110D"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14A94BC8" w:rsidR="00802891" w:rsidRPr="00D71F75" w:rsidRDefault="00802891"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077DDD54" w:rsidR="00365FE9"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w:t>
      </w:r>
      <w:r w:rsidR="00A97268" w:rsidRPr="00D71F75">
        <w:rPr>
          <w:rFonts w:ascii="Arial" w:hAnsi="Arial" w:cs="Arial"/>
          <w:bCs/>
          <w:color w:val="000000" w:themeColor="text1"/>
          <w:sz w:val="22"/>
          <w:szCs w:val="22"/>
        </w:rPr>
        <w:lastRenderedPageBreak/>
        <w:t>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02A09D1C" w14:textId="77777777" w:rsidR="003F29AF" w:rsidRPr="00D71F75" w:rsidRDefault="003F29AF" w:rsidP="002D338B">
      <w:pPr>
        <w:spacing w:line="360" w:lineRule="auto"/>
        <w:rPr>
          <w:rFonts w:ascii="Arial" w:hAnsi="Arial" w:cs="Arial"/>
          <w:bCs/>
          <w:color w:val="000000" w:themeColor="text1"/>
          <w:sz w:val="22"/>
          <w:szCs w:val="22"/>
        </w:rPr>
      </w:pPr>
    </w:p>
    <w:p w14:paraId="6C4B3B25" w14:textId="3DCCED88" w:rsidR="0039667E" w:rsidRPr="00D71F75" w:rsidRDefault="00B3409A"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11948D2E" w:rsidR="00540EBE"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D72F59" w:rsidRPr="00D71F75">
        <w:rPr>
          <w:rFonts w:ascii="Arial" w:hAnsi="Arial" w:cs="Arial"/>
          <w:noProof/>
          <w:color w:val="000000" w:themeColor="text1"/>
          <w:sz w:val="22"/>
          <w:szCs w:val="22"/>
        </w:rPr>
        <w:t>[36,37]</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363043" w:rsidRPr="00D71F75">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AB48EA" w:rsidRPr="00D71F75">
        <w:rPr>
          <w:rFonts w:ascii="Arial" w:hAnsi="Arial" w:cs="Arial"/>
          <w:noProof/>
          <w:color w:val="000000" w:themeColor="text1"/>
          <w:sz w:val="22"/>
          <w:szCs w:val="22"/>
        </w:rPr>
        <w:t>[38]</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0AF8D6F6" w14:textId="77777777" w:rsidR="003F29AF" w:rsidRPr="00D71F75" w:rsidRDefault="003F29AF" w:rsidP="002D338B">
      <w:pPr>
        <w:spacing w:line="360" w:lineRule="auto"/>
        <w:rPr>
          <w:rFonts w:ascii="Arial" w:hAnsi="Arial" w:cs="Arial"/>
          <w:color w:val="000000" w:themeColor="text1"/>
          <w:sz w:val="22"/>
          <w:szCs w:val="22"/>
        </w:rPr>
      </w:pPr>
    </w:p>
    <w:p w14:paraId="14F5C443" w14:textId="79C144E2" w:rsidR="00540EBE" w:rsidRPr="00D71F75" w:rsidRDefault="00540EBE" w:rsidP="002D338B">
      <w:pPr>
        <w:pStyle w:val="Heading2"/>
        <w:spacing w:line="360" w:lineRule="auto"/>
        <w:rPr>
          <w:rFonts w:ascii="Arial" w:hAnsi="Arial" w:cs="Arial"/>
          <w:color w:val="000000" w:themeColor="text1"/>
          <w:sz w:val="22"/>
          <w:szCs w:val="22"/>
        </w:rPr>
      </w:pPr>
      <w:proofErr w:type="spellStart"/>
      <w:r w:rsidRPr="00D71F75">
        <w:rPr>
          <w:rFonts w:ascii="Arial" w:hAnsi="Arial" w:cs="Arial"/>
          <w:color w:val="000000" w:themeColor="text1"/>
          <w:sz w:val="22"/>
          <w:szCs w:val="22"/>
        </w:rPr>
        <w:t>Hyperinsulinemic</w:t>
      </w:r>
      <w:proofErr w:type="spellEnd"/>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52BF496D"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w:t>
      </w:r>
      <w:r w:rsidRPr="00D71F75">
        <w:rPr>
          <w:rFonts w:ascii="Arial" w:hAnsi="Arial" w:cs="Arial"/>
          <w:color w:val="000000" w:themeColor="text1"/>
          <w:sz w:val="22"/>
          <w:szCs w:val="22"/>
        </w:rPr>
        <w:lastRenderedPageBreak/>
        <w:t xml:space="preserve">animals using techniques described previously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May","issued":{"date-parts":[["2018","4","11"]]},"page":"2275-2287","title":"Glucocorticoid-Induced Metabolic Disturbances are Exacerbated in Obese Male Mice","type":"article-journal","volume":"159"},"uris":["http://www.mendeley.com/documents/?uuid=6ec0e613-d4f0-494b-a956-b4348353f8ad"]}],"mendeley":{"formattedCitation":"[39–42]","plainTextFormattedCitation":"[39–42]","previouslyFormattedCitation":"[39–41]"},"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[39–42]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mg/dL)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H]glucose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[40,41,43]","plainTextFormattedCitation":"[40,41,43]","previouslyFormattedCitation":"[40–42]"},"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[40,41,43]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067C8113" w:rsidR="00540EBE" w:rsidRPr="00D71F75" w:rsidRDefault="00540EBE"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717069D3" w:rsidR="00540EBE" w:rsidRPr="00D71F75" w:rsidRDefault="00F82FCB" w:rsidP="002D338B">
      <w:pPr>
        <w:spacing w:line="360" w:lineRule="auto"/>
        <w:rPr>
          <w:rFonts w:ascii="Arial" w:hAnsi="Arial" w:cs="Arial"/>
          <w:b/>
          <w:bCs/>
          <w:color w:val="000000" w:themeColor="text1"/>
          <w:sz w:val="22"/>
          <w:szCs w:val="22"/>
        </w:rPr>
      </w:pPr>
      <w:r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5196FF5E" w:rsidR="00A269C3"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a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A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w:t>
      </w:r>
      <w:proofErr w:type="spellStart"/>
      <w:r w:rsidRPr="00D71F75">
        <w:rPr>
          <w:rFonts w:ascii="Arial" w:hAnsi="Arial" w:cs="Arial"/>
          <w:color w:val="000000" w:themeColor="text1"/>
          <w:sz w:val="22"/>
          <w:szCs w:val="22"/>
        </w:rPr>
        <w:t>RNAseq</w:t>
      </w:r>
      <w:proofErr w:type="spellEnd"/>
      <w:r w:rsidRPr="00D71F75">
        <w:rPr>
          <w:rFonts w:ascii="Arial" w:hAnsi="Arial" w:cs="Arial"/>
          <w:color w:val="000000" w:themeColor="text1"/>
          <w:sz w:val="22"/>
          <w:szCs w:val="22"/>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[44]","plainTextFormattedCitation":"[44]","previouslyFormattedCitation":"[43]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w:t>
      </w:r>
      <w:r w:rsidRPr="00D71F75">
        <w:rPr>
          <w:rFonts w:ascii="Arial" w:hAnsi="Arial" w:cs="Arial"/>
          <w:color w:val="000000" w:themeColor="text1"/>
          <w:sz w:val="22"/>
          <w:szCs w:val="22"/>
        </w:rPr>
        <w:lastRenderedPageBreak/>
        <w:t xml:space="preserve">Bowtie 1.0.0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[45]","plainTextFormattedCitation":"[45]","previouslyFormattedCitation":"[44]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[45]</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[46]","plainTextFormattedCitation":"[46]","previouslyFormattedCitation":"[45]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[46]</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[47]","plainTextFormattedCitation":"[47]","previouslyFormattedCitation":"[46]"},"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[47]</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[48,49]","plainTextFormattedCitation":"[48,49]","previouslyFormattedCitation":"[47,48]"},"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[48,49]</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[50]</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28CFA2CD" w14:textId="77777777" w:rsidR="003F29AF" w:rsidRPr="00D71F75" w:rsidRDefault="003F29AF" w:rsidP="002D338B">
      <w:pPr>
        <w:spacing w:line="360" w:lineRule="auto"/>
        <w:rPr>
          <w:rFonts w:ascii="Arial" w:hAnsi="Arial" w:cs="Arial"/>
          <w:color w:val="000000" w:themeColor="text1"/>
          <w:sz w:val="22"/>
          <w:szCs w:val="22"/>
        </w:rPr>
      </w:pPr>
    </w:p>
    <w:p w14:paraId="12E50883" w14:textId="0098BF23" w:rsidR="00540EBE" w:rsidRPr="00D71F75" w:rsidRDefault="00540EBE"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Western Blotting</w:t>
      </w:r>
    </w:p>
    <w:p w14:paraId="77844FCB" w14:textId="3A1665BC" w:rsidR="00540EBE"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mM Tris pH 7.4, 0.25% sodium deoxycholate, 1% NP40, 150 mM sodium </w:t>
      </w:r>
      <w:proofErr w:type="spellStart"/>
      <w:r w:rsidRPr="00D71F75">
        <w:rPr>
          <w:rFonts w:ascii="Arial" w:hAnsi="Arial" w:cs="Arial"/>
          <w:color w:val="000000" w:themeColor="text1"/>
          <w:sz w:val="22"/>
          <w:szCs w:val="22"/>
        </w:rPr>
        <w:t>choride</w:t>
      </w:r>
      <w:proofErr w:type="spellEnd"/>
      <w:r w:rsidRPr="00D71F75">
        <w:rPr>
          <w:rFonts w:ascii="Arial" w:hAnsi="Arial" w:cs="Arial"/>
          <w:color w:val="000000" w:themeColor="text1"/>
          <w:sz w:val="22"/>
          <w:szCs w:val="22"/>
        </w:rPr>
        <w:t xml:space="preserve">, 1 mM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mM sodium pyrophosphate and 1X protease inhibitors) or HTNG buffer (50 mM HEPES, pH 7.4, 150 mM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antibodies used in this study were raised against pS6 (pSer236/236, Cell Signaling #2211), S6 (Cell Signaling #2317), </w:t>
      </w:r>
      <w:r w:rsidRPr="00A8280B">
        <w:rPr>
          <w:rFonts w:ascii="Arial" w:hAnsi="Arial" w:cs="Arial"/>
          <w:color w:val="000000" w:themeColor="text1"/>
          <w:sz w:val="22"/>
          <w:szCs w:val="22"/>
        </w:rPr>
        <w:t>GAPDH (</w:t>
      </w:r>
      <w:proofErr w:type="spellStart"/>
      <w:r w:rsidR="006F3DC6" w:rsidRPr="00A8280B">
        <w:rPr>
          <w:rFonts w:ascii="Arial" w:hAnsi="Arial" w:cs="Arial"/>
          <w:color w:val="000000" w:themeColor="text1"/>
          <w:sz w:val="22"/>
          <w:szCs w:val="22"/>
        </w:rPr>
        <w:t>Proteintech</w:t>
      </w:r>
      <w:proofErr w:type="spellEnd"/>
      <w:r w:rsidR="006F3DC6" w:rsidRPr="00A8280B">
        <w:rPr>
          <w:rFonts w:ascii="Arial" w:hAnsi="Arial" w:cs="Arial"/>
          <w:color w:val="000000" w:themeColor="text1"/>
          <w:sz w:val="22"/>
          <w:szCs w:val="22"/>
        </w:rPr>
        <w:t xml:space="preserve"> #10494</w:t>
      </w:r>
      <w:r w:rsidRPr="00A8280B">
        <w:rPr>
          <w:rFonts w:ascii="Arial" w:hAnsi="Arial" w:cs="Arial"/>
          <w:color w:val="000000" w:themeColor="text1"/>
          <w:sz w:val="22"/>
          <w:szCs w:val="22"/>
        </w:rPr>
        <w:t>) and Sarcolipin (</w:t>
      </w:r>
      <w:r w:rsidR="006F3DC6" w:rsidRPr="00A8280B">
        <w:rPr>
          <w:rFonts w:ascii="Arial" w:hAnsi="Arial" w:cs="Arial"/>
          <w:color w:val="000000" w:themeColor="text1"/>
          <w:sz w:val="22"/>
          <w:szCs w:val="22"/>
        </w:rPr>
        <w:t xml:space="preserve">EMD Millipore </w:t>
      </w:r>
      <w:r w:rsidRPr="00A8280B">
        <w:rPr>
          <w:rFonts w:ascii="Arial" w:hAnsi="Arial" w:cs="Arial"/>
          <w:color w:val="000000" w:themeColor="text1"/>
          <w:sz w:val="22"/>
          <w:szCs w:val="22"/>
        </w:rPr>
        <w:t>#</w:t>
      </w:r>
      <w:r w:rsidR="006F3DC6" w:rsidRPr="00A8280B">
        <w:rPr>
          <w:rFonts w:ascii="Arial" w:hAnsi="Arial" w:cs="Arial"/>
          <w:color w:val="000000" w:themeColor="text1"/>
          <w:sz w:val="22"/>
          <w:szCs w:val="22"/>
        </w:rPr>
        <w:t>ABT-13</w:t>
      </w:r>
      <w:r w:rsidRPr="00A8280B">
        <w:rPr>
          <w:rFonts w:ascii="Arial" w:hAnsi="Arial" w:cs="Arial"/>
          <w:color w:val="000000" w:themeColor="text1"/>
          <w:sz w:val="22"/>
          <w:szCs w:val="22"/>
        </w:rPr>
        <w:t>)</w:t>
      </w:r>
      <w:r w:rsidRPr="006F3DC6">
        <w:rPr>
          <w:rFonts w:ascii="Arial" w:hAnsi="Arial" w:cs="Arial"/>
          <w:color w:val="000000" w:themeColor="text1"/>
          <w:sz w:val="22"/>
          <w:szCs w:val="22"/>
        </w:rPr>
        <w:t>.</w:t>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539F1524" w14:textId="77777777" w:rsidR="003F29AF" w:rsidRPr="00D71F75" w:rsidRDefault="003F29AF" w:rsidP="002D338B">
      <w:pPr>
        <w:spacing w:line="360" w:lineRule="auto"/>
        <w:rPr>
          <w:rFonts w:ascii="Arial" w:hAnsi="Arial" w:cs="Arial"/>
          <w:color w:val="000000" w:themeColor="text1"/>
          <w:sz w:val="22"/>
          <w:szCs w:val="22"/>
        </w:rPr>
      </w:pPr>
    </w:p>
    <w:p w14:paraId="4C294C40" w14:textId="7EE96260" w:rsidR="00F82FCB" w:rsidRPr="00D71F75" w:rsidRDefault="00F82FCB" w:rsidP="002D338B">
      <w:pPr>
        <w:pStyle w:val="Heading2"/>
        <w:spacing w:line="360" w:lineRule="auto"/>
        <w:rPr>
          <w:rFonts w:ascii="Arial" w:eastAsiaTheme="minorEastAsia" w:hAnsi="Arial" w:cs="Arial"/>
          <w:b w:val="0"/>
          <w:bCs w:val="0"/>
          <w:color w:val="000000" w:themeColor="text1"/>
          <w:sz w:val="22"/>
          <w:szCs w:val="22"/>
        </w:rPr>
      </w:pPr>
      <w:r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Pr="00D71F75">
        <w:rPr>
          <w:rFonts w:ascii="Arial" w:hAnsi="Arial" w:cs="Arial"/>
          <w:color w:val="000000" w:themeColor="text1"/>
          <w:sz w:val="22"/>
          <w:szCs w:val="22"/>
        </w:rPr>
        <w:t>Staining</w:t>
      </w:r>
    </w:p>
    <w:p w14:paraId="297FA3EB" w14:textId="3B57EF10" w:rsidR="00024386"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r w:rsidR="00A11350" w:rsidRPr="00D71F75">
        <w:rPr>
          <w:rFonts w:ascii="Arial" w:hAnsi="Arial" w:cs="Arial"/>
          <w:b w:val="0"/>
          <w:color w:val="000000" w:themeColor="text1"/>
          <w:sz w:val="22"/>
          <w:szCs w:val="22"/>
        </w:rPr>
        <w:t xml:space="preserve">isopentane,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200 mM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1.13 mM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r w:rsidR="001C6BCC" w:rsidRPr="00D71F75">
        <w:rPr>
          <w:rFonts w:ascii="Arial" w:hAnsi="Arial" w:cs="Arial"/>
          <w:b w:val="0"/>
          <w:color w:val="000000" w:themeColor="text1"/>
          <w:sz w:val="22"/>
          <w:szCs w:val="22"/>
        </w:rPr>
        <w:t>Thermo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377B011F" w14:textId="77777777" w:rsidR="00432D4F" w:rsidRPr="00432D4F" w:rsidRDefault="00432D4F" w:rsidP="00432D4F"/>
    <w:p w14:paraId="25428308" w14:textId="5A6FF3B6" w:rsidR="00AE30D5" w:rsidRPr="00D71F75" w:rsidRDefault="00AE30D5" w:rsidP="002D338B">
      <w:pPr>
        <w:pStyle w:val="Heading2"/>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Statistical Analyses</w:t>
      </w:r>
    </w:p>
    <w:p w14:paraId="08382C47" w14:textId="2EB231C5"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[51]","plainTextFormattedCitation":"[51]","previouslyFormattedCitation":"[50]"},"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 xml:space="preserve">For longitudinal measurements (body weights, fat mass and lean mass), data were analyzed by mixed linear models using </w:t>
      </w:r>
      <w:r w:rsidR="00396BD8" w:rsidRPr="00D71F75">
        <w:rPr>
          <w:rFonts w:ascii="Arial" w:hAnsi="Arial" w:cs="Arial"/>
          <w:color w:val="000000" w:themeColor="text1"/>
          <w:sz w:val="22"/>
          <w:szCs w:val="22"/>
        </w:rPr>
        <w:lastRenderedPageBreak/>
        <w:t>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[52]","plainTextFormattedCitation":"[52]","previouslyFormattedCitation":"[51]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[52]</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w:t>
      </w:r>
      <w:r w:rsidR="00812E5D">
        <w:rPr>
          <w:rFonts w:ascii="Arial" w:hAnsi="Arial" w:cs="Arial"/>
          <w:color w:val="000000" w:themeColor="text1"/>
          <w:sz w:val="22"/>
          <w:szCs w:val="22"/>
        </w:rPr>
        <w:t>likelihood ratio</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[53,54]","plainTextFormattedCitation":"[53,54]","previouslyFormattedCitation":"[52,53]"},"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[53,54]</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[55]","plainTextFormattedCitation":"[55]","previouslyFormattedCitation":"[54]"},"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[55]</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9"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13E575A5" w:rsidR="007B624A" w:rsidRPr="0052352B" w:rsidRDefault="007B624A" w:rsidP="002D338B">
      <w:pPr>
        <w:pStyle w:val="Heading1"/>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Results</w:t>
      </w:r>
    </w:p>
    <w:p w14:paraId="67FACF5E" w14:textId="64DEFD53" w:rsidR="00EE7DA9" w:rsidRPr="0052352B" w:rsidRDefault="00EE7DA9"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followed by three days of 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0B62C19F" w:rsidR="0087648E" w:rsidRPr="0052352B" w:rsidRDefault="0087648E"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Energy Expenditure</w:t>
      </w:r>
    </w:p>
    <w:p w14:paraId="56C91861" w14:textId="7010598D"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during the dark period </w:t>
      </w:r>
      <w:r w:rsidR="00B44CBD" w:rsidRPr="0052352B">
        <w:rPr>
          <w:rFonts w:ascii="Arial" w:hAnsi="Arial" w:cs="Arial"/>
          <w:color w:val="000000" w:themeColor="text1"/>
          <w:sz w:val="22"/>
          <w:szCs w:val="22"/>
        </w:rPr>
        <w:lastRenderedPageBreak/>
        <w:t>(</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66AAB073" w:rsidR="00184574" w:rsidRPr="0052352B" w:rsidRDefault="00184574" w:rsidP="002D338B">
      <w:pPr>
        <w:spacing w:line="360" w:lineRule="auto"/>
        <w:rPr>
          <w:rFonts w:ascii="Arial" w:hAnsi="Arial" w:cs="Arial"/>
          <w:b/>
          <w:color w:val="000000" w:themeColor="text1"/>
          <w:sz w:val="22"/>
          <w:szCs w:val="22"/>
        </w:rPr>
      </w:pPr>
      <w:r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66F75480"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4E4BB8" w:rsidRPr="0052352B">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8F623B" w:rsidRPr="0052352B">
        <w:rPr>
          <w:rFonts w:ascii="Arial" w:hAnsi="Arial" w:cs="Arial"/>
          <w:noProof/>
          <w:color w:val="000000" w:themeColor="text1"/>
          <w:sz w:val="22"/>
          <w:szCs w:val="22"/>
        </w:rPr>
        <w:t>[5]</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3D4014C1" w:rsidR="0087648E" w:rsidRPr="0052352B" w:rsidRDefault="00350EC3"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5BC50133"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[5,6]</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[6,21]</w:t>
      </w:r>
      <w:r w:rsidR="0087648E" w:rsidRPr="0052352B">
        <w:rPr>
          <w:rFonts w:ascii="Arial" w:hAnsi="Arial" w:cs="Arial"/>
          <w:color w:val="000000" w:themeColor="text1"/>
          <w:sz w:val="22"/>
          <w:szCs w:val="22"/>
        </w:rPr>
        <w:fldChar w:fldCharType="end"/>
      </w:r>
      <w:r w:rsidR="00472BDC"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 xml:space="preserve">the latter </w:t>
      </w:r>
      <w:r w:rsidR="00475646" w:rsidRPr="0052352B">
        <w:rPr>
          <w:rFonts w:ascii="Arial" w:hAnsi="Arial" w:cs="Arial"/>
          <w:color w:val="000000" w:themeColor="text1"/>
          <w:sz w:val="22"/>
          <w:szCs w:val="22"/>
        </w:rPr>
        <w:t xml:space="preserve">finding not replicated </w:t>
      </w:r>
      <w:r w:rsidR="00472BDC" w:rsidRPr="0052352B">
        <w:rPr>
          <w:rFonts w:ascii="Arial" w:hAnsi="Arial" w:cs="Arial"/>
          <w:color w:val="000000" w:themeColor="text1"/>
          <w:sz w:val="22"/>
          <w:szCs w:val="22"/>
        </w:rPr>
        <w:t xml:space="preserve">in </w:t>
      </w:r>
      <w:r w:rsidR="00C174F3" w:rsidRPr="0052352B">
        <w:rPr>
          <w:rFonts w:ascii="Arial" w:hAnsi="Arial" w:cs="Arial"/>
          <w:color w:val="000000" w:themeColor="text1"/>
          <w:sz w:val="22"/>
          <w:szCs w:val="22"/>
        </w:rPr>
        <w:t>this</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5E68F5F2" w:rsidR="00363043" w:rsidRPr="0052352B" w:rsidRDefault="00BE2E30" w:rsidP="002D338B">
      <w:pPr>
        <w:spacing w:line="360" w:lineRule="auto"/>
        <w:rPr>
          <w:rFonts w:ascii="Arial" w:hAnsi="Arial" w:cs="Arial"/>
          <w:b/>
          <w:bCs/>
          <w:color w:val="000000" w:themeColor="text1"/>
          <w:sz w:val="22"/>
          <w:szCs w:val="22"/>
        </w:rPr>
      </w:pPr>
      <w:r w:rsidRPr="0052352B">
        <w:rPr>
          <w:rFonts w:ascii="Arial" w:hAnsi="Arial" w:cs="Arial"/>
          <w:b/>
          <w:bCs/>
          <w:color w:val="000000" w:themeColor="text1"/>
          <w:sz w:val="22"/>
          <w:szCs w:val="22"/>
        </w:rPr>
        <w:t>Activation of mTORC1 in Muscle Does Not Induce Systemic Insulin Resistance</w:t>
      </w:r>
    </w:p>
    <w:p w14:paraId="2B0F47A4" w14:textId="3E486F28" w:rsidR="003167BD" w:rsidRPr="0052352B"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w:t>
      </w:r>
      <w:r w:rsidR="00363043" w:rsidRPr="0052352B">
        <w:rPr>
          <w:rFonts w:ascii="Arial" w:hAnsi="Arial" w:cs="Arial"/>
          <w:color w:val="000000" w:themeColor="text1"/>
          <w:sz w:val="22"/>
          <w:szCs w:val="22"/>
        </w:rPr>
        <w:lastRenderedPageBreak/>
        <w:t xml:space="preserve">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To pursue this unexpected finding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 results.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whereas </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 xml:space="preserve">2-deoxyglucose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5F8354C4"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females by the end of the 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8F623B"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5610C8" w:rsidRPr="0052352B">
        <w:rPr>
          <w:rFonts w:ascii="Arial" w:hAnsi="Arial" w:cs="Arial"/>
          <w:noProof/>
          <w:color w:val="000000" w:themeColor="text1"/>
          <w:sz w:val="22"/>
          <w:szCs w:val="22"/>
        </w:rPr>
        <w:t>[5,6]</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a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7BB029D7" w:rsidR="00E7425C" w:rsidRPr="0052352B" w:rsidRDefault="00E7425C"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Pr="0052352B">
        <w:rPr>
          <w:rFonts w:ascii="Arial" w:hAnsi="Arial" w:cs="Arial"/>
          <w:color w:val="000000" w:themeColor="text1"/>
          <w:sz w:val="22"/>
          <w:szCs w:val="22"/>
        </w:rPr>
        <w:t>Amino Acid Uptake</w:t>
      </w:r>
    </w:p>
    <w:p w14:paraId="1C3DAE43" w14:textId="64B6FE3C"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lastRenderedPageBreak/>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[50,56]","plainTextFormattedCitation":"[50,56]","previouslyFormattedCitation":"[49,55]"},"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[50,56]</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[57]","plainTextFormattedCitation":"[57]","previouslyFormattedCitation":"[56]"},"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[57]</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304210A5" w:rsidR="00827301" w:rsidRPr="0052352B" w:rsidRDefault="00827301"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Dynamics </w:t>
      </w:r>
    </w:p>
    <w:p w14:paraId="7AA0CBBF" w14:textId="1D506071"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[58–61]","plainTextFormattedCitation":"[58–61]","previouslyFormattedCitation":"[57–60]"},"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[58–61]</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71856760" w:rsidR="00B43DA6" w:rsidRPr="0052352B" w:rsidRDefault="00B43DA6"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lastRenderedPageBreak/>
        <w:t xml:space="preserve">Constituent mTORC1 Activation Increases the Oxidative Profile of Skeletal Muscle </w:t>
      </w:r>
    </w:p>
    <w:p w14:paraId="6D91D2D5" w14:textId="5B35E766"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[20,62]","plainTextFormattedCitation":"[20,62]","previouslyFormattedCitation":"[20,61]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[20,62]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25DBBB1F" w:rsidR="00D86AFE" w:rsidRPr="0052352B" w:rsidRDefault="005C6497" w:rsidP="002D338B">
      <w:pPr>
        <w:pStyle w:val="Heading2"/>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42D3BD8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 at an earlier age</w:t>
      </w:r>
      <w:r w:rsidR="001E676F" w:rsidRPr="0052352B">
        <w:rPr>
          <w:rFonts w:ascii="Arial" w:hAnsi="Arial" w:cs="Arial"/>
          <w:color w:val="000000" w:themeColor="text1"/>
          <w:sz w:val="22"/>
          <w:szCs w:val="22"/>
        </w:rPr>
        <w:t xml:space="preserve">, were observed 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were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9A667CE" w:rsidR="007B624A" w:rsidRPr="0052352B" w:rsidRDefault="002B4C32" w:rsidP="002D338B">
      <w:pPr>
        <w:pStyle w:val="Heading1"/>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68484F0" w14:textId="1182F380" w:rsidR="00207F6B" w:rsidRPr="0052352B" w:rsidRDefault="003301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Here,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C80094"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3952DE" w:rsidRPr="0052352B">
        <w:rPr>
          <w:rFonts w:ascii="Arial" w:hAnsi="Arial" w:cs="Arial"/>
          <w:noProof/>
          <w:color w:val="000000" w:themeColor="text1"/>
          <w:sz w:val="22"/>
          <w:szCs w:val="22"/>
        </w:rPr>
        <w:t>[6,20]</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lastRenderedPageBreak/>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54DDEE6D" w14:textId="5EBB5F13" w:rsidR="006C05A3" w:rsidRPr="0052352B" w:rsidRDefault="00D86AF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w:t>
      </w:r>
      <w:r w:rsidR="00264C84" w:rsidRPr="0052352B">
        <w:rPr>
          <w:rFonts w:ascii="Arial" w:hAnsi="Arial" w:cs="Arial"/>
          <w:color w:val="000000" w:themeColor="text1"/>
          <w:sz w:val="22"/>
          <w:szCs w:val="22"/>
        </w:rPr>
        <w:t>determinant of</w:t>
      </w:r>
      <w:r w:rsidR="005F1335" w:rsidRPr="0052352B">
        <w:rPr>
          <w:rFonts w:ascii="Arial" w:hAnsi="Arial" w:cs="Arial"/>
          <w:color w:val="000000" w:themeColor="text1"/>
          <w:sz w:val="22"/>
          <w:szCs w:val="22"/>
        </w:rPr>
        <w:t xml:space="preserve"> </w:t>
      </w:r>
      <w:r w:rsidR="006D14AE" w:rsidRPr="0052352B">
        <w:rPr>
          <w:rFonts w:ascii="Arial" w:hAnsi="Arial" w:cs="Arial"/>
          <w:color w:val="000000" w:themeColor="text1"/>
          <w:sz w:val="22"/>
          <w:szCs w:val="22"/>
        </w:rPr>
        <w:t xml:space="preserve">tissue </w:t>
      </w:r>
      <w:r w:rsidR="0064643C" w:rsidRPr="0052352B">
        <w:rPr>
          <w:rFonts w:ascii="Arial" w:hAnsi="Arial" w:cs="Arial"/>
          <w:color w:val="000000" w:themeColor="text1"/>
          <w:sz w:val="22"/>
          <w:szCs w:val="22"/>
        </w:rPr>
        <w:t xml:space="preserve">insulin responsiveness, </w:t>
      </w:r>
      <w:r w:rsidR="005F1335" w:rsidRPr="0052352B">
        <w:rPr>
          <w:rFonts w:ascii="Arial" w:hAnsi="Arial" w:cs="Arial"/>
          <w:color w:val="000000" w:themeColor="text1"/>
          <w:sz w:val="22"/>
          <w:szCs w:val="22"/>
        </w:rPr>
        <w:t>energy balance and</w:t>
      </w:r>
      <w:r w:rsidR="00264C84" w:rsidRPr="0052352B">
        <w:rPr>
          <w:rFonts w:ascii="Arial" w:hAnsi="Arial" w:cs="Arial"/>
          <w:color w:val="000000" w:themeColor="text1"/>
          <w:sz w:val="22"/>
          <w:szCs w:val="22"/>
        </w:rPr>
        <w:t xml:space="preserve"> healthy</w:t>
      </w:r>
      <w:r w:rsidRPr="0052352B">
        <w:rPr>
          <w:rFonts w:ascii="Arial" w:hAnsi="Arial" w:cs="Arial"/>
          <w:color w:val="000000" w:themeColor="text1"/>
          <w:sz w:val="22"/>
          <w:szCs w:val="22"/>
        </w:rPr>
        <w:t xml:space="preserve"> aging</w:t>
      </w:r>
      <w:r w:rsidR="00A07D43" w:rsidRPr="0052352B">
        <w:rPr>
          <w:rFonts w:ascii="Arial" w:hAnsi="Arial" w:cs="Arial"/>
          <w:color w:val="000000" w:themeColor="text1"/>
          <w:sz w:val="22"/>
          <w:szCs w:val="22"/>
        </w:rPr>
        <w:t>. H</w:t>
      </w:r>
      <w:r w:rsidRPr="0052352B">
        <w:rPr>
          <w:rFonts w:ascii="Arial" w:hAnsi="Arial" w:cs="Arial"/>
          <w:color w:val="000000" w:themeColor="text1"/>
          <w:sz w:val="22"/>
          <w:szCs w:val="22"/>
        </w:rPr>
        <w:t>umans with high baseline grip strength have decreased risk of all-cause mortality</w:t>
      </w:r>
      <w:r w:rsidR="0064643C"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D72F59" w:rsidRPr="0052352B">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8C4B08" w:rsidRPr="0052352B">
        <w:rPr>
          <w:rFonts w:ascii="Arial" w:hAnsi="Arial" w:cs="Arial"/>
          <w:noProof/>
          <w:color w:val="000000" w:themeColor="text1"/>
          <w:sz w:val="22"/>
          <w:szCs w:val="22"/>
        </w:rPr>
        <w:t>[28–33]</w:t>
      </w:r>
      <w:r w:rsidRPr="0052352B">
        <w:rPr>
          <w:rFonts w:ascii="Arial" w:hAnsi="Arial" w:cs="Arial"/>
          <w:color w:val="000000" w:themeColor="text1"/>
          <w:sz w:val="22"/>
          <w:szCs w:val="22"/>
        </w:rPr>
        <w:fldChar w:fldCharType="end"/>
      </w:r>
      <w:r w:rsidR="000B1D82" w:rsidRPr="0052352B">
        <w:rPr>
          <w:rFonts w:ascii="Arial" w:hAnsi="Arial" w:cs="Arial"/>
          <w:color w:val="000000" w:themeColor="text1"/>
          <w:sz w:val="22"/>
          <w:szCs w:val="22"/>
        </w:rPr>
        <w:t>, whereas</w:t>
      </w:r>
      <w:r w:rsidR="00E17859" w:rsidRPr="0052352B">
        <w:rPr>
          <w:rFonts w:ascii="Arial" w:hAnsi="Arial" w:cs="Arial"/>
          <w:color w:val="000000" w:themeColor="text1"/>
          <w:sz w:val="22"/>
          <w:szCs w:val="22"/>
        </w:rPr>
        <w:t xml:space="preserve"> interventions that increase muscle mass and strength are associated with improved </w:t>
      </w:r>
      <w:r w:rsidR="00E1466D" w:rsidRPr="0052352B">
        <w:rPr>
          <w:rFonts w:ascii="Arial" w:hAnsi="Arial" w:cs="Arial"/>
          <w:color w:val="000000" w:themeColor="text1"/>
          <w:sz w:val="22"/>
          <w:szCs w:val="22"/>
        </w:rPr>
        <w:t xml:space="preserve">health outcomes in </w:t>
      </w:r>
      <w:r w:rsidR="00C85108" w:rsidRPr="0052352B">
        <w:rPr>
          <w:rFonts w:ascii="Arial" w:hAnsi="Arial" w:cs="Arial"/>
          <w:color w:val="000000" w:themeColor="text1"/>
          <w:sz w:val="22"/>
          <w:szCs w:val="22"/>
        </w:rPr>
        <w:t xml:space="preserve">both young and </w:t>
      </w:r>
      <w:r w:rsidR="00E1466D" w:rsidRPr="0052352B">
        <w:rPr>
          <w:rFonts w:ascii="Arial" w:hAnsi="Arial" w:cs="Arial"/>
          <w:color w:val="000000" w:themeColor="text1"/>
          <w:sz w:val="22"/>
          <w:szCs w:val="22"/>
        </w:rPr>
        <w:t>older populations</w:t>
      </w:r>
      <w:r w:rsidR="00C80094" w:rsidRPr="0052352B">
        <w:rPr>
          <w:rFonts w:ascii="Arial" w:hAnsi="Arial" w:cs="Arial"/>
          <w:color w:val="000000" w:themeColor="text1"/>
          <w:sz w:val="22"/>
          <w:szCs w:val="22"/>
        </w:rPr>
        <w:t xml:space="preserve"> </w:t>
      </w:r>
      <w:r w:rsidR="00C80094"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[63,64]","plainTextFormattedCitation":"[63,64]","previouslyFormattedCitation":"[62,63]"},"properties":{"noteIndex":0},"schema":"https://github.com/citation-style-language/schema/raw/master/csl-citation.json"}</w:instrText>
      </w:r>
      <w:r w:rsidR="00C80094"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[63,64]</w:t>
      </w:r>
      <w:r w:rsidR="00C80094" w:rsidRPr="0052352B">
        <w:rPr>
          <w:rFonts w:ascii="Arial" w:hAnsi="Arial" w:cs="Arial"/>
          <w:color w:val="000000" w:themeColor="text1"/>
          <w:sz w:val="22"/>
          <w:szCs w:val="22"/>
        </w:rPr>
        <w:fldChar w:fldCharType="end"/>
      </w:r>
      <w:r w:rsidR="00C80094"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Given that skeletal muscle is </w:t>
      </w:r>
      <w:r w:rsidR="006C05A3" w:rsidRPr="0052352B">
        <w:rPr>
          <w:rFonts w:ascii="Arial" w:hAnsi="Arial" w:cs="Arial"/>
          <w:color w:val="000000" w:themeColor="text1"/>
          <w:sz w:val="22"/>
          <w:szCs w:val="22"/>
        </w:rPr>
        <w:t xml:space="preserve">also </w:t>
      </w:r>
      <w:r w:rsidR="003425ED" w:rsidRPr="0052352B">
        <w:rPr>
          <w:rFonts w:ascii="Arial" w:hAnsi="Arial" w:cs="Arial"/>
          <w:color w:val="000000" w:themeColor="text1"/>
          <w:sz w:val="22"/>
          <w:szCs w:val="22"/>
        </w:rPr>
        <w:t>the primary determinant of resting energy expenditure</w:t>
      </w:r>
      <w:r w:rsidR="00FB0C26" w:rsidRPr="0052352B">
        <w:rPr>
          <w:rFonts w:ascii="Arial" w:hAnsi="Arial" w:cs="Arial"/>
          <w:color w:val="000000" w:themeColor="text1"/>
          <w:sz w:val="22"/>
          <w:szCs w:val="22"/>
        </w:rPr>
        <w:t xml:space="preserve"> </w:t>
      </w:r>
      <w:r w:rsidR="00FB0C2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[65]","plainTextFormattedCitation":"[65]","previouslyFormattedCitation":"[64]"},"properties":{"noteIndex":0},"schema":"https://github.com/citation-style-language/schema/raw/master/csl-citation.json"}</w:instrText>
      </w:r>
      <w:r w:rsidR="00FB0C2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[65]</w:t>
      </w:r>
      <w:r w:rsidR="00FB0C26" w:rsidRPr="0052352B">
        <w:rPr>
          <w:rFonts w:ascii="Arial" w:hAnsi="Arial" w:cs="Arial"/>
          <w:color w:val="000000" w:themeColor="text1"/>
          <w:sz w:val="22"/>
          <w:szCs w:val="22"/>
        </w:rPr>
        <w:fldChar w:fldCharType="end"/>
      </w:r>
      <w:r w:rsidR="00FB0C26"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understanding the </w:t>
      </w:r>
      <w:r w:rsidR="00545FBC" w:rsidRPr="0052352B">
        <w:rPr>
          <w:rFonts w:ascii="Arial" w:hAnsi="Arial" w:cs="Arial"/>
          <w:color w:val="000000" w:themeColor="text1"/>
          <w:sz w:val="22"/>
          <w:szCs w:val="22"/>
        </w:rPr>
        <w:t xml:space="preserve">molecular </w:t>
      </w:r>
      <w:r w:rsidR="003425ED" w:rsidRPr="0052352B">
        <w:rPr>
          <w:rFonts w:ascii="Arial" w:hAnsi="Arial" w:cs="Arial"/>
          <w:color w:val="000000" w:themeColor="text1"/>
          <w:sz w:val="22"/>
          <w:szCs w:val="22"/>
        </w:rPr>
        <w:t xml:space="preserve">mechanisms that </w:t>
      </w:r>
      <w:r w:rsidR="005D36D3" w:rsidRPr="0052352B">
        <w:rPr>
          <w:rFonts w:ascii="Arial" w:hAnsi="Arial" w:cs="Arial"/>
          <w:color w:val="000000" w:themeColor="text1"/>
          <w:sz w:val="22"/>
          <w:szCs w:val="22"/>
        </w:rPr>
        <w:t xml:space="preserve">influence skeletal muscle health </w:t>
      </w:r>
      <w:r w:rsidR="00994636" w:rsidRPr="0052352B">
        <w:rPr>
          <w:rFonts w:ascii="Arial" w:hAnsi="Arial" w:cs="Arial"/>
          <w:color w:val="000000" w:themeColor="text1"/>
          <w:sz w:val="22"/>
          <w:szCs w:val="22"/>
        </w:rPr>
        <w:t>c</w:t>
      </w:r>
      <w:r w:rsidR="003425ED" w:rsidRPr="0052352B">
        <w:rPr>
          <w:rFonts w:ascii="Arial" w:hAnsi="Arial" w:cs="Arial"/>
          <w:color w:val="000000" w:themeColor="text1"/>
          <w:sz w:val="22"/>
          <w:szCs w:val="22"/>
        </w:rPr>
        <w:t xml:space="preserve">ould have </w:t>
      </w:r>
      <w:r w:rsidR="00FB0C26" w:rsidRPr="0052352B">
        <w:rPr>
          <w:rFonts w:ascii="Arial" w:hAnsi="Arial" w:cs="Arial"/>
          <w:color w:val="000000" w:themeColor="text1"/>
          <w:sz w:val="22"/>
          <w:szCs w:val="22"/>
        </w:rPr>
        <w:t>important</w:t>
      </w:r>
      <w:r w:rsidR="003425ED" w:rsidRPr="0052352B">
        <w:rPr>
          <w:rFonts w:ascii="Arial" w:hAnsi="Arial" w:cs="Arial"/>
          <w:color w:val="000000" w:themeColor="text1"/>
          <w:sz w:val="22"/>
          <w:szCs w:val="22"/>
        </w:rPr>
        <w:t xml:space="preserve"> ramifications for </w:t>
      </w:r>
      <w:r w:rsidR="0003756B" w:rsidRPr="0052352B">
        <w:rPr>
          <w:rFonts w:ascii="Arial" w:hAnsi="Arial" w:cs="Arial"/>
          <w:color w:val="000000" w:themeColor="text1"/>
          <w:sz w:val="22"/>
          <w:szCs w:val="22"/>
        </w:rPr>
        <w:t xml:space="preserve">the </w:t>
      </w:r>
      <w:r w:rsidR="006C05A3" w:rsidRPr="0052352B">
        <w:rPr>
          <w:rFonts w:ascii="Arial" w:hAnsi="Arial" w:cs="Arial"/>
          <w:color w:val="000000" w:themeColor="text1"/>
          <w:sz w:val="22"/>
          <w:szCs w:val="22"/>
        </w:rPr>
        <w:t xml:space="preserve">clinical treatment of </w:t>
      </w:r>
      <w:r w:rsidR="00816909" w:rsidRPr="0052352B">
        <w:rPr>
          <w:rFonts w:ascii="Arial" w:hAnsi="Arial" w:cs="Arial"/>
          <w:color w:val="000000" w:themeColor="text1"/>
          <w:sz w:val="22"/>
          <w:szCs w:val="22"/>
        </w:rPr>
        <w:t xml:space="preserve">diseases associated with </w:t>
      </w:r>
      <w:r w:rsidR="00545FBC" w:rsidRPr="0052352B">
        <w:rPr>
          <w:rFonts w:ascii="Arial" w:hAnsi="Arial" w:cs="Arial"/>
          <w:color w:val="000000" w:themeColor="text1"/>
          <w:sz w:val="22"/>
          <w:szCs w:val="22"/>
        </w:rPr>
        <w:t xml:space="preserve">both </w:t>
      </w:r>
      <w:r w:rsidR="00816909" w:rsidRPr="0052352B">
        <w:rPr>
          <w:rFonts w:ascii="Arial" w:hAnsi="Arial" w:cs="Arial"/>
          <w:color w:val="000000" w:themeColor="text1"/>
          <w:sz w:val="22"/>
          <w:szCs w:val="22"/>
        </w:rPr>
        <w:t xml:space="preserve">obesity and </w:t>
      </w:r>
      <w:r w:rsidR="0003756B" w:rsidRPr="0052352B">
        <w:rPr>
          <w:rFonts w:ascii="Arial" w:hAnsi="Arial" w:cs="Arial"/>
          <w:color w:val="000000" w:themeColor="text1"/>
          <w:sz w:val="22"/>
          <w:szCs w:val="22"/>
        </w:rPr>
        <w:t>aging.</w:t>
      </w:r>
      <w:r w:rsidR="001D06A0" w:rsidRPr="0052352B">
        <w:rPr>
          <w:rFonts w:ascii="Arial" w:hAnsi="Arial" w:cs="Arial"/>
          <w:color w:val="000000" w:themeColor="text1"/>
          <w:sz w:val="22"/>
          <w:szCs w:val="22"/>
        </w:rPr>
        <w:t xml:space="preserve"> </w:t>
      </w: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0E6E2E53" w:rsidR="00353CAF" w:rsidRPr="0052352B" w:rsidRDefault="003A5097"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4E6B13" w:rsidRPr="0052352B">
        <w:rPr>
          <w:rFonts w:ascii="Arial" w:hAnsi="Arial" w:cs="Arial"/>
          <w:noProof/>
          <w:color w:val="000000" w:themeColor="text1"/>
          <w:sz w:val="22"/>
          <w:szCs w:val="22"/>
        </w:rPr>
        <w:t>[9]</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D80E5F" w:rsidRPr="0052352B">
        <w:rPr>
          <w:rFonts w:ascii="Arial" w:hAnsi="Arial" w:cs="Arial"/>
          <w:noProof/>
          <w:color w:val="000000" w:themeColor="text1"/>
          <w:sz w:val="22"/>
          <w:szCs w:val="22"/>
        </w:rPr>
        <w:t>[22]</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[66]","plainTextFormattedCitation":"[66]","previouslyFormattedCitation":"[65]"},"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[66]</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4A737E"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2A4A68" w:rsidRPr="0052352B">
        <w:rPr>
          <w:rFonts w:ascii="Arial" w:hAnsi="Arial" w:cs="Arial"/>
          <w:noProof/>
          <w:color w:val="000000" w:themeColor="text1"/>
          <w:sz w:val="22"/>
          <w:szCs w:val="22"/>
        </w:rPr>
        <w:t>[5,6]</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283C13DD"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[67]","plainTextFormattedCitation":"[67]","previouslyFormattedCitation":"[66]"},"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1A3C42" w:rsidRPr="0052352B">
        <w:rPr>
          <w:rFonts w:ascii="Arial" w:hAnsi="Arial" w:cs="Arial"/>
          <w:color w:val="000000" w:themeColor="text1"/>
          <w:sz w:val="22"/>
          <w:szCs w:val="22"/>
        </w:rPr>
        <w:t>transfers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[68]","plainTextFormattedCitation":"[68]","previouslyFormattedCitation":"[67]"},"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[68]</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 xml:space="preserve">We predict that the </w:t>
      </w:r>
      <w:r w:rsidR="00F6297F" w:rsidRPr="0052352B">
        <w:rPr>
          <w:rFonts w:ascii="Arial" w:hAnsi="Arial" w:cs="Arial"/>
          <w:color w:val="000000" w:themeColor="text1"/>
          <w:sz w:val="22"/>
          <w:szCs w:val="22"/>
        </w:rPr>
        <w:lastRenderedPageBreak/>
        <w:t>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[58,69]","plainTextFormattedCitation":"[58,69]","previouslyFormattedCitation":"[57,68]"},"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[58,69]</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C65B35" w:rsidRPr="0052352B">
        <w:rPr>
          <w:rFonts w:ascii="Arial" w:hAnsi="Arial" w:cs="Arial"/>
          <w:color w:val="000000" w:themeColor="text1"/>
          <w:sz w:val="22"/>
          <w:szCs w:val="22"/>
        </w:rPr>
        <w:t xml:space="preserve">Increased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[58–60]","plainTextFormattedCitation":"[58–60]","previouslyFormattedCitation":"[57–59]"},"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[58–60]</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[61]","plainTextFormattedCitation":"[61]","previouslyFormattedCitation":"[60]"},"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[61]</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6C545D62"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0F72FA"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0F72FA" w:rsidRPr="0052352B">
        <w:rPr>
          <w:rFonts w:ascii="Arial" w:hAnsi="Arial" w:cs="Arial"/>
          <w:noProof/>
          <w:color w:val="000000" w:themeColor="text1"/>
          <w:sz w:val="22"/>
          <w:szCs w:val="22"/>
        </w:rPr>
        <w:t>[20]</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[70]</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[71]","plainTextFormattedCitation":"[71]","previouslyFormattedCitation":"[70]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[71]</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[72]","plainTextFormattedCitation":"[72]","previouslyFormattedCitation":"[71]"},"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[72]</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55C1511B" w:rsidR="003745B1" w:rsidRPr="0052352B" w:rsidRDefault="00AF7DC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We cannot rule out o</w:t>
      </w:r>
      <w:r w:rsidR="0034371F" w:rsidRPr="0052352B">
        <w:rPr>
          <w:rFonts w:ascii="Arial" w:hAnsi="Arial" w:cs="Arial"/>
          <w:color w:val="000000" w:themeColor="text1"/>
          <w:sz w:val="22"/>
          <w:szCs w:val="22"/>
        </w:rPr>
        <w:t xml:space="preserve">ther mechanisms linking muscle mTORC1 activity to elevated energy </w:t>
      </w:r>
      <w:r w:rsidR="00D602CF" w:rsidRPr="0052352B">
        <w:rPr>
          <w:rFonts w:ascii="Arial" w:hAnsi="Arial" w:cs="Arial"/>
          <w:color w:val="000000" w:themeColor="text1"/>
          <w:sz w:val="22"/>
          <w:szCs w:val="22"/>
        </w:rPr>
        <w:t xml:space="preserve">expenditure </w:t>
      </w:r>
      <w:r w:rsidRPr="0052352B">
        <w:rPr>
          <w:rFonts w:ascii="Arial" w:hAnsi="Arial" w:cs="Arial"/>
          <w:color w:val="000000" w:themeColor="text1"/>
          <w:sz w:val="22"/>
          <w:szCs w:val="22"/>
        </w:rPr>
        <w:t xml:space="preserve">that </w:t>
      </w:r>
      <w:r w:rsidR="0034371F" w:rsidRPr="0052352B">
        <w:rPr>
          <w:rFonts w:ascii="Arial" w:hAnsi="Arial" w:cs="Arial"/>
          <w:color w:val="000000" w:themeColor="text1"/>
          <w:sz w:val="22"/>
          <w:szCs w:val="22"/>
        </w:rPr>
        <w:t xml:space="preserve">may be indirect, such as FGF21 </w:t>
      </w:r>
      <w:r w:rsidR="0034371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[6,73,74]","plainTextFormattedCitation":"[6,73,74]","previouslyFormattedCitation":"[6,72,73]"},"properties":{"noteIndex":0},"schema":"https://github.com/citation-style-language/schema/raw/master/csl-citation.json"}</w:instrText>
      </w:r>
      <w:r w:rsidR="0034371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[6,73,74]</w:t>
      </w:r>
      <w:r w:rsidR="0034371F" w:rsidRPr="0052352B">
        <w:rPr>
          <w:rFonts w:ascii="Arial" w:hAnsi="Arial" w:cs="Arial"/>
          <w:color w:val="000000" w:themeColor="text1"/>
          <w:sz w:val="22"/>
          <w:szCs w:val="22"/>
        </w:rPr>
        <w:fldChar w:fldCharType="end"/>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F81C56" w:rsidRPr="0052352B">
        <w:rPr>
          <w:rFonts w:ascii="Arial" w:hAnsi="Arial" w:cs="Arial"/>
          <w:color w:val="000000" w:themeColor="text1"/>
          <w:sz w:val="22"/>
          <w:szCs w:val="22"/>
        </w:rPr>
        <w:t xml:space="preserve">It is </w:t>
      </w:r>
      <w:r w:rsidR="009E0EFA" w:rsidRPr="0052352B">
        <w:rPr>
          <w:rFonts w:ascii="Arial" w:hAnsi="Arial" w:cs="Arial"/>
          <w:color w:val="000000" w:themeColor="text1"/>
          <w:sz w:val="22"/>
          <w:szCs w:val="22"/>
        </w:rPr>
        <w:t xml:space="preserve">also </w:t>
      </w:r>
      <w:r w:rsidR="00F81C56" w:rsidRPr="0052352B">
        <w:rPr>
          <w:rFonts w:ascii="Arial" w:hAnsi="Arial" w:cs="Arial"/>
          <w:color w:val="000000" w:themeColor="text1"/>
          <w:sz w:val="22"/>
          <w:szCs w:val="22"/>
        </w:rPr>
        <w:t xml:space="preserve">worth noting that </w:t>
      </w:r>
      <w:r w:rsidR="00FF1B0C" w:rsidRPr="0052352B">
        <w:rPr>
          <w:rFonts w:ascii="Arial" w:hAnsi="Arial" w:cs="Arial"/>
          <w:color w:val="000000" w:themeColor="text1"/>
          <w:sz w:val="22"/>
          <w:szCs w:val="22"/>
        </w:rPr>
        <w:t>our</w:t>
      </w:r>
      <w:r w:rsidR="00F81C56" w:rsidRPr="0052352B">
        <w:rPr>
          <w:rFonts w:ascii="Arial" w:hAnsi="Arial" w:cs="Arial"/>
          <w:color w:val="000000" w:themeColor="text1"/>
          <w:sz w:val="22"/>
          <w:szCs w:val="22"/>
        </w:rPr>
        <w:t xml:space="preserve"> </w:t>
      </w:r>
      <w:r w:rsidR="009E0EFA" w:rsidRPr="0052352B">
        <w:rPr>
          <w:rFonts w:ascii="Arial" w:hAnsi="Arial" w:cs="Arial"/>
          <w:color w:val="000000" w:themeColor="text1"/>
          <w:sz w:val="22"/>
          <w:szCs w:val="22"/>
        </w:rPr>
        <w:t xml:space="preserve">observations during the </w:t>
      </w:r>
      <w:r w:rsidR="00207F6B" w:rsidRPr="0052352B">
        <w:rPr>
          <w:rFonts w:ascii="Arial" w:hAnsi="Arial" w:cs="Arial"/>
          <w:color w:val="000000" w:themeColor="text1"/>
          <w:sz w:val="22"/>
          <w:szCs w:val="22"/>
        </w:rPr>
        <w:t xml:space="preserve">rapamycin experiments </w:t>
      </w:r>
      <w:r w:rsidR="00F81C56" w:rsidRPr="0052352B">
        <w:rPr>
          <w:rFonts w:ascii="Arial" w:hAnsi="Arial" w:cs="Arial"/>
          <w:color w:val="000000" w:themeColor="text1"/>
          <w:sz w:val="22"/>
          <w:szCs w:val="22"/>
        </w:rPr>
        <w:t>are limited in</w:t>
      </w:r>
      <w:r w:rsidR="00207F6B" w:rsidRPr="0052352B">
        <w:rPr>
          <w:rFonts w:ascii="Arial" w:hAnsi="Arial" w:cs="Arial"/>
          <w:color w:val="000000" w:themeColor="text1"/>
          <w:sz w:val="22"/>
          <w:szCs w:val="22"/>
        </w:rPr>
        <w:t xml:space="preserve"> that they do not speak to tissue specificity</w:t>
      </w:r>
      <w:r w:rsidR="00F81C56" w:rsidRPr="0052352B">
        <w:rPr>
          <w:rFonts w:ascii="Arial" w:hAnsi="Arial" w:cs="Arial"/>
          <w:color w:val="000000" w:themeColor="text1"/>
          <w:sz w:val="22"/>
          <w:szCs w:val="22"/>
        </w:rPr>
        <w:t>. Our</w:t>
      </w:r>
      <w:r w:rsidR="00207F6B" w:rsidRPr="0052352B">
        <w:rPr>
          <w:rFonts w:ascii="Arial" w:hAnsi="Arial" w:cs="Arial"/>
          <w:color w:val="000000" w:themeColor="text1"/>
          <w:sz w:val="22"/>
          <w:szCs w:val="22"/>
        </w:rPr>
        <w:t xml:space="preserve"> results are consistent with previous reports demonstrating rapamycin sensitivity in cold-induced thermogenesis </w:t>
      </w:r>
      <w:r w:rsidR="00207F6B" w:rsidRPr="0052352B">
        <w:rPr>
          <w:rFonts w:ascii="Arial" w:hAnsi="Arial" w:cs="Arial"/>
          <w:color w:val="000000" w:themeColor="text1"/>
          <w:sz w:val="22"/>
          <w:szCs w:val="22"/>
        </w:rPr>
        <w:fldChar w:fldCharType="begin" w:fldLock="1"/>
      </w:r>
      <w:r w:rsidR="00207F6B" w:rsidRPr="0052352B">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207F6B" w:rsidRPr="0052352B">
        <w:rPr>
          <w:rFonts w:ascii="Arial" w:hAnsi="Arial" w:cs="Arial"/>
          <w:noProof/>
          <w:color w:val="000000" w:themeColor="text1"/>
          <w:sz w:val="22"/>
          <w:szCs w:val="22"/>
        </w:rPr>
        <w:t>[7,8]</w:t>
      </w:r>
      <w:r w:rsidR="00207F6B" w:rsidRPr="0052352B">
        <w:rPr>
          <w:rFonts w:ascii="Arial" w:hAnsi="Arial" w:cs="Arial"/>
          <w:color w:val="000000" w:themeColor="text1"/>
          <w:sz w:val="22"/>
          <w:szCs w:val="22"/>
        </w:rPr>
        <w:fldChar w:fldCharType="end"/>
      </w:r>
      <w:r w:rsidR="00F81C56" w:rsidRPr="0052352B">
        <w:rPr>
          <w:rFonts w:ascii="Arial" w:hAnsi="Arial" w:cs="Arial"/>
          <w:color w:val="000000" w:themeColor="text1"/>
          <w:sz w:val="22"/>
          <w:szCs w:val="22"/>
        </w:rPr>
        <w:t>, and w</w:t>
      </w:r>
      <w:r w:rsidR="00207F6B" w:rsidRPr="0052352B">
        <w:rPr>
          <w:rFonts w:ascii="Arial" w:hAnsi="Arial" w:cs="Arial"/>
          <w:color w:val="000000" w:themeColor="text1"/>
          <w:sz w:val="22"/>
          <w:szCs w:val="22"/>
        </w:rPr>
        <w:t xml:space="preserve">hile the focus of those studies has been on the important roles of mTORC1 in </w:t>
      </w:r>
      <w:r w:rsidR="00F0752A" w:rsidRPr="0052352B">
        <w:rPr>
          <w:rFonts w:ascii="Arial" w:hAnsi="Arial" w:cs="Arial"/>
          <w:color w:val="000000" w:themeColor="text1"/>
          <w:sz w:val="22"/>
          <w:szCs w:val="22"/>
        </w:rPr>
        <w:t>brown adipose tissue</w:t>
      </w:r>
      <w:r w:rsidR="00207F6B" w:rsidRPr="0052352B">
        <w:rPr>
          <w:rFonts w:ascii="Arial" w:hAnsi="Arial" w:cs="Arial"/>
          <w:color w:val="000000" w:themeColor="text1"/>
          <w:sz w:val="22"/>
          <w:szCs w:val="22"/>
        </w:rPr>
        <w:t xml:space="preserve"> function, they may also speak to the role of mTORC1 in muscle or other </w:t>
      </w:r>
      <w:r w:rsidR="00F81C56" w:rsidRPr="0052352B">
        <w:rPr>
          <w:rFonts w:ascii="Arial" w:hAnsi="Arial" w:cs="Arial"/>
          <w:color w:val="000000" w:themeColor="text1"/>
          <w:sz w:val="22"/>
          <w:szCs w:val="22"/>
        </w:rPr>
        <w:t xml:space="preserve">thermogenic </w:t>
      </w:r>
      <w:r w:rsidR="00207F6B" w:rsidRPr="0052352B">
        <w:rPr>
          <w:rFonts w:ascii="Arial" w:hAnsi="Arial" w:cs="Arial"/>
          <w:color w:val="000000" w:themeColor="text1"/>
          <w:sz w:val="22"/>
          <w:szCs w:val="22"/>
        </w:rPr>
        <w:t>tissues.  Future studies</w:t>
      </w:r>
      <w:r w:rsidR="005601B4" w:rsidRPr="0052352B">
        <w:rPr>
          <w:rFonts w:ascii="Arial" w:hAnsi="Arial" w:cs="Arial"/>
          <w:color w:val="000000" w:themeColor="text1"/>
          <w:sz w:val="22"/>
          <w:szCs w:val="22"/>
        </w:rPr>
        <w:t xml:space="preserve"> with temporal and tissue-</w:t>
      </w:r>
      <w:r w:rsidR="00207F6B" w:rsidRPr="0052352B">
        <w:rPr>
          <w:rFonts w:ascii="Arial" w:hAnsi="Arial" w:cs="Arial"/>
          <w:color w:val="000000" w:themeColor="text1"/>
          <w:sz w:val="22"/>
          <w:szCs w:val="22"/>
        </w:rPr>
        <w:t xml:space="preserve">specific loss of </w:t>
      </w:r>
      <w:r w:rsidR="005601B4" w:rsidRPr="0052352B">
        <w:rPr>
          <w:rFonts w:ascii="Arial" w:hAnsi="Arial" w:cs="Arial"/>
          <w:color w:val="000000" w:themeColor="text1"/>
          <w:sz w:val="22"/>
          <w:szCs w:val="22"/>
        </w:rPr>
        <w:t xml:space="preserve">mTORC1 </w:t>
      </w:r>
      <w:r w:rsidR="00207F6B" w:rsidRPr="0052352B">
        <w:rPr>
          <w:rFonts w:ascii="Arial" w:hAnsi="Arial" w:cs="Arial"/>
          <w:color w:val="000000" w:themeColor="text1"/>
          <w:sz w:val="22"/>
          <w:szCs w:val="22"/>
        </w:rPr>
        <w:t xml:space="preserve">function </w:t>
      </w:r>
      <w:r w:rsidR="005601B4" w:rsidRPr="0052352B">
        <w:rPr>
          <w:rFonts w:ascii="Arial" w:hAnsi="Arial" w:cs="Arial"/>
          <w:color w:val="000000" w:themeColor="text1"/>
          <w:sz w:val="22"/>
          <w:szCs w:val="22"/>
        </w:rPr>
        <w:t xml:space="preserve">conducted in mice housed </w:t>
      </w:r>
      <w:r w:rsidR="00631D92" w:rsidRPr="0052352B">
        <w:rPr>
          <w:rFonts w:ascii="Arial" w:hAnsi="Arial" w:cs="Arial"/>
          <w:color w:val="000000" w:themeColor="text1"/>
          <w:sz w:val="22"/>
          <w:szCs w:val="22"/>
        </w:rPr>
        <w:t xml:space="preserve">at temperatures </w:t>
      </w:r>
      <w:r w:rsidR="00F81C56" w:rsidRPr="0052352B">
        <w:rPr>
          <w:rFonts w:ascii="Arial" w:hAnsi="Arial" w:cs="Arial"/>
          <w:color w:val="000000" w:themeColor="text1"/>
          <w:sz w:val="22"/>
          <w:szCs w:val="22"/>
        </w:rPr>
        <w:t>within the</w:t>
      </w:r>
      <w:r w:rsidR="005601B4" w:rsidRPr="0052352B">
        <w:rPr>
          <w:rFonts w:ascii="Arial" w:hAnsi="Arial" w:cs="Arial"/>
          <w:color w:val="000000" w:themeColor="text1"/>
          <w:sz w:val="22"/>
          <w:szCs w:val="22"/>
        </w:rPr>
        <w:t>ir</w:t>
      </w:r>
      <w:r w:rsidR="00F81C56" w:rsidRPr="0052352B">
        <w:rPr>
          <w:rFonts w:ascii="Arial" w:hAnsi="Arial" w:cs="Arial"/>
          <w:color w:val="000000" w:themeColor="text1"/>
          <w:sz w:val="22"/>
          <w:szCs w:val="22"/>
        </w:rPr>
        <w:t xml:space="preserve"> thermoneutral zone </w:t>
      </w:r>
      <w:r w:rsidR="00207F6B" w:rsidRPr="0052352B">
        <w:rPr>
          <w:rFonts w:ascii="Arial" w:hAnsi="Arial" w:cs="Arial"/>
          <w:color w:val="000000" w:themeColor="text1"/>
          <w:sz w:val="22"/>
          <w:szCs w:val="22"/>
        </w:rPr>
        <w:t>will be key to understanding the relative importance of muscle and BAT in both diet</w:t>
      </w:r>
      <w:r w:rsidR="00F81C56" w:rsidRPr="0052352B">
        <w:rPr>
          <w:rFonts w:ascii="Arial" w:hAnsi="Arial" w:cs="Arial"/>
          <w:color w:val="000000" w:themeColor="text1"/>
          <w:sz w:val="22"/>
          <w:szCs w:val="22"/>
        </w:rPr>
        <w:t>-</w:t>
      </w:r>
      <w:r w:rsidR="00207F6B" w:rsidRPr="0052352B">
        <w:rPr>
          <w:rFonts w:ascii="Arial" w:hAnsi="Arial" w:cs="Arial"/>
          <w:color w:val="000000" w:themeColor="text1"/>
          <w:sz w:val="22"/>
          <w:szCs w:val="22"/>
        </w:rPr>
        <w:t xml:space="preserve"> and cold-induced thermogenesis.  Furthermore, findings that mTORC1 is important for thermogenesis in both BAT and skeletal muscle may indicate a broader role of mTORC1 in nutrient homeostasis.  One response to nutrient overload is to promote anabolism, consistent with mTORC1-dependent activation of protein synthesis, lipogenesis, and glycogenesis </w:t>
      </w:r>
      <w:r w:rsidR="00207F6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[13,35,77]","plainTextFormattedCitation":"[13,35,77]","previouslyFormattedCitation":"[13,35,76]"},"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[13,35,77]</w:t>
      </w:r>
      <w:r w:rsidR="00207F6B" w:rsidRPr="0052352B">
        <w:rPr>
          <w:rFonts w:ascii="Arial" w:hAnsi="Arial" w:cs="Arial"/>
          <w:color w:val="000000" w:themeColor="text1"/>
          <w:sz w:val="22"/>
          <w:szCs w:val="22"/>
        </w:rPr>
        <w:fldChar w:fldCharType="end"/>
      </w:r>
      <w:r w:rsidR="00207F6B" w:rsidRPr="0052352B">
        <w:rPr>
          <w:rFonts w:ascii="Arial" w:hAnsi="Arial" w:cs="Arial"/>
          <w:color w:val="000000" w:themeColor="text1"/>
          <w:sz w:val="22"/>
          <w:szCs w:val="22"/>
        </w:rPr>
        <w:t>.  Thus, it is reasonable to propose that nutrient overload may promote ineffective catabolism as a way of reducing systemic nutrient stress.</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76278B9F"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[78,79]","plainTextFormattedCitation":"[78,79]","previouslyFormattedCitation":"[77,78]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[78,79]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C. elegans</w:t>
      </w:r>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[80,81]","plainTextFormattedCitation":"[80,81]","previouslyFormattedCitation":"[79,80]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[80,81]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[82,83]","plainTextFormattedCitation":"[82,83]","previouslyFormattedCitation":"[81,82]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[82,83]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[83–89]","plainTextFormattedCitation":"[83–89]","previouslyFormattedCitation":"[82–88]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[83–89]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[90–92]","plainTextFormattedCitation":"[90–92]","previouslyFormattedCitation":"[89–91]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[90–92]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[93]","plainTextFormattedCitation":"[93]","previouslyFormattedCitation":"[92]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[94]","plainTextFormattedCitation":"[94]","previouslyFormattedCitation":"[93]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Pr="0052352B">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52352B">
        <w:rPr>
          <w:rFonts w:ascii="Arial" w:hAnsi="Arial" w:cs="Arial"/>
          <w:color w:val="000000" w:themeColor="text1"/>
          <w:sz w:val="22"/>
          <w:szCs w:val="22"/>
        </w:rPr>
        <w:fldChar w:fldCharType="separate"/>
      </w:r>
      <w:r w:rsidRPr="0052352B">
        <w:rPr>
          <w:rFonts w:ascii="Arial" w:hAnsi="Arial" w:cs="Arial"/>
          <w:noProof/>
          <w:color w:val="000000" w:themeColor="text1"/>
          <w:sz w:val="22"/>
          <w:szCs w:val="22"/>
        </w:rPr>
        <w:t>[25–27]</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7FE937FA"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26B278F1" w:rsidR="003F5FAC" w:rsidRPr="0052352B"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r w:rsidR="00FD5F45" w:rsidRPr="0052352B">
        <w:rPr>
          <w:rFonts w:ascii="Arial" w:hAnsi="Arial" w:cs="Arial"/>
          <w:color w:val="000000" w:themeColor="text1"/>
          <w:sz w:val="22"/>
          <w:szCs w:val="22"/>
        </w:rPr>
        <w:t xml:space="preserve">Future studies will </w:t>
      </w:r>
      <w:r w:rsidR="002B774B" w:rsidRPr="0052352B">
        <w:rPr>
          <w:rFonts w:ascii="Arial" w:hAnsi="Arial" w:cs="Arial"/>
          <w:color w:val="000000" w:themeColor="text1"/>
          <w:sz w:val="22"/>
          <w:szCs w:val="22"/>
        </w:rPr>
        <w:t>confirm</w:t>
      </w:r>
      <w:r w:rsidR="00FD5F45" w:rsidRPr="0052352B">
        <w:rPr>
          <w:rFonts w:ascii="Arial" w:hAnsi="Arial" w:cs="Arial"/>
          <w:color w:val="000000" w:themeColor="text1"/>
          <w:sz w:val="22"/>
          <w:szCs w:val="22"/>
        </w:rPr>
        <w:t xml:space="preserve"> whether mTORC1 exerts its effects on skeletal muscle thermogenic pathways directly or indirectly</w:t>
      </w:r>
      <w:r w:rsidR="00B26D55">
        <w:rPr>
          <w:rFonts w:ascii="Arial" w:hAnsi="Arial" w:cs="Arial"/>
          <w:color w:val="000000" w:themeColor="text1"/>
          <w:sz w:val="22"/>
          <w:szCs w:val="22"/>
        </w:rPr>
        <w:t xml:space="preserve"> and will identify whether the positive effects of skeletal muscle mTORC1 activation can be separated from the negative effects to reduce adiposity and protect against obesity. </w:t>
      </w:r>
    </w:p>
    <w:p w14:paraId="03C8A286" w14:textId="5848113B" w:rsidR="007B7AEB" w:rsidRPr="0052352B" w:rsidRDefault="007B7AEB" w:rsidP="002D338B">
      <w:pPr>
        <w:pStyle w:val="Heading1"/>
        <w:spacing w:line="360" w:lineRule="auto"/>
        <w:rPr>
          <w:rFonts w:ascii="Arial" w:hAnsi="Arial" w:cs="Arial"/>
          <w:color w:val="000000" w:themeColor="text1"/>
          <w:sz w:val="22"/>
          <w:szCs w:val="22"/>
        </w:rPr>
      </w:pPr>
      <w:bookmarkStart w:id="0" w:name="_GoBack"/>
      <w:bookmarkEnd w:id="0"/>
      <w:r w:rsidRPr="0052352B">
        <w:rPr>
          <w:rFonts w:ascii="Arial" w:hAnsi="Arial" w:cs="Arial"/>
          <w:color w:val="000000" w:themeColor="text1"/>
          <w:sz w:val="22"/>
          <w:szCs w:val="22"/>
        </w:rPr>
        <w:t>Acknowledgements</w:t>
      </w:r>
    </w:p>
    <w:p w14:paraId="21B53502" w14:textId="333A2CF0"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1A95D2C5"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lastRenderedPageBreak/>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A8280B">
        <w:rPr>
          <w:rFonts w:ascii="Arial" w:hAnsi="Arial" w:cs="Arial"/>
          <w:iCs/>
          <w:color w:val="000000" w:themeColor="text1"/>
          <w:sz w:val="22"/>
          <w:szCs w:val="22"/>
        </w:rPr>
        <w:t xml:space="preserve"> </w:t>
      </w:r>
      <w:r w:rsidR="00F12853" w:rsidRPr="0052352B">
        <w:rPr>
          <w:rFonts w:ascii="Arial" w:hAnsi="Arial" w:cs="Arial"/>
          <w:iCs/>
          <w:color w:val="000000" w:themeColor="text1"/>
          <w:sz w:val="22"/>
          <w:szCs w:val="22"/>
        </w:rPr>
        <w:t>to the University of Michigan.</w:t>
      </w:r>
    </w:p>
    <w:p w14:paraId="18186392" w14:textId="6C91E3E7" w:rsidR="007B624A"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7.0 </w:t>
      </w:r>
      <w:r w:rsidR="007B624A" w:rsidRPr="0052352B">
        <w:rPr>
          <w:rFonts w:ascii="Arial" w:hAnsi="Arial" w:cs="Arial"/>
          <w:color w:val="000000" w:themeColor="text1"/>
          <w:sz w:val="22"/>
          <w:szCs w:val="22"/>
        </w:rPr>
        <w:t>References</w:t>
      </w:r>
    </w:p>
    <w:p w14:paraId="4B1F8B31" w14:textId="0ABD94B3" w:rsidR="00483D6F" w:rsidRPr="00772807" w:rsidRDefault="00871236"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483D6F" w:rsidRPr="00772807">
        <w:rPr>
          <w:rFonts w:ascii="Arial" w:hAnsi="Arial" w:cs="Arial"/>
          <w:noProof/>
          <w:color w:val="000000" w:themeColor="text1"/>
          <w:sz w:val="22"/>
          <w:szCs w:val="22"/>
        </w:rPr>
        <w:t>[1]</w:t>
      </w:r>
      <w:r w:rsidR="00483D6F" w:rsidRPr="00772807">
        <w:rPr>
          <w:rFonts w:ascii="Arial" w:hAnsi="Arial" w:cs="Arial"/>
          <w:noProof/>
          <w:color w:val="000000" w:themeColor="text1"/>
          <w:sz w:val="22"/>
          <w:szCs w:val="22"/>
        </w:rPr>
        <w:tab/>
        <w:t>World Health Organization., 2013. Obesity and Overweight. http://www.who.int/mediacentre/factsheets/fs311/en/.</w:t>
      </w:r>
    </w:p>
    <w:p w14:paraId="142BBE8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w:t>
      </w:r>
      <w:r w:rsidRPr="00772807">
        <w:rPr>
          <w:rFonts w:ascii="Arial" w:hAnsi="Arial" w:cs="Arial"/>
          <w:noProof/>
          <w:color w:val="000000" w:themeColor="text1"/>
          <w:sz w:val="22"/>
          <w:szCs w:val="22"/>
        </w:rPr>
        <w:tab/>
        <w:t>Leibel, R.L., Hirsch, J., 1984. Diminished energy requirements in reduced-obese patients. Metabolism 33(2): 164–70, Doi: 10.1016/0026-0495(84)90130-6.</w:t>
      </w:r>
    </w:p>
    <w:p w14:paraId="6D381D5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w:t>
      </w:r>
      <w:r w:rsidRPr="00772807">
        <w:rPr>
          <w:rFonts w:ascii="Arial" w:hAnsi="Arial" w:cs="Arial"/>
          <w:noProof/>
          <w:color w:val="000000" w:themeColor="text1"/>
          <w:sz w:val="22"/>
          <w:szCs w:val="22"/>
        </w:rPr>
        <w:tab/>
        <w:t>Leibel, R.L., Rosenbaum, M., Hirsch, J., 1995. Changes in energy expenditure resulting from altered body weight. The New England Journal of Medicine 332(10): 621–8, Doi: 10.1056/NEJM199503093321001.</w:t>
      </w:r>
    </w:p>
    <w:p w14:paraId="1CC9D76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w:t>
      </w:r>
      <w:r w:rsidRPr="00772807">
        <w:rPr>
          <w:rFonts w:ascii="Arial" w:hAnsi="Arial" w:cs="Arial"/>
          <w:noProof/>
          <w:color w:val="000000" w:themeColor="text1"/>
          <w:sz w:val="22"/>
          <w:szCs w:val="22"/>
        </w:rPr>
        <w:tab/>
        <w:t>Sumithran, P., Prendergast, L.A., Delbridge, E., Purcell, K., Shulkes, A., Kriketos, A., et al., 2011. Long-Term Persistence of Hormonal Adaptations to Weight Loss. New England Journal of Medicine 365(17): 1597–604, Doi: 10.1056/NEJMoa1105816.</w:t>
      </w:r>
    </w:p>
    <w:p w14:paraId="0659C4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w:t>
      </w:r>
      <w:r w:rsidRPr="00772807">
        <w:rPr>
          <w:rFonts w:ascii="Arial" w:hAnsi="Arial" w:cs="Arial"/>
          <w:noProof/>
          <w:color w:val="000000" w:themeColor="text1"/>
          <w:sz w:val="22"/>
          <w:szCs w:val="22"/>
        </w:rPr>
        <w:tab/>
        <w:t>Guridi, M., Kupr, B., Romanino, K., Lin, S., Falcetta, D., Tintignac, L., et al., 2016. Alterations to mTORC1 signaling in the skeletal muscle differentially affect whole-body metabolism. Skeletal Muscle 6(1): 13, Doi: 10.1186/s13395-016-0084-8.</w:t>
      </w:r>
    </w:p>
    <w:p w14:paraId="3CD2E3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w:t>
      </w:r>
      <w:r w:rsidRPr="00772807">
        <w:rPr>
          <w:rFonts w:ascii="Arial" w:hAnsi="Arial" w:cs="Arial"/>
          <w:noProof/>
          <w:color w:val="000000" w:themeColor="text1"/>
          <w:sz w:val="22"/>
          <w:szCs w:val="22"/>
        </w:rPr>
        <w:tab/>
        <w:t>Guridi, M., Tintignac, L.A., Lin, S., Kupr, B., Castets, P., Rüegg, M.A., 2015. Activation of mTORC1 in skeletal muscle regulates whole-body metabolism through FGF21. Science Signaling 8(402): ra113–ra113, Doi: 10.1126/scisignal.aab3715.</w:t>
      </w:r>
    </w:p>
    <w:p w14:paraId="01721A4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w:t>
      </w:r>
      <w:r w:rsidRPr="00772807">
        <w:rPr>
          <w:rFonts w:ascii="Arial" w:hAnsi="Arial" w:cs="Arial"/>
          <w:noProof/>
          <w:color w:val="000000" w:themeColor="text1"/>
          <w:sz w:val="22"/>
          <w:szCs w:val="22"/>
        </w:rPr>
        <w:tab/>
        <w:t>Liu, D., Bordicchia, M., Zhang, C., Fang, H., Wei, W., Li, J.-L.L., et al., 2016. Activation of mTORC1 is essential for β-adrenergic stimulation of adipose browning. Journal of Clinical Investigation 1(5): 1–13, Doi: 10.1172/JCI83532.</w:t>
      </w:r>
    </w:p>
    <w:p w14:paraId="1168053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w:t>
      </w:r>
      <w:r w:rsidRPr="00772807">
        <w:rPr>
          <w:rFonts w:ascii="Arial" w:hAnsi="Arial" w:cs="Arial"/>
          <w:noProof/>
          <w:color w:val="000000" w:themeColor="text1"/>
          <w:sz w:val="22"/>
          <w:szCs w:val="22"/>
        </w:rPr>
        <w:tab/>
        <w:t>Tran, C.M., Mukherjee, S., Ye, L., Frederick, D.W., Kissig, M., Davis, J.G., et al., 2016. Rapamycin blocks induction of the thermogenic program in white adipose tissue. Diabetes 65(April 2015): 1–35, Doi: 10.2337/db15-0502.</w:t>
      </w:r>
    </w:p>
    <w:p w14:paraId="5E9DEC5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w:t>
      </w:r>
      <w:r w:rsidRPr="00772807">
        <w:rPr>
          <w:rFonts w:ascii="Arial" w:hAnsi="Arial" w:cs="Arial"/>
          <w:noProof/>
          <w:color w:val="000000" w:themeColor="text1"/>
          <w:sz w:val="22"/>
          <w:szCs w:val="22"/>
        </w:rPr>
        <w:tab/>
        <w:t>Efeyan, A., Comb, W.C., Sabatini, D.M., 2015. Nutrient-sensing mechanisms and pathways. Nature 517(7534): 302–10, Doi: 10.1038/nature14190.</w:t>
      </w:r>
    </w:p>
    <w:p w14:paraId="6B81DD7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[10]</w:t>
      </w:r>
      <w:r w:rsidRPr="00772807">
        <w:rPr>
          <w:rFonts w:ascii="Arial" w:hAnsi="Arial" w:cs="Arial"/>
          <w:noProof/>
          <w:color w:val="000000" w:themeColor="text1"/>
          <w:sz w:val="22"/>
          <w:szCs w:val="22"/>
        </w:rPr>
        <w:tab/>
        <w:t xml:space="preserve">Yecies, J.L., Zhang, H.H., Menon, S., Liu, S., Yecies, D., Lipovsky, A.I., et al., 2011. Akt Stimulates Hepatic SREBP1c and Lipogenesis through Parallel mTORC1-Dependent and </w:t>
      </w:r>
      <w:r w:rsidRPr="00772807">
        <w:rPr>
          <w:rFonts w:ascii="Arial" w:hAnsi="Arial" w:cs="Arial"/>
          <w:noProof/>
          <w:color w:val="000000" w:themeColor="text1"/>
          <w:sz w:val="22"/>
          <w:szCs w:val="22"/>
        </w:rPr>
        <w:lastRenderedPageBreak/>
        <w:t>Independent Pathways. Cell Metabolism 14(1): 21–32, Doi: 10.1016/j.cmet.2011.06.002.</w:t>
      </w:r>
    </w:p>
    <w:p w14:paraId="701A751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[11]</w:t>
      </w:r>
      <w:r w:rsidRPr="00772807">
        <w:rPr>
          <w:rFonts w:ascii="Arial" w:hAnsi="Arial" w:cs="Arial"/>
          <w:noProof/>
          <w:color w:val="000000" w:themeColor="text1"/>
          <w:sz w:val="22"/>
          <w:szCs w:val="22"/>
        </w:rPr>
        <w:tab/>
        <w:t>Chakrabarti, P., English, T., Shi, J., Smas, C.M., Kandror, K. V., 2010. Mammalian target of rapamycin complex 1 suppresses lipolysis, stimulates lipogenesis, and promotes fat storage. Diabetes 59(4): 775–81, Doi: 10.2337/db09-1602.</w:t>
      </w:r>
    </w:p>
    <w:p w14:paraId="420C245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[12]</w:t>
      </w:r>
      <w:r w:rsidRPr="00772807">
        <w:rPr>
          <w:rFonts w:ascii="Arial" w:hAnsi="Arial" w:cs="Arial"/>
          <w:noProof/>
          <w:color w:val="000000" w:themeColor="text1"/>
          <w:sz w:val="22"/>
          <w:szCs w:val="22"/>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DBF89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[13]</w:t>
      </w:r>
      <w:r w:rsidRPr="00772807">
        <w:rPr>
          <w:rFonts w:ascii="Arial" w:hAnsi="Arial" w:cs="Arial"/>
          <w:noProof/>
          <w:color w:val="000000" w:themeColor="text1"/>
          <w:sz w:val="22"/>
          <w:szCs w:val="22"/>
        </w:rPr>
        <w:tab/>
        <w:t>Lu, B., Bridges, D., Yang, Y., Fisher, K., Cheng, A., Chang, L., et al., 2014. Metabolic crosstalk: molecular links between glycogen and lipid metabolism in obesity. Diabetes 63(9): 2935–48, Doi: 10.2337/db13-1531.</w:t>
      </w:r>
    </w:p>
    <w:p w14:paraId="1FDCE6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[14]</w:t>
      </w:r>
      <w:r w:rsidRPr="00772807">
        <w:rPr>
          <w:rFonts w:ascii="Arial" w:hAnsi="Arial" w:cs="Arial"/>
          <w:noProof/>
          <w:color w:val="000000" w:themeColor="text1"/>
          <w:sz w:val="22"/>
          <w:szCs w:val="22"/>
        </w:rPr>
        <w:tab/>
        <w:t>Zhang, H.H., Huang, J., Düvel, K., Boback, B., Wu, S., Squillace, R.M., et al., 2009. Insulin stimulates adipogenesis through the Akt-TSC2-mTORC1 pathway. PloS One 4(7): e6189, Doi: 10.1371/journal.pone.0006189.</w:t>
      </w:r>
    </w:p>
    <w:p w14:paraId="7879982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[15]</w:t>
      </w:r>
      <w:r w:rsidRPr="00772807">
        <w:rPr>
          <w:rFonts w:ascii="Arial" w:hAnsi="Arial" w:cs="Arial"/>
          <w:noProof/>
          <w:color w:val="000000" w:themeColor="text1"/>
          <w:sz w:val="22"/>
          <w:szCs w:val="22"/>
        </w:rPr>
        <w:tab/>
        <w:t>Hatfield, I., Harvey, I., Yates, E.R., Redd, J.R., Reiter, L.T., Bridges, D., 2015. The role of TORC1 in muscle development in Drosophila. Scientific Reports 5: 9676, Doi: 10.1038/srep09676.</w:t>
      </w:r>
    </w:p>
    <w:p w14:paraId="6BCE58B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[16]</w:t>
      </w:r>
      <w:r w:rsidRPr="00772807">
        <w:rPr>
          <w:rFonts w:ascii="Arial" w:hAnsi="Arial" w:cs="Arial"/>
          <w:noProof/>
          <w:color w:val="000000" w:themeColor="text1"/>
          <w:sz w:val="22"/>
          <w:szCs w:val="22"/>
        </w:rPr>
        <w:tab/>
        <w:t>Erbay, E., Chen, J., 2001. The mammalian target of rapamycin regulates C2C12 myogenesis via a kinase-independent mechanism. The Journal of Biological Chemistry 276(39): 36079–82, Doi: 10.1074/jbc.C100406200.</w:t>
      </w:r>
    </w:p>
    <w:p w14:paraId="662E7B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[17]</w:t>
      </w:r>
      <w:r w:rsidRPr="00772807">
        <w:rPr>
          <w:rFonts w:ascii="Arial" w:hAnsi="Arial" w:cs="Arial"/>
          <w:noProof/>
          <w:color w:val="000000" w:themeColor="text1"/>
          <w:sz w:val="22"/>
          <w:szCs w:val="22"/>
        </w:rPr>
        <w:tab/>
        <w:t>Shah, O.J., Wang, Z., Hunter, T., 2004. Inappropriate activation of the TSC/Rheb/mTOR/S6K cassette induces IRS1/2 depletion, insulin resistance, and cell survival deficiencies. Current Biology 14(18): 1650–6, Doi: 10.1016/j.cub.2004.08.026.</w:t>
      </w:r>
    </w:p>
    <w:p w14:paraId="2037B88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[18]</w:t>
      </w:r>
      <w:r w:rsidRPr="00772807">
        <w:rPr>
          <w:rFonts w:ascii="Arial" w:hAnsi="Arial" w:cs="Arial"/>
          <w:noProof/>
          <w:color w:val="000000" w:themeColor="text1"/>
          <w:sz w:val="22"/>
          <w:szCs w:val="22"/>
        </w:rPr>
        <w:tab/>
        <w:t>DeFronzo, R.A., Ferrannini, E., Sato, Y., Felig, P., Wahren, J., 1981. Synergistic interaction between exercise and insulin on peripheral glucose uptake. The Journal of Clinical Investigation 68(6): 1468–74.</w:t>
      </w:r>
    </w:p>
    <w:p w14:paraId="14AEC45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[19]</w:t>
      </w:r>
      <w:r w:rsidRPr="00772807">
        <w:rPr>
          <w:rFonts w:ascii="Arial" w:hAnsi="Arial" w:cs="Arial"/>
          <w:noProof/>
          <w:color w:val="000000" w:themeColor="text1"/>
          <w:sz w:val="22"/>
          <w:szCs w:val="22"/>
        </w:rPr>
        <w:tab/>
        <w:t>Rolfe, D.F., Brown, G.C., 1997. Cellular energy utilization and molecular origin of standard metabolic rate in mammals. Physiological Reviews 77(3): 731–58.</w:t>
      </w:r>
    </w:p>
    <w:p w14:paraId="0FAF51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[20]</w:t>
      </w:r>
      <w:r w:rsidRPr="00772807">
        <w:rPr>
          <w:rFonts w:ascii="Arial" w:hAnsi="Arial" w:cs="Arial"/>
          <w:noProof/>
          <w:color w:val="000000" w:themeColor="text1"/>
          <w:sz w:val="22"/>
          <w:szCs w:val="22"/>
        </w:rPr>
        <w:tab/>
        <w:t>Bentzinger, C.F., Lin, S., Romanino, K., Castets, P., Guridi, M., Summermatter, S., et al., 2013. Differential response of skeletal muscles to mTORC1 signaling during atrophy and hypertrophy. Skeletal Muscle 3(1): 6, Doi: 10.1186/2044-5040-3-6.</w:t>
      </w:r>
    </w:p>
    <w:p w14:paraId="53DF9D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[21]</w:t>
      </w:r>
      <w:r w:rsidRPr="00772807">
        <w:rPr>
          <w:rFonts w:ascii="Arial" w:hAnsi="Arial" w:cs="Arial"/>
          <w:noProof/>
          <w:color w:val="000000" w:themeColor="text1"/>
          <w:sz w:val="22"/>
          <w:szCs w:val="22"/>
        </w:rPr>
        <w:tab/>
        <w:t xml:space="preserve">Castets, P., Lin, S., Rion, N., Di Fulvio, S., Romanino, K., Guridi, M., et al., 2013. Sustained activation of mTORC1 in skeletal muscle inhibits constitutive and starvation-induced autophagy </w:t>
      </w:r>
      <w:r w:rsidRPr="00772807">
        <w:rPr>
          <w:rFonts w:ascii="Arial" w:hAnsi="Arial" w:cs="Arial"/>
          <w:noProof/>
          <w:color w:val="000000" w:themeColor="text1"/>
          <w:sz w:val="22"/>
          <w:szCs w:val="22"/>
        </w:rPr>
        <w:lastRenderedPageBreak/>
        <w:t>and causes a severe, late-onset myopathy. Cell Metabolism 17(5): 731–44, Doi: 10.1016/j.cmet.2013.03.015.</w:t>
      </w:r>
    </w:p>
    <w:p w14:paraId="44A8EE5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[22]</w:t>
      </w:r>
      <w:r w:rsidRPr="00772807">
        <w:rPr>
          <w:rFonts w:ascii="Arial" w:hAnsi="Arial" w:cs="Arial"/>
          <w:noProof/>
          <w:color w:val="000000" w:themeColor="text1"/>
          <w:sz w:val="22"/>
          <w:szCs w:val="22"/>
        </w:rPr>
        <w:tab/>
        <w:t>Cunningham, J.T., Rodgers, J.T., Arlow, D.H., Vazquez, F., Mootha, V.K., Puigserver, P., 2007. mTOR controls mitochondrial oxidative function through a YY1-PGC-1alpha transcriptional complex. Nature 450(7170): 736–40, Doi: 10.1038/nature06322.</w:t>
      </w:r>
    </w:p>
    <w:p w14:paraId="1FCB7E9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[23]</w:t>
      </w:r>
      <w:r w:rsidRPr="00772807">
        <w:rPr>
          <w:rFonts w:ascii="Arial" w:hAnsi="Arial" w:cs="Arial"/>
          <w:noProof/>
          <w:color w:val="000000" w:themeColor="text1"/>
          <w:sz w:val="22"/>
          <w:szCs w:val="22"/>
        </w:rPr>
        <w:tab/>
        <w:t>Ramanathan, A., Schreiber, S.L., 2009. Direct control of mitochondrial function by mTOR. Proceedings of the National Academy of Sciences of the United States of America 106(52): 22229–32, Doi: 10.1073/pnas.0912074106.</w:t>
      </w:r>
    </w:p>
    <w:p w14:paraId="5CC3D5D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[24]</w:t>
      </w:r>
      <w:r w:rsidRPr="00772807">
        <w:rPr>
          <w:rFonts w:ascii="Arial" w:hAnsi="Arial" w:cs="Arial"/>
          <w:noProof/>
          <w:color w:val="000000" w:themeColor="text1"/>
          <w:sz w:val="22"/>
          <w:szCs w:val="22"/>
        </w:rPr>
        <w:tab/>
        <w:t>Koyanagi, M., Asahara, S.-I., Matsuda, T., Hashimoto, N., Shigeyama, Y., Shibutani, Y., et al., 2011. Ablation of TSC2 enhances insulin secretion by increasing the number of mitochondria through activation of mTORC1. PLoS ONE 6(8), Doi: 10.1371/journal.pone.0023238.</w:t>
      </w:r>
    </w:p>
    <w:p w14:paraId="5FEFB6C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[25]</w:t>
      </w:r>
      <w:r w:rsidRPr="00772807">
        <w:rPr>
          <w:rFonts w:ascii="Arial" w:hAnsi="Arial" w:cs="Arial"/>
          <w:noProof/>
          <w:color w:val="000000" w:themeColor="text1"/>
          <w:sz w:val="22"/>
          <w:szCs w:val="22"/>
        </w:rPr>
        <w:tab/>
        <w:t>Bjedov, I., Toivonen, J.M., Kerr, F., Slack, C., Jacobson, J., Foley, A., et al., 2010. Mechanisms of life span extension by rapamycin in the fruit fly Drosophila melanogaster. Cell Metabolism 11(1): 35–46, Doi: 10.1016/j.cmet.2009.11.010.</w:t>
      </w:r>
    </w:p>
    <w:p w14:paraId="0A42EA8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[26]</w:t>
      </w:r>
      <w:r w:rsidRPr="00772807">
        <w:rPr>
          <w:rFonts w:ascii="Arial" w:hAnsi="Arial" w:cs="Arial"/>
          <w:noProof/>
          <w:color w:val="000000" w:themeColor="text1"/>
          <w:sz w:val="22"/>
          <w:szCs w:val="22"/>
        </w:rPr>
        <w:tab/>
        <w:t>Harrison, D.E., Strong, R., Sharp, Z.D., Nelson, J.F., Astle, C.M., Flurkey, K., et al., 2009. Rapamycin fed late in life extends lifespan in genetically heterogeneous mice. Nature 460(7253): 392–5, Doi: 10.1038/nature08221.</w:t>
      </w:r>
    </w:p>
    <w:p w14:paraId="442CCDE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[27]</w:t>
      </w:r>
      <w:r w:rsidRPr="00772807">
        <w:rPr>
          <w:rFonts w:ascii="Arial" w:hAnsi="Arial" w:cs="Arial"/>
          <w:noProof/>
          <w:color w:val="000000" w:themeColor="text1"/>
          <w:sz w:val="22"/>
          <w:szCs w:val="22"/>
        </w:rPr>
        <w:tab/>
        <w:t>Kapahi, P., Zid, B.M., Harper, T., Koslover, D., Sapin, V., Benzer, S., 2004. Regulation of lifespan in Drosophila by modulation of genes in the TOR signaling pathway. Current Biology 14(10): 885–90, Doi: 10.1016/j.cub.2004.03.059.</w:t>
      </w:r>
    </w:p>
    <w:p w14:paraId="05E511D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[28]</w:t>
      </w:r>
      <w:r w:rsidRPr="00772807">
        <w:rPr>
          <w:rFonts w:ascii="Arial" w:hAnsi="Arial" w:cs="Arial"/>
          <w:noProof/>
          <w:color w:val="000000" w:themeColor="text1"/>
          <w:sz w:val="22"/>
          <w:szCs w:val="22"/>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FE9E13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[29]</w:t>
      </w:r>
      <w:r w:rsidRPr="00772807">
        <w:rPr>
          <w:rFonts w:ascii="Arial" w:hAnsi="Arial" w:cs="Arial"/>
          <w:noProof/>
          <w:color w:val="000000" w:themeColor="text1"/>
          <w:sz w:val="22"/>
          <w:szCs w:val="22"/>
        </w:rPr>
        <w:tab/>
        <w:t>Ling, C.H.Y., Taekema, D., De Craen, A.J.M., Gussekloo, J., Westendorp, R.G.J., Maier, A.B., 2010. Handgrip strength and mortality in the oldest old population: The Leiden 85-plus study. Cmaj 182(5): 429–35, Doi: 10.1503/cmaj.091278.</w:t>
      </w:r>
    </w:p>
    <w:p w14:paraId="0A719D6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[30]</w:t>
      </w:r>
      <w:r w:rsidRPr="00772807">
        <w:rPr>
          <w:rFonts w:ascii="Arial" w:hAnsi="Arial" w:cs="Arial"/>
          <w:noProof/>
          <w:color w:val="000000" w:themeColor="text1"/>
          <w:sz w:val="22"/>
          <w:szCs w:val="22"/>
        </w:rPr>
        <w:tab/>
        <w:t>Sasaki, H., Kasagi, F., Yamada, M., Fujita, S., 2007. Grip strength predicts cause-specific mortality in middle-aged and elderly persons. The American Journal of Medicine 120(4): 337–42, Doi: 10.1016/j.amjmed.2006.04.018.</w:t>
      </w:r>
    </w:p>
    <w:p w14:paraId="43AF2D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[31]</w:t>
      </w:r>
      <w:r w:rsidRPr="00772807">
        <w:rPr>
          <w:rFonts w:ascii="Arial" w:hAnsi="Arial" w:cs="Arial"/>
          <w:noProof/>
          <w:color w:val="000000" w:themeColor="text1"/>
          <w:sz w:val="22"/>
          <w:szCs w:val="22"/>
        </w:rPr>
        <w:tab/>
        <w:t>Gale, C.R., Martyn, C.N., Cooper, C., Sayer, A.A., 2007. Grip strength, body composition, and mortality. International Journal of Epidemiology 36(1): 228–35, Doi: 10.1093/ije/dyl224.</w:t>
      </w:r>
    </w:p>
    <w:p w14:paraId="327798A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[32]</w:t>
      </w:r>
      <w:r w:rsidRPr="00772807">
        <w:rPr>
          <w:rFonts w:ascii="Arial" w:hAnsi="Arial" w:cs="Arial"/>
          <w:noProof/>
          <w:color w:val="000000" w:themeColor="text1"/>
          <w:sz w:val="22"/>
          <w:szCs w:val="22"/>
        </w:rPr>
        <w:tab/>
        <w:t xml:space="preserve">Rantanen, T., Volpato, S., Ferrucci, L., Heikkinen, E., Fried, L.P., Guralnik, J.M., 2003. Handgrip </w:t>
      </w:r>
      <w:r w:rsidRPr="00772807">
        <w:rPr>
          <w:rFonts w:ascii="Arial" w:hAnsi="Arial" w:cs="Arial"/>
          <w:noProof/>
          <w:color w:val="000000" w:themeColor="text1"/>
          <w:sz w:val="22"/>
          <w:szCs w:val="22"/>
        </w:rPr>
        <w:lastRenderedPageBreak/>
        <w:t>strength and cause-specific and total mortality in older disabled women: exploring the mechanism. Journal of the American Geriatrics Society 51(5): 636–41, Doi: 10.1034/j.1600-0579.2003.00207.x.</w:t>
      </w:r>
    </w:p>
    <w:p w14:paraId="31289DA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[33]</w:t>
      </w:r>
      <w:r w:rsidRPr="00772807">
        <w:rPr>
          <w:rFonts w:ascii="Arial" w:hAnsi="Arial" w:cs="Arial"/>
          <w:noProof/>
          <w:color w:val="000000" w:themeColor="text1"/>
          <w:sz w:val="22"/>
          <w:szCs w:val="22"/>
        </w:rPr>
        <w:tab/>
        <w:t>Metter, E.J., Talbot, L. a., Schrager, M., Conwit, R., 2002. Skeletal muscle strength as a predictor of all-cause mortality in healthy men. The Journals of Gerontology. Series A, Biological Sciences and Medical Sciences 57(10): B359–65, Doi: 10.1093/gerona/57.10.B359.</w:t>
      </w:r>
    </w:p>
    <w:p w14:paraId="7E34FF1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[34]</w:t>
      </w:r>
      <w:r w:rsidRPr="00772807">
        <w:rPr>
          <w:rFonts w:ascii="Arial" w:hAnsi="Arial" w:cs="Arial"/>
          <w:noProof/>
          <w:color w:val="000000" w:themeColor="text1"/>
          <w:sz w:val="22"/>
          <w:szCs w:val="22"/>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522ACC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[35]</w:t>
      </w:r>
      <w:r w:rsidRPr="00772807">
        <w:rPr>
          <w:rFonts w:ascii="Arial" w:hAnsi="Arial" w:cs="Arial"/>
          <w:noProof/>
          <w:color w:val="000000" w:themeColor="text1"/>
          <w:sz w:val="22"/>
          <w:szCs w:val="22"/>
        </w:rPr>
        <w:tab/>
        <w:t>Laplante, M., Sabatini, D.M., 2010. mTORC1 activates SREBP-1c and uncouples lipogenesis from gluconeogenesis. Proceedings of the National Academy of Sciences of the United States of America 107(8): 3281–2, Doi: 10.1073/pnas.1000323107.</w:t>
      </w:r>
    </w:p>
    <w:p w14:paraId="4EF9FE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[36]</w:t>
      </w:r>
      <w:r w:rsidRPr="00772807">
        <w:rPr>
          <w:rFonts w:ascii="Arial" w:hAnsi="Arial" w:cs="Arial"/>
          <w:noProof/>
          <w:color w:val="000000" w:themeColor="text1"/>
          <w:sz w:val="22"/>
          <w:szCs w:val="22"/>
        </w:rPr>
        <w:tab/>
        <w:t>Tschöp, M.H., Speakman, J.R., Arch, J.R.S., Auwerx, J., Brüning, J.C.C., Chan, L., et al., 2011. A guide to analysis of mouse energy metabolism. Nature Methods 9(1): 57–63, Doi: 10.1038/nmeth.1806.</w:t>
      </w:r>
    </w:p>
    <w:p w14:paraId="67A9554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[37]</w:t>
      </w:r>
      <w:r w:rsidRPr="00772807">
        <w:rPr>
          <w:rFonts w:ascii="Arial" w:hAnsi="Arial" w:cs="Arial"/>
          <w:noProof/>
          <w:color w:val="000000" w:themeColor="text1"/>
          <w:sz w:val="22"/>
          <w:szCs w:val="22"/>
        </w:rPr>
        <w:tab/>
        <w:t>Stephenson, E.J., Ragauskas, A., Jaligama, S., Redd, 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66395D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[38]</w:t>
      </w:r>
      <w:r w:rsidRPr="00772807">
        <w:rPr>
          <w:rFonts w:ascii="Arial" w:hAnsi="Arial" w:cs="Arial"/>
          <w:noProof/>
          <w:color w:val="000000" w:themeColor="text1"/>
          <w:sz w:val="22"/>
          <w:szCs w:val="22"/>
        </w:rPr>
        <w:tab/>
        <w:t>Péronnet, F., Massicotte, D., 1991. Table of nonprotein respiratory quotient: an update. Canadian Journal of Sport Sciences = Journal Canadien Des Sciences Du Sport 16(1): 23–9.</w:t>
      </w:r>
    </w:p>
    <w:p w14:paraId="41D37F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[39]</w:t>
      </w:r>
      <w:r w:rsidRPr="00772807">
        <w:rPr>
          <w:rFonts w:ascii="Arial" w:hAnsi="Arial" w:cs="Arial"/>
          <w:noProof/>
          <w:color w:val="000000" w:themeColor="text1"/>
          <w:sz w:val="22"/>
          <w:szCs w:val="22"/>
        </w:rPr>
        <w:tab/>
        <w:t>McGuinness, O.P., Ayala, J.E., Laughlin, M.R., Wasserman, D.H., 2009. NIH experiment in centralized mouse phenotyping: the Vanderbilt experience and recommendations for evaluating glucose homeostasis in the mouse. American Journal of Physiology - Endocrinology and Metabolism 297(4).</w:t>
      </w:r>
    </w:p>
    <w:p w14:paraId="69DB51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[40]</w:t>
      </w:r>
      <w:r w:rsidRPr="00772807">
        <w:rPr>
          <w:rFonts w:ascii="Arial" w:hAnsi="Arial" w:cs="Arial"/>
          <w:noProof/>
          <w:color w:val="000000" w:themeColor="text1"/>
          <w:sz w:val="22"/>
          <w:szCs w:val="22"/>
        </w:rPr>
        <w:tab/>
        <w:t>Ayala, J.E., Bracy, D.P., Mcguinness, O.P., Wasserman, D.H., 2006. Considerations in the Design of Hyperinsulinemic- Euglycemic Clamps in the Conscious Mouse. Diabetes 55(2): 390–7.</w:t>
      </w:r>
    </w:p>
    <w:p w14:paraId="1DC582B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[41]</w:t>
      </w:r>
      <w:r w:rsidRPr="00772807">
        <w:rPr>
          <w:rFonts w:ascii="Arial" w:hAnsi="Arial" w:cs="Arial"/>
          <w:noProof/>
          <w:color w:val="000000" w:themeColor="text1"/>
          <w:sz w:val="22"/>
          <w:szCs w:val="22"/>
        </w:rPr>
        <w:tab/>
        <w:t>Halseth, A.M.Y.E., Bracy, D.P., Wasserman, D.H., Amy, E., Bracy, D.P., David, H., 1999. Overexpression of hexokinase II increases insulin- and exercise-stimulated muscle glucose uptake in vivo. The American Journal of Physiology 276(1): E70-77.</w:t>
      </w:r>
    </w:p>
    <w:p w14:paraId="3D35554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[42]</w:t>
      </w:r>
      <w:r w:rsidRPr="00772807">
        <w:rPr>
          <w:rFonts w:ascii="Arial" w:hAnsi="Arial" w:cs="Arial"/>
          <w:noProof/>
          <w:color w:val="000000" w:themeColor="text1"/>
          <w:sz w:val="22"/>
          <w:szCs w:val="22"/>
        </w:rPr>
        <w:tab/>
        <w:t>Harvey, I., Stephenson, E.J., Redd, J.R., Tran, Q.T., Hochberg, I., Qi, N., et al., 2018. Glucocorticoid-Induced Metabolic Disturbances are Exacerbated in Obese Male Mice. Endocrinology 159(May): 2275–87, Doi: 10.1210/en.2018-00147.</w:t>
      </w:r>
    </w:p>
    <w:p w14:paraId="4214EB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[43]</w:t>
      </w:r>
      <w:r w:rsidRPr="00772807">
        <w:rPr>
          <w:rFonts w:ascii="Arial" w:hAnsi="Arial" w:cs="Arial"/>
          <w:noProof/>
          <w:color w:val="000000" w:themeColor="text1"/>
          <w:sz w:val="22"/>
          <w:szCs w:val="22"/>
        </w:rPr>
        <w:tab/>
        <w:t>Kraegen, E., James, D., Jenkins, A., Chisholm, D., 1985. Dose-response curves for in vivo insulin sensitivity in individual tissues in rats. The American Physiological Society (248): E353–E362.</w:t>
      </w:r>
    </w:p>
    <w:p w14:paraId="37AB648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[44]</w:t>
      </w:r>
      <w:r w:rsidRPr="00772807">
        <w:rPr>
          <w:rFonts w:ascii="Arial" w:hAnsi="Arial" w:cs="Arial"/>
          <w:noProof/>
          <w:color w:val="000000" w:themeColor="text1"/>
          <w:sz w:val="22"/>
          <w:szCs w:val="22"/>
        </w:rPr>
        <w:tab/>
        <w:t>Kim, D., Pertea, G., Trapnell, C., Pimentel, H., Kelley, R., Salzberg, S.L., 2013. TopHat2: accurate alignment of transcriptomes in the presence of insertions, deletions and gene fusions. Genome Biology 14(4): R36, Doi: 10.1186/gb-2013-14-4-r36.</w:t>
      </w:r>
    </w:p>
    <w:p w14:paraId="453C2D7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[45]</w:t>
      </w:r>
      <w:r w:rsidRPr="00772807">
        <w:rPr>
          <w:rFonts w:ascii="Arial" w:hAnsi="Arial" w:cs="Arial"/>
          <w:noProof/>
          <w:color w:val="000000" w:themeColor="text1"/>
          <w:sz w:val="22"/>
          <w:szCs w:val="22"/>
        </w:rPr>
        <w:tab/>
        <w:t>Langmead, B., Trapnell, C., Pop, M., Salzberg, S.L., 2009. Ultrafast and memory-efficient alignment of short DNA sequences to the human genome. Genome Biology 10(3): R25, Doi: 10.1186/gb-2009-10-3-r25.</w:t>
      </w:r>
    </w:p>
    <w:p w14:paraId="30A8FE5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[46]</w:t>
      </w:r>
      <w:r w:rsidRPr="00772807">
        <w:rPr>
          <w:rFonts w:ascii="Arial" w:hAnsi="Arial" w:cs="Arial"/>
          <w:noProof/>
          <w:color w:val="000000" w:themeColor="text1"/>
          <w:sz w:val="22"/>
          <w:szCs w:val="22"/>
        </w:rPr>
        <w:tab/>
        <w:t>Anders, S., Pyl, P.T., Huber, W., 2015. HTSeq-A Python framework to work with high-throughput sequencing data. Bioinformatics 31(2): 166–9, Doi: 10.1093/bioinformatics/btu638.</w:t>
      </w:r>
    </w:p>
    <w:p w14:paraId="5E31BD0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[47]</w:t>
      </w:r>
      <w:r w:rsidRPr="00772807">
        <w:rPr>
          <w:rFonts w:ascii="Arial" w:hAnsi="Arial" w:cs="Arial"/>
          <w:noProof/>
          <w:color w:val="000000" w:themeColor="text1"/>
          <w:sz w:val="22"/>
          <w:szCs w:val="22"/>
        </w:rPr>
        <w:tab/>
        <w:t>Love, M.I., Huber, W., Anders, S., 2014. Moderated estimation of fold change and dispersion for RNA-seq data with DESeq2. Genome Biology 15(12): 550, Doi: 10.1186/s13059-014-0550-8.</w:t>
      </w:r>
    </w:p>
    <w:p w14:paraId="352D673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[48]</w:t>
      </w:r>
      <w:r w:rsidRPr="00772807">
        <w:rPr>
          <w:rFonts w:ascii="Arial" w:hAnsi="Arial" w:cs="Arial"/>
          <w:noProof/>
          <w:color w:val="000000" w:themeColor="text1"/>
          <w:sz w:val="22"/>
          <w:szCs w:val="22"/>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29DDB9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[49]</w:t>
      </w:r>
      <w:r w:rsidRPr="00772807">
        <w:rPr>
          <w:rFonts w:ascii="Arial" w:hAnsi="Arial" w:cs="Arial"/>
          <w:noProof/>
          <w:color w:val="000000" w:themeColor="text1"/>
          <w:sz w:val="22"/>
          <w:szCs w:val="22"/>
        </w:rPr>
        <w:tab/>
        <w:t>Liberzon, A., Subramanian, A., Pinchback, R., Thorvaldsdóttir, H., Tamayo, P., Mesirov, J.P., 2011. Molecular signatures database (MSigDB) 3.0. Bioinformatics 27(12): 1739–40, Doi: 10.1093/bioinformatics/btr260.</w:t>
      </w:r>
    </w:p>
    <w:p w14:paraId="3A25C5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[50]</w:t>
      </w:r>
      <w:r w:rsidRPr="00772807">
        <w:rPr>
          <w:rFonts w:ascii="Arial" w:hAnsi="Arial" w:cs="Arial"/>
          <w:noProof/>
          <w:color w:val="000000" w:themeColor="text1"/>
          <w:sz w:val="22"/>
          <w:szCs w:val="22"/>
        </w:rPr>
        <w:tab/>
        <w:t>Düvel, K., Yecies, J.L., Menon, S., Raman, P., Lipovsky, A.I., Souza, A.L., et al., 2010. Activation of a Metabolic Gene Regulatory Network Downstream of mTOR Complex 1. Molecular Cell 39(2): 171–83, Doi: 10.1016/j.molcel.2010.06.022.</w:t>
      </w:r>
    </w:p>
    <w:p w14:paraId="5613ABD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[51]</w:t>
      </w:r>
      <w:r w:rsidRPr="00772807">
        <w:rPr>
          <w:rFonts w:ascii="Arial" w:hAnsi="Arial" w:cs="Arial"/>
          <w:noProof/>
          <w:color w:val="000000" w:themeColor="text1"/>
          <w:sz w:val="22"/>
          <w:szCs w:val="22"/>
        </w:rPr>
        <w:tab/>
        <w:t>R Core Team., 2013. R: A Language and Environment for Statistical Computing.</w:t>
      </w:r>
    </w:p>
    <w:p w14:paraId="4BB3DDE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[52]</w:t>
      </w:r>
      <w:r w:rsidRPr="00772807">
        <w:rPr>
          <w:rFonts w:ascii="Arial" w:hAnsi="Arial" w:cs="Arial"/>
          <w:noProof/>
          <w:color w:val="000000" w:themeColor="text1"/>
          <w:sz w:val="22"/>
          <w:szCs w:val="22"/>
        </w:rPr>
        <w:tab/>
        <w:t>Bates, D.M., Mächler, M., Bolker, B., Walker, S., 2014. Fitting Linear Mixed-Effects Models using lme4. ArXiv 1406.5823: 1–51.</w:t>
      </w:r>
    </w:p>
    <w:p w14:paraId="4E5594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[53]</w:t>
      </w:r>
      <w:r w:rsidRPr="00772807">
        <w:rPr>
          <w:rFonts w:ascii="Arial" w:hAnsi="Arial" w:cs="Arial"/>
          <w:noProof/>
          <w:color w:val="000000" w:themeColor="text1"/>
          <w:sz w:val="22"/>
          <w:szCs w:val="22"/>
        </w:rPr>
        <w:tab/>
        <w:t>Therneau, T.M., Grambsch, P.M., 2000. Modeling Survival Data: Extending the Cox Model. New York, NY: Springer New York.</w:t>
      </w:r>
    </w:p>
    <w:p w14:paraId="443D560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[54]</w:t>
      </w:r>
      <w:r w:rsidRPr="00772807">
        <w:rPr>
          <w:rFonts w:ascii="Arial" w:hAnsi="Arial" w:cs="Arial"/>
          <w:noProof/>
          <w:color w:val="000000" w:themeColor="text1"/>
          <w:sz w:val="22"/>
          <w:szCs w:val="22"/>
        </w:rPr>
        <w:tab/>
        <w:t>Therneau, T., 2012. A Package for Survival Analysis in S. R package version. Survival.</w:t>
      </w:r>
    </w:p>
    <w:p w14:paraId="001A1F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[55]</w:t>
      </w:r>
      <w:r w:rsidRPr="00772807">
        <w:rPr>
          <w:rFonts w:ascii="Arial" w:hAnsi="Arial" w:cs="Arial"/>
          <w:noProof/>
          <w:color w:val="000000" w:themeColor="text1"/>
          <w:sz w:val="22"/>
          <w:szCs w:val="22"/>
        </w:rPr>
        <w:tab/>
        <w:t xml:space="preserve">Benjamini, Y., Hochberg, Y., 1995. Controlling the False Discovery Rate: A Practical and </w:t>
      </w:r>
      <w:r w:rsidRPr="00772807">
        <w:rPr>
          <w:rFonts w:ascii="Arial" w:hAnsi="Arial" w:cs="Arial"/>
          <w:noProof/>
          <w:color w:val="000000" w:themeColor="text1"/>
          <w:sz w:val="22"/>
          <w:szCs w:val="22"/>
        </w:rPr>
        <w:lastRenderedPageBreak/>
        <w:t>Powerful Approach to Multiple Testing. Journal of the Royal Statistical Society. Series B 57(1): 289–300.</w:t>
      </w:r>
    </w:p>
    <w:p w14:paraId="053D7D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[56]</w:t>
      </w:r>
      <w:r w:rsidRPr="00772807">
        <w:rPr>
          <w:rFonts w:ascii="Arial" w:hAnsi="Arial" w:cs="Arial"/>
          <w:noProof/>
          <w:color w:val="000000" w:themeColor="text1"/>
          <w:sz w:val="22"/>
          <w:szCs w:val="22"/>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30168B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[57]</w:t>
      </w:r>
      <w:r w:rsidRPr="00772807">
        <w:rPr>
          <w:rFonts w:ascii="Arial" w:hAnsi="Arial" w:cs="Arial"/>
          <w:noProof/>
          <w:color w:val="000000" w:themeColor="text1"/>
          <w:sz w:val="22"/>
          <w:szCs w:val="22"/>
        </w:rPr>
        <w:tab/>
        <w:t>Pacher, M., Seewald, M.J., Mikula, M., Oehler, S., Mogg, M., Vinatzer, U., et al., 2007. Impact of constitutive IGF1/IGF2 stimulation on the transcriptional program of human breast cancer cells. Carcinogenesis 28(1): 49–59, Doi: 10.1093/carcin/bgl091.</w:t>
      </w:r>
    </w:p>
    <w:p w14:paraId="081AD31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[58]</w:t>
      </w:r>
      <w:r w:rsidRPr="00772807">
        <w:rPr>
          <w:rFonts w:ascii="Arial" w:hAnsi="Arial" w:cs="Arial"/>
          <w:noProof/>
          <w:color w:val="000000" w:themeColor="text1"/>
          <w:sz w:val="22"/>
          <w:szCs w:val="22"/>
        </w:rPr>
        <w:tab/>
        <w:t>Bal, N.C., Maurya, S.K., Sopariwala, D.H., Sahoo, S.K., Gupta, S.C., Shaikh, S.A., et al., 2012. Sarcolipin is a newly identified regulator of muscle-based thermogenesis in mammals. Nature Medicine 18(10): 1575–9, Doi: 10.1038/nm.2897.</w:t>
      </w:r>
    </w:p>
    <w:p w14:paraId="0821CD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[59]</w:t>
      </w:r>
      <w:r w:rsidRPr="00772807">
        <w:rPr>
          <w:rFonts w:ascii="Arial" w:hAnsi="Arial" w:cs="Arial"/>
          <w:noProof/>
          <w:color w:val="000000" w:themeColor="text1"/>
          <w:sz w:val="22"/>
          <w:szCs w:val="22"/>
        </w:rPr>
        <w:tab/>
        <w:t>Bombardier, E., Smith, I.C., Gamu, D., Fajardo, V.A., Vigna, C., Sayer, R.A., et al., 2013. Sarcolipin trumps β-adrenergic receptor signaling as the favored mechanism for muscle-based diet-induced thermogenesis. FASEB Journal 27(9): 3871–8, Doi: 10.1096/fj.13-230631.</w:t>
      </w:r>
    </w:p>
    <w:p w14:paraId="13DB2D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[60]</w:t>
      </w:r>
      <w:r w:rsidRPr="00772807">
        <w:rPr>
          <w:rFonts w:ascii="Arial" w:hAnsi="Arial" w:cs="Arial"/>
          <w:noProof/>
          <w:color w:val="000000" w:themeColor="text1"/>
          <w:sz w:val="22"/>
          <w:szCs w:val="22"/>
        </w:rPr>
        <w:tab/>
        <w:t>Rowland, L.A., Maurya, S.K., Bal, N.C., Kozak, L., Periasamy, M., 2016. Sarcolipin and uncoupling protein 1 play distinct roles in diet-induced thermogenesis and do not compensate for one another. Obesity 00(00): 10–3, Doi: 10.1002/oby.21542.</w:t>
      </w:r>
    </w:p>
    <w:p w14:paraId="5A785D5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[61]</w:t>
      </w:r>
      <w:r w:rsidRPr="00772807">
        <w:rPr>
          <w:rFonts w:ascii="Arial" w:hAnsi="Arial" w:cs="Arial"/>
          <w:noProof/>
          <w:color w:val="000000" w:themeColor="text1"/>
          <w:sz w:val="22"/>
          <w:szCs w:val="22"/>
        </w:rPr>
        <w:tab/>
        <w:t>Maurya, S.K., Periasamy, M., 2015. Sarcolipin is a novel regulator of muscle metabolism and obesity. Pharmacological Research 102: 270–5, Doi: 10.1016/j.phrs.2015.10.020.</w:t>
      </w:r>
    </w:p>
    <w:p w14:paraId="56A272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[62]</w:t>
      </w:r>
      <w:r w:rsidRPr="00772807">
        <w:rPr>
          <w:rFonts w:ascii="Arial" w:hAnsi="Arial" w:cs="Arial"/>
          <w:noProof/>
          <w:color w:val="000000" w:themeColor="text1"/>
          <w:sz w:val="22"/>
          <w:szCs w:val="22"/>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118BC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[63]</w:t>
      </w:r>
      <w:r w:rsidRPr="00772807">
        <w:rPr>
          <w:rFonts w:ascii="Arial" w:hAnsi="Arial" w:cs="Arial"/>
          <w:noProof/>
          <w:color w:val="000000" w:themeColor="text1"/>
          <w:sz w:val="22"/>
          <w:szCs w:val="22"/>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1D0F5C1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[64]</w:t>
      </w:r>
      <w:r w:rsidRPr="00772807">
        <w:rPr>
          <w:rFonts w:ascii="Arial" w:hAnsi="Arial" w:cs="Arial"/>
          <w:noProof/>
          <w:color w:val="000000" w:themeColor="text1"/>
          <w:sz w:val="22"/>
          <w:szCs w:val="22"/>
        </w:rPr>
        <w:tab/>
        <w:t>Fiatarone, M.A., 1990. High-Intensity Strength Training in Nonagenarians. JAMA 263(22): 3029, Doi: 10.1001/jama.1990.03440220053029.</w:t>
      </w:r>
    </w:p>
    <w:p w14:paraId="714C958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[65]</w:t>
      </w:r>
      <w:r w:rsidRPr="00772807">
        <w:rPr>
          <w:rFonts w:ascii="Arial" w:hAnsi="Arial" w:cs="Arial"/>
          <w:noProof/>
          <w:color w:val="000000" w:themeColor="text1"/>
          <w:sz w:val="22"/>
          <w:szCs w:val="22"/>
        </w:rPr>
        <w:tab/>
        <w:t>Zurlo, F., Larson, K., Bogardus, C., Ravussin, E., 1990. Skeletal muscle metabolism is a major determinant of resting energy expenditure. Journal of Clinical Investigation 86(5): 1423.</w:t>
      </w:r>
    </w:p>
    <w:p w14:paraId="221043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[66]</w:t>
      </w:r>
      <w:r w:rsidRPr="00772807">
        <w:rPr>
          <w:rFonts w:ascii="Arial" w:hAnsi="Arial" w:cs="Arial"/>
          <w:noProof/>
          <w:color w:val="000000" w:themeColor="text1"/>
          <w:sz w:val="22"/>
          <w:szCs w:val="22"/>
        </w:rPr>
        <w:tab/>
        <w:t xml:space="preserve">Philp, A., Schenk, S., Perez-Schindler, J., Hamilton, D.L., Breen, L., Laverone, E., et al., 2015. Rapamycin does not prevent increases in myofibrillar or mitochondrial protein synthesis following </w:t>
      </w:r>
      <w:r w:rsidRPr="00772807">
        <w:rPr>
          <w:rFonts w:ascii="Arial" w:hAnsi="Arial" w:cs="Arial"/>
          <w:noProof/>
          <w:color w:val="000000" w:themeColor="text1"/>
          <w:sz w:val="22"/>
          <w:szCs w:val="22"/>
        </w:rPr>
        <w:lastRenderedPageBreak/>
        <w:t>endurance exercise. The Journal of Physiology 44(i): n/a-n/a, Doi: 10.1113/JP271219.</w:t>
      </w:r>
    </w:p>
    <w:p w14:paraId="650292D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[67]</w:t>
      </w:r>
      <w:r w:rsidRPr="00772807">
        <w:rPr>
          <w:rFonts w:ascii="Arial" w:hAnsi="Arial" w:cs="Arial"/>
          <w:noProof/>
          <w:color w:val="000000" w:themeColor="text1"/>
          <w:sz w:val="22"/>
          <w:szCs w:val="22"/>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2EC7B69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[68]</w:t>
      </w:r>
      <w:r w:rsidRPr="00772807">
        <w:rPr>
          <w:rFonts w:ascii="Arial" w:hAnsi="Arial" w:cs="Arial"/>
          <w:noProof/>
          <w:color w:val="000000" w:themeColor="text1"/>
          <w:sz w:val="22"/>
          <w:szCs w:val="22"/>
        </w:rPr>
        <w:tab/>
        <w:t>Smith, W.S., Broadbridge, R., East, J.M., Lee, A.G., 2002. Sarcolipin uncouples hydrolysis of ATP from accumulation of Ca2+ by the Ca2+-ATPase of skeletal-muscle sarcoplasmic reticulum. Biochemical Journal 361(2): 277–86, Doi: 10.1042/bj3610277.</w:t>
      </w:r>
    </w:p>
    <w:p w14:paraId="3EB3B39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[69]</w:t>
      </w:r>
      <w:r w:rsidRPr="00772807">
        <w:rPr>
          <w:rFonts w:ascii="Arial" w:hAnsi="Arial" w:cs="Arial"/>
          <w:noProof/>
          <w:color w:val="000000" w:themeColor="text1"/>
          <w:sz w:val="22"/>
          <w:szCs w:val="22"/>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EFC81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[70]</w:t>
      </w:r>
      <w:r w:rsidRPr="00772807">
        <w:rPr>
          <w:rFonts w:ascii="Arial" w:hAnsi="Arial" w:cs="Arial"/>
          <w:noProof/>
          <w:color w:val="000000" w:themeColor="text1"/>
          <w:sz w:val="22"/>
          <w:szCs w:val="22"/>
        </w:rPr>
        <w:tab/>
        <w:t>Dutchak, P.A., Estill-Terpack, S.J., Plec, A.A., Zhao, X., Yang, C., Chen, J., et al., 2018. Loss of a Negative Regulator of mTORC1 Induces Aerobic Glycolysis and Altered Fiber Composition in Skeletal Muscle. Cell Reports 23(7): 1907–14, Doi: 10.1016/j.celrep.2018.04.058.</w:t>
      </w:r>
    </w:p>
    <w:p w14:paraId="080CF4F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[71]</w:t>
      </w:r>
      <w:r w:rsidRPr="00772807">
        <w:rPr>
          <w:rFonts w:ascii="Arial" w:hAnsi="Arial" w:cs="Arial"/>
          <w:noProof/>
          <w:color w:val="000000" w:themeColor="text1"/>
          <w:sz w:val="22"/>
          <w:szCs w:val="22"/>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741F3B0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[72]</w:t>
      </w:r>
      <w:r w:rsidRPr="00772807">
        <w:rPr>
          <w:rFonts w:ascii="Arial" w:hAnsi="Arial" w:cs="Arial"/>
          <w:noProof/>
          <w:color w:val="000000" w:themeColor="text1"/>
          <w:sz w:val="22"/>
          <w:szCs w:val="22"/>
        </w:rPr>
        <w:tab/>
        <w:t>Risson, V., Mazelin, L., Roceri, M., Sanchez, H., Moncollin, V., Corneloup, C., et al., 2009. Muscle inactivation of mTOR causes metabolic and dystrophin defects leading to severe myopathy. The Journal of Cell Biology 187(6): 859–74, Doi: 10.1083/jcb.200903131.</w:t>
      </w:r>
    </w:p>
    <w:p w14:paraId="6D27EF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[73]</w:t>
      </w:r>
      <w:r w:rsidRPr="00772807">
        <w:rPr>
          <w:rFonts w:ascii="Arial" w:hAnsi="Arial" w:cs="Arial"/>
          <w:noProof/>
          <w:color w:val="000000" w:themeColor="text1"/>
          <w:sz w:val="22"/>
          <w:szCs w:val="22"/>
        </w:rPr>
        <w:tab/>
        <w:t>Tsai, S., Sitzmann, J.M., Dastidar, S.G., Rodriguez, A. a., Vu, S.L., McDonald, C.E., et al., 2015. Muscle-specific 4E-BP1 signaling activation improves metabolic parameters during aging and obesity. The Journal of Clinical Investigation 125(8): 2952–64, Doi: 10.1172/JCI77361.</w:t>
      </w:r>
    </w:p>
    <w:p w14:paraId="3020D1F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[74]</w:t>
      </w:r>
      <w:r w:rsidRPr="00772807">
        <w:rPr>
          <w:rFonts w:ascii="Arial" w:hAnsi="Arial" w:cs="Arial"/>
          <w:noProof/>
          <w:color w:val="000000" w:themeColor="text1"/>
          <w:sz w:val="22"/>
          <w:szCs w:val="22"/>
        </w:rPr>
        <w:tab/>
        <w:t>Kim, K.H., Jeong, Y.T., Oh, H., Kim, S.H., Cho, J.M., Kim, Y.-N., et al., 2012. Autophagy deficiency leads to protection from obesity and insulin resistance by inducing Fgf21 as a mitokine. Nature Medicine, Doi: 10.1038/nm.3014.</w:t>
      </w:r>
    </w:p>
    <w:p w14:paraId="762419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[75]</w:t>
      </w:r>
      <w:r w:rsidRPr="00772807">
        <w:rPr>
          <w:rFonts w:ascii="Arial" w:hAnsi="Arial" w:cs="Arial"/>
          <w:noProof/>
          <w:color w:val="000000" w:themeColor="text1"/>
          <w:sz w:val="22"/>
          <w:szCs w:val="22"/>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1E94C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[76]</w:t>
      </w:r>
      <w:r w:rsidRPr="00772807">
        <w:rPr>
          <w:rFonts w:ascii="Arial" w:hAnsi="Arial" w:cs="Arial"/>
          <w:noProof/>
          <w:color w:val="000000" w:themeColor="text1"/>
          <w:sz w:val="22"/>
          <w:szCs w:val="22"/>
        </w:rPr>
        <w:tab/>
        <w:t xml:space="preserve">Garcia-Roves, P., Huss, J.M., Han, D.-H., Hancock, C.R., Iglesias-Gutierrez, E., Chen, M., et al., </w:t>
      </w:r>
      <w:r w:rsidRPr="00772807">
        <w:rPr>
          <w:rFonts w:ascii="Arial" w:hAnsi="Arial" w:cs="Arial"/>
          <w:noProof/>
          <w:color w:val="000000" w:themeColor="text1"/>
          <w:sz w:val="22"/>
          <w:szCs w:val="22"/>
        </w:rPr>
        <w:lastRenderedPageBreak/>
        <w:t>2007. Raising plasma fatty acid concentration induces increased biogenesis of mitochondria in skeletal muscle. Proceedings of the National Academy of Sciences of the United States of America 104(25): 10709–13, Doi: 10.1073/pnas.0704024104.</w:t>
      </w:r>
    </w:p>
    <w:p w14:paraId="4E38B4B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[77]</w:t>
      </w:r>
      <w:r w:rsidRPr="00772807">
        <w:rPr>
          <w:rFonts w:ascii="Arial" w:hAnsi="Arial" w:cs="Arial"/>
          <w:noProof/>
          <w:color w:val="000000" w:themeColor="text1"/>
          <w:sz w:val="22"/>
          <w:szCs w:val="22"/>
        </w:rPr>
        <w:tab/>
        <w:t>Iadevaia, V., Huo, Y., Zhang, Z., Foster, L.J., Proud, C.G., 2012. Roles of the mammalian target of rapamycin, mTOR, in controlling ribosome biogenesis and protein synthesis: Figure 1. Biochemical Society Transactions 40(1): 168–72, Doi: 10.1042/BST20110682.</w:t>
      </w:r>
    </w:p>
    <w:p w14:paraId="7079355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[78]</w:t>
      </w:r>
      <w:r w:rsidRPr="00772807">
        <w:rPr>
          <w:rFonts w:ascii="Arial" w:hAnsi="Arial" w:cs="Arial"/>
          <w:noProof/>
          <w:color w:val="000000" w:themeColor="text1"/>
          <w:sz w:val="22"/>
          <w:szCs w:val="22"/>
        </w:rPr>
        <w:tab/>
        <w:t>Zahn, J.M., Sonu, R., Vogel, H., Crane, E., Mazan-Mamczarz, K., Rabkin, R., et al., 2006. Transcriptional profiling of aging in human muscle reveals a common aging signature. PLoS Genetics 2(7): 1058–69, Doi: 10.1371/journal.pgen.0020115.</w:t>
      </w:r>
    </w:p>
    <w:p w14:paraId="7500C75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[79]</w:t>
      </w:r>
      <w:r w:rsidRPr="00772807">
        <w:rPr>
          <w:rFonts w:ascii="Arial" w:hAnsi="Arial" w:cs="Arial"/>
          <w:noProof/>
          <w:color w:val="000000" w:themeColor="text1"/>
          <w:sz w:val="22"/>
          <w:szCs w:val="22"/>
        </w:rPr>
        <w:tab/>
        <w:t>Phillips, B.E., Williams, J.P., Gustafsson, T., Bouchard, C., Rankinen, T., Knudsen, S., et al., 2013. Molecular Networks of Human Muscle Adaptation to Exercise and Age. PLoS Genetics 9(3), Doi: 10.1371/journal.pgen.1003389.</w:t>
      </w:r>
    </w:p>
    <w:p w14:paraId="39EC220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[80]</w:t>
      </w:r>
      <w:r w:rsidRPr="00772807">
        <w:rPr>
          <w:rFonts w:ascii="Arial" w:hAnsi="Arial" w:cs="Arial"/>
          <w:noProof/>
          <w:color w:val="000000" w:themeColor="text1"/>
          <w:sz w:val="22"/>
          <w:szCs w:val="22"/>
        </w:rPr>
        <w:tab/>
        <w:t>Gaffney, C.J., Pollard, A., Barratt, T.F., Constantin-Teodosiu, D., Greenhaff, P.L., Szewczyk, N.J., 2018. Greater loss of mitochondrial function with ageing is associated with earlier onset of sarcopenia in C. elegans. Aging 10(11): 3382–96, Doi: 10.18632/aging.101654.</w:t>
      </w:r>
    </w:p>
    <w:p w14:paraId="32E172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[81]</w:t>
      </w:r>
      <w:r w:rsidRPr="00772807">
        <w:rPr>
          <w:rFonts w:ascii="Arial" w:hAnsi="Arial" w:cs="Arial"/>
          <w:noProof/>
          <w:color w:val="000000" w:themeColor="text1"/>
          <w:sz w:val="22"/>
          <w:szCs w:val="22"/>
        </w:rPr>
        <w:tab/>
        <w:t>Castro-Sepúlveda, M., Tevy, M.F., Jaimovich, E., Campos, C.A., Eisner, V., Figueroa, R., et al., 2018. Muscle function decline and mitochondria changes in middle age precede sarcopenia in mice. Aging 10(1): 34–55, Doi: 10.18632/aging.101358.</w:t>
      </w:r>
    </w:p>
    <w:p w14:paraId="0DF7646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[82]</w:t>
      </w:r>
      <w:r w:rsidRPr="00772807">
        <w:rPr>
          <w:rFonts w:ascii="Arial" w:hAnsi="Arial" w:cs="Arial"/>
          <w:noProof/>
          <w:color w:val="000000" w:themeColor="text1"/>
          <w:sz w:val="22"/>
          <w:szCs w:val="22"/>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6D39C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[83]</w:t>
      </w:r>
      <w:r w:rsidRPr="00772807">
        <w:rPr>
          <w:rFonts w:ascii="Arial" w:hAnsi="Arial" w:cs="Arial"/>
          <w:noProof/>
          <w:color w:val="000000" w:themeColor="text1"/>
          <w:sz w:val="22"/>
          <w:szCs w:val="22"/>
        </w:rPr>
        <w:tab/>
        <w:t>Pawlikowska, L., Hu, D., Huntsman, S., Sung, A., Chu, C., Chen, J., et al., 2009. Association of common genetic variation in the insulin/IGF1 signaling pathway with human longevity. Aging Cell 8(4): 460–72, Doi: 10.1111/j.1474-9726.2009.00493.x.</w:t>
      </w:r>
    </w:p>
    <w:p w14:paraId="5F16C0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[84]</w:t>
      </w:r>
      <w:r w:rsidRPr="00772807">
        <w:rPr>
          <w:rFonts w:ascii="Arial" w:hAnsi="Arial" w:cs="Arial"/>
          <w:noProof/>
          <w:color w:val="000000" w:themeColor="text1"/>
          <w:sz w:val="22"/>
          <w:szCs w:val="22"/>
        </w:rPr>
        <w:tab/>
        <w:t>Willcox, B.J., Donlon, T. a., He, Q., Chen, R., Grove, J.S., Yano, K., et al., 2008. FOXO3A genotype is strongly associated with human longevity. Proceedings of the National Academy of Sciences of the United States of America 105(37): 13987–92, Doi: 10.1073/pnas.0801030105.</w:t>
      </w:r>
    </w:p>
    <w:p w14:paraId="06EC2173"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[85]</w:t>
      </w:r>
      <w:r w:rsidRPr="00772807">
        <w:rPr>
          <w:rFonts w:ascii="Arial" w:hAnsi="Arial" w:cs="Arial"/>
          <w:noProof/>
          <w:color w:val="000000" w:themeColor="text1"/>
          <w:sz w:val="22"/>
          <w:szCs w:val="22"/>
        </w:rPr>
        <w:tab/>
        <w:t>Bao, J.-M., Song, X.-L., Hong, Y.-Q., Zhu, H.-L., Li, C., Zhang, T., et al., 2014. Association between FOXO3A gene polymorphisms and human longevity: a meta-analysis. Asian Journal of Andrology 16(3): 446–52, Doi: 10.4103/1008-682X.123673.</w:t>
      </w:r>
    </w:p>
    <w:p w14:paraId="2BCBDAA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[86]</w:t>
      </w:r>
      <w:r w:rsidRPr="00772807">
        <w:rPr>
          <w:rFonts w:ascii="Arial" w:hAnsi="Arial" w:cs="Arial"/>
          <w:noProof/>
          <w:color w:val="000000" w:themeColor="text1"/>
          <w:sz w:val="22"/>
          <w:szCs w:val="22"/>
        </w:rPr>
        <w:tab/>
        <w:t xml:space="preserve">Anselmi, C.V., Malovini, A., Roncarati, R., Novelli, V., Villa, F., Condorelli, G., et al., 2009. Association of the FOXO3A locus with extreme longevity in a southern Italian centenarian study. </w:t>
      </w:r>
      <w:r w:rsidRPr="00772807">
        <w:rPr>
          <w:rFonts w:ascii="Arial" w:hAnsi="Arial" w:cs="Arial"/>
          <w:noProof/>
          <w:color w:val="000000" w:themeColor="text1"/>
          <w:sz w:val="22"/>
          <w:szCs w:val="22"/>
        </w:rPr>
        <w:lastRenderedPageBreak/>
        <w:t>Rejuvenation Research 12(2): 95–104, Doi: 10.1089/rej.2008.0827.</w:t>
      </w:r>
    </w:p>
    <w:p w14:paraId="468FC9A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[87]</w:t>
      </w:r>
      <w:r w:rsidRPr="00772807">
        <w:rPr>
          <w:rFonts w:ascii="Arial" w:hAnsi="Arial" w:cs="Arial"/>
          <w:noProof/>
          <w:color w:val="000000" w:themeColor="text1"/>
          <w:sz w:val="22"/>
          <w:szCs w:val="22"/>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538D4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[88]</w:t>
      </w:r>
      <w:r w:rsidRPr="00772807">
        <w:rPr>
          <w:rFonts w:ascii="Arial" w:hAnsi="Arial" w:cs="Arial"/>
          <w:noProof/>
          <w:color w:val="000000" w:themeColor="text1"/>
          <w:sz w:val="22"/>
          <w:szCs w:val="22"/>
        </w:rPr>
        <w:tab/>
        <w:t>Li, Y., Wang, W.J., Cao, H., Lu, J., Wu, C., Hu, F.Y., et al., 2009. Genetic association of FOXO1A and FOXO3A with longevity trait in Han Chinese populations. Human Molecular Genetics 18(24): 4897–904, Doi: 10.1093/hmg/ddp459.</w:t>
      </w:r>
    </w:p>
    <w:p w14:paraId="4041013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[89]</w:t>
      </w:r>
      <w:r w:rsidRPr="00772807">
        <w:rPr>
          <w:rFonts w:ascii="Arial" w:hAnsi="Arial" w:cs="Arial"/>
          <w:noProof/>
          <w:color w:val="000000" w:themeColor="text1"/>
          <w:sz w:val="22"/>
          <w:szCs w:val="22"/>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8D8A3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[90]</w:t>
      </w:r>
      <w:r w:rsidRPr="00772807">
        <w:rPr>
          <w:rFonts w:ascii="Arial" w:hAnsi="Arial" w:cs="Arial"/>
          <w:noProof/>
          <w:color w:val="000000" w:themeColor="text1"/>
          <w:sz w:val="22"/>
          <w:szCs w:val="22"/>
        </w:rPr>
        <w:tab/>
        <w:t>Giannakou, M.E., Goss, M., Jünger, M.A., Hafen, E., Leevers, S.J., Partridge, L., 2004. Long-lived Drosophila with overexpressed dFOXO in adult fat body. Science 305(5682): 361, Doi: 10.1126/science.1098219.</w:t>
      </w:r>
    </w:p>
    <w:p w14:paraId="49F3FE2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[91]</w:t>
      </w:r>
      <w:r w:rsidRPr="00772807">
        <w:rPr>
          <w:rFonts w:ascii="Arial" w:hAnsi="Arial" w:cs="Arial"/>
          <w:noProof/>
          <w:color w:val="000000" w:themeColor="text1"/>
          <w:sz w:val="22"/>
          <w:szCs w:val="22"/>
        </w:rPr>
        <w:tab/>
        <w:t>Hwangbo, D.S., Gershman, B., Tu, M.-P., Palmer, M., Tatar, M., 2004. Drosophila dFOXO controls lifespan and regulates insulin signalling in brain and fat body. Nature 429(6991): 562–6, Doi: 10.1038/nature03446.</w:t>
      </w:r>
    </w:p>
    <w:p w14:paraId="306A864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[92]</w:t>
      </w:r>
      <w:r w:rsidRPr="00772807">
        <w:rPr>
          <w:rFonts w:ascii="Arial" w:hAnsi="Arial" w:cs="Arial"/>
          <w:noProof/>
          <w:color w:val="000000" w:themeColor="text1"/>
          <w:sz w:val="22"/>
          <w:szCs w:val="22"/>
        </w:rPr>
        <w:tab/>
        <w:t>Milan, G., Romanello, V., Pescatore, F., Armani, A., Paik, J.-H., Frasson, L., et al., 2015. Regulation of autophagy and the ubiquitin-proteasome system by the FoxO transcriptional network during muscle atrophy. Nature Communications 6: 6670, Doi: 10.1038/ncomms7670.</w:t>
      </w:r>
    </w:p>
    <w:p w14:paraId="01AEE0D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[93]</w:t>
      </w:r>
      <w:r w:rsidRPr="00772807">
        <w:rPr>
          <w:rFonts w:ascii="Arial" w:hAnsi="Arial" w:cs="Arial"/>
          <w:noProof/>
          <w:color w:val="000000" w:themeColor="text1"/>
          <w:sz w:val="22"/>
          <w:szCs w:val="22"/>
        </w:rPr>
        <w:tab/>
        <w:t>Passtoors, W.M., Beekman, M., Deelen, J., van der Breggen, R., Maier, A.B., Guigas, B., et al., 2013. Gene expression analysis of mTOR pathway: association with human longevity. Aging Cell 12(1): 24–31, Doi: 10.1111/acel.12015.</w:t>
      </w:r>
    </w:p>
    <w:p w14:paraId="2CF33E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[94]</w:t>
      </w:r>
      <w:r w:rsidRPr="00772807">
        <w:rPr>
          <w:rFonts w:ascii="Arial" w:hAnsi="Arial" w:cs="Arial"/>
          <w:noProof/>
          <w:color w:val="000000" w:themeColor="text1"/>
          <w:sz w:val="22"/>
          <w:szCs w:val="22"/>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66245A9B" w:rsidR="00871236" w:rsidRPr="00091167" w:rsidRDefault="00871236" w:rsidP="002D338B">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02CD4734"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an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w:t>
      </w:r>
      <w:r w:rsidR="00812E5D">
        <w:rPr>
          <w:rFonts w:ascii="Arial" w:hAnsi="Arial" w:cs="Arial"/>
          <w:color w:val="000000" w:themeColor="text1"/>
          <w:sz w:val="22"/>
          <w:szCs w:val="22"/>
        </w:rPr>
        <w:t xml:space="preserve">likelihood ratio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proofErr w:type="spellStart"/>
      <w:r w:rsidR="005F6EBE" w:rsidRPr="00091167">
        <w:rPr>
          <w:rFonts w:ascii="Arial" w:hAnsi="Arial" w:cs="Arial"/>
          <w:color w:val="000000" w:themeColor="text1"/>
          <w:sz w:val="22"/>
          <w:szCs w:val="22"/>
        </w:rPr>
        <w:t>RNAseq</w:t>
      </w:r>
      <w:proofErr w:type="spellEnd"/>
      <w:r w:rsidR="005F6EBE"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1182600F"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 xml:space="preserve">Supplementary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4FA9BB7D" w14:textId="28FAD026"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0"/>
      <w:footerReference w:type="default" r:id="rId11"/>
      <w:pgSz w:w="12240" w:h="15840"/>
      <w:pgMar w:top="1080" w:right="1080" w:bottom="80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18BC8" w14:textId="77777777" w:rsidR="00C85947" w:rsidRDefault="00C85947" w:rsidP="00907F04">
      <w:r>
        <w:separator/>
      </w:r>
    </w:p>
  </w:endnote>
  <w:endnote w:type="continuationSeparator" w:id="0">
    <w:p w14:paraId="0341831F" w14:textId="77777777" w:rsidR="00C85947" w:rsidRDefault="00C85947" w:rsidP="00907F04">
      <w:r>
        <w:continuationSeparator/>
      </w:r>
    </w:p>
  </w:endnote>
  <w:endnote w:type="continuationNotice" w:id="1">
    <w:p w14:paraId="2BFD9F3A" w14:textId="77777777" w:rsidR="00C85947" w:rsidRDefault="00C859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74F21" w:rsidRDefault="00674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674F21" w:rsidRDefault="0067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155D3" w14:textId="77777777" w:rsidR="00C85947" w:rsidRDefault="00C85947" w:rsidP="00907F04">
      <w:r>
        <w:separator/>
      </w:r>
    </w:p>
  </w:footnote>
  <w:footnote w:type="continuationSeparator" w:id="0">
    <w:p w14:paraId="46D26DF3" w14:textId="77777777" w:rsidR="00C85947" w:rsidRDefault="00C85947" w:rsidP="00907F04">
      <w:r>
        <w:continuationSeparator/>
      </w:r>
    </w:p>
  </w:footnote>
  <w:footnote w:type="continuationNotice" w:id="1">
    <w:p w14:paraId="158E9043" w14:textId="77777777" w:rsidR="00C85947" w:rsidRDefault="00C859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1778"/>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B7740"/>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5947"/>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A6D"/>
    <w:rsid w:val="00EE4CA3"/>
    <w:rsid w:val="00EE62F5"/>
    <w:rsid w:val="00EE675F"/>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A9035-F9C8-974B-9F12-521F50DE6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64558</Words>
  <Characters>367984</Characters>
  <Application>Microsoft Office Word</Application>
  <DocSecurity>0</DocSecurity>
  <Lines>3066</Lines>
  <Paragraphs>863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3</cp:revision>
  <cp:lastPrinted>2019-03-04T18:31:00Z</cp:lastPrinted>
  <dcterms:created xsi:type="dcterms:W3CDTF">2019-07-30T13:54:00Z</dcterms:created>
  <dcterms:modified xsi:type="dcterms:W3CDTF">2019-07-30T13:55:00Z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