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3B1DBE" w:rsidRDefault="0099408D" w:rsidP="00C53CD4">
      <w:r w:rsidRPr="003B1DBE">
        <w:t>Author names and affiliations:</w:t>
      </w:r>
    </w:p>
    <w:p w14:paraId="27026BB1" w14:textId="760C401B"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D71F75" w:rsidRDefault="00CA4E21" w:rsidP="00C53CD4">
      <w:pPr>
        <w:pStyle w:val="ListParagraph"/>
        <w:numPr>
          <w:ilvl w:val="0"/>
          <w:numId w:val="3"/>
        </w:numPr>
      </w:pPr>
      <w:r w:rsidRPr="00D71F75">
        <w:t>Department of Physiology, University of Tennessee Health Science Center, Memphis, T</w:t>
      </w:r>
      <w:r w:rsidR="00D71F75" w:rsidRPr="00D71F75">
        <w:t>ennessee</w:t>
      </w:r>
      <w:r w:rsidRPr="00D71F75">
        <w:t xml:space="preserve">, U.S.A. </w:t>
      </w:r>
    </w:p>
    <w:p w14:paraId="7F9D3302" w14:textId="32427550" w:rsidR="00CA4E21" w:rsidRPr="00D71F75" w:rsidRDefault="00CA4E21" w:rsidP="00C53CD4">
      <w:pPr>
        <w:pStyle w:val="ListParagraph"/>
        <w:numPr>
          <w:ilvl w:val="0"/>
          <w:numId w:val="3"/>
        </w:numPr>
      </w:pPr>
      <w:r w:rsidRPr="00D71F75">
        <w:t>Department of Pediatrics, University of Tennessee Health Science Center, Memphis, T</w:t>
      </w:r>
      <w:r w:rsidR="00D71F75" w:rsidRPr="00D71F75">
        <w:t>ennessee</w:t>
      </w:r>
      <w:r w:rsidRPr="00D71F75">
        <w:t xml:space="preserve">, U.S.A. </w:t>
      </w:r>
    </w:p>
    <w:p w14:paraId="56536BC5" w14:textId="77E3362B" w:rsidR="00CA4E21" w:rsidRPr="00D71F75" w:rsidRDefault="00CA4E21" w:rsidP="00C53CD4">
      <w:pPr>
        <w:pStyle w:val="ListParagraph"/>
        <w:numPr>
          <w:ilvl w:val="0"/>
          <w:numId w:val="3"/>
        </w:numPr>
      </w:pPr>
      <w:r w:rsidRPr="00D71F75">
        <w:t>Department of Preventative Medicine, University of Tennessee Health Science Center, Memphis, T</w:t>
      </w:r>
      <w:r w:rsidR="00D71F75" w:rsidRPr="00D71F75">
        <w:t>ennessee</w:t>
      </w:r>
      <w:r w:rsidRPr="00D71F75">
        <w:t xml:space="preserve">, U.S.A. </w:t>
      </w:r>
    </w:p>
    <w:p w14:paraId="773163B5" w14:textId="052AC3CB" w:rsidR="00CA4E21" w:rsidRPr="00D71F75" w:rsidRDefault="00CA4E21" w:rsidP="00C53CD4">
      <w:pPr>
        <w:pStyle w:val="ListParagraph"/>
        <w:numPr>
          <w:ilvl w:val="0"/>
          <w:numId w:val="3"/>
        </w:numPr>
      </w:pPr>
      <w:r w:rsidRPr="00D71F75">
        <w:t>Children’s Foundation Research Institute, Le Bonheur Children’s Hospital, Memphis, T</w:t>
      </w:r>
      <w:r w:rsidR="00D71F75" w:rsidRPr="00D71F75">
        <w:t>ennessee</w:t>
      </w:r>
      <w:r w:rsidRPr="00D71F75">
        <w:t>, U.S.A.</w:t>
      </w:r>
    </w:p>
    <w:p w14:paraId="4B92AA59" w14:textId="615DF182" w:rsidR="00CA4E21" w:rsidRDefault="00D71F75" w:rsidP="00C53CD4">
      <w:pPr>
        <w:pStyle w:val="ListParagraph"/>
        <w:numPr>
          <w:ilvl w:val="0"/>
          <w:numId w:val="3"/>
        </w:numPr>
      </w:pPr>
      <w:r w:rsidRPr="00D71F75">
        <w:t xml:space="preserve">Department of Nutritional Sciences, University of Michigan School of Public Health, Ann Arbor, Michigan, U.S.A. </w:t>
      </w:r>
      <w:r w:rsidR="00CA4E21" w:rsidRPr="00D71F75">
        <w:t xml:space="preserve"> </w:t>
      </w:r>
    </w:p>
    <w:p w14:paraId="6C06E835" w14:textId="36D4825B" w:rsidR="00450320" w:rsidRPr="00D71F75" w:rsidRDefault="00450320" w:rsidP="00C53CD4">
      <w:pPr>
        <w:pStyle w:val="ListParagraph"/>
        <w:numPr>
          <w:ilvl w:val="0"/>
          <w:numId w:val="3"/>
        </w:numPr>
      </w:pPr>
      <w:r>
        <w:t xml:space="preserve">Department of </w:t>
      </w:r>
      <w:r w:rsidRPr="00450320">
        <w:t>Molecular &amp; Integrative Physiology</w:t>
      </w:r>
      <w:r>
        <w:t>, University of Michigan Medical School, Ann Arbor, Michigan, U.S.A.</w:t>
      </w:r>
    </w:p>
    <w:p w14:paraId="7C87923A" w14:textId="78210531" w:rsidR="00D71F75" w:rsidRPr="00D71F75" w:rsidRDefault="00D71F75" w:rsidP="00C53CD4">
      <w:pPr>
        <w:pStyle w:val="ListParagraph"/>
        <w:numPr>
          <w:ilvl w:val="0"/>
          <w:numId w:val="3"/>
        </w:numPr>
      </w:pPr>
      <w:r w:rsidRPr="00D71F75">
        <w:t>Department of Internal Medicine, University of Michigan Medical School, Ann Arbor, Michigan, U.S.A.</w:t>
      </w:r>
    </w:p>
    <w:p w14:paraId="636CA520" w14:textId="77777777" w:rsidR="00D71F75" w:rsidRPr="00D71F75" w:rsidRDefault="00D71F75" w:rsidP="00C53CD4">
      <w:pPr>
        <w:pStyle w:val="ListParagraph"/>
        <w:numPr>
          <w:ilvl w:val="0"/>
          <w:numId w:val="3"/>
        </w:numPr>
      </w:pPr>
      <w:r w:rsidRPr="00D71F75">
        <w:t>Life Sciences Institute, University of Michigan Medical Center, Ann Arbor, Michigan, U.S.A.</w:t>
      </w:r>
    </w:p>
    <w:p w14:paraId="7858CC36" w14:textId="38D22793" w:rsidR="00D71F75" w:rsidRPr="00D71F75" w:rsidRDefault="00D71F75" w:rsidP="00C53CD4">
      <w:pPr>
        <w:pStyle w:val="ListParagraph"/>
        <w:numPr>
          <w:ilvl w:val="0"/>
          <w:numId w:val="3"/>
        </w:numPr>
      </w:pPr>
      <w:r w:rsidRPr="00D71F75">
        <w:t>Institute for Diabetes and Metabolic Health, University of California San Diego, San Diego, California, U.S.A.</w:t>
      </w:r>
    </w:p>
    <w:p w14:paraId="01F15344" w14:textId="2C5127BC" w:rsidR="00D71F75" w:rsidRDefault="00D71F75" w:rsidP="00C53CD4">
      <w:r w:rsidRPr="00D71F75">
        <w:t>*</w:t>
      </w:r>
      <w:r w:rsidRPr="00D71F75">
        <w:tab/>
        <w:t>Corresponding author</w:t>
      </w:r>
    </w:p>
    <w:p w14:paraId="2E77E437" w14:textId="487ACBD3" w:rsidR="0099408D" w:rsidRDefault="0099408D" w:rsidP="00C53CD4"/>
    <w:p w14:paraId="29EA402F" w14:textId="00B58375" w:rsidR="0099408D" w:rsidRPr="003B1DBE" w:rsidRDefault="0099408D" w:rsidP="00C53CD4">
      <w:r w:rsidRPr="003B1DBE">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3CC8DE7F" w14:textId="114316C0" w:rsidR="002A052A" w:rsidRPr="002A052A" w:rsidRDefault="002A052A" w:rsidP="00C53CD4">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1BC48227" w14:textId="3A5970D4" w:rsidR="00886804" w:rsidRPr="00D71F75" w:rsidRDefault="004E21CF" w:rsidP="00C53CD4">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AF896F9" w14:textId="77777777" w:rsidR="003B1DBE" w:rsidRDefault="003B1DBE" w:rsidP="00C53CD4">
      <w:pPr>
        <w:pStyle w:val="Heading1"/>
      </w:pP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C53CD4">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4D764869" w14:textId="40A54A4B" w:rsidR="00EE7DA9"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 xml:space="preserve">total energy </w:t>
      </w:r>
      <w:r w:rsidR="002548BC" w:rsidRPr="0052352B">
        <w:lastRenderedPageBreak/>
        <w:t>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20200573" w14:textId="77777777" w:rsidR="003F29AF" w:rsidRPr="0052352B" w:rsidRDefault="003F29AF" w:rsidP="00C53CD4"/>
    <w:p w14:paraId="7A82AE45" w14:textId="32F39C67" w:rsidR="0087648E" w:rsidRPr="0052352B" w:rsidRDefault="0087648E" w:rsidP="00C53CD4">
      <w:pPr>
        <w:pStyle w:val="Heading2"/>
      </w:pPr>
      <w:r w:rsidRPr="0052352B">
        <w:t>Activation of mTORC1 in Muscle Increase</w:t>
      </w:r>
      <w:r w:rsidR="00CA1143" w:rsidRPr="0052352B">
        <w:t>s</w:t>
      </w:r>
      <w:r w:rsidRPr="0052352B">
        <w:t xml:space="preserve"> Energy Expenditure</w:t>
      </w:r>
    </w:p>
    <w:p w14:paraId="56C91861" w14:textId="41C9184C"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0A3BFE51" w14:textId="77777777" w:rsidR="00A472DC" w:rsidRPr="0052352B" w:rsidRDefault="00A472DC" w:rsidP="00C53CD4"/>
    <w:p w14:paraId="1FC6F806" w14:textId="02C0A12B" w:rsidR="00184574" w:rsidRPr="0052352B" w:rsidRDefault="00184574" w:rsidP="00C53CD4">
      <w:r w:rsidRPr="0052352B">
        <w:t>A</w:t>
      </w:r>
      <w:r w:rsidR="00D70AAD" w:rsidRPr="0052352B">
        <w:t xml:space="preserve">ctivation of mTORC1 in Muscle does not alter energy intake </w:t>
      </w:r>
    </w:p>
    <w:p w14:paraId="14CDFE30" w14:textId="43A309CA" w:rsidR="00F07541"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9FCD5C2" w14:textId="77777777" w:rsidR="00526B0E" w:rsidRPr="0052352B" w:rsidRDefault="00526B0E" w:rsidP="00C53CD4"/>
    <w:p w14:paraId="2C271624" w14:textId="7051874E" w:rsidR="0087648E" w:rsidRPr="0052352B" w:rsidRDefault="00350EC3" w:rsidP="00C53CD4">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C53CD4">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5D86D219" w14:textId="18FAF127" w:rsidR="00BF0A41"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6E022E4C" w14:textId="77777777" w:rsidR="003F29AF" w:rsidRPr="0052352B" w:rsidRDefault="003F29AF" w:rsidP="00C53CD4"/>
    <w:p w14:paraId="5F6B43F1" w14:textId="2F9AD67B" w:rsidR="00E7425C" w:rsidRPr="0052352B" w:rsidRDefault="00E7425C" w:rsidP="00C53CD4">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1C3DAE43" w14:textId="106D0F0A" w:rsidR="00F82FC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w:t>
      </w:r>
      <w:r w:rsidR="00914681" w:rsidRPr="0052352B">
        <w:lastRenderedPageBreak/>
        <w:t xml:space="preserve">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5B4441E6" w14:textId="77777777" w:rsidR="003F29AF" w:rsidRPr="0052352B" w:rsidRDefault="003F29AF" w:rsidP="00C53CD4"/>
    <w:p w14:paraId="6E01315E" w14:textId="516F22E7" w:rsidR="00827301" w:rsidRPr="0052352B" w:rsidRDefault="00827301" w:rsidP="00C53CD4">
      <w:pPr>
        <w:pStyle w:val="Heading2"/>
      </w:pPr>
      <w:r w:rsidRPr="0052352B">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7AA0CBBF" w14:textId="0A82820A" w:rsidR="00F82FCB" w:rsidRPr="0052352B"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91BFF81" w14:textId="77777777" w:rsidR="00D86AFE" w:rsidRPr="0052352B" w:rsidRDefault="00D86AFE" w:rsidP="00C53CD4"/>
    <w:p w14:paraId="66CD5063" w14:textId="5474A839" w:rsidR="00B43DA6" w:rsidRPr="0052352B" w:rsidRDefault="00710477" w:rsidP="00C53CD4">
      <w:pPr>
        <w:pStyle w:val="Heading2"/>
      </w:pPr>
      <w:r>
        <w:t>Constitutive</w:t>
      </w:r>
      <w:r w:rsidR="00B43DA6" w:rsidRPr="0052352B">
        <w:t xml:space="preserve"> mTORC1 Activation Increases the Oxidative Profile of Skeletal Muscle </w:t>
      </w:r>
    </w:p>
    <w:p w14:paraId="6D91D2D5" w14:textId="056C1207" w:rsidR="00B43DA6" w:rsidRPr="0052352B"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73E301E9" w14:textId="77777777" w:rsidR="00B43DA6" w:rsidRPr="0052352B" w:rsidRDefault="00B43DA6" w:rsidP="00C53CD4"/>
    <w:p w14:paraId="1F27174D" w14:textId="2EBE7971" w:rsidR="00D86AFE" w:rsidRPr="0052352B" w:rsidRDefault="005C6497" w:rsidP="00C53CD4">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1D5AA79A"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E0148A" w:rsidRPr="0052352B">
        <w:t>5</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consistent cause of 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lastRenderedPageBreak/>
        <w:t>D</w:t>
      </w:r>
      <w:r w:rsidR="007B624A" w:rsidRPr="0052352B">
        <w:t>iscussion</w:t>
      </w:r>
    </w:p>
    <w:p w14:paraId="5B70DF6B" w14:textId="52C66DE8" w:rsidR="00B02A8D" w:rsidRPr="0052352B" w:rsidRDefault="00B02A8D" w:rsidP="00C53CD4">
      <w:r w:rsidRPr="0052352B">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0"/>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C53CD4"/>
    <w:p w14:paraId="6BBAD6A4" w14:textId="0458FEBF"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lastRenderedPageBreak/>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2134DF" w:rsidRPr="0052352B">
        <w:t xml:space="preserve"> </w:t>
      </w:r>
      <w:r w:rsidR="00A3201B" w:rsidRPr="0052352B">
        <w:t xml:space="preserve">  </w:t>
      </w:r>
    </w:p>
    <w:p w14:paraId="5DD37F96" w14:textId="75A17165" w:rsidR="00A3201B" w:rsidRPr="0052352B" w:rsidRDefault="00A3201B" w:rsidP="00C53CD4"/>
    <w:p w14:paraId="3A6525E8" w14:textId="0C87EC9E" w:rsidR="00542C29" w:rsidRPr="0052352B" w:rsidRDefault="00C53CF6" w:rsidP="00C53CD4">
      <w:r w:rsidRPr="0052352B">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00FE97F4"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3495ACE1" w14:textId="5E28982B" w:rsidR="00B760BE"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w:t>
      </w:r>
      <w:r w:rsidRPr="0052352B">
        <w:lastRenderedPageBreak/>
        <w:t xml:space="preserve">skeletal muscle decreases lifespan in mice, a finding in consensus with other models of mTORC1 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029CE30A" w14:textId="77777777" w:rsidR="006638A2" w:rsidRPr="0052352B" w:rsidRDefault="006638A2" w:rsidP="00C53CD4"/>
    <w:p w14:paraId="2F452F56" w14:textId="47AF2F32" w:rsidR="00AA6C9F" w:rsidRPr="00AA6C9F" w:rsidRDefault="00AA6C9F" w:rsidP="00C53CD4">
      <w:r w:rsidRPr="00AA6C9F">
        <w:t>5.0 C</w:t>
      </w:r>
      <w:r w:rsidR="00862AC5" w:rsidRPr="00AA6C9F">
        <w:t>onclusion</w:t>
      </w:r>
      <w:r w:rsidRPr="00AA6C9F">
        <w:t>s</w:t>
      </w:r>
      <w:r w:rsidR="00862AC5" w:rsidRPr="00AA6C9F">
        <w:t xml:space="preserve"> </w:t>
      </w:r>
    </w:p>
    <w:p w14:paraId="51329E80" w14:textId="2D59F05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C53CD4">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C53CD4">
      <w:pPr>
        <w:pStyle w:val="Heading2"/>
      </w:pPr>
      <w:r w:rsidRPr="00D71F75">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w:t>
      </w:r>
      <w:r w:rsidRPr="00D71F75">
        <w:lastRenderedPageBreak/>
        <w:t>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C53CD4">
      <w:pPr>
        <w:pStyle w:val="Heading2"/>
      </w:pPr>
      <w:proofErr w:type="spellStart"/>
      <w:r w:rsidRPr="00D71F75">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C53CD4">
      <w:pPr>
        <w:pStyle w:val="Heading2"/>
      </w:pPr>
      <w:r w:rsidRPr="00D71F75">
        <w:t>Insulin Tolerance Test</w:t>
      </w:r>
    </w:p>
    <w:p w14:paraId="49A700C1" w14:textId="77777777"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26D4CB6D" w14:textId="77777777" w:rsidR="0014294C" w:rsidRPr="00D71F75" w:rsidRDefault="0014294C" w:rsidP="00C53CD4"/>
    <w:p w14:paraId="4C8CC9DF" w14:textId="77777777" w:rsidR="0014294C" w:rsidRPr="00D71F75" w:rsidRDefault="0014294C" w:rsidP="00C53CD4">
      <w:pPr>
        <w:rPr>
          <w:bCs/>
        </w:rPr>
      </w:pPr>
      <w:r w:rsidRPr="00D71F75">
        <w:t>RNA Sequencing Analysis and Bioinformatics</w:t>
      </w:r>
    </w:p>
    <w:p w14:paraId="50294F78" w14:textId="27D17629"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w:t>
      </w:r>
      <w:r w:rsidRPr="00D71F75">
        <w:lastRenderedPageBreak/>
        <w:t xml:space="preserve">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and compared with our differentially regulated gene sets.</w:t>
      </w:r>
    </w:p>
    <w:p w14:paraId="6C0C80D6" w14:textId="77777777" w:rsidR="0014294C" w:rsidRPr="00D71F75" w:rsidRDefault="0014294C" w:rsidP="00C53CD4">
      <w:pPr>
        <w:pStyle w:val="Heading2"/>
      </w:pPr>
      <w:r w:rsidRPr="00D71F75">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77777777" w:rsidR="0014294C" w:rsidRPr="00D71F75" w:rsidRDefault="0014294C" w:rsidP="00C53CD4">
      <w:pPr>
        <w:pStyle w:val="Heading2"/>
        <w:rPr>
          <w:rFonts w:eastAsiaTheme="minorEastAsia"/>
        </w:rPr>
      </w:pPr>
      <w:r w:rsidRPr="00D71F75">
        <w:t>NADH Tetrazolium Reductase Staining</w:t>
      </w:r>
    </w:p>
    <w:p w14:paraId="1F791403" w14:textId="77777777" w:rsidR="0014294C" w:rsidRDefault="0014294C" w:rsidP="00C53CD4">
      <w:pPr>
        <w:pStyle w:val="Heading2"/>
      </w:pPr>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C53CD4">
      <w:pPr>
        <w:pStyle w:val="Heading2"/>
      </w:pPr>
      <w:r w:rsidRPr="00D71F75">
        <w:t>Statistical Analyses</w:t>
      </w:r>
    </w:p>
    <w:p w14:paraId="39C9FEB0" w14:textId="5A3A1A18"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0E7166">
        <w:rPr>
          <w:rStyle w:val="Hyperlink"/>
          <w:color w:val="000000" w:themeColor="text1"/>
          <w:szCs w:val="22"/>
        </w:rPr>
        <w:t xml:space="preserve"> </w:t>
      </w:r>
      <w:r w:rsidR="000E7166" w:rsidRPr="000E7166">
        <w:rPr>
          <w:rStyle w:val="Hyperlink"/>
          <w:color w:val="000000" w:themeColor="text1"/>
          <w:szCs w:val="22"/>
          <w:u w:val="none"/>
        </w:rPr>
        <w:t xml:space="preserve">(Permanent </w:t>
      </w:r>
      <w:r w:rsidR="000E7166">
        <w:rPr>
          <w:rStyle w:val="Hyperlink"/>
          <w:color w:val="000000" w:themeColor="text1"/>
          <w:szCs w:val="22"/>
          <w:u w:val="none"/>
        </w:rPr>
        <w:t xml:space="preserve">repository </w:t>
      </w:r>
      <w:r w:rsidR="000E7166" w:rsidRPr="000E7166">
        <w:rPr>
          <w:rStyle w:val="Hyperlink"/>
          <w:color w:val="000000" w:themeColor="text1"/>
          <w:szCs w:val="22"/>
          <w:u w:val="none"/>
        </w:rPr>
        <w:t>DOI will be assigned upon acceptance)</w:t>
      </w:r>
      <w:r w:rsidRPr="000E7166">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lastRenderedPageBreak/>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ED673B" w:rsidRDefault="00870CA1" w:rsidP="00C53CD4">
      <w:r>
        <w:t>Conflict of interest</w:t>
      </w:r>
    </w:p>
    <w:p w14:paraId="7011C2F5" w14:textId="0D9BEAD5"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lastRenderedPageBreak/>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lastRenderedPageBreak/>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lastRenderedPageBreak/>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lastRenderedPageBreak/>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lastRenderedPageBreak/>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bookmarkStart w:id="1" w:name="_GoBack"/>
      <w:bookmarkEnd w:id="1"/>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31174F">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31174F">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31174F">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31174F">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31174F">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31174F">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31174F">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31174F">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31174F">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31174F">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31174F">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31174F">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31174F">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31174F">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31174F">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31174F">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31174F">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31174F">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31174F">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31174F">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31174F">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31174F">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31174F">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31174F">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31174F">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7EFE5D24" w:rsidR="005F6EBE" w:rsidRPr="00091167" w:rsidRDefault="005F6EBE" w:rsidP="00C53CD4"/>
    <w:p w14:paraId="6B6307E0" w14:textId="77777777" w:rsidR="00802015" w:rsidRPr="00091167" w:rsidRDefault="00B558A8" w:rsidP="00C53CD4">
      <w:r w:rsidRPr="00091167">
        <w:t xml:space="preserve">Figure 5: </w:t>
      </w:r>
      <w:r w:rsidR="00802015" w:rsidRPr="00091167">
        <w:t xml:space="preserve">Skeletal muscle mTORC1 activation reduces lifespan in mice. </w:t>
      </w:r>
    </w:p>
    <w:p w14:paraId="7F483492" w14:textId="64A1094B" w:rsidR="00B558A8" w:rsidRDefault="00B558A8" w:rsidP="00C53CD4">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091167">
        <w:t xml:space="preserve">Supplementary Table 1: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0E7166" w:rsidRDefault="000E7166" w:rsidP="00C53CD4">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33493" w14:textId="77777777" w:rsidR="00D9759E" w:rsidRDefault="00D9759E" w:rsidP="00C53CD4">
      <w:r>
        <w:separator/>
      </w:r>
    </w:p>
  </w:endnote>
  <w:endnote w:type="continuationSeparator" w:id="0">
    <w:p w14:paraId="3A7A382C" w14:textId="77777777" w:rsidR="00D9759E" w:rsidRDefault="00D9759E" w:rsidP="00C53CD4">
      <w:r>
        <w:continuationSeparator/>
      </w:r>
    </w:p>
  </w:endnote>
  <w:endnote w:type="continuationNotice" w:id="1">
    <w:p w14:paraId="40FFF8F2" w14:textId="77777777" w:rsidR="00D9759E" w:rsidRDefault="00D9759E"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E7166" w:rsidRDefault="000E716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E7166" w:rsidRDefault="000E7166"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E7166" w:rsidRDefault="000E716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0E7166" w:rsidRDefault="000E7166"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47D69" w14:textId="77777777" w:rsidR="00D9759E" w:rsidRDefault="00D9759E" w:rsidP="00C53CD4">
      <w:r>
        <w:separator/>
      </w:r>
    </w:p>
  </w:footnote>
  <w:footnote w:type="continuationSeparator" w:id="0">
    <w:p w14:paraId="450C1FCE" w14:textId="77777777" w:rsidR="00D9759E" w:rsidRDefault="00D9759E" w:rsidP="00C53CD4">
      <w:r>
        <w:continuationSeparator/>
      </w:r>
    </w:p>
  </w:footnote>
  <w:footnote w:type="continuationNotice" w:id="1">
    <w:p w14:paraId="405B7D8E" w14:textId="77777777" w:rsidR="00D9759E" w:rsidRDefault="00D9759E"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9759E"/>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B62A6-3BF4-2C46-88DC-77DD4117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71471</Words>
  <Characters>407385</Characters>
  <Application>Microsoft Office Word</Application>
  <DocSecurity>0</DocSecurity>
  <Lines>3394</Lines>
  <Paragraphs>955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73</cp:revision>
  <cp:lastPrinted>2022-06-02T15:26:00Z</cp:lastPrinted>
  <dcterms:created xsi:type="dcterms:W3CDTF">2019-07-24T22:24:00Z</dcterms:created>
  <dcterms:modified xsi:type="dcterms:W3CDTF">2022-06-02T16:18:00Z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