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D71F75" w:rsidRDefault="00033EA6" w:rsidP="002D338B">
      <w:pPr>
        <w:pStyle w:val="Heading1"/>
        <w:rPr>
          <w:rFonts w:ascii="Arial" w:hAnsi="Arial" w:cs="Arial"/>
          <w:color w:val="000000" w:themeColor="text1"/>
          <w:sz w:val="22"/>
          <w:szCs w:val="22"/>
        </w:rPr>
      </w:pPr>
      <w:r w:rsidRPr="00D71F75">
        <w:rPr>
          <w:rFonts w:ascii="Arial" w:hAnsi="Arial" w:cs="Arial"/>
          <w:color w:val="000000" w:themeColor="text1"/>
          <w:sz w:val="22"/>
          <w:szCs w:val="22"/>
        </w:rPr>
        <w:t xml:space="preserve">Skeletal </w:t>
      </w:r>
      <w:commentRangeStart w:id="0"/>
      <w:commentRangeStart w:id="1"/>
      <w:r w:rsidR="00245445" w:rsidRPr="00D71F75">
        <w:rPr>
          <w:rFonts w:ascii="Arial" w:hAnsi="Arial" w:cs="Arial"/>
          <w:color w:val="000000" w:themeColor="text1"/>
          <w:sz w:val="22"/>
          <w:szCs w:val="22"/>
        </w:rPr>
        <w:t xml:space="preserve">Muscle mTORC1 Activation </w:t>
      </w:r>
      <w:r w:rsidR="000740D6" w:rsidRPr="00D71F75">
        <w:rPr>
          <w:rFonts w:ascii="Arial" w:hAnsi="Arial" w:cs="Arial"/>
          <w:color w:val="000000" w:themeColor="text1"/>
          <w:sz w:val="22"/>
          <w:szCs w:val="22"/>
        </w:rPr>
        <w:t>Increase</w:t>
      </w:r>
      <w:r w:rsidRPr="00D71F75">
        <w:rPr>
          <w:rFonts w:ascii="Arial" w:hAnsi="Arial" w:cs="Arial"/>
          <w:color w:val="000000" w:themeColor="text1"/>
          <w:sz w:val="22"/>
          <w:szCs w:val="22"/>
        </w:rPr>
        <w:t>s</w:t>
      </w:r>
      <w:r w:rsidR="000740D6" w:rsidRPr="00D71F75">
        <w:rPr>
          <w:rFonts w:ascii="Arial" w:hAnsi="Arial" w:cs="Arial"/>
          <w:color w:val="000000" w:themeColor="text1"/>
          <w:sz w:val="22"/>
          <w:szCs w:val="22"/>
        </w:rPr>
        <w:t xml:space="preserve"> Energy Expenditure and </w:t>
      </w:r>
      <w:r w:rsidRPr="00D71F75">
        <w:rPr>
          <w:rFonts w:ascii="Arial" w:hAnsi="Arial" w:cs="Arial"/>
          <w:color w:val="000000" w:themeColor="text1"/>
          <w:sz w:val="22"/>
          <w:szCs w:val="22"/>
        </w:rPr>
        <w:t xml:space="preserve">Reduces </w:t>
      </w:r>
      <w:r w:rsidR="0064581C" w:rsidRPr="00D71F75">
        <w:rPr>
          <w:rFonts w:ascii="Arial" w:hAnsi="Arial" w:cs="Arial"/>
          <w:color w:val="000000" w:themeColor="text1"/>
          <w:sz w:val="22"/>
          <w:szCs w:val="22"/>
        </w:rPr>
        <w:t xml:space="preserve">Longevity </w:t>
      </w:r>
      <w:r w:rsidR="00B91EDD" w:rsidRPr="00D71F75">
        <w:rPr>
          <w:rFonts w:ascii="Arial" w:hAnsi="Arial" w:cs="Arial"/>
          <w:color w:val="000000" w:themeColor="text1"/>
          <w:sz w:val="22"/>
          <w:szCs w:val="22"/>
        </w:rPr>
        <w:t>in Mice</w:t>
      </w:r>
      <w:commentRangeEnd w:id="0"/>
      <w:r w:rsidR="00620D72" w:rsidRPr="00D71F75">
        <w:rPr>
          <w:rStyle w:val="CommentReference"/>
          <w:rFonts w:ascii="Arial" w:eastAsiaTheme="minorEastAsia" w:hAnsi="Arial" w:cs="Arial"/>
          <w:b w:val="0"/>
          <w:bCs w:val="0"/>
          <w:color w:val="000000" w:themeColor="text1"/>
          <w:sz w:val="22"/>
          <w:szCs w:val="22"/>
        </w:rPr>
        <w:commentReference w:id="0"/>
      </w:r>
      <w:commentRangeEnd w:id="1"/>
      <w:r w:rsidR="003F44B5" w:rsidRPr="00D71F75">
        <w:rPr>
          <w:rStyle w:val="CommentReference"/>
          <w:rFonts w:ascii="Arial" w:eastAsiaTheme="minorEastAsia" w:hAnsi="Arial" w:cs="Arial"/>
          <w:b w:val="0"/>
          <w:bCs w:val="0"/>
          <w:color w:val="000000" w:themeColor="text1"/>
          <w:sz w:val="22"/>
          <w:szCs w:val="22"/>
        </w:rPr>
        <w:commentReference w:id="1"/>
      </w:r>
    </w:p>
    <w:p w14:paraId="4FEAA9A1" w14:textId="6DAC9123" w:rsidR="00E32EF3" w:rsidRDefault="00E32EF3" w:rsidP="002D338B">
      <w:pPr>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 xml:space="preserve">Detrick </w:t>
      </w:r>
      <w:r w:rsidR="00AB442D" w:rsidRPr="00D71F75">
        <w:rPr>
          <w:rFonts w:ascii="Arial" w:hAnsi="Arial" w:cs="Arial"/>
          <w:color w:val="000000" w:themeColor="text1"/>
          <w:sz w:val="22"/>
          <w:szCs w:val="22"/>
        </w:rPr>
        <w:t>S.</w:t>
      </w:r>
      <w:r w:rsidR="002E0659" w:rsidRPr="00D71F75">
        <w:rPr>
          <w:rFonts w:ascii="Arial" w:hAnsi="Arial" w:cs="Arial"/>
          <w:color w:val="000000" w:themeColor="text1"/>
          <w:sz w:val="22"/>
          <w:szCs w:val="22"/>
        </w:rPr>
        <w:t xml:space="preserve">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957822" w:rsidRPr="00D71F75">
        <w:rPr>
          <w:rFonts w:ascii="Arial" w:hAnsi="Arial" w:cs="Arial"/>
          <w:color w:val="000000" w:themeColor="text1"/>
          <w:sz w:val="22"/>
          <w:szCs w:val="22"/>
        </w:rPr>
        <w:t>Lu</w:t>
      </w:r>
      <w:r w:rsidR="00957822">
        <w:rPr>
          <w:rFonts w:ascii="Arial" w:hAnsi="Arial" w:cs="Arial"/>
          <w:color w:val="000000" w:themeColor="text1"/>
          <w:sz w:val="22"/>
          <w:szCs w:val="22"/>
          <w:vertAlign w:val="superscript"/>
        </w:rPr>
        <w:t>7</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957822" w:rsidRPr="00D71F75">
        <w:rPr>
          <w:rFonts w:ascii="Arial" w:hAnsi="Arial" w:cs="Arial"/>
          <w:color w:val="000000" w:themeColor="text1"/>
          <w:sz w:val="22"/>
          <w:szCs w:val="22"/>
          <w:vertAlign w:val="superscript"/>
        </w:rPr>
        <w:t xml:space="preserve"> </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D71F75">
        <w:rPr>
          <w:rFonts w:ascii="Arial" w:hAnsi="Arial" w:cs="Arial"/>
          <w:color w:val="000000" w:themeColor="text1"/>
          <w:sz w:val="22"/>
          <w:szCs w:val="22"/>
        </w:rPr>
        <w:t xml:space="preserve">* </w:t>
      </w:r>
      <w:r w:rsidR="00D71F75" w:rsidRPr="00D71F75">
        <w:rPr>
          <w:rFonts w:ascii="Arial" w:hAnsi="Arial" w:cs="Arial"/>
          <w:color w:val="000000" w:themeColor="text1"/>
          <w:sz w:val="22"/>
          <w:szCs w:val="22"/>
          <w:vertAlign w:val="superscript"/>
        </w:rPr>
        <w:t>1,2,4,5</w:t>
      </w:r>
    </w:p>
    <w:p w14:paraId="27026BB1" w14:textId="77777777" w:rsidR="00D71F75" w:rsidRPr="00D71F75" w:rsidRDefault="00D71F75" w:rsidP="002D338B">
      <w:pPr>
        <w:rPr>
          <w:rFonts w:ascii="Arial" w:hAnsi="Arial" w:cs="Arial"/>
          <w:color w:val="000000" w:themeColor="text1"/>
          <w:sz w:val="22"/>
          <w:szCs w:val="22"/>
          <w:vertAlign w:val="superscript"/>
        </w:rPr>
      </w:pPr>
    </w:p>
    <w:p w14:paraId="27EE8500" w14:textId="2865AB3A" w:rsidR="00CA4E21" w:rsidRPr="00D71F75" w:rsidRDefault="00CA4E21"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2D338B">
      <w:pPr>
        <w:pStyle w:val="ListParagraph"/>
        <w:numPr>
          <w:ilvl w:val="0"/>
          <w:numId w:val="3"/>
        </w:numPr>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2D338B">
      <w:pPr>
        <w:pStyle w:val="ListParagraph"/>
        <w:numPr>
          <w:ilvl w:val="0"/>
          <w:numId w:val="3"/>
        </w:numPr>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7144FDA1" w14:textId="77777777" w:rsidR="00D71F75" w:rsidRPr="00D71F75" w:rsidRDefault="00D71F75" w:rsidP="002D338B">
      <w:pPr>
        <w:pStyle w:val="ListParagraph"/>
        <w:rPr>
          <w:rFonts w:ascii="Arial" w:hAnsi="Arial" w:cs="Arial"/>
          <w:color w:val="000000" w:themeColor="text1"/>
          <w:sz w:val="22"/>
          <w:szCs w:val="22"/>
        </w:rPr>
      </w:pPr>
    </w:p>
    <w:p w14:paraId="01F15344" w14:textId="47A007F4" w:rsidR="00D71F75" w:rsidRPr="00D71F75" w:rsidRDefault="00D71F75" w:rsidP="002D338B">
      <w:pPr>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 xml:space="preserve">Corresponding author: </w:t>
      </w:r>
      <w:hyperlink r:id="rId11" w:history="1">
        <w:r w:rsidRPr="00D71F75">
          <w:rPr>
            <w:rStyle w:val="Hyperlink"/>
            <w:rFonts w:ascii="Arial" w:hAnsi="Arial" w:cs="Arial"/>
            <w:color w:val="000000" w:themeColor="text1"/>
            <w:sz w:val="22"/>
            <w:szCs w:val="22"/>
          </w:rPr>
          <w:t>davebrid@umich.edu</w:t>
        </w:r>
      </w:hyperlink>
      <w:r w:rsidRPr="00D71F75">
        <w:rPr>
          <w:rFonts w:ascii="Arial" w:hAnsi="Arial" w:cs="Arial"/>
          <w:color w:val="000000" w:themeColor="text1"/>
          <w:sz w:val="22"/>
          <w:szCs w:val="22"/>
        </w:rPr>
        <w:t xml:space="preserve"> 3866 SPH I 1415 Washington Heights Ann Arbor, Michigan 48109-2029</w:t>
      </w:r>
      <w:r w:rsidR="00450320">
        <w:rPr>
          <w:rFonts w:ascii="Arial" w:hAnsi="Arial" w:cs="Arial"/>
          <w:color w:val="000000" w:themeColor="text1"/>
          <w:sz w:val="22"/>
          <w:szCs w:val="22"/>
        </w:rPr>
        <w:t xml:space="preserve"> +1 </w:t>
      </w:r>
      <w:r w:rsidR="00450320" w:rsidRPr="00450320">
        <w:rPr>
          <w:rFonts w:ascii="Arial" w:hAnsi="Arial" w:cs="Arial"/>
          <w:color w:val="000000" w:themeColor="text1"/>
          <w:sz w:val="22"/>
          <w:szCs w:val="22"/>
        </w:rPr>
        <w:t>(734) 764-1266</w:t>
      </w:r>
    </w:p>
    <w:p w14:paraId="6698BAA2" w14:textId="77777777" w:rsidR="0052352B" w:rsidRPr="00D71F75" w:rsidRDefault="0052352B" w:rsidP="002D338B">
      <w:pPr>
        <w:spacing w:line="360" w:lineRule="auto"/>
        <w:rPr>
          <w:rFonts w:ascii="Arial" w:hAnsi="Arial" w:cs="Arial"/>
          <w:color w:val="000000" w:themeColor="text1"/>
          <w:sz w:val="22"/>
          <w:szCs w:val="22"/>
        </w:rPr>
      </w:pPr>
    </w:p>
    <w:p w14:paraId="0844E3F3" w14:textId="564E4844" w:rsidR="002D338B" w:rsidRDefault="002D338B"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3D0904CB" w:rsidR="002D338B" w:rsidRDefault="000A5478"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ha</w:t>
      </w:r>
      <w:r>
        <w:rPr>
          <w:rFonts w:ascii="Arial" w:hAnsi="Arial" w:cs="Arial"/>
          <w:color w:val="000000" w:themeColor="text1"/>
          <w:sz w:val="22"/>
          <w:szCs w:val="22"/>
        </w:rPr>
        <w:t>ve</w:t>
      </w:r>
      <w:r>
        <w:rPr>
          <w:rFonts w:ascii="Arial" w:hAnsi="Arial" w:cs="Arial"/>
          <w:color w:val="000000" w:themeColor="text1"/>
          <w:sz w:val="22"/>
          <w:szCs w:val="22"/>
        </w:rPr>
        <w:t xml:space="preserve"> </w:t>
      </w:r>
      <w:r w:rsidR="002D338B">
        <w:rPr>
          <w:rFonts w:ascii="Arial" w:hAnsi="Arial" w:cs="Arial"/>
          <w:color w:val="000000" w:themeColor="text1"/>
          <w:sz w:val="22"/>
          <w:szCs w:val="22"/>
        </w:rPr>
        <w:t>no competing interests</w:t>
      </w:r>
      <w:ins w:id="2" w:author="Stephenson, Erin [2]" w:date="2019-07-29T10:18:00Z">
        <w:r>
          <w:rPr>
            <w:rFonts w:ascii="Arial" w:hAnsi="Arial" w:cs="Arial"/>
            <w:color w:val="000000" w:themeColor="text1"/>
            <w:sz w:val="22"/>
            <w:szCs w:val="22"/>
          </w:rPr>
          <w:t xml:space="preserve"> </w:t>
        </w:r>
      </w:ins>
      <w:r>
        <w:rPr>
          <w:rFonts w:ascii="Arial" w:hAnsi="Arial" w:cs="Arial"/>
          <w:color w:val="000000" w:themeColor="text1"/>
          <w:sz w:val="22"/>
          <w:szCs w:val="22"/>
        </w:rPr>
        <w:t>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Pr>
          <w:rFonts w:ascii="Arial" w:hAnsi="Arial" w:cs="Arial"/>
          <w:color w:val="000000" w:themeColor="text1"/>
          <w:sz w:val="22"/>
          <w:szCs w:val="22"/>
        </w:rPr>
        <w:t xml:space="preserve">, </w:t>
      </w:r>
      <w:commentRangeStart w:id="3"/>
      <w:r w:rsidRPr="000A5478">
        <w:rPr>
          <w:rFonts w:ascii="Arial" w:hAnsi="Arial" w:cs="Arial"/>
          <w:color w:val="000000" w:themeColor="text1"/>
          <w:sz w:val="22"/>
          <w:szCs w:val="22"/>
          <w:highlight w:val="yellow"/>
        </w:rPr>
        <w:t xml:space="preserve">and </w:t>
      </w:r>
      <w:ins w:id="4" w:author="Stephenson, Erin [2]" w:date="2019-07-29T10:18:00Z">
        <w:r w:rsidRPr="000A5478">
          <w:rPr>
            <w:rFonts w:ascii="Arial" w:hAnsi="Arial" w:cs="Arial"/>
            <w:color w:val="000000" w:themeColor="text1"/>
            <w:sz w:val="22"/>
            <w:szCs w:val="22"/>
            <w:highlight w:val="yellow"/>
          </w:rPr>
          <w:t>…</w:t>
        </w:r>
        <w:commentRangeEnd w:id="3"/>
        <w:r w:rsidRPr="000A5478">
          <w:rPr>
            <w:rStyle w:val="CommentReference"/>
            <w:rFonts w:asciiTheme="minorHAnsi" w:hAnsiTheme="minorHAnsi" w:cstheme="minorBidi"/>
            <w:highlight w:val="yellow"/>
          </w:rPr>
          <w:commentReference w:id="3"/>
        </w:r>
      </w:ins>
      <w:r w:rsidR="00F12853" w:rsidRPr="000A5478">
        <w:rPr>
          <w:rFonts w:ascii="Arial" w:hAnsi="Arial" w:cs="Arial"/>
          <w:color w:val="000000" w:themeColor="text1"/>
          <w:sz w:val="22"/>
          <w:szCs w:val="22"/>
          <w:highlight w:val="yellow"/>
        </w:rPr>
        <w:t>.</w:t>
      </w:r>
      <w:bookmarkStart w:id="5" w:name="_GoBack"/>
      <w:bookmarkEnd w:id="5"/>
    </w:p>
    <w:p w14:paraId="7B50CFB5" w14:textId="77777777" w:rsidR="002D338B" w:rsidRPr="002D338B" w:rsidRDefault="002D338B" w:rsidP="002D338B">
      <w:pPr>
        <w:spacing w:line="360" w:lineRule="auto"/>
        <w:rPr>
          <w:rFonts w:ascii="Arial" w:hAnsi="Arial" w:cs="Arial"/>
          <w:color w:val="000000" w:themeColor="text1"/>
          <w:sz w:val="22"/>
          <w:szCs w:val="22"/>
        </w:rPr>
      </w:pPr>
    </w:p>
    <w:p w14:paraId="008A9BC6" w14:textId="10C59DD6" w:rsidR="00902E94" w:rsidRDefault="00902E94" w:rsidP="002D338B">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w:t>
      </w:r>
      <w:r w:rsidR="00D71F75" w:rsidRPr="00D71F75">
        <w:rPr>
          <w:rFonts w:ascii="Arial" w:hAnsi="Arial" w:cs="Arial"/>
          <w:color w:val="000000" w:themeColor="text1"/>
          <w:sz w:val="22"/>
          <w:szCs w:val="22"/>
        </w:rPr>
        <w:t>, aging, obesity</w:t>
      </w:r>
    </w:p>
    <w:p w14:paraId="18FD25D7" w14:textId="77777777"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Abstract</w:t>
      </w:r>
    </w:p>
    <w:p w14:paraId="2F0DEDFD" w14:textId="217C7A67" w:rsidR="00A67520" w:rsidRPr="00D71F75" w:rsidRDefault="001137D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The mechanistic target of rapamycin (</w:t>
      </w:r>
      <w:r w:rsidR="00961046" w:rsidRPr="00D71F75">
        <w:rPr>
          <w:rFonts w:ascii="Arial" w:hAnsi="Arial" w:cs="Arial"/>
          <w:color w:val="000000" w:themeColor="text1"/>
          <w:sz w:val="22"/>
          <w:szCs w:val="22"/>
        </w:rPr>
        <w:t>mTORC1</w:t>
      </w:r>
      <w:r w:rsidRPr="00D71F75">
        <w:rPr>
          <w:rFonts w:ascii="Arial" w:hAnsi="Arial" w:cs="Arial"/>
          <w:color w:val="000000" w:themeColor="text1"/>
          <w:sz w:val="22"/>
          <w:szCs w:val="22"/>
        </w:rPr>
        <w:t>)</w:t>
      </w:r>
      <w:r w:rsidR="00961046" w:rsidRPr="00D71F75">
        <w:rPr>
          <w:rFonts w:ascii="Arial" w:hAnsi="Arial" w:cs="Arial"/>
          <w:color w:val="000000" w:themeColor="text1"/>
          <w:sz w:val="22"/>
          <w:szCs w:val="22"/>
        </w:rPr>
        <w:t xml:space="preserve"> is a nutrient responsive protein kinase complex</w:t>
      </w:r>
      <w:r w:rsidR="00A60CD9" w:rsidRPr="00D71F75">
        <w:rPr>
          <w:rFonts w:ascii="Arial" w:hAnsi="Arial" w:cs="Arial"/>
          <w:color w:val="000000" w:themeColor="text1"/>
          <w:sz w:val="22"/>
          <w:szCs w:val="22"/>
        </w:rPr>
        <w:t xml:space="preserve"> that helps co-ordinate anabolic processes</w:t>
      </w:r>
      <w:r w:rsidRPr="00D71F75">
        <w:rPr>
          <w:rFonts w:ascii="Arial" w:hAnsi="Arial" w:cs="Arial"/>
          <w:color w:val="000000" w:themeColor="text1"/>
          <w:sz w:val="22"/>
          <w:szCs w:val="22"/>
        </w:rPr>
        <w:t xml:space="preserve"> across all tissues</w:t>
      </w:r>
      <w:r w:rsidR="00A60CD9" w:rsidRPr="00D71F75">
        <w:rPr>
          <w:rFonts w:ascii="Arial" w:hAnsi="Arial" w:cs="Arial"/>
          <w:color w:val="000000" w:themeColor="text1"/>
          <w:sz w:val="22"/>
          <w:szCs w:val="22"/>
        </w:rPr>
        <w:t xml:space="preserve">. There is evidence that signaling </w:t>
      </w:r>
      <w:r w:rsidRPr="00D71F75">
        <w:rPr>
          <w:rFonts w:ascii="Arial" w:hAnsi="Arial" w:cs="Arial"/>
          <w:color w:val="000000" w:themeColor="text1"/>
          <w:sz w:val="22"/>
          <w:szCs w:val="22"/>
        </w:rPr>
        <w:t xml:space="preserve">through mTORC1 </w:t>
      </w:r>
      <w:r w:rsidR="000325F7" w:rsidRPr="00D71F75">
        <w:rPr>
          <w:rFonts w:ascii="Arial" w:hAnsi="Arial" w:cs="Arial"/>
          <w:color w:val="000000" w:themeColor="text1"/>
          <w:sz w:val="22"/>
          <w:szCs w:val="22"/>
        </w:rPr>
        <w:t xml:space="preserve">in skeletal muscle </w:t>
      </w:r>
      <w:r w:rsidRPr="00D71F75">
        <w:rPr>
          <w:rFonts w:ascii="Arial" w:hAnsi="Arial" w:cs="Arial"/>
          <w:color w:val="000000" w:themeColor="text1"/>
          <w:sz w:val="22"/>
          <w:szCs w:val="22"/>
        </w:rPr>
        <w:t>may be a determinant of energy expenditure</w:t>
      </w:r>
      <w:r w:rsidR="000325F7" w:rsidRPr="00D71F75">
        <w:rPr>
          <w:rFonts w:ascii="Arial" w:hAnsi="Arial" w:cs="Arial"/>
          <w:color w:val="000000" w:themeColor="text1"/>
          <w:sz w:val="22"/>
          <w:szCs w:val="22"/>
        </w:rPr>
        <w:t xml:space="preserve"> </w:t>
      </w:r>
      <w:r w:rsidR="00E05C3C" w:rsidRPr="00D71F75">
        <w:rPr>
          <w:rFonts w:ascii="Arial" w:hAnsi="Arial" w:cs="Arial"/>
          <w:color w:val="000000" w:themeColor="text1"/>
          <w:sz w:val="22"/>
          <w:szCs w:val="22"/>
        </w:rPr>
        <w:t xml:space="preserve">and aging </w:t>
      </w:r>
      <w:r w:rsidR="000325F7" w:rsidRPr="00D71F75">
        <w:rPr>
          <w:rFonts w:ascii="Arial" w:hAnsi="Arial" w:cs="Arial"/>
          <w:color w:val="000000" w:themeColor="text1"/>
          <w:sz w:val="22"/>
          <w:szCs w:val="22"/>
        </w:rPr>
        <w:t>and therefore components downstream of mTORC1 signaling may be potential targets for treating obesity</w:t>
      </w:r>
      <w:r w:rsidR="00E05C3C" w:rsidRPr="00D71F75">
        <w:rPr>
          <w:rFonts w:ascii="Arial" w:hAnsi="Arial" w:cs="Arial"/>
          <w:color w:val="000000" w:themeColor="text1"/>
          <w:sz w:val="22"/>
          <w:szCs w:val="22"/>
        </w:rPr>
        <w:t xml:space="preserve"> and age-associated metabolic disease</w:t>
      </w:r>
      <w:r w:rsidR="000325F7" w:rsidRPr="00D71F75">
        <w:rPr>
          <w:rFonts w:ascii="Arial" w:hAnsi="Arial" w:cs="Arial"/>
          <w:color w:val="000000" w:themeColor="text1"/>
          <w:sz w:val="22"/>
          <w:szCs w:val="22"/>
        </w:rPr>
        <w:t xml:space="preserve">. Here, we have generated mice with </w:t>
      </w:r>
      <w:proofErr w:type="spellStart"/>
      <w:r w:rsidR="000325F7" w:rsidRPr="00D71F75">
        <w:rPr>
          <w:rFonts w:ascii="Arial" w:hAnsi="Arial" w:cs="Arial"/>
          <w:i/>
          <w:color w:val="000000" w:themeColor="text1"/>
          <w:sz w:val="22"/>
          <w:szCs w:val="22"/>
        </w:rPr>
        <w:t>Ckm</w:t>
      </w:r>
      <w:r w:rsidR="004E4BB8" w:rsidRPr="00D71F75">
        <w:rPr>
          <w:rFonts w:ascii="Arial" w:hAnsi="Arial" w:cs="Arial"/>
          <w:i/>
          <w:color w:val="000000" w:themeColor="text1"/>
          <w:sz w:val="22"/>
          <w:szCs w:val="22"/>
        </w:rPr>
        <w:t>m</w:t>
      </w:r>
      <w:r w:rsidR="000325F7" w:rsidRPr="00D71F75">
        <w:rPr>
          <w:rFonts w:ascii="Arial" w:hAnsi="Arial" w:cs="Arial"/>
          <w:i/>
          <w:color w:val="000000" w:themeColor="text1"/>
          <w:sz w:val="22"/>
          <w:szCs w:val="22"/>
        </w:rPr>
        <w:t>-Cre</w:t>
      </w:r>
      <w:proofErr w:type="spellEnd"/>
      <w:r w:rsidR="000325F7" w:rsidRPr="00D71F75">
        <w:rPr>
          <w:rFonts w:ascii="Arial" w:hAnsi="Arial" w:cs="Arial"/>
          <w:color w:val="000000" w:themeColor="text1"/>
          <w:sz w:val="22"/>
          <w:szCs w:val="22"/>
        </w:rPr>
        <w:t xml:space="preserve"> driven ablation of </w:t>
      </w:r>
      <w:r w:rsidR="000325F7" w:rsidRPr="00D71F75">
        <w:rPr>
          <w:rFonts w:ascii="Arial" w:hAnsi="Arial" w:cs="Arial"/>
          <w:i/>
          <w:color w:val="000000" w:themeColor="text1"/>
          <w:sz w:val="22"/>
          <w:szCs w:val="22"/>
        </w:rPr>
        <w:t>Tsc1</w:t>
      </w:r>
      <w:r w:rsidR="001826AB" w:rsidRPr="00D71F75">
        <w:rPr>
          <w:rFonts w:ascii="Arial" w:hAnsi="Arial" w:cs="Arial"/>
          <w:i/>
          <w:color w:val="000000" w:themeColor="text1"/>
          <w:sz w:val="22"/>
          <w:szCs w:val="22"/>
        </w:rPr>
        <w:t>,</w:t>
      </w:r>
      <w:r w:rsidR="000325F7" w:rsidRPr="00D71F75">
        <w:rPr>
          <w:rFonts w:ascii="Arial" w:hAnsi="Arial" w:cs="Arial"/>
          <w:color w:val="000000" w:themeColor="text1"/>
          <w:sz w:val="22"/>
          <w:szCs w:val="22"/>
        </w:rPr>
        <w:t xml:space="preserve"> which confers </w:t>
      </w:r>
      <w:r w:rsidR="00B83C7F" w:rsidRPr="00D71F75">
        <w:rPr>
          <w:rFonts w:ascii="Arial" w:hAnsi="Arial" w:cs="Arial"/>
          <w:color w:val="000000" w:themeColor="text1"/>
          <w:sz w:val="22"/>
          <w:szCs w:val="22"/>
        </w:rPr>
        <w:t xml:space="preserve">constitutive </w:t>
      </w:r>
      <w:r w:rsidR="000325F7" w:rsidRPr="00D71F75">
        <w:rPr>
          <w:rFonts w:ascii="Arial" w:hAnsi="Arial" w:cs="Arial"/>
          <w:color w:val="000000" w:themeColor="text1"/>
          <w:sz w:val="22"/>
          <w:szCs w:val="22"/>
        </w:rPr>
        <w:t xml:space="preserve">activation of mTORC1 in skeletal muscle. </w:t>
      </w:r>
      <w:r w:rsidR="00AA71B9" w:rsidRPr="00D71F75">
        <w:rPr>
          <w:rFonts w:ascii="Arial" w:hAnsi="Arial" w:cs="Arial"/>
          <w:color w:val="000000" w:themeColor="text1"/>
          <w:sz w:val="22"/>
          <w:szCs w:val="22"/>
        </w:rPr>
        <w:t xml:space="preserve">While we did not observe systemic insulin resistance in these mice, we detected a striking resistance to diet- and age-induced obesity. </w:t>
      </w:r>
      <w:r w:rsidR="001826AB" w:rsidRPr="00D71F75">
        <w:rPr>
          <w:rFonts w:ascii="Arial" w:hAnsi="Arial" w:cs="Arial"/>
          <w:color w:val="000000" w:themeColor="text1"/>
          <w:sz w:val="22"/>
          <w:szCs w:val="22"/>
        </w:rPr>
        <w:t>U</w:t>
      </w:r>
      <w:r w:rsidR="000325F7" w:rsidRPr="00D71F75">
        <w:rPr>
          <w:rFonts w:ascii="Arial" w:hAnsi="Arial" w:cs="Arial"/>
          <w:color w:val="000000" w:themeColor="text1"/>
          <w:sz w:val="22"/>
          <w:szCs w:val="22"/>
        </w:rPr>
        <w:t>nbiased transcriptional analys</w:t>
      </w:r>
      <w:r w:rsidR="00037667" w:rsidRPr="00D71F75">
        <w:rPr>
          <w:rFonts w:ascii="Arial" w:hAnsi="Arial" w:cs="Arial"/>
          <w:color w:val="000000" w:themeColor="text1"/>
          <w:sz w:val="22"/>
          <w:szCs w:val="22"/>
        </w:rPr>
        <w:t>i</w:t>
      </w:r>
      <w:r w:rsidR="000325F7" w:rsidRPr="00D71F75">
        <w:rPr>
          <w:rFonts w:ascii="Arial" w:hAnsi="Arial" w:cs="Arial"/>
          <w:color w:val="000000" w:themeColor="text1"/>
          <w:sz w:val="22"/>
          <w:szCs w:val="22"/>
        </w:rPr>
        <w:t>s identif</w:t>
      </w:r>
      <w:r w:rsidR="001826AB" w:rsidRPr="00D71F75">
        <w:rPr>
          <w:rFonts w:ascii="Arial" w:hAnsi="Arial" w:cs="Arial"/>
          <w:color w:val="000000" w:themeColor="text1"/>
          <w:sz w:val="22"/>
          <w:szCs w:val="22"/>
        </w:rPr>
        <w:t>ies</w:t>
      </w:r>
      <w:r w:rsidR="000325F7" w:rsidRPr="00D71F75">
        <w:rPr>
          <w:rFonts w:ascii="Arial" w:hAnsi="Arial" w:cs="Arial"/>
          <w:color w:val="000000" w:themeColor="text1"/>
          <w:sz w:val="22"/>
          <w:szCs w:val="22"/>
        </w:rPr>
        <w:t xml:space="preserve"> pathways and candidate genes that may explain how skeletal muscle mTORC1 activity regulates energy balance and aging. </w:t>
      </w:r>
      <w:r w:rsidR="006E202A" w:rsidRPr="00D71F75">
        <w:rPr>
          <w:rFonts w:ascii="Arial" w:hAnsi="Arial" w:cs="Arial"/>
          <w:color w:val="000000" w:themeColor="text1"/>
          <w:sz w:val="22"/>
          <w:szCs w:val="22"/>
        </w:rPr>
        <w:t xml:space="preserve">We show that increases in </w:t>
      </w:r>
      <w:r w:rsidR="006E202A" w:rsidRPr="00D71F75">
        <w:rPr>
          <w:rFonts w:ascii="Arial" w:hAnsi="Arial" w:cs="Arial"/>
          <w:color w:val="000000" w:themeColor="text1"/>
          <w:sz w:val="22"/>
          <w:szCs w:val="22"/>
        </w:rPr>
        <w:lastRenderedPageBreak/>
        <w:t xml:space="preserve">energy expenditure following a high fat diet are mTORC1-dependent and that elevated energy expenditure caused by ablation of </w:t>
      </w:r>
      <w:r w:rsidR="006E202A" w:rsidRPr="00D71F75">
        <w:rPr>
          <w:rFonts w:ascii="Arial" w:hAnsi="Arial" w:cs="Arial"/>
          <w:i/>
          <w:color w:val="000000" w:themeColor="text1"/>
          <w:sz w:val="22"/>
          <w:szCs w:val="22"/>
        </w:rPr>
        <w:t>Tsc1</w:t>
      </w:r>
      <w:r w:rsidR="006E202A" w:rsidRPr="00D71F75">
        <w:rPr>
          <w:rFonts w:ascii="Arial" w:hAnsi="Arial" w:cs="Arial"/>
          <w:color w:val="000000" w:themeColor="text1"/>
          <w:sz w:val="22"/>
          <w:szCs w:val="22"/>
        </w:rPr>
        <w:t xml:space="preserve"> coincides with the upregulation of skeletal muscle-specific thermogenic mechanisms that involve sarcolipin-driven futile cycling of Ca</w:t>
      </w:r>
      <w:r w:rsidR="006E202A" w:rsidRPr="00D71F75">
        <w:rPr>
          <w:rFonts w:ascii="Arial" w:hAnsi="Arial" w:cs="Arial"/>
          <w:color w:val="000000" w:themeColor="text1"/>
          <w:sz w:val="22"/>
          <w:szCs w:val="22"/>
          <w:vertAlign w:val="superscript"/>
        </w:rPr>
        <w:t xml:space="preserve">2+ </w:t>
      </w:r>
      <w:r w:rsidR="006E202A" w:rsidRPr="00D71F75">
        <w:rPr>
          <w:rFonts w:ascii="Arial" w:hAnsi="Arial" w:cs="Arial"/>
          <w:color w:val="000000" w:themeColor="text1"/>
          <w:sz w:val="22"/>
          <w:szCs w:val="22"/>
        </w:rPr>
        <w:t xml:space="preserve">through SERCA2. </w:t>
      </w:r>
      <w:r w:rsidR="00E05C3C" w:rsidRPr="00D71F75">
        <w:rPr>
          <w:rFonts w:ascii="Arial" w:hAnsi="Arial" w:cs="Arial"/>
          <w:color w:val="000000" w:themeColor="text1"/>
          <w:sz w:val="22"/>
          <w:szCs w:val="22"/>
        </w:rPr>
        <w:t>Additionally, we show that constitu</w:t>
      </w:r>
      <w:r w:rsidR="001826AB" w:rsidRPr="00D71F75">
        <w:rPr>
          <w:rFonts w:ascii="Arial" w:hAnsi="Arial" w:cs="Arial"/>
          <w:color w:val="000000" w:themeColor="text1"/>
          <w:sz w:val="22"/>
          <w:szCs w:val="22"/>
        </w:rPr>
        <w:t>tive</w:t>
      </w:r>
      <w:r w:rsidR="00E05C3C" w:rsidRPr="00D71F75">
        <w:rPr>
          <w:rFonts w:ascii="Arial" w:hAnsi="Arial" w:cs="Arial"/>
          <w:color w:val="000000" w:themeColor="text1"/>
          <w:sz w:val="22"/>
          <w:szCs w:val="22"/>
        </w:rPr>
        <w:t xml:space="preserve"> activation of mTORC1 in skeletal muscle reduces lifespan. </w:t>
      </w:r>
      <w:r w:rsidR="006E202A" w:rsidRPr="00D71F75">
        <w:rPr>
          <w:rFonts w:ascii="Arial" w:hAnsi="Arial" w:cs="Arial"/>
          <w:color w:val="000000" w:themeColor="text1"/>
          <w:sz w:val="22"/>
          <w:szCs w:val="22"/>
        </w:rPr>
        <w:t>These findings support the hypothesis that activation of mTORC1 and its downstream targets, specifically in skeletal muscle, may play a role in nutrient-dependent thermogenesis</w:t>
      </w:r>
      <w:r w:rsidR="002159AF" w:rsidRPr="00D71F75">
        <w:rPr>
          <w:rFonts w:ascii="Arial" w:hAnsi="Arial" w:cs="Arial"/>
          <w:color w:val="000000" w:themeColor="text1"/>
          <w:sz w:val="22"/>
          <w:szCs w:val="22"/>
        </w:rPr>
        <w:t xml:space="preserve"> and aging</w:t>
      </w:r>
      <w:r w:rsidR="006E202A" w:rsidRPr="00D71F75">
        <w:rPr>
          <w:rFonts w:ascii="Arial" w:hAnsi="Arial" w:cs="Arial"/>
          <w:color w:val="000000" w:themeColor="text1"/>
          <w:sz w:val="22"/>
          <w:szCs w:val="22"/>
        </w:rPr>
        <w:t xml:space="preserve">. </w:t>
      </w:r>
    </w:p>
    <w:p w14:paraId="42A16D24" w14:textId="77777777"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lastRenderedPageBreak/>
        <w:t>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4A373F41" w:rsidR="009B110D"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8D344E7" w:rsidR="00802891" w:rsidRPr="00D71F75" w:rsidRDefault="00802891"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1C72CB3E" w:rsidR="00365FE9" w:rsidRPr="00D71F75"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6C4B3B25" w14:textId="516E154B" w:rsidR="0039667E" w:rsidRPr="00D71F75" w:rsidRDefault="00B3409A"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77341CEC" w:rsidR="00540EBE" w:rsidRPr="00D71F75"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 xml:space="preserve">measurements were </w:t>
      </w:r>
      <w:r w:rsidR="002A7B4B" w:rsidRPr="00D71F75">
        <w:rPr>
          <w:rFonts w:ascii="Arial" w:hAnsi="Arial" w:cs="Arial"/>
          <w:color w:val="000000" w:themeColor="text1"/>
          <w:sz w:val="22"/>
          <w:szCs w:val="22"/>
        </w:rPr>
        <w:lastRenderedPageBreak/>
        <w:t>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14F5C443" w14:textId="4CA2265E" w:rsidR="00540EBE" w:rsidRPr="00D71F75" w:rsidRDefault="00540EBE" w:rsidP="002D338B">
      <w:pPr>
        <w:pStyle w:val="Heading2"/>
        <w:spacing w:line="360" w:lineRule="auto"/>
        <w:rPr>
          <w:rFonts w:ascii="Arial" w:hAnsi="Arial" w:cs="Arial"/>
          <w:color w:val="000000" w:themeColor="text1"/>
          <w:sz w:val="22"/>
          <w:szCs w:val="22"/>
        </w:rPr>
      </w:pPr>
      <w:proofErr w:type="spellStart"/>
      <w:r w:rsidRPr="00D71F75">
        <w:rPr>
          <w:rFonts w:ascii="Arial" w:hAnsi="Arial" w:cs="Arial"/>
          <w:color w:val="000000" w:themeColor="text1"/>
          <w:sz w:val="22"/>
          <w:szCs w:val="22"/>
        </w:rPr>
        <w:t>Hyperinsulinemic</w:t>
      </w:r>
      <w:proofErr w:type="spellEnd"/>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H]glucose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w:t>
      </w:r>
      <w:r w:rsidRPr="00D71F75">
        <w:rPr>
          <w:rFonts w:ascii="Arial" w:hAnsi="Arial" w:cs="Arial"/>
          <w:color w:val="000000" w:themeColor="text1"/>
          <w:sz w:val="22"/>
          <w:szCs w:val="22"/>
        </w:rPr>
        <w:lastRenderedPageBreak/>
        <w:t xml:space="preserve">(Beckman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7777777" w:rsidR="00540EBE" w:rsidRPr="00D71F75" w:rsidRDefault="00540EBE"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CCA7A83" w:rsidR="00540EBE" w:rsidRPr="00D71F75" w:rsidRDefault="00F82FCB" w:rsidP="002D338B">
      <w:pPr>
        <w:spacing w:line="360" w:lineRule="auto"/>
        <w:rPr>
          <w:rFonts w:ascii="Arial" w:hAnsi="Arial" w:cs="Arial"/>
          <w:b/>
          <w:bCs/>
          <w:color w:val="000000" w:themeColor="text1"/>
          <w:sz w:val="22"/>
          <w:szCs w:val="22"/>
        </w:rPr>
      </w:pPr>
      <w:r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4B1CDF23" w:rsidR="00A269C3" w:rsidRPr="00D71F75"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a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A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12E50883" w14:textId="77777777" w:rsidR="00540EBE" w:rsidRPr="00D71F75" w:rsidRDefault="00540EBE"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Western Blotting</w:t>
      </w:r>
    </w:p>
    <w:p w14:paraId="77844FCB" w14:textId="7777777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mM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mM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w:t>
      </w:r>
      <w:r w:rsidRPr="00D71F75">
        <w:rPr>
          <w:rFonts w:ascii="Arial" w:hAnsi="Arial" w:cs="Arial"/>
          <w:color w:val="000000" w:themeColor="text1"/>
          <w:sz w:val="22"/>
          <w:szCs w:val="22"/>
        </w:rPr>
        <w:lastRenderedPageBreak/>
        <w:t xml:space="preserve">000 RPM for 15 minutes and quantified by Bradford assays.  Proteins were separated by SDS-PAGE, transferred to nitrocellulose and blotted with antibodies described in the figure legends.  Primary antibodies used in this study were raised against pS6 (pSer236/236, Cell Signaling #2211), S6 (Cell Signaling #2317), </w:t>
      </w:r>
      <w:r w:rsidRPr="00D71F75">
        <w:rPr>
          <w:rFonts w:ascii="Arial" w:hAnsi="Arial" w:cs="Arial"/>
          <w:color w:val="000000" w:themeColor="text1"/>
          <w:sz w:val="22"/>
          <w:szCs w:val="22"/>
          <w:highlight w:val="yellow"/>
        </w:rPr>
        <w:t xml:space="preserve">GAPDH (#) and Sarcolipin </w:t>
      </w:r>
      <w:commentRangeStart w:id="6"/>
      <w:r w:rsidRPr="00D71F75">
        <w:rPr>
          <w:rFonts w:ascii="Arial" w:hAnsi="Arial" w:cs="Arial"/>
          <w:color w:val="000000" w:themeColor="text1"/>
          <w:sz w:val="22"/>
          <w:szCs w:val="22"/>
          <w:highlight w:val="yellow"/>
        </w:rPr>
        <w:t>(#)</w:t>
      </w:r>
      <w:commentRangeEnd w:id="6"/>
      <w:r w:rsidRPr="00D71F75">
        <w:rPr>
          <w:rStyle w:val="CommentReference"/>
          <w:rFonts w:ascii="Arial" w:hAnsi="Arial" w:cs="Arial"/>
          <w:color w:val="000000" w:themeColor="text1"/>
          <w:sz w:val="22"/>
          <w:szCs w:val="22"/>
          <w:highlight w:val="yellow"/>
        </w:rPr>
        <w:commentReference w:id="6"/>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4C294C40" w14:textId="7654E39F" w:rsidR="00F82FCB" w:rsidRPr="00D71F75" w:rsidRDefault="00F82FCB" w:rsidP="002D338B">
      <w:pPr>
        <w:pStyle w:val="Heading2"/>
        <w:spacing w:line="360" w:lineRule="auto"/>
        <w:rPr>
          <w:rFonts w:ascii="Arial" w:eastAsiaTheme="minorEastAsia" w:hAnsi="Arial" w:cs="Arial"/>
          <w:b w:val="0"/>
          <w:bCs w:val="0"/>
          <w:color w:val="000000" w:themeColor="text1"/>
          <w:sz w:val="22"/>
          <w:szCs w:val="22"/>
        </w:rPr>
      </w:pPr>
      <w:r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Pr="00D71F75">
        <w:rPr>
          <w:rFonts w:ascii="Arial" w:hAnsi="Arial" w:cs="Arial"/>
          <w:color w:val="000000" w:themeColor="text1"/>
          <w:sz w:val="22"/>
          <w:szCs w:val="22"/>
        </w:rPr>
        <w:t>Staining</w:t>
      </w:r>
    </w:p>
    <w:p w14:paraId="297FA3EB" w14:textId="271A819D" w:rsidR="00024386" w:rsidRPr="00D71F75"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25428308" w14:textId="03A99F67" w:rsidR="00AE30D5" w:rsidRPr="00D71F75" w:rsidRDefault="00AE30D5"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Statistical Analyses</w:t>
      </w:r>
    </w:p>
    <w:p w14:paraId="08382C47" w14:textId="5072D7E9"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χ</w:t>
      </w:r>
      <w:r w:rsidRPr="00D71F75">
        <w:rPr>
          <w:rFonts w:ascii="Arial" w:hAnsi="Arial" w:cs="Arial"/>
          <w:color w:val="000000" w:themeColor="text1"/>
          <w:sz w:val="22"/>
          <w:szCs w:val="22"/>
          <w:vertAlign w:val="superscript"/>
        </w:rPr>
        <w:t>2</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12"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77777777" w:rsidR="007B624A" w:rsidRPr="0052352B" w:rsidRDefault="007B624A"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Results</w:t>
      </w:r>
    </w:p>
    <w:p w14:paraId="67FACF5E" w14:textId="14C9DDB5" w:rsidR="00EE7DA9" w:rsidRPr="0052352B" w:rsidRDefault="00EE7DA9"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Pr="0052352B">
        <w:rPr>
          <w:rFonts w:ascii="Arial" w:hAnsi="Arial" w:cs="Arial"/>
          <w:color w:val="000000" w:themeColor="text1"/>
          <w:sz w:val="22"/>
          <w:szCs w:val="22"/>
        </w:rPr>
        <w:t>Induced Increases in Energy Expenditure</w:t>
      </w:r>
    </w:p>
    <w:p w14:paraId="4D764869" w14:textId="4E4199D2" w:rsidR="00EE7DA9" w:rsidRPr="0052352B"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7A82AE45" w14:textId="36D0D543" w:rsidR="0087648E" w:rsidRPr="0052352B" w:rsidRDefault="0087648E"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26F5E9F3" w:rsidR="00184574" w:rsidRPr="0052352B" w:rsidRDefault="00184574" w:rsidP="002D338B">
      <w:pPr>
        <w:spacing w:line="360" w:lineRule="auto"/>
        <w:rPr>
          <w:rFonts w:ascii="Arial" w:hAnsi="Arial" w:cs="Arial"/>
          <w:b/>
          <w:color w:val="000000" w:themeColor="text1"/>
          <w:sz w:val="22"/>
          <w:szCs w:val="22"/>
        </w:rPr>
      </w:pPr>
      <w:r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4CA1C090" w:rsidR="0087648E" w:rsidRPr="0052352B" w:rsidRDefault="00350EC3"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714D8A9E" w:rsidR="0087648E" w:rsidRPr="0052352B"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w:t>
      </w:r>
      <w:r w:rsidR="00BB27F2" w:rsidRPr="0052352B">
        <w:rPr>
          <w:rFonts w:ascii="Arial" w:hAnsi="Arial" w:cs="Arial"/>
          <w:color w:val="000000" w:themeColor="text1"/>
          <w:sz w:val="22"/>
          <w:szCs w:val="22"/>
        </w:rPr>
        <w:lastRenderedPageBreak/>
        <w:t xml:space="preserve">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6A868B7A" w14:textId="1C1C8A2B" w:rsidR="00363043" w:rsidRPr="0052352B" w:rsidRDefault="00BE2E30" w:rsidP="002D338B">
      <w:pPr>
        <w:spacing w:line="360" w:lineRule="auto"/>
        <w:rPr>
          <w:rFonts w:ascii="Arial" w:hAnsi="Arial" w:cs="Arial"/>
          <w:b/>
          <w:bCs/>
          <w:color w:val="000000" w:themeColor="text1"/>
          <w:sz w:val="22"/>
          <w:szCs w:val="22"/>
        </w:rPr>
      </w:pPr>
      <w:r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w:t>
      </w:r>
      <w:r w:rsidR="009D4FB7" w:rsidRPr="0052352B">
        <w:rPr>
          <w:rFonts w:ascii="Arial" w:hAnsi="Arial" w:cs="Arial"/>
          <w:color w:val="000000" w:themeColor="text1"/>
          <w:sz w:val="22"/>
          <w:szCs w:val="22"/>
        </w:rPr>
        <w:lastRenderedPageBreak/>
        <w:t xml:space="preserve">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4EE5D678" w:rsidR="00BF0A41" w:rsidRPr="0052352B"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a HFD</w:t>
      </w:r>
      <w:r w:rsidRPr="0052352B">
        <w:rPr>
          <w:rFonts w:ascii="Arial" w:hAnsi="Arial" w:cs="Arial"/>
          <w:color w:val="000000" w:themeColor="text1"/>
          <w:sz w:val="22"/>
          <w:szCs w:val="22"/>
        </w:rPr>
        <w:t xml:space="preserve">. </w:t>
      </w:r>
    </w:p>
    <w:p w14:paraId="5F6B43F1" w14:textId="33E1D3C7" w:rsidR="00E7425C" w:rsidRPr="0052352B" w:rsidRDefault="00E7425C"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Pr="0052352B">
        <w:rPr>
          <w:rFonts w:ascii="Arial" w:hAnsi="Arial" w:cs="Arial"/>
          <w:color w:val="000000" w:themeColor="text1"/>
          <w:sz w:val="22"/>
          <w:szCs w:val="22"/>
        </w:rPr>
        <w:t>Amino Acid Uptake</w:t>
      </w:r>
    </w:p>
    <w:p w14:paraId="1C3DAE43" w14:textId="7B215049" w:rsidR="00F82FCB" w:rsidRPr="0052352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6E01315E" w14:textId="4E43D5B6" w:rsidR="00827301" w:rsidRPr="0052352B" w:rsidRDefault="00827301"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w:t>
      </w:r>
      <w:r w:rsidR="004905D8" w:rsidRPr="0052352B">
        <w:rPr>
          <w:rFonts w:ascii="Arial" w:hAnsi="Arial" w:cs="Arial"/>
          <w:color w:val="000000" w:themeColor="text1"/>
          <w:sz w:val="22"/>
          <w:szCs w:val="22"/>
        </w:rPr>
        <w:lastRenderedPageBreak/>
        <w:t xml:space="preserve">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77777777" w:rsidR="00B43DA6" w:rsidRPr="0052352B" w:rsidRDefault="00B43DA6"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9866CA3" w:rsidR="00D86AFE" w:rsidRPr="0052352B" w:rsidRDefault="005C6497"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were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w:t>
      </w:r>
      <w:r w:rsidR="00D86AFE" w:rsidRPr="0052352B">
        <w:rPr>
          <w:rFonts w:ascii="Arial" w:hAnsi="Arial" w:cs="Arial"/>
          <w:color w:val="000000" w:themeColor="text1"/>
          <w:sz w:val="22"/>
          <w:szCs w:val="22"/>
        </w:rPr>
        <w:lastRenderedPageBreak/>
        <w:t xml:space="preserve">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7A07EBA" w:rsidR="007B624A" w:rsidRPr="0052352B" w:rsidRDefault="002B4C32"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lastRenderedPageBreak/>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51329E80" w14:textId="7F12B05E" w:rsidR="003F5FAC" w:rsidRPr="0052352B" w:rsidRDefault="00862AC5"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conclusion, we have shown that increases in energy expenditure following a high fat diet- are mTORC1-dependent and that elevated energy expenditure caused by ablation of </w:t>
      </w:r>
      <w:r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Pr="0052352B">
        <w:rPr>
          <w:rFonts w:ascii="Arial" w:hAnsi="Arial" w:cs="Arial"/>
          <w:color w:val="000000" w:themeColor="text1"/>
          <w:sz w:val="22"/>
          <w:szCs w:val="22"/>
        </w:rPr>
        <w:t xml:space="preserve"> the sarcolipin-driven futile cycling of Ca</w:t>
      </w:r>
      <w:r w:rsidRPr="0052352B">
        <w:rPr>
          <w:rFonts w:ascii="Arial" w:hAnsi="Arial" w:cs="Arial"/>
          <w:color w:val="000000" w:themeColor="text1"/>
          <w:sz w:val="22"/>
          <w:szCs w:val="22"/>
          <w:vertAlign w:val="superscript"/>
        </w:rPr>
        <w:t xml:space="preserve">2+ </w:t>
      </w:r>
      <w:r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w:t>
      </w:r>
      <w:r w:rsidR="00B26D55">
        <w:rPr>
          <w:rFonts w:ascii="Arial" w:hAnsi="Arial" w:cs="Arial"/>
          <w:color w:val="000000" w:themeColor="text1"/>
          <w:sz w:val="22"/>
          <w:szCs w:val="22"/>
        </w:rPr>
        <w:lastRenderedPageBreak/>
        <w:t>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4B78F6EF" w:rsidR="007B7AEB" w:rsidRPr="0052352B" w:rsidRDefault="007B7AEB"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3C6B60C6"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F12853">
        <w:rPr>
          <w:rFonts w:ascii="Arial" w:hAnsi="Arial" w:cs="Arial"/>
          <w:iCs/>
          <w:color w:val="000000" w:themeColor="text1"/>
          <w:sz w:val="22"/>
          <w:szCs w:val="22"/>
        </w:rPr>
        <w:t>, and</w:t>
      </w:r>
      <w:r w:rsidR="00E22913" w:rsidRPr="0052352B">
        <w:rPr>
          <w:rFonts w:ascii="Arial" w:hAnsi="Arial" w:cs="Arial"/>
          <w:iCs/>
          <w:color w:val="000000" w:themeColor="text1"/>
          <w:sz w:val="22"/>
          <w:szCs w:val="22"/>
        </w:rPr>
        <w:t xml:space="preserve"> </w:t>
      </w:r>
      <w:r w:rsidR="00F12853" w:rsidRPr="00F12853">
        <w:rPr>
          <w:rFonts w:ascii="Arial" w:hAnsi="Arial" w:cs="Arial"/>
          <w:iCs/>
          <w:color w:val="000000" w:themeColor="text1"/>
          <w:sz w:val="22"/>
          <w:szCs w:val="22"/>
        </w:rPr>
        <w:t xml:space="preserve">MMPC grant 1U2CDK110678-01 </w:t>
      </w:r>
      <w:r w:rsidR="00F12853" w:rsidRPr="0052352B">
        <w:rPr>
          <w:rFonts w:ascii="Arial" w:hAnsi="Arial" w:cs="Arial"/>
          <w:iCs/>
          <w:color w:val="000000" w:themeColor="text1"/>
          <w:sz w:val="22"/>
          <w:szCs w:val="22"/>
        </w:rPr>
        <w:t>to the University of Michigan.</w:t>
      </w:r>
    </w:p>
    <w:p w14:paraId="18186392" w14:textId="022B818B" w:rsidR="007B624A" w:rsidRPr="0052352B" w:rsidRDefault="007B624A"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 xml:space="preserve">Guridi, M., Tintignac, L.A., Lin, S., Kupr, B., Castets, P., Rüegg, M.A., 2015. Activation of </w:t>
      </w:r>
      <w:r w:rsidRPr="00772807">
        <w:rPr>
          <w:rFonts w:ascii="Arial" w:hAnsi="Arial" w:cs="Arial"/>
          <w:noProof/>
          <w:color w:val="000000" w:themeColor="text1"/>
          <w:sz w:val="22"/>
          <w:szCs w:val="22"/>
        </w:rPr>
        <w:lastRenderedPageBreak/>
        <w:t>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Tran, C.M., Mukherjee, S., Ye, L., Frederick, D.W., Kissig, M., Davis, J.G., et al., 2016. 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 xml:space="preserve">Shah, O.J., Wang, Z., Hunter, T., 2004. Inappropriate activation of the TSC/Rheb/mTOR/S6K </w:t>
      </w:r>
      <w:r w:rsidRPr="00772807">
        <w:rPr>
          <w:rFonts w:ascii="Arial" w:hAnsi="Arial" w:cs="Arial"/>
          <w:noProof/>
          <w:color w:val="000000" w:themeColor="text1"/>
          <w:sz w:val="22"/>
          <w:szCs w:val="22"/>
        </w:rPr>
        <w:lastRenderedPageBreak/>
        <w:t>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Rolfe, D.F., Brown, G.C., 1997. Cellular energy utilization and molecular origin of standard 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 xml:space="preserve">Rantanen, T., Harris, T.B., Leveille, S.G., Visser, M., Foley, D., Masaki, K., et al., 2000. Muscle </w:t>
      </w:r>
      <w:r w:rsidRPr="00772807">
        <w:rPr>
          <w:rFonts w:ascii="Arial" w:hAnsi="Arial" w:cs="Arial"/>
          <w:noProof/>
          <w:color w:val="000000" w:themeColor="text1"/>
          <w:sz w:val="22"/>
          <w:szCs w:val="22"/>
        </w:rPr>
        <w:lastRenderedPageBreak/>
        <w:t>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Stephenson, E.J., Ragauskas, A., Jaligama, S., Redd, 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 xml:space="preserve">Liberzon, A., Subramanian, A., Pinchback, R., Thorvaldsdóttir, H., Tamayo, P., Mesirov, J.P., </w:t>
      </w:r>
      <w:r w:rsidRPr="00772807">
        <w:rPr>
          <w:rFonts w:ascii="Arial" w:hAnsi="Arial" w:cs="Arial"/>
          <w:noProof/>
          <w:color w:val="000000" w:themeColor="text1"/>
          <w:sz w:val="22"/>
          <w:szCs w:val="22"/>
        </w:rPr>
        <w:lastRenderedPageBreak/>
        <w:t>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Benjamini, Y., Hochberg, Y., 1995. Controlling the False Discovery Rate: A Practical and 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Rowland, L.A., Maurya, S.K., Bal, N.C., Kozak, L., Periasamy, M., 2016. Sarcolipin and uncoupling protein 1 play distinct roles in diet-induced thermogenesis and do not compensate for 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 xml:space="preserve">Bentzinger, C.F., Romanino, K., Cloëtta, D., Lin, S., Mascarenhas, J.B., Oliveri, F., et al., 2008. </w:t>
      </w:r>
      <w:r w:rsidRPr="00772807">
        <w:rPr>
          <w:rFonts w:ascii="Arial" w:hAnsi="Arial" w:cs="Arial"/>
          <w:noProof/>
          <w:color w:val="000000" w:themeColor="text1"/>
          <w:sz w:val="22"/>
          <w:szCs w:val="22"/>
        </w:rPr>
        <w:lastRenderedPageBreak/>
        <w:t>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 xml:space="preserve">Risson, V., Mazelin, L., Roceri, M., Sanchez, H., Moncollin, V., Corneloup, C., et al., 2009. Muscle inactivation of mTOR causes metabolic and dystrophin defects leading to severe </w:t>
      </w:r>
      <w:r w:rsidRPr="00772807">
        <w:rPr>
          <w:rFonts w:ascii="Arial" w:hAnsi="Arial" w:cs="Arial"/>
          <w:noProof/>
          <w:color w:val="000000" w:themeColor="text1"/>
          <w:sz w:val="22"/>
          <w:szCs w:val="22"/>
        </w:rPr>
        <w:lastRenderedPageBreak/>
        <w:t>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Castro-Sepúlveda, M., Tevy, M.F., Jaimovich, E., Campos, C.A., Eisner, V., Figueroa, R., et al., 2018. Muscle function decline and mitochondria changes in middle age precede sarcopenia in 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 xml:space="preserve">Suh, Y., Atzmon, G., Cho, M.-O., Hwang, D., Liu, B., Leahy, D.J., et al., 2008. Functionally significant insulin-like growth factor I receptor mutations in centenarians. Proceedings of the National Academy of Sciences of the United States of America 105(9): 3438–42, Doi: </w:t>
      </w:r>
      <w:r w:rsidRPr="00772807">
        <w:rPr>
          <w:rFonts w:ascii="Arial" w:hAnsi="Arial" w:cs="Arial"/>
          <w:noProof/>
          <w:color w:val="000000" w:themeColor="text1"/>
          <w:sz w:val="22"/>
          <w:szCs w:val="22"/>
        </w:rPr>
        <w:lastRenderedPageBreak/>
        <w:t>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Hwangbo, D.S., Gershman, B., Tu, M.-P., Palmer, M., Tatar, M., 2004. Drosophila dFOXO controls lifespan and regulates insulin signalling in brain and fat body. Nature 429(6991): 562–6, 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3CF7A59F"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an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χ</w:t>
      </w:r>
      <w:r w:rsidR="00DB6758" w:rsidRPr="00091167">
        <w:rPr>
          <w:rFonts w:ascii="Arial" w:hAnsi="Arial" w:cs="Arial"/>
          <w:color w:val="000000" w:themeColor="text1"/>
          <w:sz w:val="22"/>
          <w:szCs w:val="22"/>
          <w:vertAlign w:val="superscript"/>
        </w:rPr>
        <w:t xml:space="preserve">2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51321B4E" w:rsidR="00B558A8" w:rsidRPr="00091167" w:rsidRDefault="00B558A8" w:rsidP="002D338B">
      <w:pPr>
        <w:spacing w:line="360" w:lineRule="auto"/>
        <w:rPr>
          <w:rFonts w:ascii="Arial" w:hAnsi="Arial" w:cs="Arial"/>
          <w:b/>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74F21" w:rsidRDefault="00674F21">
      <w:pPr>
        <w:pStyle w:val="CommentText"/>
      </w:pPr>
      <w:r>
        <w:rPr>
          <w:rStyle w:val="CommentReference"/>
        </w:rPr>
        <w:annotationRef/>
      </w:r>
      <w:r>
        <w:t>Potential reviewers:</w:t>
      </w:r>
      <w:r>
        <w:br/>
        <w:t>Leslie Kozak</w:t>
      </w:r>
    </w:p>
    <w:p w14:paraId="655AA1B3" w14:textId="7C7988D3" w:rsidR="00674F21" w:rsidRDefault="00674F21">
      <w:pPr>
        <w:pStyle w:val="CommentText"/>
      </w:pPr>
      <w:r>
        <w:t xml:space="preserve">Muthu </w:t>
      </w:r>
      <w:proofErr w:type="spellStart"/>
      <w:r>
        <w:t>Periasamy</w:t>
      </w:r>
      <w:proofErr w:type="spellEnd"/>
    </w:p>
    <w:p w14:paraId="7A21C46D" w14:textId="03637713" w:rsidR="00674F21" w:rsidRPr="007205A1" w:rsidRDefault="00674F21">
      <w:pPr>
        <w:pStyle w:val="CommentText"/>
        <w:rPr>
          <w:lang w:val="de-DE"/>
        </w:rPr>
      </w:pPr>
      <w:r w:rsidRPr="007205A1">
        <w:rPr>
          <w:lang w:val="de-DE"/>
        </w:rPr>
        <w:t xml:space="preserve">David </w:t>
      </w:r>
      <w:proofErr w:type="spellStart"/>
      <w:r w:rsidRPr="007205A1">
        <w:rPr>
          <w:lang w:val="de-DE"/>
        </w:rPr>
        <w:t>Guertin</w:t>
      </w:r>
      <w:proofErr w:type="spellEnd"/>
    </w:p>
    <w:p w14:paraId="5D82F0F9" w14:textId="1CD36490" w:rsidR="00674F21" w:rsidRPr="007205A1" w:rsidRDefault="00674F21">
      <w:pPr>
        <w:pStyle w:val="CommentText"/>
        <w:rPr>
          <w:lang w:val="de-DE"/>
        </w:rPr>
      </w:pPr>
      <w:r w:rsidRPr="007205A1">
        <w:rPr>
          <w:lang w:val="de-DE"/>
        </w:rPr>
        <w:t>Michael Hall</w:t>
      </w:r>
    </w:p>
    <w:p w14:paraId="19DBB59F" w14:textId="5E88A870" w:rsidR="00674F21" w:rsidRPr="007205A1" w:rsidRDefault="00674F21">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674F21" w:rsidRPr="007205A1" w:rsidRDefault="00674F21">
      <w:pPr>
        <w:pStyle w:val="CommentText"/>
        <w:rPr>
          <w:lang w:val="de-DE"/>
        </w:rPr>
      </w:pPr>
    </w:p>
  </w:comment>
  <w:comment w:id="1" w:author="Stephenson, Erin" w:date="2019-05-01T16:28:00Z" w:initials="SE">
    <w:p w14:paraId="6AFC741E" w14:textId="112F9BC6" w:rsidR="00674F21" w:rsidRDefault="00674F21">
      <w:pPr>
        <w:pStyle w:val="CommentText"/>
      </w:pPr>
      <w:r>
        <w:rPr>
          <w:rStyle w:val="CommentReference"/>
        </w:rPr>
        <w:annotationRef/>
      </w:r>
      <w:r>
        <w:t>I’ll throw in a couple of potential reviewer suggestions (muscle/exercise guys who have done a bunch of mTOR stuff):</w:t>
      </w:r>
    </w:p>
    <w:p w14:paraId="744ABDC4" w14:textId="725EF200" w:rsidR="00674F21" w:rsidRDefault="00674F21">
      <w:pPr>
        <w:pStyle w:val="CommentText"/>
      </w:pPr>
      <w:r>
        <w:t>Craig Goodman</w:t>
      </w:r>
    </w:p>
    <w:p w14:paraId="748E111C" w14:textId="100A5837" w:rsidR="00674F21" w:rsidRDefault="00674F21">
      <w:pPr>
        <w:pStyle w:val="CommentText"/>
      </w:pPr>
      <w:r>
        <w:t>Troy Hornberger</w:t>
      </w:r>
    </w:p>
    <w:p w14:paraId="0AE3FEF8" w14:textId="613069BA" w:rsidR="00674F21" w:rsidRDefault="00674F21">
      <w:pPr>
        <w:pStyle w:val="CommentText"/>
      </w:pPr>
    </w:p>
    <w:p w14:paraId="1621F271" w14:textId="3B0CC768" w:rsidR="00674F21" w:rsidRDefault="00674F21">
      <w:pPr>
        <w:pStyle w:val="CommentText"/>
      </w:pPr>
    </w:p>
  </w:comment>
  <w:comment w:id="3" w:author="Stephenson, Erin [2]" w:date="2019-07-29T10:18:00Z" w:initials="SE">
    <w:p w14:paraId="4C000059" w14:textId="7FBE2527" w:rsidR="000A5478" w:rsidRDefault="000A5478">
      <w:pPr>
        <w:pStyle w:val="CommentText"/>
      </w:pPr>
      <w:r>
        <w:rPr>
          <w:rStyle w:val="CommentReference"/>
        </w:rPr>
        <w:annotationRef/>
      </w:r>
      <w:r>
        <w:t>Need to add in any other competing interests that need to be declared here. Dave, can you check with Alan what he wishes to declare and any other authors who may have competing interests? I think this is the last thing we need to worry ourselves with prior to submission (other than formatting).</w:t>
      </w:r>
    </w:p>
  </w:comment>
  <w:comment w:id="6" w:author="Stephenson, Erin" w:date="2019-05-19T11:16:00Z" w:initials="SE">
    <w:p w14:paraId="29F62685" w14:textId="77777777" w:rsidR="00674F21" w:rsidRDefault="00674F21"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4C000059" w15:done="0"/>
  <w15:commentEx w15:paraId="29F626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4C000059" w16cid:durableId="20E94670"/>
  <w16cid:commentId w16cid:paraId="29F62685" w16cid:durableId="20D87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8E7DF" w14:textId="77777777" w:rsidR="00281AA6" w:rsidRDefault="00281AA6" w:rsidP="00907F04">
      <w:r>
        <w:separator/>
      </w:r>
    </w:p>
  </w:endnote>
  <w:endnote w:type="continuationSeparator" w:id="0">
    <w:p w14:paraId="547AF55F" w14:textId="77777777" w:rsidR="00281AA6" w:rsidRDefault="00281AA6" w:rsidP="00907F04">
      <w:r>
        <w:continuationSeparator/>
      </w:r>
    </w:p>
  </w:endnote>
  <w:endnote w:type="continuationNotice" w:id="1">
    <w:p w14:paraId="606FA00E" w14:textId="77777777" w:rsidR="00281AA6" w:rsidRDefault="00281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D275E" w14:textId="77777777" w:rsidR="00281AA6" w:rsidRDefault="00281AA6" w:rsidP="00907F04">
      <w:r>
        <w:separator/>
      </w:r>
    </w:p>
  </w:footnote>
  <w:footnote w:type="continuationSeparator" w:id="0">
    <w:p w14:paraId="59E61071" w14:textId="77777777" w:rsidR="00281AA6" w:rsidRDefault="00281AA6" w:rsidP="00907F04">
      <w:r>
        <w:continuationSeparator/>
      </w:r>
    </w:p>
  </w:footnote>
  <w:footnote w:type="continuationNotice" w:id="1">
    <w:p w14:paraId="43287D2D" w14:textId="77777777" w:rsidR="00281AA6" w:rsidRDefault="00281A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Stephenson, Erin [2]">
    <w15:presenceInfo w15:providerId="AD" w15:userId="S::esteph16@uthsc.edu::794468fd-7ec9-4720-8c7f-f8d6c6afc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636"/>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4E0D1-F28E-474E-89C5-8079372B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25</Pages>
  <Words>61849</Words>
  <Characters>370482</Characters>
  <Application>Microsoft Office Word</Application>
  <DocSecurity>0</DocSecurity>
  <Lines>5292</Lines>
  <Paragraphs>1334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23</cp:revision>
  <cp:lastPrinted>2019-03-04T18:31:00Z</cp:lastPrinted>
  <dcterms:created xsi:type="dcterms:W3CDTF">2019-07-24T22:24:00Z</dcterms:created>
  <dcterms:modified xsi:type="dcterms:W3CDTF">2019-07-29T15:20:00Z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