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4163708D" w:rsidR="00245445" w:rsidRDefault="00245445" w:rsidP="007B624A">
      <w:pPr>
        <w:pStyle w:val="Heading1"/>
      </w:pPr>
      <w:r>
        <w:t xml:space="preserve">Muscle mTORC1 Activation Causes </w:t>
      </w:r>
      <w:r w:rsidR="000F13F0">
        <w:t>Reduced Fat Mass</w:t>
      </w:r>
    </w:p>
    <w:p w14:paraId="389F3CC2" w14:textId="77777777" w:rsidR="00E32EF3" w:rsidRDefault="00E32EF3" w:rsidP="00E32EF3"/>
    <w:p w14:paraId="4FEAA9A1" w14:textId="499FDC88" w:rsidR="00E32EF3" w:rsidRPr="00E32EF3" w:rsidRDefault="00E32EF3" w:rsidP="00E32EF3">
      <w:r>
        <w:t xml:space="preserve">Dave Bridges, Erin </w:t>
      </w:r>
      <w:r w:rsidR="00736644">
        <w:t xml:space="preserve">J. </w:t>
      </w:r>
      <w:r>
        <w:t>Stephenson, Innocence Harvey, Binbin Lu, Kaleigh Fisher, Alan Cheng and Alan R. Saltiel</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4EEAECA7" w14:textId="77777777" w:rsidR="00736644" w:rsidRDefault="00736644" w:rsidP="003E7617">
      <w:pPr>
        <w:pStyle w:val="ListParagraph"/>
        <w:numPr>
          <w:ilvl w:val="0"/>
          <w:numId w:val="1"/>
        </w:numPr>
      </w:pPr>
      <w:r>
        <w:t>Dynamic Nature of Energy Expenditure</w:t>
      </w:r>
    </w:p>
    <w:p w14:paraId="56052B3F" w14:textId="25859D09" w:rsidR="003E7617" w:rsidRDefault="00736644" w:rsidP="003E7617">
      <w:pPr>
        <w:pStyle w:val="ListParagraph"/>
        <w:numPr>
          <w:ilvl w:val="0"/>
          <w:numId w:val="1"/>
        </w:numPr>
      </w:pPr>
      <w:r>
        <w:t>High protein and weight loss</w:t>
      </w:r>
    </w:p>
    <w:p w14:paraId="75E7D918" w14:textId="098A8524" w:rsidR="003E7617" w:rsidRDefault="003E7617" w:rsidP="003E7617">
      <w:pPr>
        <w:pStyle w:val="ListParagraph"/>
        <w:numPr>
          <w:ilvl w:val="0"/>
          <w:numId w:val="1"/>
        </w:numPr>
      </w:pPr>
      <w:r>
        <w:t>mTORC1 and body composition</w:t>
      </w:r>
    </w:p>
    <w:p w14:paraId="78EC43E4" w14:textId="1AF57F69" w:rsidR="00871236" w:rsidRPr="003E7617" w:rsidRDefault="00871236" w:rsidP="003E7617">
      <w:pPr>
        <w:pStyle w:val="ListParagraph"/>
        <w:numPr>
          <w:ilvl w:val="0"/>
          <w:numId w:val="1"/>
        </w:numPr>
      </w:pPr>
      <w:r>
        <w:t>Muscle TSC KO papers</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35268059" w:rsidR="0039667E" w:rsidRDefault="00996376" w:rsidP="00996376">
      <w:r>
        <w:t xml:space="preserve">All mice were purchased from The Jackson Laboratory.  </w:t>
      </w:r>
      <w:r w:rsidR="0039667E">
        <w:t>For high protein diet (</w:t>
      </w:r>
      <w:commentRangeStart w:id="0"/>
      <w:r w:rsidR="0039667E">
        <w:t>HPD</w:t>
      </w:r>
      <w:commentRangeEnd w:id="0"/>
      <w:r w:rsidR="00972512">
        <w:rPr>
          <w:rStyle w:val="CommentReference"/>
        </w:rPr>
        <w:commentReference w:id="0"/>
      </w:r>
      <w:r w:rsidR="0039667E">
        <w:t>) feeding studies, a custom high protein diet and a matched control diet (</w:t>
      </w:r>
      <w:commentRangeStart w:id="1"/>
      <w:r w:rsidR="0039667E">
        <w:t>CD</w:t>
      </w:r>
      <w:commentRangeEnd w:id="1"/>
      <w:r w:rsidR="00972512">
        <w:rPr>
          <w:rStyle w:val="CommentReference"/>
        </w:rPr>
        <w:commentReference w:id="1"/>
      </w:r>
      <w:r w:rsidR="0039667E">
        <w:t xml:space="preserve">) were purchased from Research Diets (see Table 1).  </w:t>
      </w:r>
      <w:r w:rsidR="00D04DA3">
        <w:t xml:space="preserve">Male </w:t>
      </w:r>
      <w:r w:rsidR="0039667E">
        <w:t xml:space="preserve">C57BL/6J mice were purchased at 8 weeks of age, and allowed to acclimate to the animal facility.  Animals were placed on control or HPD at 10 weeks of age.  </w:t>
      </w:r>
    </w:p>
    <w:p w14:paraId="04F3F3E3" w14:textId="77777777" w:rsidR="0039667E" w:rsidRDefault="0039667E" w:rsidP="00996376"/>
    <w:p w14:paraId="212A3892" w14:textId="7DF7179C" w:rsidR="00996376" w:rsidRDefault="0039667E" w:rsidP="00996376">
      <w:pPr>
        <w:rPr>
          <w:bCs/>
        </w:rPr>
      </w:pPr>
      <w:r>
        <w:t xml:space="preserve">For High </w:t>
      </w:r>
      <w:r w:rsidR="00996376">
        <w:t xml:space="preserve">For muscle specific knockouts, </w:t>
      </w:r>
      <w:r w:rsidR="00996376" w:rsidRPr="00996376">
        <w:rPr>
          <w:bCs/>
        </w:rPr>
        <w:t>FVB-Tg(Ckmm-cre)5Khn/J</w:t>
      </w:r>
      <w:r w:rsidR="00996376">
        <w:rPr>
          <w:bCs/>
        </w:rPr>
        <w:t xml:space="preserve"> transgenic mice (stock 006405) were crossed with floxed </w:t>
      </w:r>
      <w:r w:rsidR="00996376" w:rsidRPr="00996376">
        <w:rPr>
          <w:bCs/>
          <w:i/>
          <w:iCs/>
        </w:rPr>
        <w:t>Tsc1</w:t>
      </w:r>
      <w:r w:rsidR="00996376" w:rsidRPr="00996376">
        <w:rPr>
          <w:bCs/>
          <w:i/>
          <w:iCs/>
          <w:vertAlign w:val="superscript"/>
        </w:rPr>
        <w:t>tm1Djk</w:t>
      </w:r>
      <w:r w:rsidR="00996376" w:rsidRPr="00996376">
        <w:rPr>
          <w:bCs/>
        </w:rPr>
        <w:t>/J</w:t>
      </w:r>
      <w:r w:rsidR="00996376">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sidR="00996376">
        <w:rPr>
          <w:bCs/>
        </w:rPr>
        <w:t>nsgene.  These parents were intercrossed to generate knockout mice (</w:t>
      </w:r>
      <w:r w:rsidR="00996376" w:rsidRPr="00996376">
        <w:rPr>
          <w:bCs/>
          <w:i/>
        </w:rPr>
        <w:t>Tsc1</w:t>
      </w:r>
      <w:r w:rsidR="00996376" w:rsidRPr="00996376">
        <w:rPr>
          <w:bCs/>
          <w:i/>
          <w:vertAlign w:val="superscript"/>
        </w:rPr>
        <w:t>fl</w:t>
      </w:r>
      <w:r w:rsidR="00996376" w:rsidRPr="00996376">
        <w:rPr>
          <w:bCs/>
          <w:vertAlign w:val="superscript"/>
        </w:rPr>
        <w:t>/fl</w:t>
      </w:r>
      <w:r w:rsidR="00996376">
        <w:rPr>
          <w:bCs/>
        </w:rPr>
        <w:t xml:space="preserve">, </w:t>
      </w:r>
      <w:r w:rsidR="00996376" w:rsidRPr="00996376">
        <w:rPr>
          <w:bCs/>
          <w:i/>
        </w:rPr>
        <w:t>Ckmm-Cre</w:t>
      </w:r>
      <w:r w:rsidR="00996376" w:rsidRPr="00996376">
        <w:rPr>
          <w:bCs/>
          <w:vertAlign w:val="superscript"/>
        </w:rPr>
        <w:t>Tg/+</w:t>
      </w:r>
      <w:r w:rsidR="00996376">
        <w:rPr>
          <w:bCs/>
        </w:rPr>
        <w:t>), wild type mice(</w:t>
      </w:r>
      <w:r w:rsidR="00996376" w:rsidRPr="00996376">
        <w:rPr>
          <w:bCs/>
          <w:i/>
        </w:rPr>
        <w:t>Tsc1</w:t>
      </w:r>
      <w:r w:rsidR="00996376">
        <w:rPr>
          <w:bCs/>
          <w:i/>
          <w:vertAlign w:val="superscript"/>
        </w:rPr>
        <w:t>+/+</w:t>
      </w:r>
      <w:r w:rsidR="00996376">
        <w:rPr>
          <w:bCs/>
        </w:rPr>
        <w:t xml:space="preserve">, </w:t>
      </w:r>
      <w:r w:rsidR="00996376" w:rsidRPr="00996376">
        <w:rPr>
          <w:bCs/>
          <w:i/>
        </w:rPr>
        <w:t>Ckmm-Cre</w:t>
      </w:r>
      <w:r w:rsidR="00996376">
        <w:rPr>
          <w:bCs/>
          <w:vertAlign w:val="superscript"/>
        </w:rPr>
        <w:t>+</w:t>
      </w:r>
      <w:r w:rsidR="00996376" w:rsidRPr="00996376">
        <w:rPr>
          <w:bCs/>
          <w:vertAlign w:val="superscript"/>
        </w:rPr>
        <w:t>/+</w:t>
      </w:r>
      <w:r w:rsidR="00996376">
        <w:rPr>
          <w:bCs/>
        </w:rPr>
        <w:t>) and controls containing the transgene only (</w:t>
      </w:r>
      <w:r w:rsidR="00996376" w:rsidRPr="00996376">
        <w:rPr>
          <w:bCs/>
          <w:i/>
        </w:rPr>
        <w:t>Tsc1</w:t>
      </w:r>
      <w:r w:rsidR="00996376">
        <w:rPr>
          <w:bCs/>
          <w:i/>
          <w:vertAlign w:val="superscript"/>
        </w:rPr>
        <w:t>+/+</w:t>
      </w:r>
      <w:r w:rsidR="00996376">
        <w:rPr>
          <w:bCs/>
        </w:rPr>
        <w:t xml:space="preserve">, </w:t>
      </w:r>
      <w:r w:rsidR="00996376" w:rsidRPr="00996376">
        <w:rPr>
          <w:bCs/>
          <w:i/>
        </w:rPr>
        <w:t>Ckmm-Cre</w:t>
      </w:r>
      <w:r w:rsidR="00996376" w:rsidRPr="00996376">
        <w:rPr>
          <w:bCs/>
          <w:vertAlign w:val="superscript"/>
        </w:rPr>
        <w:t>Tg/+</w:t>
      </w:r>
      <w:r w:rsidR="00996376">
        <w:rPr>
          <w:bCs/>
        </w:rPr>
        <w:t>)or the floxed allele only (</w:t>
      </w:r>
      <w:r w:rsidR="00996376" w:rsidRPr="00996376">
        <w:rPr>
          <w:bCs/>
          <w:i/>
        </w:rPr>
        <w:t>Tsc1</w:t>
      </w:r>
      <w:r w:rsidR="00996376" w:rsidRPr="00996376">
        <w:rPr>
          <w:bCs/>
          <w:i/>
          <w:vertAlign w:val="superscript"/>
        </w:rPr>
        <w:t>fl</w:t>
      </w:r>
      <w:r w:rsidR="00996376" w:rsidRPr="00996376">
        <w:rPr>
          <w:bCs/>
          <w:vertAlign w:val="superscript"/>
        </w:rPr>
        <w:t>/fl</w:t>
      </w:r>
      <w:r w:rsidR="00996376">
        <w:rPr>
          <w:bCs/>
        </w:rPr>
        <w:t xml:space="preserve">, </w:t>
      </w:r>
      <w:r w:rsidR="00996376" w:rsidRPr="00996376">
        <w:rPr>
          <w:bCs/>
          <w:i/>
        </w:rPr>
        <w:t>Ckmm-Cre</w:t>
      </w:r>
      <w:r w:rsidR="00996376">
        <w:rPr>
          <w:bCs/>
          <w:vertAlign w:val="superscript"/>
        </w:rPr>
        <w:t>+</w:t>
      </w:r>
      <w:r w:rsidR="00996376" w:rsidRPr="00996376">
        <w:rPr>
          <w:bCs/>
          <w:vertAlign w:val="superscript"/>
        </w:rPr>
        <w:t>/+</w:t>
      </w:r>
      <w:r w:rsidR="00996376">
        <w:rPr>
          <w:bCs/>
        </w:rPr>
        <w:t xml:space="preserve">).  All four genotypes were evaluated for all experiments.  If there were no significant differences between the three control strains, these were combined </w:t>
      </w:r>
      <w:r w:rsidR="00426050">
        <w:rPr>
          <w:bCs/>
        </w:rPr>
        <w:t>and labeled as Controls.</w:t>
      </w:r>
      <w:r>
        <w:rPr>
          <w:bCs/>
        </w:rPr>
        <w:t xml:space="preserve">  Animals were kept on a 12h light/dark cycle.  The UTHSC Institutional Animal Care and Use Committee approved all </w:t>
      </w:r>
      <w:r w:rsidR="00972512">
        <w:rPr>
          <w:bCs/>
        </w:rPr>
        <w:t xml:space="preserve">animal </w:t>
      </w:r>
      <w:r>
        <w:rPr>
          <w:bCs/>
        </w:rPr>
        <w:t>procedures.</w:t>
      </w:r>
    </w:p>
    <w:p w14:paraId="6871AEC9" w14:textId="77777777" w:rsidR="0039667E" w:rsidRDefault="0039667E" w:rsidP="00996376">
      <w:pPr>
        <w:rPr>
          <w:bCs/>
        </w:rPr>
      </w:pPr>
    </w:p>
    <w:p w14:paraId="6C4B3B25" w14:textId="54D71501" w:rsidR="0039667E" w:rsidRDefault="0039667E" w:rsidP="0039667E">
      <w:pPr>
        <w:pStyle w:val="Heading2"/>
      </w:pPr>
      <w:r>
        <w:t>Food Intake</w:t>
      </w:r>
      <w:r w:rsidR="00B3409A">
        <w:t xml:space="preserve"> and Body Composition</w:t>
      </w:r>
    </w:p>
    <w:p w14:paraId="5FEA070C" w14:textId="2A243206" w:rsidR="00996376" w:rsidRPr="00B3409A" w:rsidRDefault="0039667E" w:rsidP="00996376">
      <w:r>
        <w:t>Food intake was determined throughout the CD/HPD feeding studies by we</w:t>
      </w:r>
      <w:r w:rsidR="00736644">
        <w:t>ighing the food in the cages (</w:t>
      </w:r>
      <w:r>
        <w:t>4 mice</w:t>
      </w:r>
      <w:r w:rsidR="00736644">
        <w:t xml:space="preserve"> per cage)</w:t>
      </w:r>
      <w:r>
        <w:t xml:space="preserve"> throughout the study and calculated based on the caloric content of the food.  Food intake was therefore the average food eaten </w:t>
      </w:r>
      <w:r>
        <w:lastRenderedPageBreak/>
        <w:t>by a cage of mice divided by the number of mice in that cage.</w:t>
      </w:r>
      <w:r w:rsidR="00B3409A">
        <w:t xml:space="preserve">  </w:t>
      </w:r>
      <w:r>
        <w:rPr>
          <w:bCs/>
        </w:rPr>
        <w:t>Body composition w</w:t>
      </w:r>
      <w:r w:rsidR="00B3409A">
        <w:rPr>
          <w:bCs/>
        </w:rPr>
        <w:t>as determined using an echoMRI 1</w:t>
      </w:r>
      <w:r>
        <w:rPr>
          <w:bCs/>
        </w:rPr>
        <w:t xml:space="preserve">100 (echoMRI </w:t>
      </w:r>
      <w:r w:rsidR="00B3409A">
        <w:rPr>
          <w:bCs/>
        </w:rPr>
        <w:t>, Houston, TX).  Body weights were determined using a standard scale.</w:t>
      </w:r>
    </w:p>
    <w:p w14:paraId="0F193F30" w14:textId="490F02C4" w:rsidR="00871236" w:rsidRPr="00996376" w:rsidRDefault="00871236" w:rsidP="00871236">
      <w:pPr>
        <w:rPr>
          <w:i/>
        </w:rPr>
      </w:pPr>
    </w:p>
    <w:p w14:paraId="50A6B43A" w14:textId="265CF4E8" w:rsidR="00221DBF" w:rsidRPr="00221DBF" w:rsidRDefault="00221DBF" w:rsidP="00221DBF">
      <w:pPr>
        <w:pStyle w:val="Heading2"/>
      </w:pPr>
      <w:r>
        <w:t>Cell Culture</w:t>
      </w:r>
    </w:p>
    <w:p w14:paraId="0BFAF321" w14:textId="69D19AA5" w:rsidR="009B110D" w:rsidRDefault="009B110D" w:rsidP="00531AD6">
      <w:pPr>
        <w:pStyle w:val="Heading2"/>
      </w:pPr>
      <w:r>
        <w:t>Body Composition Analysis</w:t>
      </w:r>
    </w:p>
    <w:p w14:paraId="73DCF397" w14:textId="256C5D56" w:rsidR="00531AD6" w:rsidRDefault="00531AD6" w:rsidP="00531AD6">
      <w:pPr>
        <w:pStyle w:val="Heading2"/>
      </w:pPr>
      <w:r>
        <w:t xml:space="preserve">Histology of Adipose Tissue </w:t>
      </w:r>
    </w:p>
    <w:p w14:paraId="49457718" w14:textId="7D109A3A" w:rsidR="00531AD6" w:rsidRDefault="00531AD6" w:rsidP="00802891">
      <w:pPr>
        <w:pStyle w:val="Heading2"/>
      </w:pPr>
      <w:r>
        <w:t>Adipocyte Size Determination</w:t>
      </w:r>
    </w:p>
    <w:p w14:paraId="546CF03C" w14:textId="2232ABBC" w:rsidR="00802891" w:rsidRPr="00802891" w:rsidRDefault="00802891" w:rsidP="00802891">
      <w:pPr>
        <w:pStyle w:val="Heading2"/>
      </w:pPr>
      <w:r>
        <w:t>CLAMS</w:t>
      </w:r>
    </w:p>
    <w:p w14:paraId="08F6BF2B" w14:textId="00F99976" w:rsidR="00531AD6" w:rsidRDefault="00531AD6" w:rsidP="00531AD6">
      <w:pPr>
        <w:pStyle w:val="Heading2"/>
      </w:pPr>
      <w:r>
        <w:t>Western Blotting</w:t>
      </w:r>
    </w:p>
    <w:p w14:paraId="25428308" w14:textId="03A99F67" w:rsidR="00AE30D5" w:rsidRDefault="00AE30D5" w:rsidP="00AE30D5">
      <w:pPr>
        <w:pStyle w:val="Heading2"/>
      </w:pPr>
      <w:r>
        <w:t>Statistical Analyses</w:t>
      </w:r>
    </w:p>
    <w:p w14:paraId="21D2E7D7" w14:textId="749D2C07" w:rsidR="006F51AF" w:rsidRPr="006F51AF" w:rsidRDefault="00D52992" w:rsidP="006F51AF">
      <w:r>
        <w:t xml:space="preserve">All statistical analyses were performed using the R package, version 3.2.2 </w:t>
      </w:r>
      <w:r>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"[1]", "plainTextFormattedCitation" : "[1]", "previouslyFormattedCitation" : "[1]" }, "properties" : { "noteIndex" : 0 }, "schema" : "https://github.com/citation-style-language/schema/raw/master/csl-citation.json" }</w:instrText>
      </w:r>
      <w:r>
        <w:fldChar w:fldCharType="separate"/>
      </w:r>
      <w:r w:rsidRPr="00D52992">
        <w:rPr>
          <w:noProof/>
        </w:rPr>
        <w:t>[1]</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"[2]", "plainTextFormattedCitation" : "[2]" }, "properties" : { "noteIndex" : 0 }, "schema" : "https://github.com/citation-style-language/schema/raw/master/csl-citation.json" }</w:instrText>
      </w:r>
      <w:r>
        <w:fldChar w:fldCharType="separate"/>
      </w:r>
      <w:r w:rsidRPr="00D52992">
        <w:rPr>
          <w:noProof/>
        </w:rPr>
        <w:t>[2]</w:t>
      </w:r>
      <w:r>
        <w:fldChar w:fldCharType="end"/>
      </w:r>
      <w:r w:rsidR="00396BD8">
        <w:t>.  Statistical significance was determined via</w:t>
      </w:r>
      <w:r>
        <w:rPr>
          <w:rFonts w:ascii="Lucida Grande" w:hAnsi="Lucida Grande" w:cs="Lucida Grande"/>
          <w:color w:val="000000"/>
        </w:rPr>
        <w:t xml:space="preserve"> χ</w:t>
      </w:r>
      <w:r w:rsidRPr="00D52992">
        <w:rPr>
          <w:rFonts w:ascii="Lucida Grande" w:hAnsi="Lucida Grande" w:cs="Lucida Grande"/>
          <w:color w:val="000000"/>
          <w:vertAlign w:val="superscript"/>
        </w:rPr>
        <w:t>2</w:t>
      </w:r>
      <w:r w:rsidR="00396BD8" w:rsidRPr="00D52992">
        <w:t xml:space="preserve"> </w:t>
      </w:r>
      <w:r>
        <w:t xml:space="preserve">tests of models containing or missing the genotype or diet term.  All raw data and </w:t>
      </w:r>
      <w:r w:rsidR="006F51AF">
        <w:t xml:space="preserve">reproducible </w:t>
      </w:r>
      <w:r>
        <w:t>statistical analyses for this manuscript are available at</w:t>
      </w:r>
      <w:r w:rsidR="006F51AF">
        <w:t xml:space="preserve"> </w:t>
      </w:r>
      <w:hyperlink r:id="rId7" w:history="1">
        <w:r w:rsidR="006F51AF" w:rsidRPr="006F51AF">
          <w:rPr>
            <w:rStyle w:val="Hyperlink"/>
          </w:rPr>
          <w:t>http://bridgeslab.github.io/TissueSpecificTscKnockouts</w:t>
        </w:r>
      </w:hyperlink>
    </w:p>
    <w:p w14:paraId="08382C47" w14:textId="2F7C65BC" w:rsidR="00396BD8" w:rsidRPr="00396BD8" w:rsidRDefault="00396BD8" w:rsidP="00396BD8"/>
    <w:p w14:paraId="76D4A8B2" w14:textId="77777777" w:rsidR="007B624A" w:rsidRDefault="007B624A" w:rsidP="007B624A">
      <w:pPr>
        <w:pStyle w:val="Heading1"/>
      </w:pPr>
      <w:r>
        <w:t>Results</w:t>
      </w:r>
    </w:p>
    <w:p w14:paraId="5758AF52" w14:textId="77777777" w:rsidR="007B624A" w:rsidRDefault="007B624A" w:rsidP="007B624A">
      <w:pPr>
        <w:pStyle w:val="Heading2"/>
      </w:pPr>
      <w:r>
        <w:t>High Protein Diet Feeding Results in Lean Mice With Increased Energy Expenditure</w:t>
      </w:r>
    </w:p>
    <w:p w14:paraId="004AC3F8" w14:textId="77777777" w:rsidR="007B624A" w:rsidRDefault="007B624A" w:rsidP="007B624A"/>
    <w:p w14:paraId="44FF0A16" w14:textId="65EC4E2A" w:rsidR="009B110D" w:rsidRDefault="009B110D" w:rsidP="007B624A">
      <w:r>
        <w:t>To test the effects of</w:t>
      </w:r>
      <w:r w:rsidR="00972512">
        <w:t xml:space="preserve"> a high protein diet, we fed 10-</w:t>
      </w:r>
      <w:r>
        <w:t xml:space="preserve">week old C57B/6J mice a diet containing either 10% protein or 40% protein (Table 1).  We observed a </w:t>
      </w:r>
      <w:r w:rsidR="00823A14">
        <w:t>modest</w:t>
      </w:r>
      <w:r>
        <w:t xml:space="preserve"> decrease in body weight in these animals (</w:t>
      </w:r>
      <w:r w:rsidR="00090C3D">
        <w:t xml:space="preserve">29% reduction, </w:t>
      </w:r>
      <w:r w:rsidR="000711BE">
        <w:t>p=0.036</w:t>
      </w:r>
      <w:r w:rsidR="00823A14">
        <w:t xml:space="preserve">, </w:t>
      </w:r>
      <w:r>
        <w:t xml:space="preserve">Figure 1A).   This was not due to a decrease in </w:t>
      </w:r>
      <w:r w:rsidR="002648CF">
        <w:t>lean mass (Figure 1B) but rather was due to reduced accumul</w:t>
      </w:r>
      <w:r w:rsidR="00AE30D5">
        <w:t>ation of fat mass (</w:t>
      </w:r>
      <w:r w:rsidR="00090C3D">
        <w:t xml:space="preserve">44% reduction, </w:t>
      </w:r>
      <w:r w:rsidR="00823A14">
        <w:t xml:space="preserve">p=0.057, </w:t>
      </w:r>
      <w:r w:rsidR="00AE30D5">
        <w:t xml:space="preserve">Figure 1C).  This corresponded to </w:t>
      </w:r>
      <w:commentRangeStart w:id="2"/>
      <w:r w:rsidR="00AE30D5">
        <w:t xml:space="preserve">reduced mass </w:t>
      </w:r>
      <w:commentRangeEnd w:id="2"/>
      <w:r w:rsidR="00AE30D5">
        <w:rPr>
          <w:rStyle w:val="CommentReference"/>
        </w:rPr>
        <w:commentReference w:id="2"/>
      </w:r>
      <w:r w:rsidR="00AE30D5">
        <w:t>of both subcutaneous and epididymal fat pads</w:t>
      </w:r>
      <w:r w:rsidR="00823A14">
        <w:t xml:space="preserve"> at the end of the 14 weeks of diet</w:t>
      </w:r>
      <w:r w:rsidR="00AE30D5">
        <w:t>.</w:t>
      </w:r>
      <w:r w:rsidR="00D8601B">
        <w:t xml:space="preserve">  Skeletal and cardiac muscle mass were also increased at the end of the diet (Supplementary Figure 1A).</w:t>
      </w:r>
      <w:bookmarkStart w:id="3" w:name="_GoBack"/>
      <w:bookmarkEnd w:id="3"/>
    </w:p>
    <w:p w14:paraId="0EF8F0FF" w14:textId="77777777" w:rsidR="00802891" w:rsidRDefault="00802891" w:rsidP="007B624A"/>
    <w:p w14:paraId="7F42220D" w14:textId="63EF1D7D" w:rsidR="00802891" w:rsidRDefault="00802891" w:rsidP="007B624A">
      <w:r>
        <w:t>In order to identify changes in energy balance in these animals, we monitored food intake of HPD and CD-fed animals throughout t</w:t>
      </w:r>
      <w:r w:rsidR="00CB219E">
        <w:t>he study.  As shown in Figure</w:t>
      </w:r>
      <w:r w:rsidR="00190F17">
        <w:t>s</w:t>
      </w:r>
      <w:r w:rsidR="00CB219E">
        <w:t xml:space="preserve"> 1E</w:t>
      </w:r>
      <w:r w:rsidR="00190F17">
        <w:t>-F F there was no significant difference between caloric consumption either weekly or cumulatively</w:t>
      </w:r>
      <w:r>
        <w:t xml:space="preserve">.  We </w:t>
      </w:r>
      <w:r w:rsidR="00190F17">
        <w:t>next</w:t>
      </w:r>
      <w:r>
        <w:t xml:space="preserve"> evaluated energy expenditure and substrate preference</w:t>
      </w:r>
      <w:r w:rsidR="000F13F0">
        <w:t xml:space="preserve"> in these</w:t>
      </w:r>
      <w:r w:rsidR="00CB219E">
        <w:t xml:space="preserve"> animals at the end of the dietary treatment.  We observed an increase in energy expenditure (Figure 1E without a corresponding increase in physical movement (Figure 1F).</w:t>
      </w:r>
      <w:r w:rsidR="000F13F0">
        <w:t xml:space="preserve"> </w:t>
      </w:r>
    </w:p>
    <w:p w14:paraId="279385EE" w14:textId="77777777" w:rsidR="00531AD6" w:rsidRDefault="00531AD6" w:rsidP="007B624A"/>
    <w:p w14:paraId="6185D1DA" w14:textId="65D08297" w:rsidR="00531AD6" w:rsidRDefault="00531AD6" w:rsidP="00531AD6">
      <w:pPr>
        <w:pStyle w:val="Heading2"/>
      </w:pPr>
      <w:r>
        <w:t>High Protein Diet Feeding Results in mTORC1 Activation</w:t>
      </w:r>
    </w:p>
    <w:p w14:paraId="40ABDAF6" w14:textId="6DE396BB" w:rsidR="00531AD6" w:rsidRDefault="00531AD6" w:rsidP="007B624A">
      <w:r>
        <w:t>Since mTORC1 is a major regulator of metabolism and is activated by elevated amino acids, we next evaluated whether mTORC1 activity is increased in</w:t>
      </w:r>
      <w:r w:rsidR="001A6A7C">
        <w:t xml:space="preserve"> C2C12 myotubes.  </w:t>
      </w:r>
      <w:commentRangeStart w:id="4"/>
      <w:r w:rsidR="001A6A7C">
        <w:t>As shown in Figure 2A supplementation of cultured myotubes results in increased phosphorylation of S6K, in a rapamycin sensitive manner</w:t>
      </w:r>
      <w:commentRangeEnd w:id="4"/>
      <w:r w:rsidR="001A6A7C">
        <w:rPr>
          <w:rStyle w:val="CommentReference"/>
        </w:rPr>
        <w:commentReference w:id="4"/>
      </w:r>
      <w:r w:rsidR="001A6A7C">
        <w:t>To tes this in vivo, we evaluated quadriceps lysates from HPD fed animals.  To</w:t>
      </w:r>
      <w:r>
        <w:t xml:space="preserve"> avoid the confounding effects of acute </w:t>
      </w:r>
      <w:r w:rsidR="00802891">
        <w:t>protein feeding</w:t>
      </w:r>
      <w:r>
        <w:t>, animals</w:t>
      </w:r>
      <w:r w:rsidR="000F13F0">
        <w:t xml:space="preserve"> were starved for 16h prior to </w:t>
      </w:r>
      <w:r w:rsidR="00802891">
        <w:t>sacrifice.   We blotted lysates from quadriceps for the mTORC1 target S6K and found increased phosphorylation of S6K, indicating increased mTORC1 activity in muscle tissue.</w:t>
      </w:r>
      <w:r w:rsidR="001A6A7C">
        <w:t xml:space="preserve">  This is consistent with previous reports of high </w:t>
      </w:r>
      <w:commentRangeStart w:id="5"/>
      <w:r w:rsidR="001A6A7C">
        <w:t>protein feeding and mTORC1 activity.</w:t>
      </w:r>
      <w:commentRangeEnd w:id="5"/>
      <w:r w:rsidR="001A6A7C">
        <w:rPr>
          <w:rStyle w:val="CommentReference"/>
        </w:rPr>
        <w:commentReference w:id="5"/>
      </w:r>
    </w:p>
    <w:p w14:paraId="1413673A" w14:textId="77D76AA3" w:rsidR="007B624A" w:rsidRDefault="007B624A" w:rsidP="007B624A">
      <w:pPr>
        <w:pStyle w:val="Heading2"/>
      </w:pPr>
      <w:r>
        <w:t xml:space="preserve">Muscle Tsc1 Deletion </w:t>
      </w:r>
      <w:r w:rsidR="00D04DA3">
        <w:t>Elevates</w:t>
      </w:r>
      <w:r>
        <w:t xml:space="preserve"> Fasting Glycogen and Lipid Levels</w:t>
      </w:r>
    </w:p>
    <w:p w14:paraId="2C60DD49" w14:textId="071EEDE6"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D52992">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 "plainTextFormattedCitation" : "[3]", "previouslyFormattedCitation" : "[2]" }, "properties" : { "noteIndex" : 0 }, "schema" : "https://github.com/citation-style-language/schema/raw/master/csl-citation.json" }</w:instrText>
      </w:r>
      <w:r>
        <w:fldChar w:fldCharType="separate"/>
      </w:r>
      <w:r w:rsidR="00D52992" w:rsidRPr="00D52992">
        <w:rPr>
          <w:noProof/>
        </w:rPr>
        <w:t>[3]</w:t>
      </w:r>
      <w:r>
        <w:fldChar w:fldCharType="end"/>
      </w:r>
      <w:r>
        <w:t xml:space="preserve"> and the </w:t>
      </w:r>
      <w:r w:rsidRPr="00871236">
        <w:rPr>
          <w:i/>
        </w:rPr>
        <w:t>Ckmm-Cre</w:t>
      </w:r>
      <w:r>
        <w:t xml:space="preserve"> transgene (muscle creating kinase; </w:t>
      </w:r>
      <w:r>
        <w:fldChar w:fldCharType="begin" w:fldLock="1"/>
      </w:r>
      <w:r w:rsidR="00D52992">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"[4]", "plainTextFormattedCitation" : "[4]", "previouslyFormattedCitation" : "[3]" }, "properties" : { "noteIndex" : 0 }, "schema" : "https://github.com/citation-style-language/schema/raw/master/csl-citation.json" }</w:instrText>
      </w:r>
      <w:r>
        <w:fldChar w:fldCharType="separate"/>
      </w:r>
      <w:r w:rsidR="00D52992" w:rsidRPr="00D52992">
        <w:rPr>
          <w:noProof/>
        </w:rPr>
        <w:t>[4]</w:t>
      </w:r>
      <w:r>
        <w:fldChar w:fldCharType="end"/>
      </w:r>
      <w:r>
        <w:t>).  As shown in Figure 3A, we observed efficient knockout of TSC1 and TSC2 proteins, corresponding to an increase in mTORC1 activity in quadriceps lysates from these animals.</w:t>
      </w:r>
    </w:p>
    <w:p w14:paraId="470C2098" w14:textId="77777777" w:rsidR="00217BA9" w:rsidRDefault="00217BA9" w:rsidP="00D04DA3"/>
    <w:p w14:paraId="374B4B19" w14:textId="20D24517" w:rsidR="00217BA9" w:rsidRPr="00085075" w:rsidRDefault="00217BA9" w:rsidP="00D04DA3">
      <w:r>
        <w:t xml:space="preserve">We next evaluated the cell autonomous changes in muscle tissue associated with </w:t>
      </w:r>
      <w:r>
        <w:rPr>
          <w:i/>
        </w:rPr>
        <w:t>Tsc1</w:t>
      </w:r>
      <w:r>
        <w:t xml:space="preserve"> ablation.  We found that both fasting triglycerides and fasting glycogen levels were substantially elevated in </w:t>
      </w:r>
      <w:r>
        <w:rPr>
          <w:i/>
        </w:rPr>
        <w:t>Tsc1</w:t>
      </w:r>
      <w:r>
        <w:t xml:space="preserve"> knockout muscles</w:t>
      </w:r>
      <w:r w:rsidR="00085075">
        <w:t xml:space="preserve"> (Figures 3B-C)</w:t>
      </w:r>
      <w:r>
        <w:t xml:space="preserve">.  The increase in fasting glycogen was correlated with increases in both processed SREPB1c protein and PTG protein (Figure 3A).  This is consistent with our previous report of a mTORC1 -&gt; SREBP1c -&gt; PTG pathway that regulates fasting glycogen in the liver </w:t>
      </w:r>
      <w:r>
        <w:rPr>
          <w:i/>
        </w:rPr>
        <w:fldChar w:fldCharType="begin" w:fldLock="1"/>
      </w:r>
      <w:r w:rsidR="00D52992">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"[5]", "plainTextFormattedCitation" : "[5]", "previouslyFormattedCitation" : "[4]" }, "properties" : { "noteIndex" : 0 }, "schema" : "https://github.com/citation-style-language/schema/raw/master/csl-citation.json" }</w:instrText>
      </w:r>
      <w:r>
        <w:rPr>
          <w:i/>
        </w:rPr>
        <w:fldChar w:fldCharType="separate"/>
      </w:r>
      <w:r w:rsidR="00D52992" w:rsidRPr="00D52992">
        <w:rPr>
          <w:noProof/>
        </w:rPr>
        <w:t>[5]</w:t>
      </w:r>
      <w:r>
        <w:rPr>
          <w:i/>
        </w:rPr>
        <w:fldChar w:fldCharType="end"/>
      </w:r>
      <w:r>
        <w:t xml:space="preserve">.   </w:t>
      </w:r>
      <w:r w:rsidR="00085075">
        <w:t xml:space="preserve">To determine whether this increased muscle glycogen content correlates with improved muscle function in these animals we evaluated both grip strength (Figure 3D) and amount of cycles spent on a running wheel (Figure 3E).  This is consistent with previous reports of reduced muscle strength in </w:t>
      </w:r>
      <w:r w:rsidR="00085075">
        <w:rPr>
          <w:i/>
        </w:rPr>
        <w:t xml:space="preserve">Tsc1 </w:t>
      </w:r>
      <w:r w:rsidR="00085075">
        <w:t xml:space="preserve">knockout muscles </w:t>
      </w:r>
      <w:r w:rsidR="00085075">
        <w:fldChar w:fldCharType="begin" w:fldLock="1"/>
      </w:r>
      <w:r w:rsidR="00D52992">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"[6]", "plainTextFormattedCitation" : "[6]", "previouslyFormattedCitation" : "[5]" }, "properties" : { "noteIndex" : 0 }, "schema" : "https://github.com/citation-style-language/schema/raw/master/csl-citation.json" }</w:instrText>
      </w:r>
      <w:r w:rsidR="00085075">
        <w:fldChar w:fldCharType="separate"/>
      </w:r>
      <w:r w:rsidR="00D52992" w:rsidRPr="00D52992">
        <w:rPr>
          <w:noProof/>
        </w:rPr>
        <w:t>[6]</w:t>
      </w:r>
      <w:r w:rsidR="00085075">
        <w:fldChar w:fldCharType="end"/>
      </w:r>
      <w:r w:rsidR="00085075">
        <w:t>.</w:t>
      </w:r>
      <w:r w:rsidR="00205F41">
        <w:t xml:space="preserve">  Our findings support the hypothesis that while short-term contractile function is reduced, overall muscle fitness is improved, potentially related to increased nutrient storage in these muscles.</w:t>
      </w:r>
    </w:p>
    <w:p w14:paraId="79E79754" w14:textId="77777777" w:rsidR="00D04DA3" w:rsidRDefault="00D04DA3" w:rsidP="00D04DA3">
      <w:pPr>
        <w:pStyle w:val="Heading2"/>
      </w:pPr>
      <w:r>
        <w:t xml:space="preserve">Deletion of </w:t>
      </w:r>
      <w:r>
        <w:rPr>
          <w:i/>
        </w:rPr>
        <w:t>Tsc1</w:t>
      </w:r>
      <w:r>
        <w:t xml:space="preserve"> in Muscle Results in Reduced Fat Mass</w:t>
      </w:r>
    </w:p>
    <w:p w14:paraId="476BD5FD" w14:textId="465D6C53" w:rsidR="007B624A" w:rsidRPr="00205F41" w:rsidRDefault="00D04DA3" w:rsidP="00D04DA3">
      <w:r>
        <w:t xml:space="preserve">We followed the body weights and composition of the muscle </w:t>
      </w:r>
      <w:r>
        <w:rPr>
          <w:i/>
        </w:rPr>
        <w:t xml:space="preserve">Tsc1 </w:t>
      </w:r>
      <w:r>
        <w:t xml:space="preserve">knockout animals over the course of </w:t>
      </w:r>
      <w:commentRangeStart w:id="6"/>
      <w:r>
        <w:t xml:space="preserve">XX </w:t>
      </w:r>
      <w:commentRangeEnd w:id="6"/>
      <w:r w:rsidR="005008B3">
        <w:rPr>
          <w:rStyle w:val="CommentReference"/>
        </w:rPr>
        <w:commentReference w:id="6"/>
      </w:r>
      <w:r>
        <w:t>months.</w:t>
      </w:r>
      <w:r w:rsidR="005008B3">
        <w:t xml:space="preserve">  While we did not observe any reductions in lean mass, we did observe a striking lack of fat mass accumulation as these animals grew in size (Figures 4A-C).</w:t>
      </w:r>
      <w:r w:rsidR="00205F41">
        <w:t xml:space="preserve">  A previous study using a </w:t>
      </w:r>
      <w:r w:rsidR="00205F41">
        <w:rPr>
          <w:i/>
        </w:rPr>
        <w:t>HSA-Cre</w:t>
      </w:r>
      <w:r w:rsidR="00205F41">
        <w:t xml:space="preserve"> mediated knockout of </w:t>
      </w:r>
      <w:r w:rsidR="00205F41">
        <w:rPr>
          <w:i/>
        </w:rPr>
        <w:t xml:space="preserve">Tsc1 </w:t>
      </w:r>
      <w:r w:rsidR="00205F41">
        <w:t xml:space="preserve">observed dramatic reductions in both lean mass and fat mass </w:t>
      </w:r>
      <w:r w:rsidR="00205F41">
        <w:fldChar w:fldCharType="begin" w:fldLock="1"/>
      </w:r>
      <w:r w:rsidR="00D52992">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"[6]", "plainTextFormattedCitation" : "[6]", "previouslyFormattedCitation" : "[5]" }, "properties" : { "noteIndex" : 0 }, "schema" : "https://github.com/citation-style-language/schema/raw/master/csl-citation.json" }</w:instrText>
      </w:r>
      <w:r w:rsidR="00205F41">
        <w:fldChar w:fldCharType="separate"/>
      </w:r>
      <w:r w:rsidR="00D52992" w:rsidRPr="00D52992">
        <w:rPr>
          <w:noProof/>
        </w:rPr>
        <w:t>[6]</w:t>
      </w:r>
      <w:r w:rsidR="00205F41">
        <w:fldChar w:fldCharType="end"/>
      </w:r>
      <w:r w:rsidR="00205F41">
        <w:t>.</w:t>
      </w:r>
    </w:p>
    <w:p w14:paraId="61CA53C7" w14:textId="77777777" w:rsidR="00526B0E" w:rsidRDefault="00526B0E" w:rsidP="00526B0E">
      <w:pPr>
        <w:pStyle w:val="Heading2"/>
      </w:pPr>
      <w:r>
        <w:t>Activation of mTORC1 in Muscle Does Not Result in Insulin Resistance</w:t>
      </w:r>
    </w:p>
    <w:p w14:paraId="29FCD5C2" w14:textId="77777777" w:rsidR="00526B0E" w:rsidRPr="00526B0E" w:rsidRDefault="00526B0E" w:rsidP="00526B0E"/>
    <w:p w14:paraId="0EFD346A" w14:textId="77777777" w:rsidR="007B624A" w:rsidRDefault="007B624A" w:rsidP="007B624A">
      <w:pPr>
        <w:pStyle w:val="Heading2"/>
      </w:pPr>
      <w:r>
        <w:t>Ablation of Muscle Tsc1 Results in Increased Expression of Fatty Acid Uptake Genes</w:t>
      </w:r>
    </w:p>
    <w:p w14:paraId="22D07065" w14:textId="77777777" w:rsidR="007B624A" w:rsidRDefault="007B624A" w:rsidP="007B624A">
      <w:pPr>
        <w:pStyle w:val="Heading2"/>
      </w:pPr>
    </w:p>
    <w:p w14:paraId="61626DBA" w14:textId="77777777" w:rsidR="007B624A" w:rsidRDefault="007B624A" w:rsidP="007B624A">
      <w:pPr>
        <w:pStyle w:val="Heading1"/>
      </w:pPr>
      <w:r>
        <w:t>Discussion</w:t>
      </w:r>
    </w:p>
    <w:p w14:paraId="64B02768" w14:textId="3F5556FF" w:rsidR="00217BA9" w:rsidRDefault="00217BA9" w:rsidP="00217BA9">
      <w:pPr>
        <w:pStyle w:val="ListParagraph"/>
        <w:numPr>
          <w:ilvl w:val="0"/>
          <w:numId w:val="2"/>
        </w:numPr>
      </w:pPr>
      <w:r>
        <w:t>Athlete’s paradox</w:t>
      </w:r>
    </w:p>
    <w:p w14:paraId="136AFED0" w14:textId="0ABE2B30" w:rsidR="00931A46" w:rsidRDefault="00931A46" w:rsidP="00217BA9">
      <w:pPr>
        <w:pStyle w:val="ListParagraph"/>
        <w:numPr>
          <w:ilvl w:val="0"/>
          <w:numId w:val="2"/>
        </w:numPr>
      </w:pPr>
      <w:r>
        <w:t>Differences between KO models</w:t>
      </w:r>
    </w:p>
    <w:p w14:paraId="11E617FF" w14:textId="224B0B90" w:rsidR="00736644" w:rsidRPr="00217BA9" w:rsidRDefault="00736644" w:rsidP="00217BA9">
      <w:pPr>
        <w:pStyle w:val="ListParagraph"/>
        <w:numPr>
          <w:ilvl w:val="0"/>
          <w:numId w:val="2"/>
        </w:numPr>
      </w:pPr>
      <w:r>
        <w:t>Anabolic Signaling and Energy Expenditure</w:t>
      </w:r>
    </w:p>
    <w:p w14:paraId="18186392" w14:textId="77777777" w:rsidR="007B624A" w:rsidRDefault="007B624A" w:rsidP="007B624A">
      <w:pPr>
        <w:pStyle w:val="Heading1"/>
      </w:pPr>
      <w:r>
        <w:t>References</w:t>
      </w:r>
    </w:p>
    <w:p w14:paraId="3FDA31D6" w14:textId="66A6FE73" w:rsidR="00D52992" w:rsidRPr="00D52992" w:rsidRDefault="00871236">
      <w:pPr>
        <w:pStyle w:val="NormalWeb"/>
        <w:divId w:val="152109505"/>
        <w:rPr>
          <w:rFonts w:ascii="Cambria" w:hAnsi="Cambria"/>
          <w:noProof/>
          <w:sz w:val="24"/>
        </w:rPr>
      </w:pPr>
      <w:r>
        <w:fldChar w:fldCharType="begin" w:fldLock="1"/>
      </w:r>
      <w:r>
        <w:instrText xml:space="preserve">ADDIN Mendeley Bibliography CSL_BIBLIOGRAPHY </w:instrText>
      </w:r>
      <w:r>
        <w:fldChar w:fldCharType="separate"/>
      </w:r>
      <w:r w:rsidR="00D52992" w:rsidRPr="00D52992">
        <w:rPr>
          <w:rFonts w:ascii="Cambria" w:hAnsi="Cambria"/>
          <w:noProof/>
          <w:sz w:val="24"/>
        </w:rPr>
        <w:t xml:space="preserve">1. R Core Team: </w:t>
      </w:r>
      <w:r w:rsidR="00D52992" w:rsidRPr="00D52992">
        <w:rPr>
          <w:rFonts w:ascii="Cambria" w:hAnsi="Cambria"/>
          <w:b/>
          <w:bCs/>
          <w:noProof/>
          <w:sz w:val="24"/>
        </w:rPr>
        <w:t>R: A Language and Environment for Statistical Computing</w:t>
      </w:r>
      <w:r w:rsidR="00D52992" w:rsidRPr="00D52992">
        <w:rPr>
          <w:rFonts w:ascii="Cambria" w:hAnsi="Cambria"/>
          <w:noProof/>
          <w:sz w:val="24"/>
        </w:rPr>
        <w:t>. 2013.</w:t>
      </w:r>
    </w:p>
    <w:p w14:paraId="30B6B416" w14:textId="77777777" w:rsidR="00D52992" w:rsidRPr="00D52992" w:rsidRDefault="00D52992">
      <w:pPr>
        <w:pStyle w:val="NormalWeb"/>
        <w:divId w:val="152109505"/>
        <w:rPr>
          <w:rFonts w:ascii="Cambria" w:hAnsi="Cambria"/>
          <w:noProof/>
          <w:sz w:val="24"/>
        </w:rPr>
      </w:pPr>
      <w:r w:rsidRPr="00D52992">
        <w:rPr>
          <w:rFonts w:ascii="Cambria" w:hAnsi="Cambria"/>
          <w:noProof/>
          <w:sz w:val="24"/>
        </w:rPr>
        <w:t xml:space="preserve">2. Bates D, Mächler M, Bolker B, Walker S: </w:t>
      </w:r>
      <w:r w:rsidRPr="00D52992">
        <w:rPr>
          <w:rFonts w:ascii="Cambria" w:hAnsi="Cambria"/>
          <w:b/>
          <w:bCs/>
          <w:noProof/>
          <w:sz w:val="24"/>
        </w:rPr>
        <w:t>Fitting Linear Mixed-Effects Models using lme4</w:t>
      </w:r>
      <w:r w:rsidRPr="00D52992">
        <w:rPr>
          <w:rFonts w:ascii="Cambria" w:hAnsi="Cambria"/>
          <w:noProof/>
          <w:sz w:val="24"/>
        </w:rPr>
        <w:t xml:space="preserve">. </w:t>
      </w:r>
      <w:r w:rsidRPr="00D52992">
        <w:rPr>
          <w:rFonts w:ascii="Cambria" w:hAnsi="Cambria"/>
          <w:i/>
          <w:iCs/>
          <w:noProof/>
          <w:sz w:val="24"/>
        </w:rPr>
        <w:t>ArXiv</w:t>
      </w:r>
      <w:r w:rsidRPr="00D52992">
        <w:rPr>
          <w:rFonts w:ascii="Cambria" w:hAnsi="Cambria"/>
          <w:noProof/>
          <w:sz w:val="24"/>
        </w:rPr>
        <w:t xml:space="preserve"> 2014, </w:t>
      </w:r>
      <w:r w:rsidRPr="00D52992">
        <w:rPr>
          <w:rFonts w:ascii="Cambria" w:hAnsi="Cambria"/>
          <w:b/>
          <w:bCs/>
          <w:noProof/>
          <w:sz w:val="24"/>
        </w:rPr>
        <w:t>1406.5823</w:t>
      </w:r>
      <w:r w:rsidRPr="00D52992">
        <w:rPr>
          <w:rFonts w:ascii="Cambria" w:hAnsi="Cambria"/>
          <w:noProof/>
          <w:sz w:val="24"/>
        </w:rPr>
        <w:t>:1–51.</w:t>
      </w:r>
    </w:p>
    <w:p w14:paraId="6C27858F" w14:textId="77777777" w:rsidR="00D52992" w:rsidRPr="00D52992" w:rsidRDefault="00D52992">
      <w:pPr>
        <w:pStyle w:val="NormalWeb"/>
        <w:divId w:val="152109505"/>
        <w:rPr>
          <w:rFonts w:ascii="Cambria" w:hAnsi="Cambria"/>
          <w:noProof/>
          <w:sz w:val="24"/>
        </w:rPr>
      </w:pPr>
      <w:r w:rsidRPr="00D52992">
        <w:rPr>
          <w:rFonts w:ascii="Cambria" w:hAnsi="Cambria"/>
          <w:noProof/>
          <w:sz w:val="24"/>
        </w:rPr>
        <w:t xml:space="preserve">3. Kwiatkowski DJ, Zhang H, Bandura JL, Heiberger KM, Glogauer M, el-Hashemite N, Onda H: </w:t>
      </w:r>
      <w:r w:rsidRPr="00D52992">
        <w:rPr>
          <w:rFonts w:ascii="Cambria" w:hAnsi="Cambria"/>
          <w:b/>
          <w:bCs/>
          <w:noProof/>
          <w:sz w:val="24"/>
        </w:rPr>
        <w:t>A mouse model of TSC1 reveals sex-dependent lethality from liver hemangiomas, and up-regulation of p70S6 kinase activity in Tsc1 null cells.</w:t>
      </w:r>
      <w:r w:rsidRPr="00D52992">
        <w:rPr>
          <w:rFonts w:ascii="Cambria" w:hAnsi="Cambria"/>
          <w:noProof/>
          <w:sz w:val="24"/>
        </w:rPr>
        <w:t xml:space="preserve"> </w:t>
      </w:r>
      <w:r w:rsidRPr="00D52992">
        <w:rPr>
          <w:rFonts w:ascii="Cambria" w:hAnsi="Cambria"/>
          <w:i/>
          <w:iCs/>
          <w:noProof/>
          <w:sz w:val="24"/>
        </w:rPr>
        <w:t>Hum Mol Genet</w:t>
      </w:r>
      <w:r w:rsidRPr="00D52992">
        <w:rPr>
          <w:rFonts w:ascii="Cambria" w:hAnsi="Cambria"/>
          <w:noProof/>
          <w:sz w:val="24"/>
        </w:rPr>
        <w:t xml:space="preserve"> 2002, </w:t>
      </w:r>
      <w:r w:rsidRPr="00D52992">
        <w:rPr>
          <w:rFonts w:ascii="Cambria" w:hAnsi="Cambria"/>
          <w:b/>
          <w:bCs/>
          <w:noProof/>
          <w:sz w:val="24"/>
        </w:rPr>
        <w:t>11</w:t>
      </w:r>
      <w:r w:rsidRPr="00D52992">
        <w:rPr>
          <w:rFonts w:ascii="Cambria" w:hAnsi="Cambria"/>
          <w:noProof/>
          <w:sz w:val="24"/>
        </w:rPr>
        <w:t>:525–34.</w:t>
      </w:r>
    </w:p>
    <w:p w14:paraId="433BA96C" w14:textId="77777777" w:rsidR="00D52992" w:rsidRPr="00D52992" w:rsidRDefault="00D52992">
      <w:pPr>
        <w:pStyle w:val="NormalWeb"/>
        <w:divId w:val="152109505"/>
        <w:rPr>
          <w:rFonts w:ascii="Cambria" w:hAnsi="Cambria"/>
          <w:noProof/>
          <w:sz w:val="24"/>
        </w:rPr>
      </w:pPr>
      <w:r w:rsidRPr="00D52992">
        <w:rPr>
          <w:rFonts w:ascii="Cambria" w:hAnsi="Cambria"/>
          <w:noProof/>
          <w:sz w:val="24"/>
        </w:rPr>
        <w:t xml:space="preserve">4. Brüning JC, Michael MD, Winnay JN, Hayashi T, Hörsch D, Accili D, Goodyear LJ, Kahn CR: </w:t>
      </w:r>
      <w:r w:rsidRPr="00D52992">
        <w:rPr>
          <w:rFonts w:ascii="Cambria" w:hAnsi="Cambria"/>
          <w:b/>
          <w:bCs/>
          <w:noProof/>
          <w:sz w:val="24"/>
        </w:rPr>
        <w:t>A Muscle-Specific Insulin Receptor Knockout Exhibits Features of the Metabolic Syndrome of NIDDM without Altering Glucose Tolerance</w:t>
      </w:r>
      <w:r w:rsidRPr="00D52992">
        <w:rPr>
          <w:rFonts w:ascii="Cambria" w:hAnsi="Cambria"/>
          <w:noProof/>
          <w:sz w:val="24"/>
        </w:rPr>
        <w:t xml:space="preserve">. </w:t>
      </w:r>
      <w:r w:rsidRPr="00D52992">
        <w:rPr>
          <w:rFonts w:ascii="Cambria" w:hAnsi="Cambria"/>
          <w:i/>
          <w:iCs/>
          <w:noProof/>
          <w:sz w:val="24"/>
        </w:rPr>
        <w:t>Mol Cell</w:t>
      </w:r>
      <w:r w:rsidRPr="00D52992">
        <w:rPr>
          <w:rFonts w:ascii="Cambria" w:hAnsi="Cambria"/>
          <w:noProof/>
          <w:sz w:val="24"/>
        </w:rPr>
        <w:t xml:space="preserve"> 1998, </w:t>
      </w:r>
      <w:r w:rsidRPr="00D52992">
        <w:rPr>
          <w:rFonts w:ascii="Cambria" w:hAnsi="Cambria"/>
          <w:b/>
          <w:bCs/>
          <w:noProof/>
          <w:sz w:val="24"/>
        </w:rPr>
        <w:t>2</w:t>
      </w:r>
      <w:r w:rsidRPr="00D52992">
        <w:rPr>
          <w:rFonts w:ascii="Cambria" w:hAnsi="Cambria"/>
          <w:noProof/>
          <w:sz w:val="24"/>
        </w:rPr>
        <w:t>:559–569.</w:t>
      </w:r>
    </w:p>
    <w:p w14:paraId="62DF726B" w14:textId="77777777" w:rsidR="00D52992" w:rsidRPr="00D52992" w:rsidRDefault="00D52992">
      <w:pPr>
        <w:pStyle w:val="NormalWeb"/>
        <w:divId w:val="152109505"/>
        <w:rPr>
          <w:rFonts w:ascii="Cambria" w:hAnsi="Cambria"/>
          <w:noProof/>
          <w:sz w:val="24"/>
        </w:rPr>
      </w:pPr>
      <w:r w:rsidRPr="00D52992">
        <w:rPr>
          <w:rFonts w:ascii="Cambria" w:hAnsi="Cambria"/>
          <w:noProof/>
          <w:sz w:val="24"/>
        </w:rPr>
        <w:t xml:space="preserve">5. Lu B, Bridges D, Yang Y, Fisher K, Cheng A, Chang L, Meng ZZ-X, Lin JD, Downes M, Yu RT, Liddle C, Evans RM, Saltiel AR: </w:t>
      </w:r>
      <w:r w:rsidRPr="00D52992">
        <w:rPr>
          <w:rFonts w:ascii="Cambria" w:hAnsi="Cambria"/>
          <w:b/>
          <w:bCs/>
          <w:noProof/>
          <w:sz w:val="24"/>
        </w:rPr>
        <w:t>Metabolic crosstalk: molecular links between glycogen and lipid metabolism in obesity.</w:t>
      </w:r>
      <w:r w:rsidRPr="00D52992">
        <w:rPr>
          <w:rFonts w:ascii="Cambria" w:hAnsi="Cambria"/>
          <w:noProof/>
          <w:sz w:val="24"/>
        </w:rPr>
        <w:t xml:space="preserve"> </w:t>
      </w:r>
      <w:r w:rsidRPr="00D52992">
        <w:rPr>
          <w:rFonts w:ascii="Cambria" w:hAnsi="Cambria"/>
          <w:i/>
          <w:iCs/>
          <w:noProof/>
          <w:sz w:val="24"/>
        </w:rPr>
        <w:t>Diabetes</w:t>
      </w:r>
      <w:r w:rsidRPr="00D52992">
        <w:rPr>
          <w:rFonts w:ascii="Cambria" w:hAnsi="Cambria"/>
          <w:noProof/>
          <w:sz w:val="24"/>
        </w:rPr>
        <w:t xml:space="preserve"> 2014, </w:t>
      </w:r>
      <w:r w:rsidRPr="00D52992">
        <w:rPr>
          <w:rFonts w:ascii="Cambria" w:hAnsi="Cambria"/>
          <w:b/>
          <w:bCs/>
          <w:noProof/>
          <w:sz w:val="24"/>
        </w:rPr>
        <w:t>63</w:t>
      </w:r>
      <w:r w:rsidRPr="00D52992">
        <w:rPr>
          <w:rFonts w:ascii="Cambria" w:hAnsi="Cambria"/>
          <w:noProof/>
          <w:sz w:val="24"/>
        </w:rPr>
        <w:t>:2935–48.</w:t>
      </w:r>
    </w:p>
    <w:p w14:paraId="31355913" w14:textId="77777777" w:rsidR="00D52992" w:rsidRPr="00D52992" w:rsidRDefault="00D52992">
      <w:pPr>
        <w:pStyle w:val="NormalWeb"/>
        <w:divId w:val="152109505"/>
        <w:rPr>
          <w:rFonts w:ascii="Cambria" w:hAnsi="Cambria"/>
          <w:noProof/>
          <w:sz w:val="24"/>
        </w:rPr>
      </w:pPr>
      <w:r w:rsidRPr="00D52992">
        <w:rPr>
          <w:rFonts w:ascii="Cambria" w:hAnsi="Cambria"/>
          <w:noProof/>
          <w:sz w:val="24"/>
        </w:rPr>
        <w:t xml:space="preserve">6. Castets P, Lin S, Rion N, Di Fulvio S, Romanino K, Guridi M, Frank S, Tintignac LA a, Sinnreich M, Rüegg MA a, Di Fulvio S: </w:t>
      </w:r>
      <w:r w:rsidRPr="00D52992">
        <w:rPr>
          <w:rFonts w:ascii="Cambria" w:hAnsi="Cambria"/>
          <w:b/>
          <w:bCs/>
          <w:noProof/>
          <w:sz w:val="24"/>
        </w:rPr>
        <w:t>Sustained activation of mTORC1 in skeletal muscle inhibits constitutive and starvation-induced autophagy and causes a severe, late-onset myopathy.</w:t>
      </w:r>
      <w:r w:rsidRPr="00D52992">
        <w:rPr>
          <w:rFonts w:ascii="Cambria" w:hAnsi="Cambria"/>
          <w:noProof/>
          <w:sz w:val="24"/>
        </w:rPr>
        <w:t xml:space="preserve"> </w:t>
      </w:r>
      <w:r w:rsidRPr="00D52992">
        <w:rPr>
          <w:rFonts w:ascii="Cambria" w:hAnsi="Cambria"/>
          <w:i/>
          <w:iCs/>
          <w:noProof/>
          <w:sz w:val="24"/>
        </w:rPr>
        <w:t>Cell Metab</w:t>
      </w:r>
      <w:r w:rsidRPr="00D52992">
        <w:rPr>
          <w:rFonts w:ascii="Cambria" w:hAnsi="Cambria"/>
          <w:noProof/>
          <w:sz w:val="24"/>
        </w:rPr>
        <w:t xml:space="preserve"> 2013, </w:t>
      </w:r>
      <w:r w:rsidRPr="00D52992">
        <w:rPr>
          <w:rFonts w:ascii="Cambria" w:hAnsi="Cambria"/>
          <w:b/>
          <w:bCs/>
          <w:noProof/>
          <w:sz w:val="24"/>
        </w:rPr>
        <w:t>17</w:t>
      </w:r>
      <w:r w:rsidRPr="00D52992">
        <w:rPr>
          <w:rFonts w:ascii="Cambria" w:hAnsi="Cambria"/>
          <w:noProof/>
          <w:sz w:val="24"/>
        </w:rPr>
        <w:t xml:space="preserve">:731–44. </w:t>
      </w:r>
    </w:p>
    <w:p w14:paraId="22D37FF9" w14:textId="3601B3B9" w:rsidR="00871236" w:rsidRPr="00871236" w:rsidRDefault="00871236" w:rsidP="00D52992">
      <w:pPr>
        <w:pStyle w:val="NormalWeb"/>
        <w:divId w:val="1885409693"/>
      </w:pPr>
      <w:r>
        <w:fldChar w:fldCharType="end"/>
      </w:r>
    </w:p>
    <w:p w14:paraId="7AB09A33" w14:textId="77777777" w:rsidR="007B624A" w:rsidRDefault="007B624A" w:rsidP="007B624A">
      <w:pPr>
        <w:pStyle w:val="Heading1"/>
      </w:pPr>
      <w:r>
        <w:t>Tables</w:t>
      </w:r>
    </w:p>
    <w:p w14:paraId="409C59E6" w14:textId="77777777" w:rsidR="009B110D" w:rsidRDefault="009B110D" w:rsidP="009B110D"/>
    <w:p w14:paraId="49319F33" w14:textId="0FB54EC8" w:rsidR="009B110D" w:rsidRPr="009B110D" w:rsidRDefault="009B110D" w:rsidP="009B110D">
      <w:r>
        <w:t>Table 1: Composition of Control and High Protein Diets.</w:t>
      </w:r>
    </w:p>
    <w:p w14:paraId="64187F46" w14:textId="77777777" w:rsidR="007B624A" w:rsidRDefault="007B624A" w:rsidP="007B624A">
      <w:pPr>
        <w:pStyle w:val="Heading1"/>
      </w:pPr>
      <w:r>
        <w:t>Figure Legends</w:t>
      </w:r>
    </w:p>
    <w:p w14:paraId="20D3EB6D" w14:textId="77777777" w:rsidR="003E7617" w:rsidRDefault="003E7617" w:rsidP="003E7617"/>
    <w:p w14:paraId="27EFDFE2" w14:textId="65841043" w:rsidR="003E7617" w:rsidRPr="000711BE" w:rsidRDefault="003E7617" w:rsidP="003E7617">
      <w:r>
        <w:t>Figure 1: Effects of high protein diet on body composition and energy expenditure.</w:t>
      </w:r>
      <w:r w:rsidR="000711BE">
        <w:t xml:space="preserve">  Statistical significance is denoted 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p>
    <w:p w14:paraId="41AFEE05" w14:textId="77777777" w:rsidR="000711BE" w:rsidRDefault="000711BE" w:rsidP="003E7617"/>
    <w:p w14:paraId="7CFB6A2B" w14:textId="6C88563C" w:rsidR="003E7617" w:rsidRDefault="003E7617" w:rsidP="003E7617">
      <w:r>
        <w:t>Figure 2: Regulation of mTORC1 by amino acids and protein feeding</w:t>
      </w:r>
    </w:p>
    <w:p w14:paraId="67DA0AA0" w14:textId="0CC677A5" w:rsidR="005008B3" w:rsidRPr="005008B3" w:rsidRDefault="005008B3" w:rsidP="003E7617">
      <w:r>
        <w:t xml:space="preserve">Figure 3: Knockout of </w:t>
      </w:r>
      <w:r>
        <w:rPr>
          <w:i/>
        </w:rPr>
        <w:t>Tsc1</w:t>
      </w:r>
      <w:r>
        <w:t xml:space="preserve"> in muscle leads to increased fasted glycogen and triglyceride levels in quadriceps.</w:t>
      </w:r>
    </w:p>
    <w:sectPr w:rsidR="005008B3" w:rsidRPr="005008B3"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08T07:41:00Z" w:initials="DB">
    <w:p w14:paraId="77AA8E39" w14:textId="76413C2F" w:rsidR="000711BE" w:rsidRDefault="000711BE">
      <w:pPr>
        <w:pStyle w:val="CommentText"/>
      </w:pPr>
      <w:r>
        <w:rPr>
          <w:rStyle w:val="CommentReference"/>
        </w:rPr>
        <w:annotationRef/>
      </w:r>
      <w:r>
        <w:t>Stock number</w:t>
      </w:r>
    </w:p>
  </w:comment>
  <w:comment w:id="1" w:author="Dave Bridges" w:date="2015-09-08T07:41:00Z" w:initials="DB">
    <w:p w14:paraId="0B51BC07" w14:textId="07AFA070" w:rsidR="000711BE" w:rsidRDefault="000711BE">
      <w:pPr>
        <w:pStyle w:val="CommentText"/>
      </w:pPr>
      <w:r>
        <w:rPr>
          <w:rStyle w:val="CommentReference"/>
        </w:rPr>
        <w:annotationRef/>
      </w:r>
      <w:r>
        <w:t>Stock number</w:t>
      </w:r>
    </w:p>
  </w:comment>
  <w:comment w:id="2" w:author="Dave Bridges" w:date="2015-09-08T07:44:00Z" w:initials="DB">
    <w:p w14:paraId="1B8D7A93" w14:textId="673ED745" w:rsidR="000711BE" w:rsidRDefault="000711BE">
      <w:pPr>
        <w:pStyle w:val="CommentText"/>
      </w:pPr>
      <w:r>
        <w:rPr>
          <w:rStyle w:val="CommentReference"/>
        </w:rPr>
        <w:annotationRef/>
      </w:r>
      <w:r>
        <w:t>We should try to do histology of these fat pads, and quantify cell size and number.</w:t>
      </w:r>
    </w:p>
  </w:comment>
  <w:comment w:id="4" w:author="Dave Bridges" w:date="2015-08-03T07:35:00Z" w:initials="DB">
    <w:p w14:paraId="479448E9" w14:textId="7B89652E" w:rsidR="000711BE" w:rsidRDefault="000711BE">
      <w:pPr>
        <w:pStyle w:val="CommentText"/>
      </w:pPr>
      <w:r>
        <w:rPr>
          <w:rStyle w:val="CommentReference"/>
        </w:rPr>
        <w:annotationRef/>
      </w:r>
      <w:r>
        <w:t>Need to do</w:t>
      </w:r>
    </w:p>
  </w:comment>
  <w:comment w:id="5" w:author="Dave Bridges" w:date="2015-08-03T07:36:00Z" w:initials="DB">
    <w:p w14:paraId="09955FD2" w14:textId="6C5CCCD2" w:rsidR="000711BE" w:rsidRDefault="000711BE">
      <w:pPr>
        <w:pStyle w:val="CommentText"/>
      </w:pPr>
      <w:r>
        <w:rPr>
          <w:rStyle w:val="CommentReference"/>
        </w:rPr>
        <w:annotationRef/>
      </w:r>
      <w:r>
        <w:t>Find and add refs</w:t>
      </w:r>
    </w:p>
  </w:comment>
  <w:comment w:id="6" w:author="Dave Bridges" w:date="2015-08-03T08:05:00Z" w:initials="DB">
    <w:p w14:paraId="73DF81C3" w14:textId="0694CCD8" w:rsidR="000711BE" w:rsidRDefault="000711BE">
      <w:pPr>
        <w:pStyle w:val="CommentText"/>
      </w:pPr>
      <w:r>
        <w:rPr>
          <w:rStyle w:val="CommentReference"/>
        </w:rPr>
        <w:annotationRef/>
      </w:r>
      <w:r>
        <w:t>Get this data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711BE"/>
    <w:rsid w:val="00085075"/>
    <w:rsid w:val="00090C3D"/>
    <w:rsid w:val="000F13F0"/>
    <w:rsid w:val="0014290F"/>
    <w:rsid w:val="00190F17"/>
    <w:rsid w:val="001A6A7C"/>
    <w:rsid w:val="00205F41"/>
    <w:rsid w:val="00217BA9"/>
    <w:rsid w:val="00221DBF"/>
    <w:rsid w:val="00245445"/>
    <w:rsid w:val="002648CF"/>
    <w:rsid w:val="002B4B3F"/>
    <w:rsid w:val="0039667E"/>
    <w:rsid w:val="00396BD8"/>
    <w:rsid w:val="003E7617"/>
    <w:rsid w:val="003F6A53"/>
    <w:rsid w:val="00426050"/>
    <w:rsid w:val="005008B3"/>
    <w:rsid w:val="00526B0E"/>
    <w:rsid w:val="00531AD6"/>
    <w:rsid w:val="006E7ABB"/>
    <w:rsid w:val="006F51AF"/>
    <w:rsid w:val="00736644"/>
    <w:rsid w:val="007B624A"/>
    <w:rsid w:val="00802891"/>
    <w:rsid w:val="00823A14"/>
    <w:rsid w:val="00842DEC"/>
    <w:rsid w:val="00871236"/>
    <w:rsid w:val="00931A46"/>
    <w:rsid w:val="00972512"/>
    <w:rsid w:val="00996376"/>
    <w:rsid w:val="009B110D"/>
    <w:rsid w:val="00A34EF3"/>
    <w:rsid w:val="00AE30D5"/>
    <w:rsid w:val="00B3409A"/>
    <w:rsid w:val="00CB219E"/>
    <w:rsid w:val="00D04DA3"/>
    <w:rsid w:val="00D52992"/>
    <w:rsid w:val="00D8601B"/>
    <w:rsid w:val="00E32EF3"/>
    <w:rsid w:val="00E447C3"/>
    <w:rsid w:val="00F901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bridgeslab.github.io/TissueSpecificTscKnockou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4249</Words>
  <Characters>24220</Characters>
  <Application>Microsoft Macintosh Word</Application>
  <DocSecurity>0</DocSecurity>
  <Lines>201</Lines>
  <Paragraphs>56</Paragraphs>
  <ScaleCrop>false</ScaleCrop>
  <Company>UT-HSC</Company>
  <LinksUpToDate>false</LinksUpToDate>
  <CharactersWithSpaces>28413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23</cp:revision>
  <dcterms:created xsi:type="dcterms:W3CDTF">2015-07-01T15:40:00Z</dcterms:created>
  <dcterms:modified xsi:type="dcterms:W3CDTF">2015-09-08T13:16:00Z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