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75320" w14:textId="4163708D" w:rsidR="00245445" w:rsidRDefault="00245445" w:rsidP="007B624A">
      <w:pPr>
        <w:pStyle w:val="Heading1"/>
      </w:pPr>
      <w:r>
        <w:t xml:space="preserve">Muscle mTORC1 Activation Causes </w:t>
      </w:r>
      <w:r w:rsidR="000F13F0">
        <w:t>Reduced Fat Mass</w:t>
      </w:r>
    </w:p>
    <w:p w14:paraId="389F3CC2" w14:textId="77777777" w:rsidR="00E32EF3" w:rsidRDefault="00E32EF3" w:rsidP="00E32EF3"/>
    <w:p w14:paraId="4FEAA9A1" w14:textId="787A6671" w:rsidR="00E32EF3" w:rsidRPr="00E32EF3" w:rsidRDefault="00E32EF3" w:rsidP="00E32EF3">
      <w:r>
        <w:t xml:space="preserve">Dave Bridges, Erin Stephenson, Innocence Harvey, </w:t>
      </w:r>
      <w:proofErr w:type="spellStart"/>
      <w:r>
        <w:t>Binbin</w:t>
      </w:r>
      <w:proofErr w:type="spellEnd"/>
      <w:r>
        <w:t xml:space="preserve"> Lu, </w:t>
      </w:r>
      <w:proofErr w:type="spellStart"/>
      <w:r>
        <w:t>Kaleigh</w:t>
      </w:r>
      <w:proofErr w:type="spellEnd"/>
      <w:r>
        <w:t xml:space="preserve"> Fisher, Alan Cheng and Alan R. </w:t>
      </w:r>
      <w:proofErr w:type="spellStart"/>
      <w:r>
        <w:t>Saltiel</w:t>
      </w:r>
      <w:proofErr w:type="spellEnd"/>
    </w:p>
    <w:p w14:paraId="18FD25D7" w14:textId="77777777" w:rsidR="007B624A" w:rsidRDefault="007B624A" w:rsidP="007B624A">
      <w:pPr>
        <w:pStyle w:val="Heading1"/>
      </w:pPr>
      <w:r>
        <w:t>Abstract</w:t>
      </w:r>
    </w:p>
    <w:p w14:paraId="42A16D24" w14:textId="77777777" w:rsidR="007B624A" w:rsidRDefault="007B624A" w:rsidP="007B624A">
      <w:pPr>
        <w:pStyle w:val="Heading1"/>
      </w:pPr>
      <w:r>
        <w:t>Introduction</w:t>
      </w:r>
    </w:p>
    <w:p w14:paraId="45E4D538" w14:textId="77777777" w:rsidR="007B624A" w:rsidRDefault="007B624A" w:rsidP="007B624A">
      <w:pPr>
        <w:pStyle w:val="Heading1"/>
      </w:pPr>
      <w:r>
        <w:t>Methods and Materials</w:t>
      </w:r>
    </w:p>
    <w:p w14:paraId="3AB9FBBA" w14:textId="77777777" w:rsidR="009B110D" w:rsidRDefault="009B110D" w:rsidP="009B110D"/>
    <w:p w14:paraId="491E2678" w14:textId="1CADD910" w:rsidR="00802891" w:rsidRDefault="00802891" w:rsidP="00531AD6">
      <w:pPr>
        <w:pStyle w:val="Heading2"/>
      </w:pPr>
      <w:r>
        <w:t>Animal Husbandry</w:t>
      </w:r>
    </w:p>
    <w:p w14:paraId="0BFAF321" w14:textId="69D19AA5" w:rsidR="009B110D" w:rsidRDefault="009B110D" w:rsidP="00531AD6">
      <w:pPr>
        <w:pStyle w:val="Heading2"/>
      </w:pPr>
      <w:r>
        <w:t>Body Composition Analysis</w:t>
      </w:r>
    </w:p>
    <w:p w14:paraId="73DCF397" w14:textId="256C5D56" w:rsidR="00531AD6" w:rsidRDefault="00531AD6" w:rsidP="00531AD6">
      <w:pPr>
        <w:pStyle w:val="Heading2"/>
      </w:pPr>
      <w:r>
        <w:t xml:space="preserve">Histology of Adipose Tissue </w:t>
      </w:r>
    </w:p>
    <w:p w14:paraId="49457718" w14:textId="7D109A3A" w:rsidR="00531AD6" w:rsidRDefault="00531AD6" w:rsidP="00802891">
      <w:pPr>
        <w:pStyle w:val="Heading2"/>
      </w:pPr>
      <w:r>
        <w:t>Adipocyte Size Determination</w:t>
      </w:r>
    </w:p>
    <w:p w14:paraId="546CF03C" w14:textId="2232ABBC" w:rsidR="00802891" w:rsidRPr="00802891" w:rsidRDefault="00802891" w:rsidP="00802891">
      <w:pPr>
        <w:pStyle w:val="Heading2"/>
      </w:pPr>
      <w:r>
        <w:t>CLAMS</w:t>
      </w:r>
    </w:p>
    <w:p w14:paraId="08F6BF2B" w14:textId="00F99976" w:rsidR="00531AD6" w:rsidRPr="00531AD6" w:rsidRDefault="00531AD6" w:rsidP="00531AD6">
      <w:pPr>
        <w:pStyle w:val="Heading2"/>
      </w:pPr>
      <w:r>
        <w:t>Western Blotting</w:t>
      </w:r>
    </w:p>
    <w:p w14:paraId="76D4A8B2" w14:textId="77777777" w:rsidR="007B624A" w:rsidRDefault="007B624A" w:rsidP="007B624A">
      <w:pPr>
        <w:pStyle w:val="Heading1"/>
      </w:pPr>
      <w:r>
        <w:t>Results</w:t>
      </w:r>
    </w:p>
    <w:p w14:paraId="5758AF52" w14:textId="77777777" w:rsidR="007B624A" w:rsidRDefault="007B624A" w:rsidP="007B624A">
      <w:pPr>
        <w:pStyle w:val="Heading2"/>
      </w:pPr>
      <w:r>
        <w:t>High Protein Diet Feeding Results in Lean Mice With Increased Energy Expenditure</w:t>
      </w:r>
    </w:p>
    <w:p w14:paraId="004AC3F8" w14:textId="77777777" w:rsidR="007B624A" w:rsidRDefault="007B624A" w:rsidP="007B624A"/>
    <w:p w14:paraId="44FF0A16" w14:textId="642F00C8" w:rsidR="009B110D" w:rsidRDefault="009B110D" w:rsidP="007B624A">
      <w:r>
        <w:t xml:space="preserve">To test the effects of a high protein diet, we fed </w:t>
      </w:r>
      <w:proofErr w:type="gramStart"/>
      <w:r>
        <w:t>10 week old</w:t>
      </w:r>
      <w:proofErr w:type="gramEnd"/>
      <w:r>
        <w:t xml:space="preserve"> C57B/6J mice a diet containing either 10% protein or 40% protein (Table 1).  We observed a slight decrease in body weight in these animals (Figure 1A).   This was not due to a decrease in </w:t>
      </w:r>
      <w:r w:rsidR="002648CF">
        <w:t xml:space="preserve">lean mass (Figure 1B) but rather was due to reduced accumulation of fat mass (Figure 1C).  </w:t>
      </w:r>
    </w:p>
    <w:p w14:paraId="35AA5FEE" w14:textId="77777777" w:rsidR="002648CF" w:rsidRDefault="002648CF" w:rsidP="007B624A"/>
    <w:p w14:paraId="7A3DD1E5" w14:textId="693C12D8" w:rsidR="002648CF" w:rsidRDefault="002648CF" w:rsidP="007B624A">
      <w:r>
        <w:t xml:space="preserve">To determine whether this was due to reduction of specific fat pads, we dissected subcutaneous and </w:t>
      </w:r>
      <w:proofErr w:type="spellStart"/>
      <w:r>
        <w:t>epididymal</w:t>
      </w:r>
      <w:proofErr w:type="spellEnd"/>
      <w:r>
        <w:t xml:space="preserve"> fat pads from these animals and determined their weights.  As shown in Figure 1D both </w:t>
      </w:r>
      <w:r w:rsidR="003F6A53">
        <w:t xml:space="preserve">subcutaneous and </w:t>
      </w:r>
      <w:proofErr w:type="spellStart"/>
      <w:r w:rsidR="003F6A53">
        <w:t>epididymal</w:t>
      </w:r>
      <w:proofErr w:type="spellEnd"/>
      <w:r w:rsidR="003F6A53">
        <w:t xml:space="preserve"> fat pads were smaller from these animals.  We next evaluated </w:t>
      </w:r>
      <w:commentRangeStart w:id="0"/>
      <w:r w:rsidR="003F6A53">
        <w:t>adipose tissue sections,</w:t>
      </w:r>
      <w:commentRangeEnd w:id="0"/>
      <w:r w:rsidR="00526B0E">
        <w:rPr>
          <w:rStyle w:val="CommentReference"/>
        </w:rPr>
        <w:commentReference w:id="0"/>
      </w:r>
      <w:r w:rsidR="003F6A53">
        <w:t xml:space="preserve"> and observed smaller adipocytes from both depots when animals were fed a high </w:t>
      </w:r>
      <w:r w:rsidR="003F6A53">
        <w:lastRenderedPageBreak/>
        <w:t>protein diet (Figure 1E).</w:t>
      </w:r>
      <w:r w:rsidR="00531AD6">
        <w:t xml:space="preserve">  Together these data suggest that feeding animals a diet that is higher in protein causes less adiposity than feeding animals a diet higher in carbohydrates.</w:t>
      </w:r>
    </w:p>
    <w:p w14:paraId="0EF8F0FF" w14:textId="77777777" w:rsidR="00802891" w:rsidRDefault="00802891" w:rsidP="007B624A"/>
    <w:p w14:paraId="7F42220D" w14:textId="19953856" w:rsidR="00802891" w:rsidRDefault="00802891" w:rsidP="007B624A">
      <w:r>
        <w:t xml:space="preserve">In order to identify changes in energy balance in these animals, we monitored food intake of HPD and CD-fed animals throughout the study.  </w:t>
      </w:r>
      <w:proofErr w:type="gramStart"/>
      <w:r>
        <w:t xml:space="preserve">As shown in Figure 1F </w:t>
      </w:r>
      <w:commentRangeStart w:id="1"/>
      <w:r>
        <w:t>XXXX</w:t>
      </w:r>
      <w:commentRangeEnd w:id="1"/>
      <w:r>
        <w:rPr>
          <w:rStyle w:val="CommentReference"/>
        </w:rPr>
        <w:commentReference w:id="1"/>
      </w:r>
      <w:r>
        <w:t>.</w:t>
      </w:r>
      <w:proofErr w:type="gramEnd"/>
      <w:r>
        <w:t xml:space="preserve">  We also evaluated energy expenditure and substrate preference</w:t>
      </w:r>
      <w:r w:rsidR="000F13F0">
        <w:t xml:space="preserve"> in these animals.  As shown in Figure 1G </w:t>
      </w:r>
      <w:commentRangeStart w:id="2"/>
      <w:r w:rsidR="000F13F0">
        <w:t>XXXX</w:t>
      </w:r>
      <w:commentRangeEnd w:id="2"/>
      <w:r w:rsidR="000F13F0">
        <w:rPr>
          <w:rStyle w:val="CommentReference"/>
        </w:rPr>
        <w:commentReference w:id="2"/>
      </w:r>
    </w:p>
    <w:p w14:paraId="2E0AA3D6" w14:textId="77777777" w:rsidR="00531AD6" w:rsidRDefault="00531AD6" w:rsidP="007B624A"/>
    <w:p w14:paraId="279385EE" w14:textId="77777777" w:rsidR="00531AD6" w:rsidRDefault="00531AD6" w:rsidP="007B624A"/>
    <w:p w14:paraId="6185D1DA" w14:textId="65D08297" w:rsidR="00531AD6" w:rsidRDefault="00531AD6" w:rsidP="00531AD6">
      <w:pPr>
        <w:pStyle w:val="Heading2"/>
      </w:pPr>
      <w:r>
        <w:t>High Protein Diet Feeding Results in mTORC1 Activation</w:t>
      </w:r>
    </w:p>
    <w:p w14:paraId="40ABDAF6" w14:textId="0F0C5F1B" w:rsidR="00531AD6" w:rsidRDefault="00531AD6" w:rsidP="007B624A">
      <w:r>
        <w:t xml:space="preserve">Since mTORC1 is a major regulator of metabolism and is activated by elevated amino acids, we next evaluated whether mTORC1 activity is increased in animals fed a high protein diet.  To avoid the confounding effects of acute </w:t>
      </w:r>
      <w:r w:rsidR="00802891">
        <w:t>protein feeding</w:t>
      </w:r>
      <w:r>
        <w:t>, animals</w:t>
      </w:r>
      <w:r w:rsidR="000F13F0">
        <w:t xml:space="preserve"> were starved for 16h prior to </w:t>
      </w:r>
      <w:r w:rsidR="00802891">
        <w:t>sacrifice.   We blotted lysates from quadriceps for the mTORC1 target S6K and found increased phosphorylation of S6K, indicating increased mTORC1 activity in muscle tissue.</w:t>
      </w:r>
    </w:p>
    <w:p w14:paraId="4F4CB924" w14:textId="66C6E5D6" w:rsidR="007B624A" w:rsidRDefault="007B624A" w:rsidP="007B624A">
      <w:pPr>
        <w:pStyle w:val="Heading2"/>
      </w:pPr>
      <w:r>
        <w:t xml:space="preserve">Deletion of </w:t>
      </w:r>
      <w:r>
        <w:rPr>
          <w:i/>
        </w:rPr>
        <w:t>Tsc1</w:t>
      </w:r>
      <w:r>
        <w:t xml:space="preserve"> in Muscle Results </w:t>
      </w:r>
      <w:r w:rsidR="00E447C3">
        <w:t>in Reduced Fat Mass</w:t>
      </w:r>
    </w:p>
    <w:p w14:paraId="4D676ED3" w14:textId="77777777" w:rsidR="007B624A" w:rsidRDefault="007B624A" w:rsidP="007B624A">
      <w:pPr>
        <w:pStyle w:val="Heading2"/>
      </w:pPr>
      <w:bookmarkStart w:id="3" w:name="_GoBack"/>
      <w:bookmarkEnd w:id="3"/>
    </w:p>
    <w:p w14:paraId="1413673A" w14:textId="77777777" w:rsidR="007B624A" w:rsidRDefault="007B624A" w:rsidP="007B624A">
      <w:pPr>
        <w:pStyle w:val="Heading2"/>
      </w:pPr>
      <w:r>
        <w:t>Muscle Tsc1 Deletion Promotes Fasting Glycogen and Lipid Levels</w:t>
      </w:r>
    </w:p>
    <w:p w14:paraId="476BD5FD" w14:textId="77777777" w:rsidR="007B624A" w:rsidRDefault="007B624A" w:rsidP="007B624A">
      <w:pPr>
        <w:pStyle w:val="Heading2"/>
      </w:pPr>
    </w:p>
    <w:p w14:paraId="61CA53C7" w14:textId="77777777" w:rsidR="00526B0E" w:rsidRDefault="00526B0E" w:rsidP="00526B0E">
      <w:pPr>
        <w:pStyle w:val="Heading2"/>
      </w:pPr>
      <w:r>
        <w:t>Activation of mTORC1 in Muscle Does Not Result in Insulin Resistance</w:t>
      </w:r>
    </w:p>
    <w:p w14:paraId="29FCD5C2" w14:textId="77777777" w:rsidR="00526B0E" w:rsidRPr="00526B0E" w:rsidRDefault="00526B0E" w:rsidP="00526B0E"/>
    <w:p w14:paraId="0EFD346A" w14:textId="77777777" w:rsidR="007B624A" w:rsidRDefault="007B624A" w:rsidP="007B624A">
      <w:pPr>
        <w:pStyle w:val="Heading2"/>
      </w:pPr>
      <w:r>
        <w:t>Ablation of Muscle Tsc1 Results in Increased Expression of Fatty Acid Uptake Genes</w:t>
      </w:r>
    </w:p>
    <w:p w14:paraId="22D07065" w14:textId="77777777" w:rsidR="007B624A" w:rsidRDefault="007B624A" w:rsidP="007B624A">
      <w:pPr>
        <w:pStyle w:val="Heading2"/>
      </w:pPr>
    </w:p>
    <w:p w14:paraId="61626DBA" w14:textId="77777777" w:rsidR="007B624A" w:rsidRDefault="007B624A" w:rsidP="007B624A">
      <w:pPr>
        <w:pStyle w:val="Heading1"/>
      </w:pPr>
      <w:r>
        <w:t>Discussion</w:t>
      </w:r>
    </w:p>
    <w:p w14:paraId="18186392" w14:textId="77777777" w:rsidR="007B624A" w:rsidRDefault="007B624A" w:rsidP="007B624A">
      <w:pPr>
        <w:pStyle w:val="Heading1"/>
      </w:pPr>
      <w:r>
        <w:t>References</w:t>
      </w:r>
    </w:p>
    <w:p w14:paraId="7AB09A33" w14:textId="77777777" w:rsidR="007B624A" w:rsidRDefault="007B624A" w:rsidP="007B624A">
      <w:pPr>
        <w:pStyle w:val="Heading1"/>
      </w:pPr>
      <w:r>
        <w:t>Tables</w:t>
      </w:r>
    </w:p>
    <w:p w14:paraId="409C59E6" w14:textId="77777777" w:rsidR="009B110D" w:rsidRDefault="009B110D" w:rsidP="009B110D"/>
    <w:p w14:paraId="49319F33" w14:textId="0FB54EC8" w:rsidR="009B110D" w:rsidRPr="009B110D" w:rsidRDefault="009B110D" w:rsidP="009B110D">
      <w:r>
        <w:t>Table 1: Composition of Control and High Protein Diets.</w:t>
      </w:r>
    </w:p>
    <w:p w14:paraId="64187F46" w14:textId="77777777" w:rsidR="007B624A" w:rsidRPr="007B624A" w:rsidRDefault="007B624A" w:rsidP="007B624A">
      <w:pPr>
        <w:pStyle w:val="Heading1"/>
      </w:pPr>
      <w:r>
        <w:t>Figure Legends</w:t>
      </w:r>
    </w:p>
    <w:sectPr w:rsidR="007B624A" w:rsidRPr="007B624A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e Bridges" w:date="2015-07-01T12:21:00Z" w:initials="DB">
    <w:p w14:paraId="4C01FD3F" w14:textId="0E6A6C43" w:rsidR="00842DEC" w:rsidRDefault="00842DEC">
      <w:pPr>
        <w:pStyle w:val="CommentText"/>
      </w:pPr>
      <w:r>
        <w:rPr>
          <w:rStyle w:val="CommentReference"/>
        </w:rPr>
        <w:annotationRef/>
      </w:r>
      <w:r>
        <w:t>Where are these?</w:t>
      </w:r>
    </w:p>
  </w:comment>
  <w:comment w:id="1" w:author="Dave Bridges" w:date="2015-07-01T11:41:00Z" w:initials="DB">
    <w:p w14:paraId="6686787C" w14:textId="13EDB70C" w:rsidR="00842DEC" w:rsidRDefault="00842DEC">
      <w:pPr>
        <w:pStyle w:val="CommentText"/>
      </w:pPr>
      <w:r>
        <w:rPr>
          <w:rStyle w:val="CommentReference"/>
        </w:rPr>
        <w:annotationRef/>
      </w:r>
      <w:r>
        <w:t>Check food intake</w:t>
      </w:r>
    </w:p>
  </w:comment>
  <w:comment w:id="2" w:author="Dave Bridges" w:date="2015-07-01T11:45:00Z" w:initials="DB">
    <w:p w14:paraId="0C9EFDEF" w14:textId="485A3792" w:rsidR="00842DEC" w:rsidRDefault="00842DEC">
      <w:pPr>
        <w:pStyle w:val="CommentText"/>
      </w:pPr>
      <w:r>
        <w:rPr>
          <w:rStyle w:val="CommentReference"/>
        </w:rPr>
        <w:annotationRef/>
      </w:r>
      <w:proofErr w:type="spellStart"/>
      <w:r>
        <w:t>Analyse</w:t>
      </w:r>
      <w:proofErr w:type="spellEnd"/>
      <w:r>
        <w:t xml:space="preserve"> CLAMS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3F"/>
    <w:rsid w:val="000F13F0"/>
    <w:rsid w:val="0014290F"/>
    <w:rsid w:val="00245445"/>
    <w:rsid w:val="002648CF"/>
    <w:rsid w:val="002B4B3F"/>
    <w:rsid w:val="003F6A53"/>
    <w:rsid w:val="00526B0E"/>
    <w:rsid w:val="00531AD6"/>
    <w:rsid w:val="007B624A"/>
    <w:rsid w:val="00802891"/>
    <w:rsid w:val="00842DEC"/>
    <w:rsid w:val="009B110D"/>
    <w:rsid w:val="00A34EF3"/>
    <w:rsid w:val="00E32EF3"/>
    <w:rsid w:val="00E447C3"/>
    <w:rsid w:val="00F9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E3C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2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028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2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028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372</Words>
  <Characters>2125</Characters>
  <Application>Microsoft Macintosh Word</Application>
  <DocSecurity>0</DocSecurity>
  <Lines>17</Lines>
  <Paragraphs>4</Paragraphs>
  <ScaleCrop>false</ScaleCrop>
  <Company>UT-HSC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8</cp:revision>
  <dcterms:created xsi:type="dcterms:W3CDTF">2015-07-01T15:40:00Z</dcterms:created>
  <dcterms:modified xsi:type="dcterms:W3CDTF">2015-07-01T23:11:00Z</dcterms:modified>
</cp:coreProperties>
</file>