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0038CF16" w:rsidR="00E32EF3" w:rsidRPr="00E32EF3" w:rsidRDefault="00E32EF3" w:rsidP="00E32EF3">
      <w:r>
        <w:t xml:space="preserve">Dave Bridges,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D863F7">
        <w:t>Jyothi</w:t>
      </w:r>
      <w:proofErr w:type="spellEnd"/>
      <w:r w:rsidR="00D863F7">
        <w:t xml:space="preserve"> </w:t>
      </w:r>
      <w:proofErr w:type="spellStart"/>
      <w:r w:rsidR="00D863F7">
        <w:t>Parvathareddy</w:t>
      </w:r>
      <w:proofErr w:type="spellEnd"/>
      <w:r w:rsidR="00D863F7">
        <w:t xml:space="preserve">, </w:t>
      </w:r>
      <w:proofErr w:type="spellStart"/>
      <w:r w:rsidR="0050751B">
        <w:t>Quynh</w:t>
      </w:r>
      <w:proofErr w:type="spellEnd"/>
      <w:r w:rsidR="0050751B">
        <w:t xml:space="preserve"> </w:t>
      </w:r>
      <w:r w:rsidR="001037A6">
        <w:t xml:space="preserve">T. </w:t>
      </w:r>
      <w:r w:rsidR="0050751B">
        <w:t xml:space="preserve">Tran, </w:t>
      </w:r>
      <w:r w:rsidR="00D863F7">
        <w:t xml:space="preserve">Joan C. Han,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31917AB9" w:rsidR="009D1EBE"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79DAA4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proofErr w:type="spellStart"/>
      <w:r w:rsidR="00403E87" w:rsidRPr="00403E87">
        <w:rPr>
          <w:i/>
        </w:rPr>
        <w:t>Rptor</w:t>
      </w:r>
      <w:proofErr w:type="spellEnd"/>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403E87">
        <w:fldChar w:fldCharType="separate"/>
      </w:r>
      <w:r w:rsidR="00CE7E88" w:rsidRPr="00CE7E88">
        <w:rPr>
          <w:noProof/>
        </w:rPr>
        <w:t>[20, 21]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0402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"[22\u201324]", "plainTextFormattedCitation" : "[22\u201324]", "previouslyFormattedCitation" : "[22\u201324]" }, "properties" : { "noteIndex" : 0 }, "schema" : "https://github.com/citation-style-language/schema/raw/master/csl-citation.json" }</w:instrText>
      </w:r>
      <w:r w:rsidR="00AC73D9">
        <w:fldChar w:fldCharType="separate"/>
      </w:r>
      <w:r w:rsidR="00CE7E88" w:rsidRPr="00CE7E88">
        <w:rPr>
          <w:noProof/>
        </w:rPr>
        <w:t>[22–24]</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80402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"[25, 26]", "plainTextFormattedCitation" : "[25, 26]", "previouslyFormattedCitation" : "[25, 26]" }, "properties" : { "noteIndex" : 0 }, "schema" : "https://github.com/citation-style-language/schema/raw/master/csl-citation.json" }</w:instrText>
      </w:r>
      <w:r w:rsidR="009010AA">
        <w:fldChar w:fldCharType="separate"/>
      </w:r>
      <w:r w:rsidR="00CE7E88" w:rsidRPr="00CE7E88">
        <w:rPr>
          <w:noProof/>
        </w:rPr>
        <w:t>[25, 26]</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 xml:space="preserve">Harlan </w:t>
      </w:r>
      <w:proofErr w:type="spellStart"/>
      <w:r w:rsidR="00B80ABE">
        <w:t>Teklad</w:t>
      </w:r>
      <w:commentRangeEnd w:id="0"/>
      <w:proofErr w:type="spellEnd"/>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xml:space="preserve">), wild type </w:t>
      </w:r>
      <w:proofErr w:type="gramStart"/>
      <w:r>
        <w:rPr>
          <w:bCs/>
        </w:rPr>
        <w:t>mice(</w:t>
      </w:r>
      <w:proofErr w:type="gramEnd"/>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xml:space="preserve">)or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w:t>
      </w:r>
      <w:proofErr w:type="spellStart"/>
      <w:r w:rsidR="00002EA6">
        <w:rPr>
          <w:bCs/>
        </w:rPr>
        <w:t>isoflurane</w:t>
      </w:r>
      <w:proofErr w:type="spellEnd"/>
      <w:r w:rsidR="00002EA6">
        <w:rPr>
          <w:bCs/>
        </w:rPr>
        <w:t xml:space="preserv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75D446E"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0402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"[27]", "plainTextFormattedCitation" : "[27]", "previouslyFormattedCitation" : "[27]" }, "properties" : { "noteIndex" : 0 }, "schema" : "https://github.com/citation-style-language/schema/raw/master/csl-citation.json" }</w:instrText>
      </w:r>
      <w:r w:rsidR="002A7B4B">
        <w:fldChar w:fldCharType="separate"/>
      </w:r>
      <w:r w:rsidR="00CE7E88" w:rsidRPr="00CE7E88">
        <w:rPr>
          <w:noProof/>
        </w:rPr>
        <w:t>[27]</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w:t>
      </w:r>
      <w:proofErr w:type="spellStart"/>
      <w:r>
        <w:t>rapamycin</w:t>
      </w:r>
      <w:proofErr w:type="spellEnd"/>
      <w:r>
        <w:t xml:space="preserve"> treatment, animals were injected with 3 mg/kg of </w:t>
      </w:r>
      <w:proofErr w:type="spellStart"/>
      <w:r>
        <w:t>rapamycin</w:t>
      </w:r>
      <w:proofErr w:type="spellEnd"/>
      <w:r>
        <w:t xml:space="preserve">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01B056BA" w14:textId="2D6CB591" w:rsidR="0045067A" w:rsidRDefault="0045067A" w:rsidP="0045067A">
      <w:pPr>
        <w:pStyle w:val="Heading2"/>
      </w:pPr>
      <w:r>
        <w:t>Western Blotting</w:t>
      </w:r>
    </w:p>
    <w:p w14:paraId="64FBDD7B" w14:textId="46986E23" w:rsidR="0045067A" w:rsidRDefault="0045067A" w:rsidP="0052183D">
      <w:r>
        <w:t>Protein lysates were generated in RIPA buffer</w:t>
      </w:r>
      <w:r w:rsidR="00C50D02">
        <w:t xml:space="preserve"> (50 </w:t>
      </w:r>
      <w:proofErr w:type="spellStart"/>
      <w:r w:rsidR="00C50D02">
        <w:t>mM</w:t>
      </w:r>
      <w:proofErr w:type="spellEnd"/>
      <w:r w:rsidR="00C50D02">
        <w:t xml:space="preserve"> </w:t>
      </w:r>
      <w:proofErr w:type="spellStart"/>
      <w:r w:rsidR="00C50D02">
        <w:t>Tris</w:t>
      </w:r>
      <w:proofErr w:type="spellEnd"/>
      <w:r w:rsidR="00C50D02">
        <w:t xml:space="preserve"> pH 7.4, 0.25% sodium </w:t>
      </w:r>
      <w:proofErr w:type="spellStart"/>
      <w:r w:rsidR="00C50D02">
        <w:t>deoxycholate</w:t>
      </w:r>
      <w:proofErr w:type="spellEnd"/>
      <w:r w:rsidR="00C50D02">
        <w:t xml:space="preserv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A7E83">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30, 31]", "plainTextFormattedCitation" : "[11, 30, 31]", "previouslyFormattedCitation" : "[11, 30, 31]" }, "properties" : { "noteIndex" : 0 }, "schema" : "https://github.com/citation-style-language/schema/raw/master/csl-citation.json" }</w:instrText>
      </w:r>
      <w:r w:rsidR="001A7E83">
        <w:fldChar w:fldCharType="separate"/>
      </w:r>
      <w:r w:rsidR="001A7E83" w:rsidRPr="001A7E83">
        <w:rPr>
          <w:noProof/>
        </w:rPr>
        <w:t>[11, 30, 31]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80BD7">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 xml:space="preserve">on a </w:t>
      </w:r>
      <w:proofErr w:type="spellStart"/>
      <w:r w:rsidR="002D65EF">
        <w:t>LiCor</w:t>
      </w:r>
      <w:proofErr w:type="spellEnd"/>
      <w:r w:rsidR="002D65EF">
        <w:t xml:space="preserve">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25428308" w14:textId="03A99F67" w:rsidR="00AE30D5" w:rsidRDefault="00AE30D5" w:rsidP="00AE30D5">
      <w:pPr>
        <w:pStyle w:val="Heading2"/>
      </w:pPr>
      <w:r>
        <w:t>Statistical Analyses</w:t>
      </w:r>
    </w:p>
    <w:p w14:paraId="08382C47" w14:textId="1AF5DED4" w:rsidR="00396BD8" w:rsidRPr="00396BD8" w:rsidRDefault="00D52992" w:rsidP="00396BD8">
      <w:r>
        <w:t>All statistical ana</w:t>
      </w:r>
      <w:r w:rsidR="00AC53AD">
        <w:t>lyses were performed using the R</w:t>
      </w:r>
      <w:r>
        <w:t xml:space="preserve">, version 3.2.2 </w:t>
      </w:r>
      <w:r>
        <w:fldChar w:fldCharType="begin" w:fldLock="1"/>
      </w:r>
      <w:r w:rsidR="001A7E83">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"[32]" }, "properties" : { "noteIndex" : 0 }, "schema" : "https://github.com/citation-style-language/schema/raw/master/csl-citation.json" }</w:instrText>
      </w:r>
      <w:r>
        <w:fldChar w:fldCharType="separate"/>
      </w:r>
      <w:r w:rsidR="001A7E83" w:rsidRPr="001A7E83">
        <w:rPr>
          <w:noProof/>
        </w:rPr>
        <w:t>[32]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1A7E83">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"[33]", "plainTextFormattedCitation" : "[33]", "previouslyFormattedCitation" : "[33]" }, "properties" : { "noteIndex" : 0 }, "schema" : "https://github.com/citation-style-language/schema/raw/master/csl-citation.json" }</w:instrText>
      </w:r>
      <w:r>
        <w:fldChar w:fldCharType="separate"/>
      </w:r>
      <w:r w:rsidR="001A7E83" w:rsidRPr="001A7E83">
        <w:rPr>
          <w:noProof/>
        </w:rPr>
        <w:t>[33]</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1A7E83">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"[34]", "plainTextFormattedCitation" : "[34]", "previouslyFormattedCitation" : "[34]" }, "properties" : { "noteIndex" : 0 }, "schema" : "https://github.com/citation-style-language/schema/raw/master/csl-citation.json" }</w:instrText>
      </w:r>
      <w:r w:rsidR="00D05FF7">
        <w:fldChar w:fldCharType="separate"/>
      </w:r>
      <w:r w:rsidR="001A7E83" w:rsidRPr="001A7E83">
        <w:rPr>
          <w:noProof/>
        </w:rPr>
        <w:t>[34]</w:t>
      </w:r>
      <w:r w:rsidR="00D05FF7">
        <w:fldChar w:fldCharType="end"/>
      </w:r>
      <w:r w:rsidR="00D05FF7">
        <w:t xml:space="preserve">.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572E7657" w:rsidR="007B624A" w:rsidRDefault="007B624A" w:rsidP="007B624A">
      <w:pPr>
        <w:pStyle w:val="Heading2"/>
      </w:pPr>
      <w:r>
        <w:t xml:space="preserve">High Protein Diet Feeding Results in </w:t>
      </w:r>
      <w:r w:rsidR="00730779">
        <w:t>Mice with Reduced Adiposity</w:t>
      </w:r>
    </w:p>
    <w:p w14:paraId="44FF0A16" w14:textId="4C3DFC97" w:rsidR="009B110D" w:rsidRDefault="009B110D" w:rsidP="007B624A">
      <w:r>
        <w:t>To test the effects of</w:t>
      </w:r>
      <w:r w:rsidR="00972512">
        <w:t xml:space="preserve"> a high protein diet, we fed 10-</w:t>
      </w:r>
      <w:r>
        <w:t>week old C57B/6J</w:t>
      </w:r>
      <w:r w:rsidR="00F1021D">
        <w:t xml:space="preserve"> mice a diet containing either 2</w:t>
      </w:r>
      <w:r>
        <w:t xml:space="preserve">0% protein or 40% protein (Table 1).  We observed a </w:t>
      </w:r>
      <w:r w:rsidR="00823A14">
        <w:t>modest</w:t>
      </w:r>
      <w:r>
        <w:t xml:space="preserve"> decrease in body weight in these animals (</w:t>
      </w:r>
      <w:r w:rsidR="00706C80">
        <w:t>22</w:t>
      </w:r>
      <w:r w:rsidR="00090C3D">
        <w:t xml:space="preserve">% reduction, </w:t>
      </w:r>
      <w:r w:rsidR="000711BE">
        <w:t>p=0.0</w:t>
      </w:r>
      <w:r w:rsidR="00706C80">
        <w:t>18</w:t>
      </w:r>
      <w:r w:rsidR="00823A14">
        <w:t xml:space="preserve">, </w:t>
      </w:r>
      <w:r>
        <w:t xml:space="preserve">Figure 1A).   This was not due to a decrease in </w:t>
      </w:r>
      <w:r w:rsidR="002648CF">
        <w:t>lean mass (Figure 1B) but rather was due to reduced accumul</w:t>
      </w:r>
      <w:r w:rsidR="00AE30D5">
        <w:t>ation of fat mass (</w:t>
      </w:r>
      <w:r w:rsidR="00706C80">
        <w:t>42</w:t>
      </w:r>
      <w:r w:rsidR="00090C3D">
        <w:t xml:space="preserve">% reduction, </w:t>
      </w:r>
      <w:r w:rsidR="00823A14">
        <w:t>p=0.0</w:t>
      </w:r>
      <w:r w:rsidR="00706C80">
        <w:t>20,</w:t>
      </w:r>
      <w:r w:rsidR="00823A14">
        <w:t xml:space="preserve"> </w:t>
      </w:r>
      <w:r w:rsidR="00AE30D5">
        <w:t xml:space="preserve">Figure 1C).  This corresponded to </w:t>
      </w:r>
      <w:r w:rsidR="00427FDD">
        <w:t>reductions</w:t>
      </w:r>
      <w:commentRangeStart w:id="6"/>
      <w:r w:rsidR="00AE30D5">
        <w:t xml:space="preserve"> </w:t>
      </w:r>
      <w:commentRangeEnd w:id="6"/>
      <w:r w:rsidR="00AE30D5">
        <w:rPr>
          <w:rStyle w:val="CommentReference"/>
        </w:rPr>
        <w:commentReference w:id="6"/>
      </w:r>
      <w:r w:rsidR="00F1021D">
        <w:t>in</w:t>
      </w:r>
      <w:r w:rsidR="00AE30D5">
        <w:t xml:space="preserve"> both subcutaneous </w:t>
      </w:r>
      <w:r w:rsidR="00D011BE">
        <w:t>(</w:t>
      </w:r>
      <w:r w:rsidR="00B20F63">
        <w:t>38</w:t>
      </w:r>
      <w:r w:rsidR="004F7AD9">
        <w:t>%, p=0.093</w:t>
      </w:r>
      <w:r w:rsidR="00D011BE">
        <w:t>)</w:t>
      </w:r>
      <w:r w:rsidR="00841CC6">
        <w:t xml:space="preserve"> </w:t>
      </w:r>
      <w:r w:rsidR="00AE30D5">
        <w:t xml:space="preserve">and </w:t>
      </w:r>
      <w:proofErr w:type="spellStart"/>
      <w:r w:rsidR="00AE30D5">
        <w:t>epididymal</w:t>
      </w:r>
      <w:proofErr w:type="spellEnd"/>
      <w:r w:rsidR="00AE30D5">
        <w:t xml:space="preserve"> </w:t>
      </w:r>
      <w:r w:rsidR="004F7AD9">
        <w:t xml:space="preserve">(43% p=0.10) </w:t>
      </w:r>
      <w:r w:rsidR="00AE30D5">
        <w:t>fat pads</w:t>
      </w:r>
      <w:r w:rsidR="00823A14">
        <w:t xml:space="preserve"> at the end of 14 weeks of </w:t>
      </w:r>
      <w:r w:rsidR="00F1021D">
        <w:t>dietary intervention</w:t>
      </w:r>
      <w:r w:rsidR="00AE30D5">
        <w:t>.</w:t>
      </w:r>
      <w:r w:rsidR="00D8601B">
        <w:t xml:space="preserve">  Skeletal and cardiac muscle mass were </w:t>
      </w:r>
      <w:r w:rsidR="005F1E8E">
        <w:t xml:space="preserve">slightly </w:t>
      </w:r>
      <w:r w:rsidR="00D8601B">
        <w:t>increased (Supplementary Figure 1A).</w:t>
      </w:r>
    </w:p>
    <w:p w14:paraId="0EF8F0FF" w14:textId="77777777" w:rsidR="00802891" w:rsidRDefault="00802891" w:rsidP="007B624A"/>
    <w:p w14:paraId="279385EE" w14:textId="6D66A30F"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w:t>
      </w:r>
    </w:p>
    <w:p w14:paraId="6185D1DA" w14:textId="54CC0C2A" w:rsidR="00531AD6" w:rsidRDefault="00531AD6" w:rsidP="00531AD6">
      <w:pPr>
        <w:pStyle w:val="Heading2"/>
      </w:pPr>
      <w:r>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w:t>
      </w:r>
      <w:proofErr w:type="spellStart"/>
      <w:r w:rsidR="001A6A7C">
        <w:t>myotubes</w:t>
      </w:r>
      <w:proofErr w:type="spellEnd"/>
      <w:r w:rsidR="001A6A7C">
        <w:t xml:space="preserve">.  As shown in Figure 2A supplementation of </w:t>
      </w:r>
      <w:proofErr w:type="gramStart"/>
      <w:r w:rsidR="004C18FC">
        <w:t>amino-acid</w:t>
      </w:r>
      <w:proofErr w:type="gramEnd"/>
      <w:r w:rsidR="004C18FC">
        <w:t xml:space="preserve"> starved, </w:t>
      </w:r>
      <w:r w:rsidR="001A6A7C">
        <w:t xml:space="preserve">cultured </w:t>
      </w:r>
      <w:proofErr w:type="spellStart"/>
      <w:r w:rsidR="001A6A7C">
        <w:t>myotubes</w:t>
      </w:r>
      <w:proofErr w:type="spellEnd"/>
      <w:r w:rsidR="001A6A7C">
        <w:t xml:space="preserve"> </w:t>
      </w:r>
      <w:r w:rsidR="005F1E8E">
        <w:t xml:space="preserve">with </w:t>
      </w:r>
      <w:r w:rsidR="004C18FC">
        <w:t>amino acid containing media</w:t>
      </w:r>
      <w:r w:rsidR="005F1E8E">
        <w:t xml:space="preserve"> </w:t>
      </w:r>
      <w:r w:rsidR="001A6A7C">
        <w:t xml:space="preserve">results in increased phosphorylation of </w:t>
      </w:r>
      <w:commentRangeStart w:id="7"/>
      <w:r w:rsidR="001A6A7C">
        <w:t>S</w:t>
      </w:r>
      <w:r w:rsidR="004C18FC">
        <w:t xml:space="preserve">6 </w:t>
      </w:r>
      <w:commentRangeEnd w:id="7"/>
      <w:r w:rsidR="004C18FC">
        <w:rPr>
          <w:rStyle w:val="CommentReference"/>
        </w:rPr>
        <w:commentReference w:id="7"/>
      </w:r>
      <w:r w:rsidR="004C18FC">
        <w:t xml:space="preserve">along with a </w:t>
      </w:r>
      <w:proofErr w:type="spellStart"/>
      <w:r w:rsidR="004C18FC">
        <w:t>dephosphorylation</w:t>
      </w:r>
      <w:proofErr w:type="spellEnd"/>
      <w:r w:rsidR="004C18FC">
        <w:t xml:space="preserve"> of </w:t>
      </w:r>
      <w:proofErr w:type="spellStart"/>
      <w:r w:rsidR="004C18FC">
        <w:t>Akt</w:t>
      </w:r>
      <w:proofErr w:type="spellEnd"/>
      <w:r w:rsidR="006D5C06">
        <w:t xml:space="preserve">.  </w:t>
      </w:r>
      <w:r w:rsidR="004C18FC">
        <w:t xml:space="preserve">This was not associated with changes in TSC2 phosphorylation, indicating that this mechanism is independent of the </w:t>
      </w:r>
      <w:proofErr w:type="spellStart"/>
      <w:r w:rsidR="004C18FC">
        <w:t>Akt</w:t>
      </w:r>
      <w:proofErr w:type="spellEnd"/>
      <w:r w:rsidR="004C18FC">
        <w:t xml:space="preserve">/TSC2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w:t>
      </w:r>
      <w:proofErr w:type="spellStart"/>
      <w:r w:rsidR="006D5C06">
        <w:t>Akt</w:t>
      </w:r>
      <w:proofErr w:type="spellEnd"/>
      <w:r w:rsidR="006D5C06">
        <w:t xml:space="preserve"> </w:t>
      </w:r>
      <w:r w:rsidR="00EB6CB5">
        <w:t>activation</w:t>
      </w:r>
      <w:r w:rsidR="006D5C06">
        <w:t xml:space="preserve"> and found that the </w:t>
      </w:r>
      <w:proofErr w:type="spellStart"/>
      <w:r w:rsidR="006D5C06">
        <w:t>pAkt</w:t>
      </w:r>
      <w:proofErr w:type="spellEnd"/>
      <w:r w:rsidR="006D5C06">
        <w:t>/</w:t>
      </w:r>
      <w:proofErr w:type="spellStart"/>
      <w:r w:rsidR="006D5C06">
        <w:t>Akt</w:t>
      </w:r>
      <w:proofErr w:type="spellEnd"/>
      <w:r w:rsidR="006D5C06">
        <w:t xml:space="preserve"> ratio was unchanged</w:t>
      </w:r>
      <w:r w:rsidR="00881C69">
        <w:t xml:space="preserve"> (Figure 2C</w:t>
      </w:r>
      <w:r w:rsidR="0045067A">
        <w:t>-D</w:t>
      </w:r>
      <w:r w:rsidR="00881C69">
        <w:t>)</w:t>
      </w:r>
      <w:r w:rsidR="006D5C06">
        <w:t xml:space="preserve">.  These data support an </w:t>
      </w:r>
      <w:proofErr w:type="spellStart"/>
      <w:r w:rsidR="006D5C06">
        <w:t>Akt</w:t>
      </w:r>
      <w:proofErr w:type="spellEnd"/>
      <w:r w:rsidR="006D5C06">
        <w: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proofErr w:type="spellStart"/>
      <w:r>
        <w:t>Rapamycin</w:t>
      </w:r>
      <w:proofErr w:type="spellEnd"/>
      <w:r>
        <w:t xml:space="preserve">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w:t>
      </w:r>
      <w:proofErr w:type="gramStart"/>
      <w:r w:rsidR="00353984">
        <w:t>then</w:t>
      </w:r>
      <w:proofErr w:type="gramEnd"/>
      <w:r w:rsidR="00353984">
        <w:t xml:space="preserve"> were randomized into vehicle or </w:t>
      </w:r>
      <w:proofErr w:type="spellStart"/>
      <w:r w:rsidR="00353984">
        <w:t>rapamycin</w:t>
      </w:r>
      <w:proofErr w:type="spellEnd"/>
      <w:r w:rsidR="00353984">
        <w:t xml:space="preserve">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w:t>
      </w:r>
      <w:proofErr w:type="spellStart"/>
      <w:r w:rsidR="00395526">
        <w:t>rapamycin</w:t>
      </w:r>
      <w:proofErr w:type="spellEnd"/>
      <w:r w:rsidR="00395526">
        <w:t xml:space="preserve">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A13114F"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1A7E8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"[35]", "plainTextFormattedCitation" : "[35]", "previouslyFormattedCitation" : "[35]" }, "properties" : { "noteIndex" : 0 }, "schema" : "https://github.com/citation-style-language/schema/raw/master/csl-citation.json" }</w:instrText>
      </w:r>
      <w:r>
        <w:fldChar w:fldCharType="separate"/>
      </w:r>
      <w:r w:rsidR="001A7E83" w:rsidRPr="001A7E83">
        <w:rPr>
          <w:noProof/>
        </w:rPr>
        <w:t>[35]</w:t>
      </w:r>
      <w:r>
        <w:fldChar w:fldCharType="end"/>
      </w:r>
      <w:r>
        <w:t xml:space="preserve"> and the </w:t>
      </w:r>
      <w:proofErr w:type="spellStart"/>
      <w:r w:rsidRPr="00871236">
        <w:rPr>
          <w:i/>
        </w:rPr>
        <w:t>Ckmm-Cre</w:t>
      </w:r>
      <w:proofErr w:type="spellEnd"/>
      <w:r w:rsidR="00B90CD2">
        <w:t xml:space="preserve"> transgene (muscle </w:t>
      </w:r>
      <w:proofErr w:type="spellStart"/>
      <w:r w:rsidR="00B90CD2">
        <w:t>creatine</w:t>
      </w:r>
      <w:proofErr w:type="spellEnd"/>
      <w:r>
        <w:t xml:space="preserve"> kinase; </w:t>
      </w:r>
      <w:r w:rsidR="00B90CD2">
        <w:t xml:space="preserve">expressed in both cardiac and skeletal muscle </w:t>
      </w:r>
      <w:r>
        <w:fldChar w:fldCharType="begin" w:fldLock="1"/>
      </w:r>
      <w:r w:rsidR="001A7E83">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"[36]", "plainTextFormattedCitation" : "[36]", "previouslyFormattedCitation" : "[36]" }, "properties" : { "noteIndex" : 0 }, "schema" : "https://github.com/citation-style-language/schema/raw/master/csl-citation.json" }</w:instrText>
      </w:r>
      <w:r>
        <w:fldChar w:fldCharType="separate"/>
      </w:r>
      <w:r w:rsidR="001A7E83" w:rsidRPr="001A7E83">
        <w:rPr>
          <w:noProof/>
        </w:rPr>
        <w:t>[36]</w:t>
      </w:r>
      <w:r>
        <w:fldChar w:fldCharType="end"/>
      </w:r>
      <w:r>
        <w:t xml:space="preserve">). </w:t>
      </w:r>
      <w:r w:rsidR="0080402E">
        <w:t xml:space="preserve">This </w:t>
      </w:r>
      <w:r w:rsidR="00794576">
        <w:t>driver</w:t>
      </w:r>
      <w:r w:rsidR="0080402E">
        <w:t xml:space="preserve"> differs from the </w:t>
      </w:r>
      <w:r w:rsidR="0080402E" w:rsidRPr="0080402E">
        <w:rPr>
          <w:i/>
        </w:rPr>
        <w:t>HSA-</w:t>
      </w:r>
      <w:proofErr w:type="spellStart"/>
      <w:r w:rsidR="0080402E" w:rsidRPr="0080402E">
        <w:rPr>
          <w:i/>
        </w:rPr>
        <w:t>Cre</w:t>
      </w:r>
      <w:proofErr w:type="spellEnd"/>
      <w:r w:rsidR="0080402E" w:rsidRPr="0080402E">
        <w:rPr>
          <w:i/>
        </w:rPr>
        <w:t xml:space="preserve"> </w:t>
      </w:r>
      <w:r w:rsidR="0080402E">
        <w:t xml:space="preserve">driven </w:t>
      </w:r>
      <w:r w:rsidR="0080402E" w:rsidRPr="0080402E">
        <w:rPr>
          <w:i/>
        </w:rPr>
        <w:t>Tsc1</w:t>
      </w:r>
      <w:r w:rsidR="0080402E">
        <w:t xml:space="preserve"> knockout models previously described </w:t>
      </w:r>
      <w:r w:rsidR="0080402E">
        <w:fldChar w:fldCharType="begin" w:fldLock="1"/>
      </w:r>
      <w:r w:rsidR="001A7E83">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E4D7CD"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8"/>
      <w:r>
        <w:t xml:space="preserve">triglycerides </w:t>
      </w:r>
      <w:commentRangeEnd w:id="8"/>
      <w:r w:rsidR="0039397E">
        <w:rPr>
          <w:rStyle w:val="CommentReference"/>
        </w:rPr>
        <w:commentReference w:id="8"/>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A10EEA">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37]", "plainTextFormattedCitation" : "[11, 37]", "previouslyFormattedCitation" : "[11, 37]" }, "properties" : { "noteIndex" : 0 }, "schema" : "https://github.com/citation-style-language/schema/raw/master/csl-citation.json" }</w:instrText>
      </w:r>
      <w:r w:rsidR="00980BD7">
        <w:fldChar w:fldCharType="separate"/>
      </w:r>
      <w:r w:rsidR="00980BD7" w:rsidRPr="00980BD7">
        <w:rPr>
          <w:noProof/>
        </w:rPr>
        <w:t>[11, 37]</w:t>
      </w:r>
      <w:r w:rsidR="00980BD7">
        <w:fldChar w:fldCharType="end"/>
      </w:r>
      <w:r w:rsidR="00573A9D">
        <w:t xml:space="preserve">, and the dramatic increase in </w:t>
      </w:r>
      <w:commentRangeStart w:id="9"/>
      <w:r w:rsidR="005838B0">
        <w:t xml:space="preserve">muscle </w:t>
      </w:r>
      <w:r w:rsidR="00573A9D">
        <w:t xml:space="preserve">PTG protein </w:t>
      </w:r>
      <w:commentRangeEnd w:id="9"/>
      <w:r w:rsidR="00A64165">
        <w:rPr>
          <w:rStyle w:val="CommentReference"/>
        </w:rPr>
        <w:commentReference w:id="9"/>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51BA4FF"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0"/>
      <w:r>
        <w:t xml:space="preserve">XX </w:t>
      </w:r>
      <w:commentRangeEnd w:id="10"/>
      <w:r w:rsidR="005008B3">
        <w:rPr>
          <w:rStyle w:val="CommentReference"/>
        </w:rPr>
        <w:commentReference w:id="10"/>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w:t>
      </w:r>
      <w:proofErr w:type="spellStart"/>
      <w:r w:rsidR="00205F41">
        <w:rPr>
          <w:i/>
        </w:rPr>
        <w:t>Cre</w:t>
      </w:r>
      <w:proofErr w:type="spellEnd"/>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80402E">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t>
      </w:r>
      <w:proofErr w:type="gramStart"/>
      <w:r w:rsidR="00A15A7B">
        <w:t>wild-type</w:t>
      </w:r>
      <w:proofErr w:type="gramEnd"/>
      <w:r w:rsidR="00A15A7B">
        <w:t xml:space="preserve"> and </w:t>
      </w:r>
      <w:r w:rsidR="00A15A7B">
        <w:rPr>
          <w:i/>
        </w:rPr>
        <w:t>Tsc1</w:t>
      </w:r>
      <w:r w:rsidR="00A15A7B">
        <w:t xml:space="preserve"> knockout mice, and found that both subcutaneous and </w:t>
      </w:r>
      <w:proofErr w:type="spellStart"/>
      <w:r w:rsidR="00A15A7B">
        <w:t>epdidymal</w:t>
      </w:r>
      <w:proofErr w:type="spellEnd"/>
      <w:r w:rsidR="00A15A7B">
        <w:t xml:space="preserve"> fat pads were reduced in size</w:t>
      </w:r>
      <w:r w:rsidR="00864774">
        <w:t xml:space="preserve"> (Figures 4D-E)</w:t>
      </w:r>
      <w:r w:rsidR="00A15A7B">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FA3C19C" w:rsidR="00A922D2" w:rsidRPr="008437EE" w:rsidRDefault="00A922D2" w:rsidP="00A922D2">
      <w:commentRangeStart w:id="11"/>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A10EEA">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"[38, 39]", "plainTextFormattedCitation" : "[38, 39]", "previouslyFormattedCitation" : "[38, 39]" }, "properties" : { "noteIndex" : 0 }, "schema" : "https://github.com/citation-style-language/schema/raw/master/csl-citation.json" }</w:instrText>
      </w:r>
      <w:r w:rsidR="006F352E">
        <w:fldChar w:fldCharType="separate"/>
      </w:r>
      <w:r w:rsidR="00980BD7" w:rsidRPr="00980BD7">
        <w:rPr>
          <w:noProof/>
        </w:rPr>
        <w:t>[38, 39]</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A10EEA">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"[40, 41]", "plainTextFormattedCitation" : "[40, 41]", "previouslyFormattedCitation" : "[40, 41]" }, "properties" : { "noteIndex" : 0 }, "schema" : "https://github.com/citation-style-language/schema/raw/master/csl-citation.json" }</w:instrText>
      </w:r>
      <w:r w:rsidR="00DD2A58">
        <w:fldChar w:fldCharType="separate"/>
      </w:r>
      <w:r w:rsidR="00980BD7" w:rsidRPr="00980BD7">
        <w:rPr>
          <w:noProof/>
        </w:rPr>
        <w:t>[40, 41]</w:t>
      </w:r>
      <w:r w:rsidR="00DD2A58">
        <w:fldChar w:fldCharType="end"/>
      </w:r>
      <w:r w:rsidR="00DD2A58">
        <w:t>.</w:t>
      </w:r>
      <w:commentRangeEnd w:id="11"/>
      <w:r w:rsidR="00200D61">
        <w:rPr>
          <w:rStyle w:val="CommentReference"/>
        </w:rPr>
        <w:commentReference w:id="11"/>
      </w:r>
    </w:p>
    <w:p w14:paraId="41D0AC97" w14:textId="77777777" w:rsidR="007D1A22" w:rsidRDefault="007D1A22" w:rsidP="007D1A22"/>
    <w:p w14:paraId="7EB87ED1" w14:textId="490D48B8" w:rsidR="007D1A22" w:rsidRDefault="007D1A22" w:rsidP="007D1A22">
      <w:r>
        <w:t xml:space="preserve">Clinical studies have shown that energy expenditure can rapidly increase in response to overfeeding </w:t>
      </w:r>
      <w:r>
        <w:fldChar w:fldCharType="begin" w:fldLock="1"/>
      </w:r>
      <w:r w:rsidR="00A10EEA">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42]", "plainTextFormattedCitation" : "[3, 42]", "previouslyFormattedCitation" : "[3, 42]" }, "properties" : { "noteIndex" : 0 }, "schema" : "https://github.com/citation-style-language/schema/raw/master/csl-citation.json" }</w:instrText>
      </w:r>
      <w:r>
        <w:fldChar w:fldCharType="separate"/>
      </w:r>
      <w:r w:rsidR="00980BD7" w:rsidRPr="00980BD7">
        <w:rPr>
          <w:noProof/>
        </w:rPr>
        <w:t>[3, 42]</w:t>
      </w:r>
      <w:r>
        <w:fldChar w:fldCharType="end"/>
      </w:r>
      <w:r>
        <w:t xml:space="preserve">, consistent with the observation that obese individuals have higher energy expenditure than lean subjects </w:t>
      </w:r>
      <w:r w:rsidR="009F47C8">
        <w:fldChar w:fldCharType="begin" w:fldLock="1"/>
      </w:r>
      <w:r w:rsidR="00A10EEA">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43\u201345]", "plainTextFormattedCitation" : "[3, 43\u201345]", "previouslyFormattedCitation" : "[3, 43\u201345]" }, "properties" : { "noteIndex" : 0 }, "schema" : "https://github.com/citation-style-language/schema/raw/master/csl-citation.json" }</w:instrText>
      </w:r>
      <w:r w:rsidR="009F47C8">
        <w:fldChar w:fldCharType="separate"/>
      </w:r>
      <w:r w:rsidR="00980BD7" w:rsidRPr="00980BD7">
        <w:rPr>
          <w:noProof/>
        </w:rPr>
        <w:t>[3, 43–45]</w:t>
      </w:r>
      <w:r w:rsidR="009F47C8">
        <w:fldChar w:fldCharType="end"/>
      </w:r>
      <w:r w:rsidR="009F47C8">
        <w:t xml:space="preserve">.  Similarly, weight loss results in a rapid reduction in energy expenditure </w:t>
      </w:r>
      <w:r w:rsidR="009F47C8">
        <w:fldChar w:fldCharType="begin" w:fldLock="1"/>
      </w:r>
      <w:r w:rsidR="00403E87">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A10EEA">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"[46]", "plainTextFormattedCitation" : "[46]", "previouslyFormattedCitation" : "[46]" }, "properties" : { "noteIndex" : 0 }, "schema" : "https://github.com/citation-style-language/schema/raw/master/csl-citation.json" }</w:instrText>
      </w:r>
      <w:r w:rsidR="004A2F25">
        <w:fldChar w:fldCharType="separate"/>
      </w:r>
      <w:r w:rsidR="00980BD7" w:rsidRPr="00980BD7">
        <w:rPr>
          <w:noProof/>
        </w:rPr>
        <w:t>[46]</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A10EEA">
        <w:instrText>ADDIN CSL_CITATION { "citationItems" : [ { "id" : "ITEM-1", "itemData" : { "DOI" : "10.1016/j.cmet.2015.07.021", "ISSN" : "15504131", "author" : [ { "dropping-particle" : "", "family" : "Hall", "given" : "Kevin\u00a0D.",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"Kong\u00a0Y.", "non-dropping-particle" : "", "parse-names" : false, "suffix" : "" }, { "dropping-particle" : "", "family" : "Courville", "given" : "Amber", "non-dropping-particle" : "", "parse-names" : false, "suffix" : "" }, { "dropping-particle" : "", "family" : "Crayner", "given" : "Emma\u00a0J.",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"Nicolas\u00a0D.", "non-dropping-particle" : "", "parse-names" : false, "suffix" : "" }, { "dropping-particle" : "", "family" : "Miller", "given" : "Bernard\u00a0V.", "non-dropping-particle" : "", "parse-names" : false, "suffix" : "" }, { "dropping-particle" : "", "family" : "Prado", "given" : "Carla\u00a0M.", "non-dropping-particle" : "", "parse-names" : false, "suffix" : "" }, { "dropping-particle" : "", "family" : "Siervo", "given" : "Mario", "non-dropping-particle" : "", "parse-names" : false, "suffix" : "" }, { "dropping-particle" : "", "family" : "Skarulis", "given" : "Monica\u00a0C.", "non-dropping-particle" : "", "parse-names" : false, "suffix" : "" }, { "dropping-particle" : "", "family" : "Walter", "given" : "Mary", "non-dropping-particle" : "", "parse-names" : false, "suffix" : "" }, { "dropping-particle" : "", "family" : "Walter", "given" : "Peter\u00a0J.",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"[47]", "plainTextFormattedCitation" : "[47]" }, "properties" : { "noteIndex" : 0 }, "schema" : "https://github.com/citation-style-language/schema/raw/master/csl-citation.json" }</w:instrText>
      </w:r>
      <w:r w:rsidR="00A10EEA">
        <w:fldChar w:fldCharType="separate"/>
      </w:r>
      <w:r w:rsidR="00A10EEA" w:rsidRPr="00A10EEA">
        <w:rPr>
          <w:noProof/>
        </w:rPr>
        <w:t>[47]</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A10EEA">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48]", "plainTextFormattedCitation" : "[5, 48]", "previouslyFormattedCitation" : "[5, 47]" }, "properties" : { "noteIndex" : 0 }, "schema" : "https://github.com/citation-style-language/schema/raw/master/csl-citation.json" }</w:instrText>
      </w:r>
      <w:r w:rsidR="004A2F25">
        <w:fldChar w:fldCharType="separate"/>
      </w:r>
      <w:r w:rsidR="00A10EEA" w:rsidRPr="00A10EEA">
        <w:rPr>
          <w:noProof/>
        </w:rPr>
        <w:t>[5, 48]</w:t>
      </w:r>
      <w:r w:rsidR="004A2F25">
        <w:fldChar w:fldCharType="end"/>
      </w:r>
      <w:r w:rsidR="004A2F25">
        <w:t>.</w:t>
      </w:r>
    </w:p>
    <w:p w14:paraId="20FE2733" w14:textId="77777777" w:rsidR="003F5FAC" w:rsidRDefault="003F5FAC" w:rsidP="007D1A22"/>
    <w:p w14:paraId="51329E80" w14:textId="6D65FC10" w:rsidR="003F5FAC" w:rsidRPr="00B83F46"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w:t>
      </w:r>
      <w:proofErr w:type="spellStart"/>
      <w:r w:rsidR="00E522BC">
        <w:t>obesegenic</w:t>
      </w:r>
      <w:proofErr w:type="spellEnd"/>
      <w:r w:rsidR="00E522BC">
        <w:t xml:space="preserve">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A10EEA">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"[49]", "plainTextFormattedCitation" : "[49]", "previouslyFormattedCitation" : "[48]" }, "properties" : { "noteIndex" : 0 }, "schema" : "https://github.com/citation-style-language/schema/raw/master/csl-citation.json" }</w:instrText>
      </w:r>
      <w:r w:rsidR="00B83F46">
        <w:fldChar w:fldCharType="separate"/>
      </w:r>
      <w:r w:rsidR="00A10EEA" w:rsidRPr="00A10EEA">
        <w:rPr>
          <w:noProof/>
        </w:rPr>
        <w:t>[49]</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B83F46">
        <w:t xml:space="preserve">. </w:t>
      </w:r>
      <w:r w:rsidR="00FA15D0">
        <w:t>Since amino acids and fatty acids are both reliant on mitochondria to gener</w:t>
      </w:r>
      <w:r w:rsidR="00E26D9D">
        <w:t xml:space="preserve">ate fuel, it is possible that an alternation </w:t>
      </w:r>
      <w:r w:rsidR="00FA15D0">
        <w:t xml:space="preserve">in substrate flux may </w:t>
      </w:r>
      <w:r w:rsidR="00E26D9D">
        <w:t>cause</w:t>
      </w:r>
      <w:r w:rsidR="00FA15D0">
        <w:t xml:space="preserve"> more </w:t>
      </w:r>
      <w:r w:rsidR="00E26D9D">
        <w:t>oxidative fibers, which then leads to more efficient fuel utilization and less lipid storage</w:t>
      </w:r>
      <w:r w:rsidR="00FA15D0">
        <w:t xml:space="preserve">.  </w:t>
      </w:r>
      <w:r w:rsidR="00E26D9D">
        <w:t>This hypothesis is consistent with anti-</w:t>
      </w:r>
      <w:proofErr w:type="spellStart"/>
      <w:r w:rsidR="00E26D9D">
        <w:t>obesegenic</w:t>
      </w:r>
      <w:proofErr w:type="spellEnd"/>
      <w:r w:rsidR="00E26D9D">
        <w:t xml:space="preserve"> effects of muscle specific </w:t>
      </w:r>
      <w:r w:rsidR="00E26D9D">
        <w:rPr>
          <w:i/>
        </w:rPr>
        <w:t>Cd36</w:t>
      </w:r>
      <w:r w:rsidR="00E26D9D">
        <w:t xml:space="preserve"> overexpression </w:t>
      </w:r>
      <w:r w:rsidR="00E26D9D">
        <w:fldChar w:fldCharType="begin" w:fldLock="1"/>
      </w:r>
      <w:r w:rsidR="00E26D9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"[50]", "plainTextFormattedCitation" : "[50]", "previouslyFormattedCitation" : "[49]" }, "properties" : { "noteIndex" : 0 }, "schema" : "https://github.com/citation-style-language/schema/raw/master/csl-citation.json" }</w:instrText>
      </w:r>
      <w:r w:rsidR="00E26D9D">
        <w:fldChar w:fldCharType="separate"/>
      </w:r>
      <w:r w:rsidR="00E26D9D" w:rsidRPr="00A10EEA">
        <w:rPr>
          <w:noProof/>
        </w:rPr>
        <w:t>[50]</w:t>
      </w:r>
      <w:r w:rsidR="00E26D9D">
        <w:fldChar w:fldCharType="end"/>
      </w:r>
      <w:r w:rsidR="00E26D9D">
        <w:t xml:space="preserve">.  </w:t>
      </w:r>
      <w:r w:rsidR="00F311C5">
        <w:t>Together these findings support the hypothesis that activation of mTORC1</w:t>
      </w:r>
      <w:r w:rsidR="00F60DC7">
        <w:t xml:space="preserve"> or its downstream targets</w:t>
      </w:r>
      <w:r w:rsidR="00FA15D0">
        <w:t xml:space="preserve">, specifically </w:t>
      </w:r>
      <w:r w:rsidR="00F311C5">
        <w:t>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bookmarkStart w:id="12" w:name="_GoBack"/>
      <w:bookmarkEnd w:id="12"/>
    </w:p>
    <w:p w14:paraId="26534A21" w14:textId="77777777" w:rsidR="00232F5F" w:rsidRPr="00232F5F" w:rsidRDefault="00232F5F" w:rsidP="00E22913"/>
    <w:p w14:paraId="6ECD3749" w14:textId="7A38DCE5"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13"/>
      <w:r w:rsidR="001E0A5E">
        <w:t xml:space="preserve">XXXX </w:t>
      </w:r>
      <w:commentRangeEnd w:id="13"/>
      <w:r w:rsidR="00E22913">
        <w:rPr>
          <w:rStyle w:val="CommentReference"/>
        </w:rPr>
        <w:commentReference w:id="13"/>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350DADE1" w14:textId="1CD35698" w:rsidR="00A10EEA" w:rsidRPr="00A10EEA" w:rsidRDefault="00871236">
      <w:pPr>
        <w:pStyle w:val="NormalWeb"/>
        <w:divId w:val="506797119"/>
        <w:rPr>
          <w:rFonts w:ascii="Cambria" w:hAnsi="Cambria"/>
          <w:noProof/>
          <w:sz w:val="24"/>
        </w:rPr>
      </w:pPr>
      <w:r>
        <w:fldChar w:fldCharType="begin" w:fldLock="1"/>
      </w:r>
      <w:r>
        <w:instrText xml:space="preserve">ADDIN Mendeley Bibliography CSL_BIBLIOGRAPHY </w:instrText>
      </w:r>
      <w:r>
        <w:fldChar w:fldCharType="separate"/>
      </w:r>
      <w:r w:rsidR="00A10EEA" w:rsidRPr="00A10EEA">
        <w:rPr>
          <w:rFonts w:ascii="Cambria" w:hAnsi="Cambria"/>
          <w:noProof/>
          <w:sz w:val="24"/>
        </w:rPr>
        <w:t xml:space="preserve">1. </w:t>
      </w:r>
      <w:r w:rsidR="00A10EEA" w:rsidRPr="00A10EEA">
        <w:rPr>
          <w:rFonts w:ascii="Cambria" w:hAnsi="Cambria"/>
          <w:b/>
          <w:bCs/>
          <w:noProof/>
          <w:sz w:val="24"/>
        </w:rPr>
        <w:t>Obesity and Overweight</w:t>
      </w:r>
      <w:r w:rsidR="00A10EEA" w:rsidRPr="00A10EEA">
        <w:rPr>
          <w:rFonts w:ascii="Cambria" w:hAnsi="Cambria"/>
          <w:noProof/>
          <w:sz w:val="24"/>
        </w:rPr>
        <w:t xml:space="preserve"> [http://www.who.int/mediacentre/factsheets/fs311/en/]</w:t>
      </w:r>
    </w:p>
    <w:p w14:paraId="68D4669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 Leibel RL, Hirsch J: </w:t>
      </w:r>
      <w:r w:rsidRPr="00A10EEA">
        <w:rPr>
          <w:rFonts w:ascii="Cambria" w:hAnsi="Cambria"/>
          <w:b/>
          <w:bCs/>
          <w:noProof/>
          <w:sz w:val="24"/>
        </w:rPr>
        <w:t>Diminished energy requirements in reduced-obese patients</w:t>
      </w:r>
      <w:r w:rsidRPr="00A10EEA">
        <w:rPr>
          <w:rFonts w:ascii="Cambria" w:hAnsi="Cambria"/>
          <w:noProof/>
          <w:sz w:val="24"/>
        </w:rPr>
        <w:t xml:space="preserve">. </w:t>
      </w:r>
      <w:r w:rsidRPr="00A10EEA">
        <w:rPr>
          <w:rFonts w:ascii="Cambria" w:hAnsi="Cambria"/>
          <w:i/>
          <w:iCs/>
          <w:noProof/>
          <w:sz w:val="24"/>
        </w:rPr>
        <w:t>Metabolism</w:t>
      </w:r>
      <w:r w:rsidRPr="00A10EEA">
        <w:rPr>
          <w:rFonts w:ascii="Cambria" w:hAnsi="Cambria"/>
          <w:noProof/>
          <w:sz w:val="24"/>
        </w:rPr>
        <w:t xml:space="preserve"> 1984, </w:t>
      </w:r>
      <w:r w:rsidRPr="00A10EEA">
        <w:rPr>
          <w:rFonts w:ascii="Cambria" w:hAnsi="Cambria"/>
          <w:b/>
          <w:bCs/>
          <w:noProof/>
          <w:sz w:val="24"/>
        </w:rPr>
        <w:t>33</w:t>
      </w:r>
      <w:r w:rsidRPr="00A10EEA">
        <w:rPr>
          <w:rFonts w:ascii="Cambria" w:hAnsi="Cambria"/>
          <w:noProof/>
          <w:sz w:val="24"/>
        </w:rPr>
        <w:t>:164–170.</w:t>
      </w:r>
    </w:p>
    <w:p w14:paraId="3771284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 Leibel RL, Rosenbaum M, Hirsch J: </w:t>
      </w:r>
      <w:r w:rsidRPr="00A10EEA">
        <w:rPr>
          <w:rFonts w:ascii="Cambria" w:hAnsi="Cambria"/>
          <w:b/>
          <w:bCs/>
          <w:noProof/>
          <w:sz w:val="24"/>
        </w:rPr>
        <w:t>Changes in energy expenditure resulting from altered body weight.</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1995, </w:t>
      </w:r>
      <w:r w:rsidRPr="00A10EEA">
        <w:rPr>
          <w:rFonts w:ascii="Cambria" w:hAnsi="Cambria"/>
          <w:b/>
          <w:bCs/>
          <w:noProof/>
          <w:sz w:val="24"/>
        </w:rPr>
        <w:t>332</w:t>
      </w:r>
      <w:r w:rsidRPr="00A10EEA">
        <w:rPr>
          <w:rFonts w:ascii="Cambria" w:hAnsi="Cambria"/>
          <w:noProof/>
          <w:sz w:val="24"/>
        </w:rPr>
        <w:t>:621–8.</w:t>
      </w:r>
    </w:p>
    <w:p w14:paraId="0B2392E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 Sumithran P, Prendergast LA, Delbridge E, Purcell K, Shulkes A, Kriketos A, Proietto J: </w:t>
      </w:r>
      <w:r w:rsidRPr="00A10EEA">
        <w:rPr>
          <w:rFonts w:ascii="Cambria" w:hAnsi="Cambria"/>
          <w:b/>
          <w:bCs/>
          <w:noProof/>
          <w:sz w:val="24"/>
        </w:rPr>
        <w:t>Long-Term Persistence of Hormonal Adaptations to Weight Loss</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2011, </w:t>
      </w:r>
      <w:r w:rsidRPr="00A10EEA">
        <w:rPr>
          <w:rFonts w:ascii="Cambria" w:hAnsi="Cambria"/>
          <w:b/>
          <w:bCs/>
          <w:noProof/>
          <w:sz w:val="24"/>
        </w:rPr>
        <w:t>365</w:t>
      </w:r>
      <w:r w:rsidRPr="00A10EEA">
        <w:rPr>
          <w:rFonts w:ascii="Cambria" w:hAnsi="Cambria"/>
          <w:noProof/>
          <w:sz w:val="24"/>
        </w:rPr>
        <w:t>:1597–1604.</w:t>
      </w:r>
    </w:p>
    <w:p w14:paraId="6EC655B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 Bray GA, Smith SR, de Jonge L, Xie H, Rood J, Martin CK, Most M, Brock C, Mancuso S, Redman LM: </w:t>
      </w:r>
      <w:r w:rsidRPr="00A10EEA">
        <w:rPr>
          <w:rFonts w:ascii="Cambria" w:hAnsi="Cambria"/>
          <w:b/>
          <w:bCs/>
          <w:noProof/>
          <w:sz w:val="24"/>
        </w:rPr>
        <w:t>Effect of dietary protein content on weight gain, energy expenditure, and body composition during overeating: a randomized controlled trial.</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:47–55.</w:t>
      </w:r>
    </w:p>
    <w:p w14:paraId="49D446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6. Ebbeling CB, Swain JF, Feldman H a, Wong WW, Hachey DL, Garcia-Lago E, Ludwig DS: </w:t>
      </w:r>
      <w:r w:rsidRPr="00A10EEA">
        <w:rPr>
          <w:rFonts w:ascii="Cambria" w:hAnsi="Cambria"/>
          <w:b/>
          <w:bCs/>
          <w:noProof/>
          <w:sz w:val="24"/>
        </w:rPr>
        <w:t>Effects of dietary composition on energy expenditure during weight-loss maintenance.</w:t>
      </w:r>
      <w:r w:rsidRPr="00A10EEA">
        <w:rPr>
          <w:rFonts w:ascii="Cambria" w:hAnsi="Cambria"/>
          <w:noProof/>
          <w:sz w:val="24"/>
        </w:rPr>
        <w:t xml:space="preserve"> </w:t>
      </w:r>
      <w:r w:rsidRPr="00A10EEA">
        <w:rPr>
          <w:rFonts w:ascii="Cambria" w:hAnsi="Cambria"/>
          <w:i/>
          <w:iCs/>
          <w:noProof/>
          <w:sz w:val="24"/>
        </w:rPr>
        <w:t>JAMA</w:t>
      </w:r>
      <w:r w:rsidRPr="00A10EEA">
        <w:rPr>
          <w:rFonts w:ascii="Cambria" w:hAnsi="Cambria"/>
          <w:noProof/>
          <w:sz w:val="24"/>
        </w:rPr>
        <w:t xml:space="preserve"> 2012, </w:t>
      </w:r>
      <w:r w:rsidRPr="00A10EEA">
        <w:rPr>
          <w:rFonts w:ascii="Cambria" w:hAnsi="Cambria"/>
          <w:b/>
          <w:bCs/>
          <w:noProof/>
          <w:sz w:val="24"/>
        </w:rPr>
        <w:t>307</w:t>
      </w:r>
      <w:r w:rsidRPr="00A10EEA">
        <w:rPr>
          <w:rFonts w:ascii="Cambria" w:hAnsi="Cambria"/>
          <w:noProof/>
          <w:sz w:val="24"/>
        </w:rPr>
        <w:t>:2627–34.</w:t>
      </w:r>
    </w:p>
    <w:p w14:paraId="6FB3762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7. Efeyan A, Comb WC, Sabatini DM: </w:t>
      </w:r>
      <w:r w:rsidRPr="00A10EEA">
        <w:rPr>
          <w:rFonts w:ascii="Cambria" w:hAnsi="Cambria"/>
          <w:b/>
          <w:bCs/>
          <w:noProof/>
          <w:sz w:val="24"/>
        </w:rPr>
        <w:t>Nutrient-sensing mechanisms and pathways</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2015, </w:t>
      </w:r>
      <w:r w:rsidRPr="00A10EEA">
        <w:rPr>
          <w:rFonts w:ascii="Cambria" w:hAnsi="Cambria"/>
          <w:b/>
          <w:bCs/>
          <w:noProof/>
          <w:sz w:val="24"/>
        </w:rPr>
        <w:t>517</w:t>
      </w:r>
      <w:r w:rsidRPr="00A10EEA">
        <w:rPr>
          <w:rFonts w:ascii="Cambria" w:hAnsi="Cambria"/>
          <w:noProof/>
          <w:sz w:val="24"/>
        </w:rPr>
        <w:t>:302–310.</w:t>
      </w:r>
    </w:p>
    <w:p w14:paraId="52C7A84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8. Yecies JL, Zhang HH, Menon S, Liu S, Yecies D, Lipovsky AI, Gorgun C, Kwiatkowski DJ, Hotamisligil GS, Lee C-H, Manning BD: </w:t>
      </w:r>
      <w:r w:rsidRPr="00A10EEA">
        <w:rPr>
          <w:rFonts w:ascii="Cambria" w:hAnsi="Cambria"/>
          <w:b/>
          <w:bCs/>
          <w:noProof/>
          <w:sz w:val="24"/>
        </w:rPr>
        <w:t>Akt Stimulates Hepatic SREBP1c and Lipogenesis through Parallel mTORC1-Dependent and Independent Pathways.</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2011, </w:t>
      </w:r>
      <w:r w:rsidRPr="00A10EEA">
        <w:rPr>
          <w:rFonts w:ascii="Cambria" w:hAnsi="Cambria"/>
          <w:b/>
          <w:bCs/>
          <w:noProof/>
          <w:sz w:val="24"/>
        </w:rPr>
        <w:t>14</w:t>
      </w:r>
      <w:r w:rsidRPr="00A10EEA">
        <w:rPr>
          <w:rFonts w:ascii="Cambria" w:hAnsi="Cambria"/>
          <w:noProof/>
          <w:sz w:val="24"/>
        </w:rPr>
        <w:t>:21–32.</w:t>
      </w:r>
    </w:p>
    <w:p w14:paraId="508E9E8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9. Chakrabarti P, English T, Shi J, Smas CM, Kandror K V.: </w:t>
      </w:r>
      <w:r w:rsidRPr="00A10EEA">
        <w:rPr>
          <w:rFonts w:ascii="Cambria" w:hAnsi="Cambria"/>
          <w:b/>
          <w:bCs/>
          <w:noProof/>
          <w:sz w:val="24"/>
        </w:rPr>
        <w:t>Mammalian target of rapamycin complex 1 suppresses lipolysis, stimulates lipogenesis, and promotes fat storage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2010, </w:t>
      </w:r>
      <w:r w:rsidRPr="00A10EEA">
        <w:rPr>
          <w:rFonts w:ascii="Cambria" w:hAnsi="Cambria"/>
          <w:b/>
          <w:bCs/>
          <w:noProof/>
          <w:sz w:val="24"/>
        </w:rPr>
        <w:t>59</w:t>
      </w:r>
      <w:r w:rsidRPr="00A10EEA">
        <w:rPr>
          <w:rFonts w:ascii="Cambria" w:hAnsi="Cambria"/>
          <w:noProof/>
          <w:sz w:val="24"/>
        </w:rPr>
        <w:t>:775–781.</w:t>
      </w:r>
    </w:p>
    <w:p w14:paraId="0A65785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10. Li S, Brown MS, Goldstein JL: </w:t>
      </w:r>
      <w:r w:rsidRPr="00A10EEA">
        <w:rPr>
          <w:rFonts w:ascii="Cambria" w:hAnsi="Cambria"/>
          <w:b/>
          <w:bCs/>
          <w:noProof/>
          <w:sz w:val="24"/>
        </w:rPr>
        <w:t>Bifurcation of insulin signaling pathway in rat liver: mTORC1 required for stimulation of lipogenesis, but not inhibition of gluconeogenesis.</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2010, </w:t>
      </w:r>
      <w:r w:rsidRPr="00A10EEA">
        <w:rPr>
          <w:rFonts w:ascii="Cambria" w:hAnsi="Cambria"/>
          <w:b/>
          <w:bCs/>
          <w:noProof/>
          <w:sz w:val="24"/>
        </w:rPr>
        <w:t>107</w:t>
      </w:r>
      <w:r w:rsidRPr="00A10EEA">
        <w:rPr>
          <w:rFonts w:ascii="Cambria" w:hAnsi="Cambria"/>
          <w:noProof/>
          <w:sz w:val="24"/>
        </w:rPr>
        <w:t>:3441–6.</w:t>
      </w:r>
    </w:p>
    <w:p w14:paraId="71C76C4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11. Lu B, Bridges D, Yang Y, Fisher K, Cheng A, Chang L, Meng ZZ-X, Lin JD, Downes M, Yu RT, Liddle C, Evans RM, Saltiel AR: </w:t>
      </w:r>
      <w:r w:rsidRPr="00A10EEA">
        <w:rPr>
          <w:rFonts w:ascii="Cambria" w:hAnsi="Cambria"/>
          <w:b/>
          <w:bCs/>
          <w:noProof/>
          <w:sz w:val="24"/>
        </w:rPr>
        <w:t>Metabolic crosstalk: molecular links between glycogen and lipid metabolism in obesity.</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2014, </w:t>
      </w:r>
      <w:r w:rsidRPr="00A10EEA">
        <w:rPr>
          <w:rFonts w:ascii="Cambria" w:hAnsi="Cambria"/>
          <w:b/>
          <w:bCs/>
          <w:noProof/>
          <w:sz w:val="24"/>
        </w:rPr>
        <w:t>63</w:t>
      </w:r>
      <w:r w:rsidRPr="00A10EEA">
        <w:rPr>
          <w:rFonts w:ascii="Cambria" w:hAnsi="Cambria"/>
          <w:noProof/>
          <w:sz w:val="24"/>
        </w:rPr>
        <w:t>:2935–48.</w:t>
      </w:r>
    </w:p>
    <w:p w14:paraId="0A91367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12. Zhang HH, Huang J, Düvel K, Boback B, Wu S, Squillace RM, Wu C-L, Manning BD: </w:t>
      </w:r>
      <w:r w:rsidRPr="00A10EEA">
        <w:rPr>
          <w:rFonts w:ascii="Cambria" w:hAnsi="Cambria"/>
          <w:b/>
          <w:bCs/>
          <w:noProof/>
          <w:sz w:val="24"/>
        </w:rPr>
        <w:t>Insulin stimulates adipogenesis through the Akt-TSC2-mTORC1 pathway.</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2009, </w:t>
      </w:r>
      <w:r w:rsidRPr="00A10EEA">
        <w:rPr>
          <w:rFonts w:ascii="Cambria" w:hAnsi="Cambria"/>
          <w:b/>
          <w:bCs/>
          <w:noProof/>
          <w:sz w:val="24"/>
        </w:rPr>
        <w:t>4</w:t>
      </w:r>
      <w:r w:rsidRPr="00A10EEA">
        <w:rPr>
          <w:rFonts w:ascii="Cambria" w:hAnsi="Cambria"/>
          <w:noProof/>
          <w:sz w:val="24"/>
        </w:rPr>
        <w:t>:e6189.</w:t>
      </w:r>
    </w:p>
    <w:p w14:paraId="7FE20FF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13. Hatfield I, Harvey I, Yates ER, Redd JR, Reiter LT, Bridges D: </w:t>
      </w:r>
      <w:r w:rsidRPr="00A10EEA">
        <w:rPr>
          <w:rFonts w:ascii="Cambria" w:hAnsi="Cambria"/>
          <w:b/>
          <w:bCs/>
          <w:noProof/>
          <w:sz w:val="24"/>
        </w:rPr>
        <w:t>The role of TORC1 in muscle development in Drosophila.</w:t>
      </w:r>
      <w:r w:rsidRPr="00A10EEA">
        <w:rPr>
          <w:rFonts w:ascii="Cambria" w:hAnsi="Cambria"/>
          <w:noProof/>
          <w:sz w:val="24"/>
        </w:rPr>
        <w:t xml:space="preserve"> </w:t>
      </w:r>
      <w:r w:rsidRPr="00A10EEA">
        <w:rPr>
          <w:rFonts w:ascii="Cambria" w:hAnsi="Cambria"/>
          <w:i/>
          <w:iCs/>
          <w:noProof/>
          <w:sz w:val="24"/>
        </w:rPr>
        <w:t>Sci Rep</w:t>
      </w:r>
      <w:r w:rsidRPr="00A10EEA">
        <w:rPr>
          <w:rFonts w:ascii="Cambria" w:hAnsi="Cambria"/>
          <w:noProof/>
          <w:sz w:val="24"/>
        </w:rPr>
        <w:t xml:space="preserve"> 2015, </w:t>
      </w:r>
      <w:r w:rsidRPr="00A10EEA">
        <w:rPr>
          <w:rFonts w:ascii="Cambria" w:hAnsi="Cambria"/>
          <w:b/>
          <w:bCs/>
          <w:noProof/>
          <w:sz w:val="24"/>
        </w:rPr>
        <w:t>5</w:t>
      </w:r>
      <w:r w:rsidRPr="00A10EEA">
        <w:rPr>
          <w:rFonts w:ascii="Cambria" w:hAnsi="Cambria"/>
          <w:noProof/>
          <w:sz w:val="24"/>
        </w:rPr>
        <w:t>:9676.</w:t>
      </w:r>
    </w:p>
    <w:p w14:paraId="1E8BA08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14. Erbay E, Chen J: </w:t>
      </w:r>
      <w:r w:rsidRPr="00A10EEA">
        <w:rPr>
          <w:rFonts w:ascii="Cambria" w:hAnsi="Cambria"/>
          <w:b/>
          <w:bCs/>
          <w:noProof/>
          <w:sz w:val="24"/>
        </w:rPr>
        <w:t>The mammalian target of rapamycin regulates C2C12 myogenesis via a kinase-independent mechanism.</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2001, </w:t>
      </w:r>
      <w:r w:rsidRPr="00A10EEA">
        <w:rPr>
          <w:rFonts w:ascii="Cambria" w:hAnsi="Cambria"/>
          <w:b/>
          <w:bCs/>
          <w:noProof/>
          <w:sz w:val="24"/>
        </w:rPr>
        <w:t>276</w:t>
      </w:r>
      <w:r w:rsidRPr="00A10EEA">
        <w:rPr>
          <w:rFonts w:ascii="Cambria" w:hAnsi="Cambria"/>
          <w:noProof/>
          <w:sz w:val="24"/>
        </w:rPr>
        <w:t>:36079–82.</w:t>
      </w:r>
    </w:p>
    <w:p w14:paraId="6D99D8DE"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15. Shah OJ, Wang Z, Hunter T: </w:t>
      </w:r>
      <w:r w:rsidRPr="00A10EEA">
        <w:rPr>
          <w:rFonts w:ascii="Cambria" w:hAnsi="Cambria"/>
          <w:b/>
          <w:bCs/>
          <w:noProof/>
          <w:sz w:val="24"/>
        </w:rPr>
        <w:t>Inappropriate activation of the TSC/Rheb/mTOR/S6K cassette induces IRS1/2 depletion, insulin resistance, and cell survival deficiencies.</w:t>
      </w:r>
      <w:r w:rsidRPr="00A10EEA">
        <w:rPr>
          <w:rFonts w:ascii="Cambria" w:hAnsi="Cambria"/>
          <w:noProof/>
          <w:sz w:val="24"/>
        </w:rPr>
        <w:t xml:space="preserve"> </w:t>
      </w:r>
      <w:r w:rsidRPr="00A10EEA">
        <w:rPr>
          <w:rFonts w:ascii="Cambria" w:hAnsi="Cambria"/>
          <w:i/>
          <w:iCs/>
          <w:noProof/>
          <w:sz w:val="24"/>
        </w:rPr>
        <w:t>Curr Biol</w:t>
      </w:r>
      <w:r w:rsidRPr="00A10EEA">
        <w:rPr>
          <w:rFonts w:ascii="Cambria" w:hAnsi="Cambria"/>
          <w:noProof/>
          <w:sz w:val="24"/>
        </w:rPr>
        <w:t xml:space="preserve"> 2004, </w:t>
      </w:r>
      <w:r w:rsidRPr="00A10EEA">
        <w:rPr>
          <w:rFonts w:ascii="Cambria" w:hAnsi="Cambria"/>
          <w:b/>
          <w:bCs/>
          <w:noProof/>
          <w:sz w:val="24"/>
        </w:rPr>
        <w:t>14</w:t>
      </w:r>
      <w:r w:rsidRPr="00A10EEA">
        <w:rPr>
          <w:rFonts w:ascii="Cambria" w:hAnsi="Cambria"/>
          <w:noProof/>
          <w:sz w:val="24"/>
        </w:rPr>
        <w:t>:1650–6.</w:t>
      </w:r>
    </w:p>
    <w:p w14:paraId="4221B2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16. DeFronzo RA, Ferrannini E, Sato Y, Felig P, Wahren J: </w:t>
      </w:r>
      <w:r w:rsidRPr="00A10EEA">
        <w:rPr>
          <w:rFonts w:ascii="Cambria" w:hAnsi="Cambria"/>
          <w:b/>
          <w:bCs/>
          <w:noProof/>
          <w:sz w:val="24"/>
        </w:rPr>
        <w:t>Synergistic interaction between exercise and insulin on peripheral glucose uptake.</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1981, </w:t>
      </w:r>
      <w:r w:rsidRPr="00A10EEA">
        <w:rPr>
          <w:rFonts w:ascii="Cambria" w:hAnsi="Cambria"/>
          <w:b/>
          <w:bCs/>
          <w:noProof/>
          <w:sz w:val="24"/>
        </w:rPr>
        <w:t>68</w:t>
      </w:r>
      <w:r w:rsidRPr="00A10EEA">
        <w:rPr>
          <w:rFonts w:ascii="Cambria" w:hAnsi="Cambria"/>
          <w:noProof/>
          <w:sz w:val="24"/>
        </w:rPr>
        <w:t>:1468–74.</w:t>
      </w:r>
    </w:p>
    <w:p w14:paraId="21CCFAB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17. Rolfe DF, Brown GC: </w:t>
      </w:r>
      <w:r w:rsidRPr="00A10EEA">
        <w:rPr>
          <w:rFonts w:ascii="Cambria" w:hAnsi="Cambria"/>
          <w:b/>
          <w:bCs/>
          <w:noProof/>
          <w:sz w:val="24"/>
        </w:rPr>
        <w:t>Cellular energy utilization and molecular origin of standard metabolic rate in mammals.</w:t>
      </w:r>
      <w:r w:rsidRPr="00A10EEA">
        <w:rPr>
          <w:rFonts w:ascii="Cambria" w:hAnsi="Cambria"/>
          <w:noProof/>
          <w:sz w:val="24"/>
        </w:rPr>
        <w:t xml:space="preserve"> </w:t>
      </w:r>
      <w:r w:rsidRPr="00A10EEA">
        <w:rPr>
          <w:rFonts w:ascii="Cambria" w:hAnsi="Cambria"/>
          <w:i/>
          <w:iCs/>
          <w:noProof/>
          <w:sz w:val="24"/>
        </w:rPr>
        <w:t>Physiol Rev</w:t>
      </w:r>
      <w:r w:rsidRPr="00A10EEA">
        <w:rPr>
          <w:rFonts w:ascii="Cambria" w:hAnsi="Cambria"/>
          <w:noProof/>
          <w:sz w:val="24"/>
        </w:rPr>
        <w:t xml:space="preserve"> 1997, </w:t>
      </w:r>
      <w:r w:rsidRPr="00A10EEA">
        <w:rPr>
          <w:rFonts w:ascii="Cambria" w:hAnsi="Cambria"/>
          <w:b/>
          <w:bCs/>
          <w:noProof/>
          <w:sz w:val="24"/>
        </w:rPr>
        <w:t>77</w:t>
      </w:r>
      <w:r w:rsidRPr="00A10EEA">
        <w:rPr>
          <w:rFonts w:ascii="Cambria" w:hAnsi="Cambria"/>
          <w:noProof/>
          <w:sz w:val="24"/>
        </w:rPr>
        <w:t>:731–758.</w:t>
      </w:r>
    </w:p>
    <w:p w14:paraId="4FBBDAC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18. Bentzinger CF, Romanino K, Cloëtta D, Lin S, Mascarenhas JB, Oliveri F, Xia J, Casanova E, Costa CF, Brink M, Zorzato F, Hall MN, Rüegg MA: </w:t>
      </w:r>
      <w:r w:rsidRPr="00A10EEA">
        <w:rPr>
          <w:rFonts w:ascii="Cambria" w:hAnsi="Cambria"/>
          <w:b/>
          <w:bCs/>
          <w:noProof/>
          <w:sz w:val="24"/>
        </w:rPr>
        <w:t>Skeletal muscle-specific ablation of raptor, but not of rictor, causes metabolic changes and results in muscle dystrophy.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2008, </w:t>
      </w:r>
      <w:r w:rsidRPr="00A10EEA">
        <w:rPr>
          <w:rFonts w:ascii="Cambria" w:hAnsi="Cambria"/>
          <w:b/>
          <w:bCs/>
          <w:noProof/>
          <w:sz w:val="24"/>
        </w:rPr>
        <w:t>8</w:t>
      </w:r>
      <w:r w:rsidRPr="00A10EEA">
        <w:rPr>
          <w:rFonts w:ascii="Cambria" w:hAnsi="Cambria"/>
          <w:noProof/>
          <w:sz w:val="24"/>
        </w:rPr>
        <w:t>:411–24.</w:t>
      </w:r>
    </w:p>
    <w:p w14:paraId="74C423DB"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A10EEA">
        <w:rPr>
          <w:rFonts w:ascii="Cambria" w:hAnsi="Cambria"/>
          <w:b/>
          <w:bCs/>
          <w:noProof/>
          <w:sz w:val="24"/>
        </w:rPr>
        <w:t>Muscle inactivation of mTOR causes metabolic and dystrophin defects leading to severe myopathy.</w:t>
      </w:r>
      <w:r w:rsidRPr="00A10EEA">
        <w:rPr>
          <w:rFonts w:ascii="Cambria" w:hAnsi="Cambria"/>
          <w:noProof/>
          <w:sz w:val="24"/>
        </w:rPr>
        <w:t xml:space="preserve"> </w:t>
      </w:r>
      <w:r w:rsidRPr="00A10EEA">
        <w:rPr>
          <w:rFonts w:ascii="Cambria" w:hAnsi="Cambria"/>
          <w:i/>
          <w:iCs/>
          <w:noProof/>
          <w:sz w:val="24"/>
        </w:rPr>
        <w:t>J Cell Biol</w:t>
      </w:r>
      <w:r w:rsidRPr="00A10EEA">
        <w:rPr>
          <w:rFonts w:ascii="Cambria" w:hAnsi="Cambria"/>
          <w:noProof/>
          <w:sz w:val="24"/>
        </w:rPr>
        <w:t xml:space="preserve"> 2009, </w:t>
      </w:r>
      <w:r w:rsidRPr="00A10EEA">
        <w:rPr>
          <w:rFonts w:ascii="Cambria" w:hAnsi="Cambria"/>
          <w:b/>
          <w:bCs/>
          <w:noProof/>
          <w:sz w:val="24"/>
        </w:rPr>
        <w:t>187</w:t>
      </w:r>
      <w:r w:rsidRPr="00A10EEA">
        <w:rPr>
          <w:rFonts w:ascii="Cambria" w:hAnsi="Cambria"/>
          <w:noProof/>
          <w:sz w:val="24"/>
        </w:rPr>
        <w:t>:859–74.</w:t>
      </w:r>
    </w:p>
    <w:p w14:paraId="23A0918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20. Bentzinger CF, Lin S, Romanino K, Castets P, Guridi M, Summermatter S, Handschin C, Tintignac LA, Hall MN, Rüegg MA: </w:t>
      </w:r>
      <w:r w:rsidRPr="00A10EEA">
        <w:rPr>
          <w:rFonts w:ascii="Cambria" w:hAnsi="Cambria"/>
          <w:b/>
          <w:bCs/>
          <w:noProof/>
          <w:sz w:val="24"/>
        </w:rPr>
        <w:t>Differential response of skeletal muscles to mTORC1 signaling during atrophy and hypertrophy.</w:t>
      </w:r>
      <w:r w:rsidRPr="00A10EEA">
        <w:rPr>
          <w:rFonts w:ascii="Cambria" w:hAnsi="Cambria"/>
          <w:noProof/>
          <w:sz w:val="24"/>
        </w:rPr>
        <w:t xml:space="preserve"> </w:t>
      </w:r>
      <w:r w:rsidRPr="00A10EEA">
        <w:rPr>
          <w:rFonts w:ascii="Cambria" w:hAnsi="Cambria"/>
          <w:i/>
          <w:iCs/>
          <w:noProof/>
          <w:sz w:val="24"/>
        </w:rPr>
        <w:t>Skelet Muscle</w:t>
      </w:r>
      <w:r w:rsidRPr="00A10EEA">
        <w:rPr>
          <w:rFonts w:ascii="Cambria" w:hAnsi="Cambria"/>
          <w:noProof/>
          <w:sz w:val="24"/>
        </w:rPr>
        <w:t xml:space="preserve"> 2013, </w:t>
      </w:r>
      <w:r w:rsidRPr="00A10EEA">
        <w:rPr>
          <w:rFonts w:ascii="Cambria" w:hAnsi="Cambria"/>
          <w:b/>
          <w:bCs/>
          <w:noProof/>
          <w:sz w:val="24"/>
        </w:rPr>
        <w:t>3</w:t>
      </w:r>
      <w:r w:rsidRPr="00A10EEA">
        <w:rPr>
          <w:rFonts w:ascii="Cambria" w:hAnsi="Cambria"/>
          <w:noProof/>
          <w:sz w:val="24"/>
        </w:rPr>
        <w:t>:6.</w:t>
      </w:r>
    </w:p>
    <w:p w14:paraId="61FBC36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21. Castets P, Lin S, Rion N, Di Fulvio S, Romanino K, Guridi M, Frank S, Tintignac LA a, Sinnreich M, Rüegg MA a, Di Fulvio S: </w:t>
      </w:r>
      <w:r w:rsidRPr="00A10EEA">
        <w:rPr>
          <w:rFonts w:ascii="Cambria" w:hAnsi="Cambria"/>
          <w:b/>
          <w:bCs/>
          <w:noProof/>
          <w:sz w:val="24"/>
        </w:rPr>
        <w:t>Sustained activation of mTORC1 in skeletal muscle inhibits constitutive and starvation-induced autophagy and causes a severe, late-onset myopathy.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17</w:t>
      </w:r>
      <w:r w:rsidRPr="00A10EEA">
        <w:rPr>
          <w:rFonts w:ascii="Cambria" w:hAnsi="Cambria"/>
          <w:noProof/>
          <w:sz w:val="24"/>
        </w:rPr>
        <w:t>:731–44.</w:t>
      </w:r>
    </w:p>
    <w:p w14:paraId="12834A3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22. Cunningham JT, Rodgers JT, Arlow DH, Vazquez F, Mootha VK, Puigserver P: </w:t>
      </w:r>
      <w:r w:rsidRPr="00A10EEA">
        <w:rPr>
          <w:rFonts w:ascii="Cambria" w:hAnsi="Cambria"/>
          <w:b/>
          <w:bCs/>
          <w:noProof/>
          <w:sz w:val="24"/>
        </w:rPr>
        <w:t>mTOR controls mitochondrial oxidative function through a YY1-PGC-1alpha transcriptional complex.</w:t>
      </w:r>
      <w:r w:rsidRPr="00A10EEA">
        <w:rPr>
          <w:rFonts w:ascii="Cambria" w:hAnsi="Cambria"/>
          <w:noProof/>
          <w:sz w:val="24"/>
        </w:rPr>
        <w:t xml:space="preserve"> </w:t>
      </w:r>
      <w:r w:rsidRPr="00A10EEA">
        <w:rPr>
          <w:rFonts w:ascii="Cambria" w:hAnsi="Cambria"/>
          <w:i/>
          <w:iCs/>
          <w:noProof/>
          <w:sz w:val="24"/>
        </w:rPr>
        <w:t>Nature</w:t>
      </w:r>
      <w:r w:rsidRPr="00A10EEA">
        <w:rPr>
          <w:rFonts w:ascii="Cambria" w:hAnsi="Cambria"/>
          <w:noProof/>
          <w:sz w:val="24"/>
        </w:rPr>
        <w:t xml:space="preserve"> 2007, </w:t>
      </w:r>
      <w:r w:rsidRPr="00A10EEA">
        <w:rPr>
          <w:rFonts w:ascii="Cambria" w:hAnsi="Cambria"/>
          <w:b/>
          <w:bCs/>
          <w:noProof/>
          <w:sz w:val="24"/>
        </w:rPr>
        <w:t>450</w:t>
      </w:r>
      <w:r w:rsidRPr="00A10EEA">
        <w:rPr>
          <w:rFonts w:ascii="Cambria" w:hAnsi="Cambria"/>
          <w:noProof/>
          <w:sz w:val="24"/>
        </w:rPr>
        <w:t>:736–740.</w:t>
      </w:r>
    </w:p>
    <w:p w14:paraId="51C1E722"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23. Ramanathan A, Schreiber SL: </w:t>
      </w:r>
      <w:r w:rsidRPr="00A10EEA">
        <w:rPr>
          <w:rFonts w:ascii="Cambria" w:hAnsi="Cambria"/>
          <w:b/>
          <w:bCs/>
          <w:noProof/>
          <w:sz w:val="24"/>
        </w:rPr>
        <w:t>Direct control of mitochondrial function by mTOR.</w:t>
      </w:r>
      <w:r w:rsidRPr="00A10EEA">
        <w:rPr>
          <w:rFonts w:ascii="Cambria" w:hAnsi="Cambria"/>
          <w:noProof/>
          <w:sz w:val="24"/>
        </w:rPr>
        <w:t xml:space="preserve"> </w:t>
      </w:r>
      <w:r w:rsidRPr="00A10EEA">
        <w:rPr>
          <w:rFonts w:ascii="Cambria" w:hAnsi="Cambria"/>
          <w:i/>
          <w:iCs/>
          <w:noProof/>
          <w:sz w:val="24"/>
        </w:rPr>
        <w:t>Proc Natl Acad Sci U S A</w:t>
      </w:r>
      <w:r w:rsidRPr="00A10EEA">
        <w:rPr>
          <w:rFonts w:ascii="Cambria" w:hAnsi="Cambria"/>
          <w:noProof/>
          <w:sz w:val="24"/>
        </w:rPr>
        <w:t xml:space="preserve"> 2009, </w:t>
      </w:r>
      <w:r w:rsidRPr="00A10EEA">
        <w:rPr>
          <w:rFonts w:ascii="Cambria" w:hAnsi="Cambria"/>
          <w:b/>
          <w:bCs/>
          <w:noProof/>
          <w:sz w:val="24"/>
        </w:rPr>
        <w:t>106</w:t>
      </w:r>
      <w:r w:rsidRPr="00A10EEA">
        <w:rPr>
          <w:rFonts w:ascii="Cambria" w:hAnsi="Cambria"/>
          <w:noProof/>
          <w:sz w:val="24"/>
        </w:rPr>
        <w:t>:22229–22232.</w:t>
      </w:r>
    </w:p>
    <w:p w14:paraId="16CCD913"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24. Koyanagi M, Asahara SI, Matsuda T, Hashimoto N, Shigeyama Y, Shibutani Y, Kanno A, Fuchita M, Mikami T, Hosooka T, Inoue H, Matsumoto M, Koike M, Uchiyama Y, Noda T, Seino S, Kasuga M, Kido Y: </w:t>
      </w:r>
      <w:r w:rsidRPr="00A10EEA">
        <w:rPr>
          <w:rFonts w:ascii="Cambria" w:hAnsi="Cambria"/>
          <w:b/>
          <w:bCs/>
          <w:noProof/>
          <w:sz w:val="24"/>
        </w:rPr>
        <w:t>Ablation of TSC2 enhances insulin secretion by increasing the number of mitochondria through activation of mTORC1</w:t>
      </w:r>
      <w:r w:rsidRPr="00A10EEA">
        <w:rPr>
          <w:rFonts w:ascii="Cambria" w:hAnsi="Cambria"/>
          <w:noProof/>
          <w:sz w:val="24"/>
        </w:rPr>
        <w:t xml:space="preserve">. </w:t>
      </w:r>
      <w:r w:rsidRPr="00A10EEA">
        <w:rPr>
          <w:rFonts w:ascii="Cambria" w:hAnsi="Cambria"/>
          <w:i/>
          <w:iCs/>
          <w:noProof/>
          <w:sz w:val="24"/>
        </w:rPr>
        <w:t>PLoS One</w:t>
      </w:r>
      <w:r w:rsidRPr="00A10EEA">
        <w:rPr>
          <w:rFonts w:ascii="Cambria" w:hAnsi="Cambria"/>
          <w:noProof/>
          <w:sz w:val="24"/>
        </w:rPr>
        <w:t xml:space="preserve"> 2011, </w:t>
      </w:r>
      <w:r w:rsidRPr="00A10EEA">
        <w:rPr>
          <w:rFonts w:ascii="Cambria" w:hAnsi="Cambria"/>
          <w:b/>
          <w:bCs/>
          <w:noProof/>
          <w:sz w:val="24"/>
        </w:rPr>
        <w:t>6</w:t>
      </w:r>
      <w:r w:rsidRPr="00A10EEA">
        <w:rPr>
          <w:rFonts w:ascii="Cambria" w:hAnsi="Cambria"/>
          <w:noProof/>
          <w:sz w:val="24"/>
        </w:rPr>
        <w:t>.</w:t>
      </w:r>
    </w:p>
    <w:p w14:paraId="4BB05996"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25. Fujita S, Dreyer HC, Drummond MJ, Glynn EL, Cadenas JG, Yoshizawa F, Volpi E, Rasmussen BB: </w:t>
      </w:r>
      <w:r w:rsidRPr="00A10EEA">
        <w:rPr>
          <w:rFonts w:ascii="Cambria" w:hAnsi="Cambria"/>
          <w:b/>
          <w:bCs/>
          <w:noProof/>
          <w:sz w:val="24"/>
        </w:rPr>
        <w:t>Nutrient signalling in the regulation of human muscle protein synthesis.</w:t>
      </w:r>
      <w:r w:rsidRPr="00A10EEA">
        <w:rPr>
          <w:rFonts w:ascii="Cambria" w:hAnsi="Cambria"/>
          <w:noProof/>
          <w:sz w:val="24"/>
        </w:rPr>
        <w:t xml:space="preserve"> </w:t>
      </w:r>
      <w:r w:rsidRPr="00A10EEA">
        <w:rPr>
          <w:rFonts w:ascii="Cambria" w:hAnsi="Cambria"/>
          <w:i/>
          <w:iCs/>
          <w:noProof/>
          <w:sz w:val="24"/>
        </w:rPr>
        <w:t>J Physiol</w:t>
      </w:r>
      <w:r w:rsidRPr="00A10EEA">
        <w:rPr>
          <w:rFonts w:ascii="Cambria" w:hAnsi="Cambria"/>
          <w:noProof/>
          <w:sz w:val="24"/>
        </w:rPr>
        <w:t xml:space="preserve"> 2007, </w:t>
      </w:r>
      <w:r w:rsidRPr="00A10EEA">
        <w:rPr>
          <w:rFonts w:ascii="Cambria" w:hAnsi="Cambria"/>
          <w:b/>
          <w:bCs/>
          <w:noProof/>
          <w:sz w:val="24"/>
        </w:rPr>
        <w:t>582</w:t>
      </w:r>
      <w:r w:rsidRPr="00A10EEA">
        <w:rPr>
          <w:rFonts w:ascii="Cambria" w:hAnsi="Cambria"/>
          <w:noProof/>
          <w:sz w:val="24"/>
        </w:rPr>
        <w:t>(Pt 2):813–23.</w:t>
      </w:r>
    </w:p>
    <w:p w14:paraId="4769A5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26. Cuthbertson D, Smith K, Babraj J, Leese G, Waddell T, Atherton P, Wackerhage H, Taylor PM, Rennie MJ: </w:t>
      </w:r>
      <w:r w:rsidRPr="00A10EEA">
        <w:rPr>
          <w:rFonts w:ascii="Cambria" w:hAnsi="Cambria"/>
          <w:b/>
          <w:bCs/>
          <w:noProof/>
          <w:sz w:val="24"/>
        </w:rPr>
        <w:t>Anabolic signaling deficits underlie amino acid resistance of wasting, aging muscle.</w:t>
      </w:r>
      <w:r w:rsidRPr="00A10EEA">
        <w:rPr>
          <w:rFonts w:ascii="Cambria" w:hAnsi="Cambria"/>
          <w:noProof/>
          <w:sz w:val="24"/>
        </w:rPr>
        <w:t xml:space="preserve"> </w:t>
      </w:r>
      <w:r w:rsidRPr="00A10EEA">
        <w:rPr>
          <w:rFonts w:ascii="Cambria" w:hAnsi="Cambria"/>
          <w:i/>
          <w:iCs/>
          <w:noProof/>
          <w:sz w:val="24"/>
        </w:rPr>
        <w:t>FASEB J</w:t>
      </w:r>
      <w:r w:rsidRPr="00A10EEA">
        <w:rPr>
          <w:rFonts w:ascii="Cambria" w:hAnsi="Cambria"/>
          <w:noProof/>
          <w:sz w:val="24"/>
        </w:rPr>
        <w:t xml:space="preserve"> 2005, </w:t>
      </w:r>
      <w:r w:rsidRPr="00A10EEA">
        <w:rPr>
          <w:rFonts w:ascii="Cambria" w:hAnsi="Cambria"/>
          <w:b/>
          <w:bCs/>
          <w:noProof/>
          <w:sz w:val="24"/>
        </w:rPr>
        <w:t>19</w:t>
      </w:r>
      <w:r w:rsidRPr="00A10EEA">
        <w:rPr>
          <w:rFonts w:ascii="Cambria" w:hAnsi="Cambria"/>
          <w:noProof/>
          <w:sz w:val="24"/>
        </w:rPr>
        <w:t>:422–424.</w:t>
      </w:r>
    </w:p>
    <w:p w14:paraId="3AF99A6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27. Tschöp MH, Speakman JR, Arch JRS, Auwerx J, Brüning JC, Chan L, Eckel RH, Farese R V, Galgani JE, Hambly C, Herman M a, Horvath TL, Kahn BB, Kozma SC, Maratos-Flier E, Müller TD, Münzberg H, Pfluger PT, Plum L, Reitman ML, Rahmouni K, Shulman GI, Thomas G, Kahn CR, Ravussin E: </w:t>
      </w:r>
      <w:r w:rsidRPr="00A10EEA">
        <w:rPr>
          <w:rFonts w:ascii="Cambria" w:hAnsi="Cambria"/>
          <w:b/>
          <w:bCs/>
          <w:noProof/>
          <w:sz w:val="24"/>
        </w:rPr>
        <w:t>A guide to analysis of mouse energy metabolism</w:t>
      </w:r>
      <w:r w:rsidRPr="00A10EEA">
        <w:rPr>
          <w:rFonts w:ascii="Cambria" w:hAnsi="Cambria"/>
          <w:noProof/>
          <w:sz w:val="24"/>
        </w:rPr>
        <w:t xml:space="preserve">. </w:t>
      </w:r>
      <w:r w:rsidRPr="00A10EEA">
        <w:rPr>
          <w:rFonts w:ascii="Cambria" w:hAnsi="Cambria"/>
          <w:i/>
          <w:iCs/>
          <w:noProof/>
          <w:sz w:val="24"/>
        </w:rPr>
        <w:t>Nat Methods</w:t>
      </w:r>
      <w:r w:rsidRPr="00A10EEA">
        <w:rPr>
          <w:rFonts w:ascii="Cambria" w:hAnsi="Cambria"/>
          <w:noProof/>
          <w:sz w:val="24"/>
        </w:rPr>
        <w:t xml:space="preserve"> 2011, </w:t>
      </w:r>
      <w:r w:rsidRPr="00A10EEA">
        <w:rPr>
          <w:rFonts w:ascii="Cambria" w:hAnsi="Cambria"/>
          <w:b/>
          <w:bCs/>
          <w:noProof/>
          <w:sz w:val="24"/>
        </w:rPr>
        <w:t>9</w:t>
      </w:r>
      <w:r w:rsidRPr="00A10EEA">
        <w:rPr>
          <w:rFonts w:ascii="Cambria" w:hAnsi="Cambria"/>
          <w:noProof/>
          <w:sz w:val="24"/>
        </w:rPr>
        <w:t>:57–63.</w:t>
      </w:r>
    </w:p>
    <w:p w14:paraId="14A5556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28. Hochberg I, Harvey I, Tran QT, Stephenson EJ, Barkan AL, Saltiel AR, Chandler WF, Bridges D: </w:t>
      </w:r>
      <w:r w:rsidRPr="00A10EEA">
        <w:rPr>
          <w:rFonts w:ascii="Cambria" w:hAnsi="Cambria"/>
          <w:b/>
          <w:bCs/>
          <w:noProof/>
          <w:sz w:val="24"/>
        </w:rPr>
        <w:t>Gene expression changes in subcutaneous adipose tissue due to Cushing’s disease</w:t>
      </w:r>
      <w:r w:rsidRPr="00A10EEA">
        <w:rPr>
          <w:rFonts w:ascii="Cambria" w:hAnsi="Cambria"/>
          <w:noProof/>
          <w:sz w:val="24"/>
        </w:rPr>
        <w:t xml:space="preserve">. </w:t>
      </w:r>
      <w:r w:rsidRPr="00A10EEA">
        <w:rPr>
          <w:rFonts w:ascii="Cambria" w:hAnsi="Cambria"/>
          <w:i/>
          <w:iCs/>
          <w:noProof/>
          <w:sz w:val="24"/>
        </w:rPr>
        <w:t>J Mol Endocrinol</w:t>
      </w:r>
      <w:r w:rsidRPr="00A10EEA">
        <w:rPr>
          <w:rFonts w:ascii="Cambria" w:hAnsi="Cambria"/>
          <w:noProof/>
          <w:sz w:val="24"/>
        </w:rPr>
        <w:t xml:space="preserve"> 2015, </w:t>
      </w:r>
      <w:r w:rsidRPr="00A10EEA">
        <w:rPr>
          <w:rFonts w:ascii="Cambria" w:hAnsi="Cambria"/>
          <w:b/>
          <w:bCs/>
          <w:noProof/>
          <w:sz w:val="24"/>
        </w:rPr>
        <w:t>55</w:t>
      </w:r>
      <w:r w:rsidRPr="00A10EEA">
        <w:rPr>
          <w:rFonts w:ascii="Cambria" w:hAnsi="Cambria"/>
          <w:noProof/>
          <w:sz w:val="24"/>
        </w:rPr>
        <w:t>:81–94.</w:t>
      </w:r>
    </w:p>
    <w:p w14:paraId="25CA578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29. Ayala JE, Bracy DP, McGuinness OP, Wasserman DH: </w:t>
      </w:r>
      <w:r w:rsidRPr="00A10EEA">
        <w:rPr>
          <w:rFonts w:ascii="Cambria" w:hAnsi="Cambria"/>
          <w:b/>
          <w:bCs/>
          <w:noProof/>
          <w:sz w:val="24"/>
        </w:rPr>
        <w:t>Considerations in the design of hyperinsulinemic-euglycemic clamps in the conscious mouse.</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2006, </w:t>
      </w:r>
      <w:r w:rsidRPr="00A10EEA">
        <w:rPr>
          <w:rFonts w:ascii="Cambria" w:hAnsi="Cambria"/>
          <w:b/>
          <w:bCs/>
          <w:noProof/>
          <w:sz w:val="24"/>
        </w:rPr>
        <w:t>55</w:t>
      </w:r>
      <w:r w:rsidRPr="00A10EEA">
        <w:rPr>
          <w:rFonts w:ascii="Cambria" w:hAnsi="Cambria"/>
          <w:noProof/>
          <w:sz w:val="24"/>
        </w:rPr>
        <w:t>:390–7.</w:t>
      </w:r>
    </w:p>
    <w:p w14:paraId="5E8C298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30. Cheng A, Zhang M, Gentry MS, Worby CA, Dixon JE, Saltiel AR: </w:t>
      </w:r>
      <w:r w:rsidRPr="00A10EEA">
        <w:rPr>
          <w:rFonts w:ascii="Cambria" w:hAnsi="Cambria"/>
          <w:b/>
          <w:bCs/>
          <w:noProof/>
          <w:sz w:val="24"/>
        </w:rPr>
        <w:t>A role for AGL ubiquitination in the glycogen storage disorders of Lafora and Cori’s disease.</w:t>
      </w:r>
      <w:r w:rsidRPr="00A10EEA">
        <w:rPr>
          <w:rFonts w:ascii="Cambria" w:hAnsi="Cambria"/>
          <w:noProof/>
          <w:sz w:val="24"/>
        </w:rPr>
        <w:t xml:space="preserve"> </w:t>
      </w:r>
      <w:r w:rsidRPr="00A10EEA">
        <w:rPr>
          <w:rFonts w:ascii="Cambria" w:hAnsi="Cambria"/>
          <w:i/>
          <w:iCs/>
          <w:noProof/>
          <w:sz w:val="24"/>
        </w:rPr>
        <w:t>Genes Dev</w:t>
      </w:r>
      <w:r w:rsidRPr="00A10EEA">
        <w:rPr>
          <w:rFonts w:ascii="Cambria" w:hAnsi="Cambria"/>
          <w:noProof/>
          <w:sz w:val="24"/>
        </w:rPr>
        <w:t xml:space="preserve"> 2007, </w:t>
      </w:r>
      <w:r w:rsidRPr="00A10EEA">
        <w:rPr>
          <w:rFonts w:ascii="Cambria" w:hAnsi="Cambria"/>
          <w:b/>
          <w:bCs/>
          <w:noProof/>
          <w:sz w:val="24"/>
        </w:rPr>
        <w:t>21</w:t>
      </w:r>
      <w:r w:rsidRPr="00A10EEA">
        <w:rPr>
          <w:rFonts w:ascii="Cambria" w:hAnsi="Cambria"/>
          <w:noProof/>
          <w:sz w:val="24"/>
        </w:rPr>
        <w:t>:2399–409.</w:t>
      </w:r>
    </w:p>
    <w:p w14:paraId="42224AA8"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31. Cheng A, Zhang M, Okubo M, Omichi K, Saltiel AR: </w:t>
      </w:r>
      <w:r w:rsidRPr="00A10EEA">
        <w:rPr>
          <w:rFonts w:ascii="Cambria" w:hAnsi="Cambria"/>
          <w:b/>
          <w:bCs/>
          <w:noProof/>
          <w:sz w:val="24"/>
        </w:rPr>
        <w:t>Distinct mutations in the glycogen debranching enzyme found in glycogen storage disease type III lead to impairment in diverse cellular functions.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2009, </w:t>
      </w:r>
      <w:r w:rsidRPr="00A10EEA">
        <w:rPr>
          <w:rFonts w:ascii="Cambria" w:hAnsi="Cambria"/>
          <w:b/>
          <w:bCs/>
          <w:noProof/>
          <w:sz w:val="24"/>
        </w:rPr>
        <w:t>18</w:t>
      </w:r>
      <w:r w:rsidRPr="00A10EEA">
        <w:rPr>
          <w:rFonts w:ascii="Cambria" w:hAnsi="Cambria"/>
          <w:noProof/>
          <w:sz w:val="24"/>
        </w:rPr>
        <w:t>:2045–52.</w:t>
      </w:r>
    </w:p>
    <w:p w14:paraId="3896D9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32. R Core Team: </w:t>
      </w:r>
      <w:r w:rsidRPr="00A10EEA">
        <w:rPr>
          <w:rFonts w:ascii="Cambria" w:hAnsi="Cambria"/>
          <w:b/>
          <w:bCs/>
          <w:noProof/>
          <w:sz w:val="24"/>
        </w:rPr>
        <w:t>R: A Language and Environment for Statistical Computing</w:t>
      </w:r>
      <w:r w:rsidRPr="00A10EEA">
        <w:rPr>
          <w:rFonts w:ascii="Cambria" w:hAnsi="Cambria"/>
          <w:noProof/>
          <w:sz w:val="24"/>
        </w:rPr>
        <w:t>. 2013.</w:t>
      </w:r>
    </w:p>
    <w:p w14:paraId="0E1D7F7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33. Bates D, Mächler M, Bolker B, Walker S: </w:t>
      </w:r>
      <w:r w:rsidRPr="00A10EEA">
        <w:rPr>
          <w:rFonts w:ascii="Cambria" w:hAnsi="Cambria"/>
          <w:b/>
          <w:bCs/>
          <w:noProof/>
          <w:sz w:val="24"/>
        </w:rPr>
        <w:t>Fitting Linear Mixed-Effects Models using lme4</w:t>
      </w:r>
      <w:r w:rsidRPr="00A10EEA">
        <w:rPr>
          <w:rFonts w:ascii="Cambria" w:hAnsi="Cambria"/>
          <w:noProof/>
          <w:sz w:val="24"/>
        </w:rPr>
        <w:t xml:space="preserve">. </w:t>
      </w:r>
      <w:r w:rsidRPr="00A10EEA">
        <w:rPr>
          <w:rFonts w:ascii="Cambria" w:hAnsi="Cambria"/>
          <w:i/>
          <w:iCs/>
          <w:noProof/>
          <w:sz w:val="24"/>
        </w:rPr>
        <w:t>ArXiv</w:t>
      </w:r>
      <w:r w:rsidRPr="00A10EEA">
        <w:rPr>
          <w:rFonts w:ascii="Cambria" w:hAnsi="Cambria"/>
          <w:noProof/>
          <w:sz w:val="24"/>
        </w:rPr>
        <w:t xml:space="preserve"> 2014, </w:t>
      </w:r>
      <w:r w:rsidRPr="00A10EEA">
        <w:rPr>
          <w:rFonts w:ascii="Cambria" w:hAnsi="Cambria"/>
          <w:b/>
          <w:bCs/>
          <w:noProof/>
          <w:sz w:val="24"/>
        </w:rPr>
        <w:t>1406.5823</w:t>
      </w:r>
      <w:r w:rsidRPr="00A10EEA">
        <w:rPr>
          <w:rFonts w:ascii="Cambria" w:hAnsi="Cambria"/>
          <w:noProof/>
          <w:sz w:val="24"/>
        </w:rPr>
        <w:t>:1–51.</w:t>
      </w:r>
    </w:p>
    <w:p w14:paraId="1CAF679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34. Benjamini Y, Hochberg Y: </w:t>
      </w:r>
      <w:r w:rsidRPr="00A10EEA">
        <w:rPr>
          <w:rFonts w:ascii="Cambria" w:hAnsi="Cambria"/>
          <w:b/>
          <w:bCs/>
          <w:noProof/>
          <w:sz w:val="24"/>
        </w:rPr>
        <w:t>Controlling the False Discovery Rate: A Practical and Powerful Approach to Multiple Testing</w:t>
      </w:r>
      <w:r w:rsidRPr="00A10EEA">
        <w:rPr>
          <w:rFonts w:ascii="Cambria" w:hAnsi="Cambria"/>
          <w:noProof/>
          <w:sz w:val="24"/>
        </w:rPr>
        <w:t xml:space="preserve">. </w:t>
      </w:r>
      <w:r w:rsidRPr="00A10EEA">
        <w:rPr>
          <w:rFonts w:ascii="Cambria" w:hAnsi="Cambria"/>
          <w:i/>
          <w:iCs/>
          <w:noProof/>
          <w:sz w:val="24"/>
        </w:rPr>
        <w:t>J R Stat Soc Ser B</w:t>
      </w:r>
      <w:r w:rsidRPr="00A10EEA">
        <w:rPr>
          <w:rFonts w:ascii="Cambria" w:hAnsi="Cambria"/>
          <w:noProof/>
          <w:sz w:val="24"/>
        </w:rPr>
        <w:t xml:space="preserve"> 1995, </w:t>
      </w:r>
      <w:r w:rsidRPr="00A10EEA">
        <w:rPr>
          <w:rFonts w:ascii="Cambria" w:hAnsi="Cambria"/>
          <w:b/>
          <w:bCs/>
          <w:noProof/>
          <w:sz w:val="24"/>
        </w:rPr>
        <w:t>57</w:t>
      </w:r>
      <w:r w:rsidRPr="00A10EEA">
        <w:rPr>
          <w:rFonts w:ascii="Cambria" w:hAnsi="Cambria"/>
          <w:noProof/>
          <w:sz w:val="24"/>
        </w:rPr>
        <w:t>:289–300.</w:t>
      </w:r>
    </w:p>
    <w:p w14:paraId="102625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35. Kwiatkowski DJ, Zhang H, Bandura JL, Heiberger KM, Glogauer M, el-Hashemite N, Onda H: </w:t>
      </w:r>
      <w:r w:rsidRPr="00A10EEA">
        <w:rPr>
          <w:rFonts w:ascii="Cambria" w:hAnsi="Cambria"/>
          <w:b/>
          <w:bCs/>
          <w:noProof/>
          <w:sz w:val="24"/>
        </w:rPr>
        <w:t>A mouse model of TSC1 reveals sex-dependent lethality from liver hemangiomas, and up-regulation of p70S6 kinase activity in Tsc1 null cells.</w:t>
      </w:r>
      <w:r w:rsidRPr="00A10EEA">
        <w:rPr>
          <w:rFonts w:ascii="Cambria" w:hAnsi="Cambria"/>
          <w:noProof/>
          <w:sz w:val="24"/>
        </w:rPr>
        <w:t xml:space="preserve"> </w:t>
      </w:r>
      <w:r w:rsidRPr="00A10EEA">
        <w:rPr>
          <w:rFonts w:ascii="Cambria" w:hAnsi="Cambria"/>
          <w:i/>
          <w:iCs/>
          <w:noProof/>
          <w:sz w:val="24"/>
        </w:rPr>
        <w:t>Hum Mol Genet</w:t>
      </w:r>
      <w:r w:rsidRPr="00A10EEA">
        <w:rPr>
          <w:rFonts w:ascii="Cambria" w:hAnsi="Cambria"/>
          <w:noProof/>
          <w:sz w:val="24"/>
        </w:rPr>
        <w:t xml:space="preserve"> 2002, </w:t>
      </w:r>
      <w:r w:rsidRPr="00A10EEA">
        <w:rPr>
          <w:rFonts w:ascii="Cambria" w:hAnsi="Cambria"/>
          <w:b/>
          <w:bCs/>
          <w:noProof/>
          <w:sz w:val="24"/>
        </w:rPr>
        <w:t>11</w:t>
      </w:r>
      <w:r w:rsidRPr="00A10EEA">
        <w:rPr>
          <w:rFonts w:ascii="Cambria" w:hAnsi="Cambria"/>
          <w:noProof/>
          <w:sz w:val="24"/>
        </w:rPr>
        <w:t>:525–34.</w:t>
      </w:r>
    </w:p>
    <w:p w14:paraId="228C0060"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36. Brüning JC, Michael MD, Winnay JN, Hayashi T, Hörsch D, Accili D, Goodyear LJ, Kahn CR: </w:t>
      </w:r>
      <w:r w:rsidRPr="00A10EEA">
        <w:rPr>
          <w:rFonts w:ascii="Cambria" w:hAnsi="Cambria"/>
          <w:b/>
          <w:bCs/>
          <w:noProof/>
          <w:sz w:val="24"/>
        </w:rPr>
        <w:t>A Muscle-Specific Insulin Receptor Knockout Exhibits Features of the Metabolic Syndrome of NIDDM without Altering Glucose Tolerance</w:t>
      </w:r>
      <w:r w:rsidRPr="00A10EEA">
        <w:rPr>
          <w:rFonts w:ascii="Cambria" w:hAnsi="Cambria"/>
          <w:noProof/>
          <w:sz w:val="24"/>
        </w:rPr>
        <w:t xml:space="preserve">. </w:t>
      </w:r>
      <w:r w:rsidRPr="00A10EEA">
        <w:rPr>
          <w:rFonts w:ascii="Cambria" w:hAnsi="Cambria"/>
          <w:i/>
          <w:iCs/>
          <w:noProof/>
          <w:sz w:val="24"/>
        </w:rPr>
        <w:t>Mol Cell</w:t>
      </w:r>
      <w:r w:rsidRPr="00A10EEA">
        <w:rPr>
          <w:rFonts w:ascii="Cambria" w:hAnsi="Cambria"/>
          <w:noProof/>
          <w:sz w:val="24"/>
        </w:rPr>
        <w:t xml:space="preserve"> 1998, </w:t>
      </w:r>
      <w:r w:rsidRPr="00A10EEA">
        <w:rPr>
          <w:rFonts w:ascii="Cambria" w:hAnsi="Cambria"/>
          <w:b/>
          <w:bCs/>
          <w:noProof/>
          <w:sz w:val="24"/>
        </w:rPr>
        <w:t>2</w:t>
      </w:r>
      <w:r w:rsidRPr="00A10EEA">
        <w:rPr>
          <w:rFonts w:ascii="Cambria" w:hAnsi="Cambria"/>
          <w:noProof/>
          <w:sz w:val="24"/>
        </w:rPr>
        <w:t>:559–569.</w:t>
      </w:r>
    </w:p>
    <w:p w14:paraId="6FF735D1"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37. Printen JA, Brady MJ, Saltiel AR: </w:t>
      </w:r>
      <w:r w:rsidRPr="00A10EEA">
        <w:rPr>
          <w:rFonts w:ascii="Cambria" w:hAnsi="Cambria"/>
          <w:b/>
          <w:bCs/>
          <w:noProof/>
          <w:sz w:val="24"/>
        </w:rPr>
        <w:t>PTG, a protein phosphatase 1-binding protein with a role in glycogen metabolism.</w:t>
      </w:r>
      <w:r w:rsidRPr="00A10EEA">
        <w:rPr>
          <w:rFonts w:ascii="Cambria" w:hAnsi="Cambria"/>
          <w:noProof/>
          <w:sz w:val="24"/>
        </w:rPr>
        <w:t xml:space="preserve"> </w:t>
      </w:r>
      <w:r w:rsidRPr="00A10EEA">
        <w:rPr>
          <w:rFonts w:ascii="Cambria" w:hAnsi="Cambria"/>
          <w:i/>
          <w:iCs/>
          <w:noProof/>
          <w:sz w:val="24"/>
        </w:rPr>
        <w:t>Science (80- )</w:t>
      </w:r>
      <w:r w:rsidRPr="00A10EEA">
        <w:rPr>
          <w:rFonts w:ascii="Cambria" w:hAnsi="Cambria"/>
          <w:noProof/>
          <w:sz w:val="24"/>
        </w:rPr>
        <w:t xml:space="preserve"> 1997, </w:t>
      </w:r>
      <w:r w:rsidRPr="00A10EEA">
        <w:rPr>
          <w:rFonts w:ascii="Cambria" w:hAnsi="Cambria"/>
          <w:b/>
          <w:bCs/>
          <w:noProof/>
          <w:sz w:val="24"/>
        </w:rPr>
        <w:t>275</w:t>
      </w:r>
      <w:r w:rsidRPr="00A10EEA">
        <w:rPr>
          <w:rFonts w:ascii="Cambria" w:hAnsi="Cambria"/>
          <w:noProof/>
          <w:sz w:val="24"/>
        </w:rPr>
        <w:t>:1475–8.</w:t>
      </w:r>
    </w:p>
    <w:p w14:paraId="79D8960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38. Goodpaster BH, He J, Watkins S, Kelley DE: </w:t>
      </w:r>
      <w:r w:rsidRPr="00A10EEA">
        <w:rPr>
          <w:rFonts w:ascii="Cambria" w:hAnsi="Cambria"/>
          <w:b/>
          <w:bCs/>
          <w:noProof/>
          <w:sz w:val="24"/>
        </w:rPr>
        <w:t>Skeletal muscle lipid content and insulin resistance: Evidence for a paradox in endurance-trained athletes</w:t>
      </w:r>
      <w:r w:rsidRPr="00A10EEA">
        <w:rPr>
          <w:rFonts w:ascii="Cambria" w:hAnsi="Cambria"/>
          <w:noProof/>
          <w:sz w:val="24"/>
        </w:rPr>
        <w:t xml:space="preserve">. </w:t>
      </w:r>
      <w:r w:rsidRPr="00A10EEA">
        <w:rPr>
          <w:rFonts w:ascii="Cambria" w:hAnsi="Cambria"/>
          <w:i/>
          <w:iCs/>
          <w:noProof/>
          <w:sz w:val="24"/>
        </w:rPr>
        <w:t>J Clin Endocrinol Metab</w:t>
      </w:r>
      <w:r w:rsidRPr="00A10EEA">
        <w:rPr>
          <w:rFonts w:ascii="Cambria" w:hAnsi="Cambria"/>
          <w:noProof/>
          <w:sz w:val="24"/>
        </w:rPr>
        <w:t xml:space="preserve"> 2001, </w:t>
      </w:r>
      <w:r w:rsidRPr="00A10EEA">
        <w:rPr>
          <w:rFonts w:ascii="Cambria" w:hAnsi="Cambria"/>
          <w:b/>
          <w:bCs/>
          <w:noProof/>
          <w:sz w:val="24"/>
        </w:rPr>
        <w:t>86</w:t>
      </w:r>
      <w:r w:rsidRPr="00A10EEA">
        <w:rPr>
          <w:rFonts w:ascii="Cambria" w:hAnsi="Cambria"/>
          <w:noProof/>
          <w:sz w:val="24"/>
        </w:rPr>
        <w:t>:5755–5761.</w:t>
      </w:r>
    </w:p>
    <w:p w14:paraId="050145C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39. Amati F, Dubé JJ, Alvarez-Carnero E, Edreira MM, Chomentowski P, Coen PM, Switzer GE, Bickel PE, Stefanovic-Racic M, Toledo FGS, Goodpaster BH: </w:t>
      </w:r>
      <w:r w:rsidRPr="00A10EEA">
        <w:rPr>
          <w:rFonts w:ascii="Cambria" w:hAnsi="Cambria"/>
          <w:b/>
          <w:bCs/>
          <w:noProof/>
          <w:sz w:val="24"/>
        </w:rPr>
        <w:t>Skeletal muscle triglycerides, diacylglycerols, and ceramides in insulin resistance: Another paradox in endurance-trained athletes?</w:t>
      </w:r>
      <w:r w:rsidRPr="00A10EEA">
        <w:rPr>
          <w:rFonts w:ascii="Cambria" w:hAnsi="Cambria"/>
          <w:noProof/>
          <w:sz w:val="24"/>
        </w:rPr>
        <w:t xml:space="preserve"> </w:t>
      </w:r>
      <w:r w:rsidRPr="00A10EEA">
        <w:rPr>
          <w:rFonts w:ascii="Cambria" w:hAnsi="Cambria"/>
          <w:i/>
          <w:iCs/>
          <w:noProof/>
          <w:sz w:val="24"/>
        </w:rPr>
        <w:t>Diabetes</w:t>
      </w:r>
      <w:r w:rsidRPr="00A10EEA">
        <w:rPr>
          <w:rFonts w:ascii="Cambria" w:hAnsi="Cambria"/>
          <w:noProof/>
          <w:sz w:val="24"/>
        </w:rPr>
        <w:t xml:space="preserve"> 2011, </w:t>
      </w:r>
      <w:r w:rsidRPr="00A10EEA">
        <w:rPr>
          <w:rFonts w:ascii="Cambria" w:hAnsi="Cambria"/>
          <w:b/>
          <w:bCs/>
          <w:noProof/>
          <w:sz w:val="24"/>
        </w:rPr>
        <w:t>60</w:t>
      </w:r>
      <w:r w:rsidRPr="00A10EEA">
        <w:rPr>
          <w:rFonts w:ascii="Cambria" w:hAnsi="Cambria"/>
          <w:noProof/>
          <w:sz w:val="24"/>
        </w:rPr>
        <w:t>:2588–2597.</w:t>
      </w:r>
    </w:p>
    <w:p w14:paraId="1CDE5057"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40. Philp A, Hamilton DL, Baar K: </w:t>
      </w:r>
      <w:r w:rsidRPr="00A10EEA">
        <w:rPr>
          <w:rFonts w:ascii="Cambria" w:hAnsi="Cambria"/>
          <w:b/>
          <w:bCs/>
          <w:noProof/>
          <w:sz w:val="24"/>
        </w:rPr>
        <w:t>Signals mediating skeletal muscle remodeling by resistance exercise: PI3-kinase independent activation of mTORC1.</w:t>
      </w:r>
      <w:r w:rsidRPr="00A10EEA">
        <w:rPr>
          <w:rFonts w:ascii="Cambria" w:hAnsi="Cambria"/>
          <w:noProof/>
          <w:sz w:val="24"/>
        </w:rPr>
        <w:t xml:space="preserve"> </w:t>
      </w:r>
      <w:r w:rsidRPr="00A10EEA">
        <w:rPr>
          <w:rFonts w:ascii="Cambria" w:hAnsi="Cambria"/>
          <w:i/>
          <w:iCs/>
          <w:noProof/>
          <w:sz w:val="24"/>
        </w:rPr>
        <w:t>J Appl Physiol</w:t>
      </w:r>
      <w:r w:rsidRPr="00A10EEA">
        <w:rPr>
          <w:rFonts w:ascii="Cambria" w:hAnsi="Cambria"/>
          <w:noProof/>
          <w:sz w:val="24"/>
        </w:rPr>
        <w:t xml:space="preserve"> 2011, </w:t>
      </w:r>
      <w:r w:rsidRPr="00A10EEA">
        <w:rPr>
          <w:rFonts w:ascii="Cambria" w:hAnsi="Cambria"/>
          <w:b/>
          <w:bCs/>
          <w:noProof/>
          <w:sz w:val="24"/>
        </w:rPr>
        <w:t>110</w:t>
      </w:r>
      <w:r w:rsidRPr="00A10EEA">
        <w:rPr>
          <w:rFonts w:ascii="Cambria" w:hAnsi="Cambria"/>
          <w:noProof/>
          <w:sz w:val="24"/>
        </w:rPr>
        <w:t>:561–8.</w:t>
      </w:r>
    </w:p>
    <w:p w14:paraId="17BCCECF"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41. Hamilton DL, Philp A, MacKenzie MG, Patton A, Towler MC, Gallagher IJ, Bodine SC, Baar K: </w:t>
      </w:r>
      <w:r w:rsidRPr="00A10EEA">
        <w:rPr>
          <w:rFonts w:ascii="Cambria" w:hAnsi="Cambria"/>
          <w:b/>
          <w:bCs/>
          <w:noProof/>
          <w:sz w:val="24"/>
        </w:rPr>
        <w:t>Molecular brakes regulating mTORC1 activation in skeletal muscle following synergist ablation.</w:t>
      </w:r>
      <w:r w:rsidRPr="00A10EEA">
        <w:rPr>
          <w:rFonts w:ascii="Cambria" w:hAnsi="Cambria"/>
          <w:noProof/>
          <w:sz w:val="24"/>
        </w:rPr>
        <w:t xml:space="preserve"> </w:t>
      </w:r>
      <w:r w:rsidRPr="00A10EEA">
        <w:rPr>
          <w:rFonts w:ascii="Cambria" w:hAnsi="Cambria"/>
          <w:i/>
          <w:iCs/>
          <w:noProof/>
          <w:sz w:val="24"/>
        </w:rPr>
        <w:t>Am J Physiol Endocrinol Metab</w:t>
      </w:r>
      <w:r w:rsidRPr="00A10EEA">
        <w:rPr>
          <w:rFonts w:ascii="Cambria" w:hAnsi="Cambria"/>
          <w:noProof/>
          <w:sz w:val="24"/>
        </w:rPr>
        <w:t xml:space="preserve"> 2014.</w:t>
      </w:r>
    </w:p>
    <w:p w14:paraId="41568D54"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42. Acheson KJ, Schutz Y, Bessard T, Anantharaman K, Flatt JP, Jequier E: </w:t>
      </w:r>
      <w:r w:rsidRPr="00A10EEA">
        <w:rPr>
          <w:rFonts w:ascii="Cambria" w:hAnsi="Cambria"/>
          <w:b/>
          <w:bCs/>
          <w:noProof/>
          <w:sz w:val="24"/>
        </w:rPr>
        <w:t>Glycoprotein storage capacity and de novo lipogenesis during massive carbohydrate overfeeding in man</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1988, </w:t>
      </w:r>
      <w:r w:rsidRPr="00A10EEA">
        <w:rPr>
          <w:rFonts w:ascii="Cambria" w:hAnsi="Cambria"/>
          <w:b/>
          <w:bCs/>
          <w:noProof/>
          <w:sz w:val="24"/>
        </w:rPr>
        <w:t>48</w:t>
      </w:r>
      <w:r w:rsidRPr="00A10EEA">
        <w:rPr>
          <w:rFonts w:ascii="Cambria" w:hAnsi="Cambria"/>
          <w:noProof/>
          <w:sz w:val="24"/>
        </w:rPr>
        <w:t>:240–247.</w:t>
      </w:r>
    </w:p>
    <w:p w14:paraId="307896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43. Ravussin E, Burnand B, Schutz Y, Jequier E: </w:t>
      </w:r>
      <w:r w:rsidRPr="00A10EEA">
        <w:rPr>
          <w:rFonts w:ascii="Cambria" w:hAnsi="Cambria"/>
          <w:b/>
          <w:bCs/>
          <w:noProof/>
          <w:sz w:val="24"/>
        </w:rPr>
        <w:t>Twenty-four-hour energy expenditure and resting metabolic rate in obese, moderately obese, and control subjects</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1982, </w:t>
      </w:r>
      <w:r w:rsidRPr="00A10EEA">
        <w:rPr>
          <w:rFonts w:ascii="Cambria" w:hAnsi="Cambria"/>
          <w:b/>
          <w:bCs/>
          <w:noProof/>
          <w:sz w:val="24"/>
        </w:rPr>
        <w:t>35</w:t>
      </w:r>
      <w:r w:rsidRPr="00A10EEA">
        <w:rPr>
          <w:rFonts w:ascii="Cambria" w:hAnsi="Cambria"/>
          <w:noProof/>
          <w:sz w:val="24"/>
        </w:rPr>
        <w:t>:566–573.</w:t>
      </w:r>
    </w:p>
    <w:p w14:paraId="1D3FD9A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44. Ravussin E, Lillioja S, Anderson TE, Christin L, Bogardus C: </w:t>
      </w:r>
      <w:r w:rsidRPr="00A10EEA">
        <w:rPr>
          <w:rFonts w:ascii="Cambria" w:hAnsi="Cambria"/>
          <w:b/>
          <w:bCs/>
          <w:noProof/>
          <w:sz w:val="24"/>
        </w:rPr>
        <w:t>Determinants of 24-hour energy expenditure in man. Methods and results using a respiratory chamber.</w:t>
      </w:r>
      <w:r w:rsidRPr="00A10EEA">
        <w:rPr>
          <w:rFonts w:ascii="Cambria" w:hAnsi="Cambria"/>
          <w:noProof/>
          <w:sz w:val="24"/>
        </w:rPr>
        <w:t xml:space="preserve"> </w:t>
      </w:r>
      <w:r w:rsidRPr="00A10EEA">
        <w:rPr>
          <w:rFonts w:ascii="Cambria" w:hAnsi="Cambria"/>
          <w:i/>
          <w:iCs/>
          <w:noProof/>
          <w:sz w:val="24"/>
        </w:rPr>
        <w:t>J Clin Invest</w:t>
      </w:r>
      <w:r w:rsidRPr="00A10EEA">
        <w:rPr>
          <w:rFonts w:ascii="Cambria" w:hAnsi="Cambria"/>
          <w:noProof/>
          <w:sz w:val="24"/>
        </w:rPr>
        <w:t xml:space="preserve"> 1986, </w:t>
      </w:r>
      <w:r w:rsidRPr="00A10EEA">
        <w:rPr>
          <w:rFonts w:ascii="Cambria" w:hAnsi="Cambria"/>
          <w:b/>
          <w:bCs/>
          <w:noProof/>
          <w:sz w:val="24"/>
        </w:rPr>
        <w:t>78</w:t>
      </w:r>
      <w:r w:rsidRPr="00A10EEA">
        <w:rPr>
          <w:rFonts w:ascii="Cambria" w:hAnsi="Cambria"/>
          <w:noProof/>
          <w:sz w:val="24"/>
        </w:rPr>
        <w:t>:1568–78.</w:t>
      </w:r>
    </w:p>
    <w:p w14:paraId="358E8955"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45. Delany JP, Kelley DE, Hames KC, Jakicic JM, Goodpaster BH: </w:t>
      </w:r>
      <w:r w:rsidRPr="00A10EEA">
        <w:rPr>
          <w:rFonts w:ascii="Cambria" w:hAnsi="Cambria"/>
          <w:b/>
          <w:bCs/>
          <w:noProof/>
          <w:sz w:val="24"/>
        </w:rPr>
        <w:t>High energy expenditure masks low physical activity in obesity.</w:t>
      </w:r>
      <w:r w:rsidRPr="00A10EEA">
        <w:rPr>
          <w:rFonts w:ascii="Cambria" w:hAnsi="Cambria"/>
          <w:noProof/>
          <w:sz w:val="24"/>
        </w:rPr>
        <w:t xml:space="preserve"> </w:t>
      </w:r>
      <w:r w:rsidRPr="00A10EEA">
        <w:rPr>
          <w:rFonts w:ascii="Cambria" w:hAnsi="Cambria"/>
          <w:i/>
          <w:iCs/>
          <w:noProof/>
          <w:sz w:val="24"/>
        </w:rPr>
        <w:t>Int J Obes (Lond)</w:t>
      </w:r>
      <w:r w:rsidRPr="00A10EEA">
        <w:rPr>
          <w:rFonts w:ascii="Cambria" w:hAnsi="Cambria"/>
          <w:noProof/>
          <w:sz w:val="24"/>
        </w:rPr>
        <w:t xml:space="preserve"> 2013, </w:t>
      </w:r>
      <w:r w:rsidRPr="00A10EEA">
        <w:rPr>
          <w:rFonts w:ascii="Cambria" w:hAnsi="Cambria"/>
          <w:b/>
          <w:bCs/>
          <w:noProof/>
          <w:sz w:val="24"/>
        </w:rPr>
        <w:t>37</w:t>
      </w:r>
      <w:r w:rsidRPr="00A10EEA">
        <w:rPr>
          <w:rFonts w:ascii="Cambria" w:hAnsi="Cambria"/>
          <w:noProof/>
          <w:sz w:val="24"/>
        </w:rPr>
        <w:t>:1006–11.</w:t>
      </w:r>
    </w:p>
    <w:p w14:paraId="3837404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46. Foster GD, Wyatt HR, Hill JO, McGuckin BG, Brill C, Mohammed BS, Szapary PO, Rader DJ, Edman JS, Klein S: </w:t>
      </w:r>
      <w:r w:rsidRPr="00A10EEA">
        <w:rPr>
          <w:rFonts w:ascii="Cambria" w:hAnsi="Cambria"/>
          <w:b/>
          <w:bCs/>
          <w:noProof/>
          <w:sz w:val="24"/>
        </w:rPr>
        <w:t>A randomized trial of a low-carbohydrate diet for obesity.</w:t>
      </w:r>
      <w:r w:rsidRPr="00A10EEA">
        <w:rPr>
          <w:rFonts w:ascii="Cambria" w:hAnsi="Cambria"/>
          <w:noProof/>
          <w:sz w:val="24"/>
        </w:rPr>
        <w:t xml:space="preserve"> </w:t>
      </w:r>
      <w:r w:rsidRPr="00A10EEA">
        <w:rPr>
          <w:rFonts w:ascii="Cambria" w:hAnsi="Cambria"/>
          <w:i/>
          <w:iCs/>
          <w:noProof/>
          <w:sz w:val="24"/>
        </w:rPr>
        <w:t>N Engl J Med</w:t>
      </w:r>
      <w:r w:rsidRPr="00A10EEA">
        <w:rPr>
          <w:rFonts w:ascii="Cambria" w:hAnsi="Cambria"/>
          <w:noProof/>
          <w:sz w:val="24"/>
        </w:rPr>
        <w:t xml:space="preserve"> 2003, </w:t>
      </w:r>
      <w:r w:rsidRPr="00A10EEA">
        <w:rPr>
          <w:rFonts w:ascii="Cambria" w:hAnsi="Cambria"/>
          <w:b/>
          <w:bCs/>
          <w:noProof/>
          <w:sz w:val="24"/>
        </w:rPr>
        <w:t>348</w:t>
      </w:r>
      <w:r w:rsidRPr="00A10EEA">
        <w:rPr>
          <w:rFonts w:ascii="Cambria" w:hAnsi="Cambria"/>
          <w:noProof/>
          <w:sz w:val="24"/>
        </w:rPr>
        <w:t>:2082–2090.</w:t>
      </w:r>
    </w:p>
    <w:p w14:paraId="3AAA62D9"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47. Hall KD, Bemis T, Brychta R, Chen KY, Courville A, Crayner EJ, Goodwin S, Guo J, Howard L, Knuth ND, Miller BV, Prado CM, Siervo M, Skarulis MC, Walter M, Walter PJ, Yannai L: </w:t>
      </w:r>
      <w:r w:rsidRPr="00A10EEA">
        <w:rPr>
          <w:rFonts w:ascii="Cambria" w:hAnsi="Cambria"/>
          <w:b/>
          <w:bCs/>
          <w:noProof/>
          <w:sz w:val="24"/>
        </w:rPr>
        <w:t>Calorie for Calorie, Dietary Fat Restriction Results in More Body Fat Loss than Carbohydrate Restriction in People with Obesity</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2015, </w:t>
      </w:r>
      <w:r w:rsidRPr="00A10EEA">
        <w:rPr>
          <w:rFonts w:ascii="Cambria" w:hAnsi="Cambria"/>
          <w:b/>
          <w:bCs/>
          <w:noProof/>
          <w:sz w:val="24"/>
        </w:rPr>
        <w:t>22</w:t>
      </w:r>
      <w:r w:rsidRPr="00A10EEA">
        <w:rPr>
          <w:rFonts w:ascii="Cambria" w:hAnsi="Cambria"/>
          <w:noProof/>
          <w:sz w:val="24"/>
        </w:rPr>
        <w:t>:427–436.</w:t>
      </w:r>
    </w:p>
    <w:p w14:paraId="359F045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48. Bray GA, Redman LM, de Jonge L, Covington J, Rood J, Brock C, Mancuso S, Martin CK, Smith SR: </w:t>
      </w:r>
      <w:r w:rsidRPr="00A10EEA">
        <w:rPr>
          <w:rFonts w:ascii="Cambria" w:hAnsi="Cambria"/>
          <w:b/>
          <w:bCs/>
          <w:noProof/>
          <w:sz w:val="24"/>
        </w:rPr>
        <w:t>Effect of protein overfeeding on energy expenditure measured in a metabolic chamber</w:t>
      </w:r>
      <w:r w:rsidRPr="00A10EEA">
        <w:rPr>
          <w:rFonts w:ascii="Cambria" w:hAnsi="Cambria"/>
          <w:noProof/>
          <w:sz w:val="24"/>
        </w:rPr>
        <w:t xml:space="preserve">. </w:t>
      </w:r>
      <w:r w:rsidRPr="00A10EEA">
        <w:rPr>
          <w:rFonts w:ascii="Cambria" w:hAnsi="Cambria"/>
          <w:i/>
          <w:iCs/>
          <w:noProof/>
          <w:sz w:val="24"/>
        </w:rPr>
        <w:t>Am J Clin Nutr</w:t>
      </w:r>
      <w:r w:rsidRPr="00A10EEA">
        <w:rPr>
          <w:rFonts w:ascii="Cambria" w:hAnsi="Cambria"/>
          <w:noProof/>
          <w:sz w:val="24"/>
        </w:rPr>
        <w:t xml:space="preserve"> 2015, </w:t>
      </w:r>
      <w:r w:rsidRPr="00A10EEA">
        <w:rPr>
          <w:rFonts w:ascii="Cambria" w:hAnsi="Cambria"/>
          <w:b/>
          <w:bCs/>
          <w:noProof/>
          <w:sz w:val="24"/>
        </w:rPr>
        <w:t>101</w:t>
      </w:r>
      <w:r w:rsidRPr="00A10EEA">
        <w:rPr>
          <w:rFonts w:ascii="Cambria" w:hAnsi="Cambria"/>
          <w:noProof/>
          <w:sz w:val="24"/>
        </w:rPr>
        <w:t>:496–505.</w:t>
      </w:r>
    </w:p>
    <w:p w14:paraId="30771BFC"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49. Morita M, Gravel SP, Chénard V, Sikström K, Zheng L, Alain T, Gandin V, Avizonis D, Arguello M, Zakaria C, McLaughlan S, Nouet Y, Pause A, Pollak M, Gottlieb E, Larsson O, St-Pierre J, Topisirovic I, Sonenberg N: </w:t>
      </w:r>
      <w:r w:rsidRPr="00A10EEA">
        <w:rPr>
          <w:rFonts w:ascii="Cambria" w:hAnsi="Cambria"/>
          <w:b/>
          <w:bCs/>
          <w:noProof/>
          <w:sz w:val="24"/>
        </w:rPr>
        <w:t>MTORC1 controls mitochondrial activity and biogenesis through 4E-BP-dependent translational regulation</w:t>
      </w:r>
      <w:r w:rsidRPr="00A10EEA">
        <w:rPr>
          <w:rFonts w:ascii="Cambria" w:hAnsi="Cambria"/>
          <w:noProof/>
          <w:sz w:val="24"/>
        </w:rPr>
        <w:t xml:space="preserve">. </w:t>
      </w:r>
      <w:r w:rsidRPr="00A10EEA">
        <w:rPr>
          <w:rFonts w:ascii="Cambria" w:hAnsi="Cambria"/>
          <w:i/>
          <w:iCs/>
          <w:noProof/>
          <w:sz w:val="24"/>
        </w:rPr>
        <w:t>Cell Metab</w:t>
      </w:r>
      <w:r w:rsidRPr="00A10EEA">
        <w:rPr>
          <w:rFonts w:ascii="Cambria" w:hAnsi="Cambria"/>
          <w:noProof/>
          <w:sz w:val="24"/>
        </w:rPr>
        <w:t xml:space="preserve"> 2013, </w:t>
      </w:r>
      <w:r w:rsidRPr="00A10EEA">
        <w:rPr>
          <w:rFonts w:ascii="Cambria" w:hAnsi="Cambria"/>
          <w:b/>
          <w:bCs/>
          <w:noProof/>
          <w:sz w:val="24"/>
        </w:rPr>
        <w:t>18</w:t>
      </w:r>
      <w:r w:rsidRPr="00A10EEA">
        <w:rPr>
          <w:rFonts w:ascii="Cambria" w:hAnsi="Cambria"/>
          <w:noProof/>
          <w:sz w:val="24"/>
        </w:rPr>
        <w:t>:698–711.</w:t>
      </w:r>
    </w:p>
    <w:p w14:paraId="64794EDD" w14:textId="77777777" w:rsidR="00A10EEA" w:rsidRPr="00A10EEA" w:rsidRDefault="00A10EEA">
      <w:pPr>
        <w:pStyle w:val="NormalWeb"/>
        <w:divId w:val="506797119"/>
        <w:rPr>
          <w:rFonts w:ascii="Cambria" w:hAnsi="Cambria"/>
          <w:noProof/>
          <w:sz w:val="24"/>
        </w:rPr>
      </w:pPr>
      <w:r w:rsidRPr="00A10EEA">
        <w:rPr>
          <w:rFonts w:ascii="Cambria" w:hAnsi="Cambria"/>
          <w:noProof/>
          <w:sz w:val="24"/>
        </w:rPr>
        <w:t xml:space="preserve">50. Ibrahimi A, Bonen A, Blinn WD, Hajri T, Li X, Zhong K, Cameron R, Abumrad NA: </w:t>
      </w:r>
      <w:r w:rsidRPr="00A10EEA">
        <w:rPr>
          <w:rFonts w:ascii="Cambria" w:hAnsi="Cambria"/>
          <w:b/>
          <w:bCs/>
          <w:noProof/>
          <w:sz w:val="24"/>
        </w:rPr>
        <w:t>Muscle-specific Overexpression of FAT/CD36 Enhances Fatty Acid Oxidation by Contracting Muscle, Reduces Plasma Triglycerides and Fatty Acids, and Increases Plasma Glucose and Insulin</w:t>
      </w:r>
      <w:r w:rsidRPr="00A10EEA">
        <w:rPr>
          <w:rFonts w:ascii="Cambria" w:hAnsi="Cambria"/>
          <w:noProof/>
          <w:sz w:val="24"/>
        </w:rPr>
        <w:t xml:space="preserve">. </w:t>
      </w:r>
      <w:r w:rsidRPr="00A10EEA">
        <w:rPr>
          <w:rFonts w:ascii="Cambria" w:hAnsi="Cambria"/>
          <w:i/>
          <w:iCs/>
          <w:noProof/>
          <w:sz w:val="24"/>
        </w:rPr>
        <w:t>J Biol Chem</w:t>
      </w:r>
      <w:r w:rsidRPr="00A10EEA">
        <w:rPr>
          <w:rFonts w:ascii="Cambria" w:hAnsi="Cambria"/>
          <w:noProof/>
          <w:sz w:val="24"/>
        </w:rPr>
        <w:t xml:space="preserve"> 1999, </w:t>
      </w:r>
      <w:r w:rsidRPr="00A10EEA">
        <w:rPr>
          <w:rFonts w:ascii="Cambria" w:hAnsi="Cambria"/>
          <w:b/>
          <w:bCs/>
          <w:noProof/>
          <w:sz w:val="24"/>
        </w:rPr>
        <w:t>274</w:t>
      </w:r>
      <w:r w:rsidRPr="00A10EEA">
        <w:rPr>
          <w:rFonts w:ascii="Cambria" w:hAnsi="Cambria"/>
          <w:noProof/>
          <w:sz w:val="24"/>
        </w:rPr>
        <w:t xml:space="preserve">:26761–26766. </w:t>
      </w:r>
    </w:p>
    <w:p w14:paraId="22D37FF9" w14:textId="49A3FE96" w:rsidR="00871236" w:rsidRPr="00871236" w:rsidRDefault="00871236" w:rsidP="00A10EEA">
      <w:pPr>
        <w:pStyle w:val="NormalWeb"/>
        <w:divId w:val="2129540701"/>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proofErr w:type="gramStart"/>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roofErr w:type="gramEnd"/>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 xml:space="preserve">fer and blotted as indicated.  </w:t>
      </w:r>
      <w:proofErr w:type="gramStart"/>
      <w:r w:rsidR="006C7920">
        <w:t>B)  Quantification</w:t>
      </w:r>
      <w:proofErr w:type="gramEnd"/>
      <w:r w:rsidR="006C7920">
        <w:t xml:space="preserve">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7C0FAF" w:rsidRDefault="007C0FAF">
      <w:pPr>
        <w:pStyle w:val="CommentText"/>
      </w:pPr>
      <w:r>
        <w:rPr>
          <w:rStyle w:val="CommentReference"/>
        </w:rPr>
        <w:annotationRef/>
      </w:r>
      <w:proofErr w:type="spellStart"/>
      <w:r>
        <w:t>JeAnna</w:t>
      </w:r>
      <w:proofErr w:type="spellEnd"/>
      <w:r>
        <w:t xml:space="preserve"> can you find out the stock number for the normal chow diets</w:t>
      </w:r>
    </w:p>
  </w:comment>
  <w:comment w:id="1" w:author="Dave Bridges" w:date="2015-09-11T08:32:00Z" w:initials="DB">
    <w:p w14:paraId="77AA8E39" w14:textId="0B263673" w:rsidR="007C0FAF" w:rsidRDefault="007C0FAF">
      <w:pPr>
        <w:pStyle w:val="CommentText"/>
      </w:pPr>
      <w:r>
        <w:rPr>
          <w:rStyle w:val="CommentReference"/>
        </w:rPr>
        <w:annotationRef/>
      </w:r>
      <w:r>
        <w:t>Innocence can you add the Stock number</w:t>
      </w:r>
    </w:p>
  </w:comment>
  <w:comment w:id="2" w:author="Dave Bridges" w:date="2015-09-11T08:32:00Z" w:initials="DB">
    <w:p w14:paraId="0B51BC07" w14:textId="54039498" w:rsidR="007C0FAF" w:rsidRDefault="007C0FAF">
      <w:pPr>
        <w:pStyle w:val="CommentText"/>
      </w:pPr>
      <w:r>
        <w:rPr>
          <w:rStyle w:val="CommentReference"/>
        </w:rPr>
        <w:annotationRef/>
      </w:r>
      <w:r>
        <w:t>Innocence, Stock number</w:t>
      </w:r>
    </w:p>
  </w:comment>
  <w:comment w:id="3" w:author="Dave Bridges" w:date="2015-12-18T16:04:00Z" w:initials="DB">
    <w:p w14:paraId="035440B0" w14:textId="479E538E" w:rsidR="007C0FAF" w:rsidRDefault="007C0FAF">
      <w:pPr>
        <w:pStyle w:val="CommentText"/>
      </w:pPr>
      <w:r>
        <w:rPr>
          <w:rStyle w:val="CommentReference"/>
        </w:rPr>
        <w:annotationRef/>
      </w:r>
      <w:r>
        <w:t xml:space="preserve">Erin, please update this to reflect the timing of the </w:t>
      </w:r>
      <w:proofErr w:type="spellStart"/>
      <w:r>
        <w:t>rapamycin</w:t>
      </w:r>
      <w:proofErr w:type="spellEnd"/>
      <w:r>
        <w:t>/CLAMS experiment</w:t>
      </w:r>
    </w:p>
  </w:comment>
  <w:comment w:id="4" w:author="Dave Bridges" w:date="2015-11-04T11:16:00Z" w:initials="DB">
    <w:p w14:paraId="66F4A2D5" w14:textId="0296B80E" w:rsidR="007C0FAF" w:rsidRDefault="007C0FAF">
      <w:pPr>
        <w:pStyle w:val="CommentText"/>
      </w:pPr>
      <w:r>
        <w:rPr>
          <w:rStyle w:val="CommentReference"/>
        </w:rPr>
        <w:annotationRef/>
      </w:r>
      <w:r>
        <w:t>Check this</w:t>
      </w:r>
    </w:p>
  </w:comment>
  <w:comment w:id="5" w:author="Dave Bridges" w:date="2015-09-09T12:44:00Z" w:initials="DB">
    <w:p w14:paraId="5273682B" w14:textId="4A95EA17" w:rsidR="007C0FAF" w:rsidRDefault="007C0FAF">
      <w:pPr>
        <w:pStyle w:val="CommentText"/>
      </w:pPr>
      <w:r>
        <w:rPr>
          <w:rStyle w:val="CommentReference"/>
        </w:rPr>
        <w:annotationRef/>
      </w:r>
      <w:r>
        <w:t>Need to write this in</w:t>
      </w:r>
    </w:p>
  </w:comment>
  <w:comment w:id="6" w:author="Dave Bridges" w:date="2015-09-08T07:44:00Z" w:initials="DB">
    <w:p w14:paraId="1B8D7A93" w14:textId="673ED745" w:rsidR="007C0FAF" w:rsidRDefault="007C0FAF">
      <w:pPr>
        <w:pStyle w:val="CommentText"/>
      </w:pPr>
      <w:r>
        <w:rPr>
          <w:rStyle w:val="CommentReference"/>
        </w:rPr>
        <w:annotationRef/>
      </w:r>
      <w:r>
        <w:t>We should try to do histology of these fat pads, and quantify cell size and number.</w:t>
      </w:r>
    </w:p>
  </w:comment>
  <w:comment w:id="7" w:author="Dave Bridges" w:date="2015-11-04T10:40:00Z" w:initials="DB">
    <w:p w14:paraId="3CB839E8" w14:textId="581854A5" w:rsidR="007C0FAF" w:rsidRDefault="007C0FAF">
      <w:pPr>
        <w:pStyle w:val="CommentText"/>
      </w:pPr>
      <w:r>
        <w:rPr>
          <w:rStyle w:val="CommentReference"/>
        </w:rPr>
        <w:annotationRef/>
      </w:r>
      <w:r>
        <w:t>Fold change and p</w:t>
      </w:r>
    </w:p>
  </w:comment>
  <w:comment w:id="8" w:author="Dave Bridges" w:date="2015-09-09T12:43:00Z" w:initials="DB">
    <w:p w14:paraId="5805DF2D" w14:textId="21D75E87" w:rsidR="007C0FAF" w:rsidRDefault="007C0FAF">
      <w:pPr>
        <w:pStyle w:val="CommentText"/>
      </w:pPr>
      <w:r>
        <w:rPr>
          <w:rStyle w:val="CommentReference"/>
        </w:rPr>
        <w:annotationRef/>
      </w:r>
      <w:r>
        <w:t xml:space="preserve">We never published the data on </w:t>
      </w:r>
      <w:proofErr w:type="spellStart"/>
      <w:r>
        <w:t>Triglcyeride</w:t>
      </w:r>
      <w:proofErr w:type="spellEnd"/>
      <w:r>
        <w:t xml:space="preserve"> elevations being due to SREBP1c in the MEFs, so we could probably put that in here.</w:t>
      </w:r>
    </w:p>
  </w:comment>
  <w:comment w:id="9" w:author="Dave Bridges" w:date="2015-09-11T08:14:00Z" w:initials="DB">
    <w:p w14:paraId="76D50CC8" w14:textId="7D7893E8" w:rsidR="007C0FAF" w:rsidRDefault="007C0FAF">
      <w:pPr>
        <w:pStyle w:val="CommentText"/>
      </w:pPr>
      <w:r>
        <w:rPr>
          <w:rStyle w:val="CommentReference"/>
        </w:rPr>
        <w:annotationRef/>
      </w:r>
      <w:r>
        <w:t xml:space="preserve">We have </w:t>
      </w:r>
      <w:proofErr w:type="spellStart"/>
      <w:r>
        <w:t>qPCR</w:t>
      </w:r>
      <w:proofErr w:type="spellEnd"/>
      <w:r>
        <w:t xml:space="preserve"> data showing elevated PTG mRNA in these muscles, but that’s duplicated in the </w:t>
      </w:r>
      <w:proofErr w:type="spellStart"/>
      <w:r>
        <w:t>RNAseq</w:t>
      </w:r>
      <w:proofErr w:type="spellEnd"/>
      <w:r>
        <w:t xml:space="preserve"> data before.  </w:t>
      </w:r>
    </w:p>
  </w:comment>
  <w:comment w:id="10" w:author="Dave Bridges" w:date="2015-08-03T08:05:00Z" w:initials="DB">
    <w:p w14:paraId="73DF81C3" w14:textId="0694CCD8" w:rsidR="007C0FAF" w:rsidRDefault="007C0FAF">
      <w:pPr>
        <w:pStyle w:val="CommentText"/>
      </w:pPr>
      <w:r>
        <w:rPr>
          <w:rStyle w:val="CommentReference"/>
        </w:rPr>
        <w:annotationRef/>
      </w:r>
      <w:r>
        <w:t>Get this data</w:t>
      </w:r>
    </w:p>
  </w:comment>
  <w:comment w:id="11" w:author="Dave Bridges" w:date="2015-12-18T16:07:00Z" w:initials="DB">
    <w:p w14:paraId="6DC4FAE4" w14:textId="323FC536" w:rsidR="007C0FAF" w:rsidRDefault="007C0FAF">
      <w:pPr>
        <w:pStyle w:val="CommentText"/>
      </w:pPr>
      <w:r>
        <w:rPr>
          <w:rStyle w:val="CommentReference"/>
        </w:rPr>
        <w:annotationRef/>
      </w:r>
      <w:r>
        <w:t>Remove if we don’t discuss insulin sensitivity</w:t>
      </w:r>
    </w:p>
  </w:comment>
  <w:comment w:id="13" w:author="Dave Bridges" w:date="2015-09-08T08:54:00Z" w:initials="DB">
    <w:p w14:paraId="4C23780D" w14:textId="448DA0A4" w:rsidR="007C0FAF" w:rsidRDefault="007C0FAF">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7C0FAF" w:rsidRDefault="007C0FAF" w:rsidP="00907F04">
      <w:r>
        <w:separator/>
      </w:r>
    </w:p>
  </w:endnote>
  <w:endnote w:type="continuationSeparator" w:id="0">
    <w:p w14:paraId="22470711" w14:textId="77777777" w:rsidR="007C0FAF" w:rsidRDefault="007C0FA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7C0FAF" w:rsidRDefault="007C0FA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7C0FAF" w:rsidRDefault="007C0F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7C0FAF" w:rsidRDefault="007C0FA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55BE">
      <w:rPr>
        <w:rStyle w:val="PageNumber"/>
        <w:noProof/>
      </w:rPr>
      <w:t>13</w:t>
    </w:r>
    <w:r>
      <w:rPr>
        <w:rStyle w:val="PageNumber"/>
      </w:rPr>
      <w:fldChar w:fldCharType="end"/>
    </w:r>
  </w:p>
  <w:p w14:paraId="493E31A3" w14:textId="77777777" w:rsidR="007C0FAF" w:rsidRDefault="007C0F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7C0FAF" w:rsidRDefault="007C0FAF" w:rsidP="00907F04">
      <w:r>
        <w:separator/>
      </w:r>
    </w:p>
  </w:footnote>
  <w:footnote w:type="continuationSeparator" w:id="0">
    <w:p w14:paraId="268D88E6" w14:textId="77777777" w:rsidR="007C0FAF" w:rsidRDefault="007C0FAF"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13A4"/>
    <w:rsid w:val="00002EA6"/>
    <w:rsid w:val="00037C8C"/>
    <w:rsid w:val="00062D30"/>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1510C"/>
    <w:rsid w:val="0014290F"/>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48CF"/>
    <w:rsid w:val="00266DA2"/>
    <w:rsid w:val="00275E69"/>
    <w:rsid w:val="002A7B4B"/>
    <w:rsid w:val="002B4B3F"/>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55BE"/>
    <w:rsid w:val="0046122A"/>
    <w:rsid w:val="00496EF3"/>
    <w:rsid w:val="004A2F25"/>
    <w:rsid w:val="004A33CD"/>
    <w:rsid w:val="004B4BBE"/>
    <w:rsid w:val="004C18FC"/>
    <w:rsid w:val="004C5CD7"/>
    <w:rsid w:val="004C6C48"/>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A11B9"/>
    <w:rsid w:val="008B795B"/>
    <w:rsid w:val="008C44ED"/>
    <w:rsid w:val="008E07CF"/>
    <w:rsid w:val="009010AA"/>
    <w:rsid w:val="00901963"/>
    <w:rsid w:val="00907F04"/>
    <w:rsid w:val="00931A46"/>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84192"/>
    <w:rsid w:val="00A85F86"/>
    <w:rsid w:val="00A86399"/>
    <w:rsid w:val="00A922D2"/>
    <w:rsid w:val="00AB3D88"/>
    <w:rsid w:val="00AC305E"/>
    <w:rsid w:val="00AC53AD"/>
    <w:rsid w:val="00AC73D9"/>
    <w:rsid w:val="00AE30D5"/>
    <w:rsid w:val="00AF0847"/>
    <w:rsid w:val="00B10A19"/>
    <w:rsid w:val="00B1423F"/>
    <w:rsid w:val="00B20F63"/>
    <w:rsid w:val="00B3409A"/>
    <w:rsid w:val="00B4522B"/>
    <w:rsid w:val="00B77490"/>
    <w:rsid w:val="00B80ABE"/>
    <w:rsid w:val="00B83F46"/>
    <w:rsid w:val="00B90CD2"/>
    <w:rsid w:val="00B91EDD"/>
    <w:rsid w:val="00BC2B3A"/>
    <w:rsid w:val="00C10DEF"/>
    <w:rsid w:val="00C13E13"/>
    <w:rsid w:val="00C4123A"/>
    <w:rsid w:val="00C50D02"/>
    <w:rsid w:val="00C6712D"/>
    <w:rsid w:val="00C913F9"/>
    <w:rsid w:val="00CB219E"/>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11C5F"/>
    <w:rsid w:val="00E22913"/>
    <w:rsid w:val="00E2598A"/>
    <w:rsid w:val="00E26D9D"/>
    <w:rsid w:val="00E32EF3"/>
    <w:rsid w:val="00E35E47"/>
    <w:rsid w:val="00E447C3"/>
    <w:rsid w:val="00E522BC"/>
    <w:rsid w:val="00E83625"/>
    <w:rsid w:val="00E93970"/>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51B7"/>
    <w:rsid w:val="00FA15D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13</Pages>
  <Words>34975</Words>
  <Characters>199362</Characters>
  <Application>Microsoft Macintosh Word</Application>
  <DocSecurity>0</DocSecurity>
  <Lines>1661</Lines>
  <Paragraphs>467</Paragraphs>
  <ScaleCrop>false</ScaleCrop>
  <Company>UT-HSC</Company>
  <LinksUpToDate>false</LinksUpToDate>
  <CharactersWithSpaces>233870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169</cp:revision>
  <cp:lastPrinted>2015-09-08T14:05:00Z</cp:lastPrinted>
  <dcterms:created xsi:type="dcterms:W3CDTF">2015-07-01T15:40:00Z</dcterms:created>
  <dcterms:modified xsi:type="dcterms:W3CDTF">2015-12-18T22:25:00Z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