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7"/>
      <w:r w:rsidR="00502BBA">
        <w:t xml:space="preserve">vehicle </w:t>
      </w:r>
      <w:commentRangeEnd w:id="7"/>
      <w:r w:rsidR="00502BBA">
        <w:rPr>
          <w:rStyle w:val="CommentReference"/>
        </w:rPr>
        <w:commentReference w:id="7"/>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w:t>
      </w:r>
      <w:r w:rsidR="001A7E83">
        <w:lastRenderedPageBreak/>
        <w:t xml:space="preserve">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8"/>
      <w:proofErr w:type="spellStart"/>
      <w:r>
        <w:t>RNAseq</w:t>
      </w:r>
      <w:proofErr w:type="spellEnd"/>
      <w:r>
        <w:t xml:space="preserve">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lastRenderedPageBreak/>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1"/>
      <w:r w:rsidR="00C64A2D">
        <w:t>Figure 1E</w:t>
      </w:r>
      <w:commentRangeEnd w:id="11"/>
      <w:r w:rsidR="00C64A2D">
        <w:rPr>
          <w:rStyle w:val="CommentReference"/>
        </w:rPr>
        <w:commentReference w:id="11"/>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62FE7569"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 </w:t>
      </w:r>
      <w:r w:rsidR="00DE6A31">
        <w:t>42% reduction</w:t>
      </w:r>
      <w:r w:rsidR="0087648E">
        <w:t xml:space="preserve"> of fat mass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bookmarkStart w:id="12" w:name="_GoBack"/>
      <w:bookmarkEnd w:id="12"/>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ep</w:t>
      </w:r>
      <w:r w:rsidR="004369E3">
        <w:t>i</w:t>
      </w:r>
      <w:r w:rsidR="0087648E">
        <w:t>didymal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3"/>
      <w:r>
        <w:t xml:space="preserve">resistant </w:t>
      </w:r>
      <w:commentRangeEnd w:id="13"/>
      <w:r>
        <w:rPr>
          <w:rStyle w:val="CommentReference"/>
        </w:rPr>
        <w:commentReference w:id="13"/>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r>
        <w:t xml:space="preserve">  </w:t>
      </w:r>
    </w:p>
    <w:p w14:paraId="4FB72DE4" w14:textId="77777777" w:rsidR="00BB27F2" w:rsidRDefault="00BB27F2" w:rsidP="0087648E"/>
    <w:p w14:paraId="15BC992A" w14:textId="1DF0036D" w:rsidR="00B04B43" w:rsidRDefault="0087648E" w:rsidP="0087648E">
      <w:r>
        <w:lastRenderedPageBreak/>
        <w:t xml:space="preserve">Upon sacrifice, fat pads were excised from these animals, and consistent with the body composition determinations, we observed </w:t>
      </w:r>
      <w:proofErr w:type="gramStart"/>
      <w:r>
        <w:t>a</w:t>
      </w:r>
      <w:proofErr w:type="gramEnd"/>
      <w:r>
        <w:t xml:space="preserve"> </w:t>
      </w:r>
      <w:commentRangeStart w:id="14"/>
      <w:r>
        <w:t>XXX-YYY</w:t>
      </w:r>
      <w:commentRangeEnd w:id="14"/>
      <w:r>
        <w:rPr>
          <w:rStyle w:val="CommentReference"/>
        </w:rPr>
        <w:commentReference w:id="14"/>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EF79C02"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w:t>
      </w:r>
      <w:r w:rsidR="00784182">
        <w:lastRenderedPageBreak/>
        <w:t xml:space="preserve">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w:t>
      </w:r>
      <w:r w:rsidR="009162BF">
        <w:lastRenderedPageBreak/>
        <w:t xml:space="preserve">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 xml:space="preserve">World Health Organization., 2013. Obesity and Overweight. </w:t>
      </w:r>
      <w:r w:rsidR="001B5133" w:rsidRPr="001B5133">
        <w:rPr>
          <w:rFonts w:ascii="Garamond" w:hAnsi="Garamond" w:cs="Times New Roman"/>
          <w:noProof/>
        </w:rPr>
        <w:lastRenderedPageBreak/>
        <w:t>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 xml:space="preserve">Laplante, M., Sabatini, D.M., 2010. mTORC1 activates SREBP-1c and uncouples lipogenesis from gluconeogenesis. Proceedings of the National Academy of Sciences </w:t>
      </w:r>
      <w:r w:rsidRPr="001B5133">
        <w:rPr>
          <w:rFonts w:ascii="Garamond" w:hAnsi="Garamond" w:cs="Times New Roman"/>
          <w:noProof/>
        </w:rPr>
        <w:lastRenderedPageBreak/>
        <w:t>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 xml:space="preserve">Milan, G., Romanello, V., Pescatore, F., Armani, A., Paik, J.-H., Frasson, L., et al., 2015. Regulation of autophagy and the ubiquitin-proteasome system by the FoxO </w:t>
      </w:r>
      <w:r w:rsidRPr="001B5133">
        <w:rPr>
          <w:rFonts w:ascii="Garamond" w:hAnsi="Garamond" w:cs="Times New Roman"/>
          <w:noProof/>
        </w:rPr>
        <w:lastRenderedPageBreak/>
        <w:t>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4"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15"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035440B0" w15:done="0"/>
  <w15:commentEx w15:paraId="614455D1" w15:done="0"/>
  <w15:commentEx w15:paraId="55D27F74" w15:done="0"/>
  <w15:commentEx w15:paraId="3850CF62" w15:done="0"/>
  <w15:commentEx w15:paraId="243B2BC8"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86F58" w14:textId="77777777" w:rsidR="004E4F8E" w:rsidRDefault="004E4F8E" w:rsidP="00907F04">
      <w:r>
        <w:separator/>
      </w:r>
    </w:p>
  </w:endnote>
  <w:endnote w:type="continuationSeparator" w:id="0">
    <w:p w14:paraId="0B18B5F1" w14:textId="77777777" w:rsidR="004E4F8E" w:rsidRDefault="004E4F8E"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D4B9E" w14:textId="77777777" w:rsidR="004E4F8E" w:rsidRDefault="004E4F8E" w:rsidP="00907F04">
      <w:r>
        <w:separator/>
      </w:r>
    </w:p>
  </w:footnote>
  <w:footnote w:type="continuationSeparator" w:id="0">
    <w:p w14:paraId="3EB30608" w14:textId="77777777" w:rsidR="004E4F8E" w:rsidRDefault="004E4F8E"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69B1"/>
    <w:rsid w:val="00373D35"/>
    <w:rsid w:val="003743AA"/>
    <w:rsid w:val="0038153C"/>
    <w:rsid w:val="003840F7"/>
    <w:rsid w:val="0038762E"/>
    <w:rsid w:val="0039397E"/>
    <w:rsid w:val="00395526"/>
    <w:rsid w:val="0039667E"/>
    <w:rsid w:val="00396BD8"/>
    <w:rsid w:val="003A0720"/>
    <w:rsid w:val="003B35C6"/>
    <w:rsid w:val="003B6C80"/>
    <w:rsid w:val="003D55EC"/>
    <w:rsid w:val="003E7617"/>
    <w:rsid w:val="003F5BD8"/>
    <w:rsid w:val="003F5FAC"/>
    <w:rsid w:val="003F6A53"/>
    <w:rsid w:val="003F7532"/>
    <w:rsid w:val="00403E87"/>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E4F8E"/>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BAC"/>
    <w:rsid w:val="00652E5B"/>
    <w:rsid w:val="00662B0A"/>
    <w:rsid w:val="006638A2"/>
    <w:rsid w:val="00667E61"/>
    <w:rsid w:val="006823FC"/>
    <w:rsid w:val="006847F1"/>
    <w:rsid w:val="00692503"/>
    <w:rsid w:val="00697482"/>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7F73C7"/>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81CA9"/>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C1E3E"/>
    <w:rsid w:val="00DC211A"/>
    <w:rsid w:val="00DC6626"/>
    <w:rsid w:val="00DD2A58"/>
    <w:rsid w:val="00DD3A40"/>
    <w:rsid w:val="00DD3F13"/>
    <w:rsid w:val="00DE3A03"/>
    <w:rsid w:val="00DE6A31"/>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07AD"/>
    <w:rsid w:val="00F00E78"/>
    <w:rsid w:val="00F0463F"/>
    <w:rsid w:val="00F07541"/>
    <w:rsid w:val="00F1021D"/>
    <w:rsid w:val="00F10B8B"/>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4AA69-16BD-3748-86AD-EB6D39C0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14</Pages>
  <Words>49968</Words>
  <Characters>284821</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295</cp:revision>
  <cp:lastPrinted>2018-08-15T17:02:00Z</cp:lastPrinted>
  <dcterms:created xsi:type="dcterms:W3CDTF">2015-07-01T15:40:00Z</dcterms:created>
  <dcterms:modified xsi:type="dcterms:W3CDTF">2019-02-18T19:54:00Z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