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5A034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39667E">
        <w:rPr>
          <w:bCs/>
        </w:rPr>
        <w:t xml:space="preserve">UTHSC Institutional Animal Care and Use Committee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bookmarkStart w:id="3" w:name="_GoBack"/>
      <w:bookmarkEnd w:id="3"/>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Euglycemic Hyperinsulinemic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rsidR="00445957">
        <w:t xml:space="preserve">For pyruvate tolerance tests, 2.5 mg/g pyruvate was injected intraperitoneally after a 6h fast. All of these tests were performed at approximately ZT8.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w:t>
      </w:r>
      <w:r>
        <w:lastRenderedPageBreak/>
        <w:t xml:space="preserve">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(CrystalChem Ultrasensitive Mouse Insulin ELISA) from retro-oribital blood drawn from isoflurane-anaesthetized animals.</w:t>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4"/>
      <w:r>
        <w:t>Triglyceride and Glycogen Determination</w:t>
      </w:r>
      <w:commentRangeEnd w:id="4"/>
      <w:r>
        <w:rPr>
          <w:rStyle w:val="CommentReference"/>
          <w:rFonts w:asciiTheme="minorHAnsi" w:eastAsiaTheme="minorEastAsia" w:hAnsiTheme="minorHAnsi" w:cstheme="minorBidi"/>
          <w:b w:val="0"/>
          <w:bCs w:val="0"/>
          <w:color w:val="auto"/>
        </w:rPr>
        <w:commentReference w:id="4"/>
      </w:r>
    </w:p>
    <w:p w14:paraId="25428308" w14:textId="03A99F67" w:rsidR="00AE30D5" w:rsidRDefault="00AE30D5" w:rsidP="00AE30D5">
      <w:pPr>
        <w:pStyle w:val="Heading2"/>
      </w:pPr>
      <w:r>
        <w:t>Statistical Analyses</w:t>
      </w:r>
    </w:p>
    <w:p w14:paraId="08382C47" w14:textId="007DC15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5"/>
      <w:r w:rsidR="00AE30D5">
        <w:t xml:space="preserve"> </w:t>
      </w:r>
      <w:commentRangeEnd w:id="5"/>
      <w:r w:rsidR="00AE30D5">
        <w:rPr>
          <w:rStyle w:val="CommentReference"/>
        </w:rPr>
        <w:commentReference w:id="5"/>
      </w:r>
      <w:r w:rsidR="00AE30D5">
        <w:t xml:space="preserve">of both </w:t>
      </w:r>
      <w:r w:rsidR="00AE30D5">
        <w:lastRenderedPageBreak/>
        <w:t>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27598A2" w:rsidR="00531AD6"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6"/>
      <w:r w:rsidR="005858D1">
        <w:t>animals</w:t>
      </w:r>
      <w:commentRangeEnd w:id="6"/>
      <w:r w:rsidR="005858D1">
        <w:rPr>
          <w:rStyle w:val="CommentReference"/>
        </w:rPr>
        <w:commentReference w:id="6"/>
      </w:r>
      <w:r w:rsidR="005858D1">
        <w:t>.</w:t>
      </w:r>
      <w:r w:rsidR="003F5BD8">
        <w:t xml:space="preserve">  To test this directly, we determined the rate at which injected pyruvate is converted into glucose (Supplementary Figure 1D-E).  These pyruvate tolerance tests showed that HPD fed animals are more efficient at converting pyruvate into glucose, consistent with elevated gluconeogenesis.</w:t>
      </w:r>
    </w:p>
    <w:p w14:paraId="6185D1DA" w14:textId="65D08297" w:rsidR="00531AD6" w:rsidRDefault="00531AD6" w:rsidP="00531AD6">
      <w:pPr>
        <w:pStyle w:val="Heading2"/>
      </w:pPr>
      <w:r>
        <w:t>High Protein Diet Feeding Results in mTORC1 Activation</w:t>
      </w:r>
    </w:p>
    <w:p w14:paraId="40ABDAF6" w14:textId="7892C62E" w:rsidR="00531AD6" w:rsidRDefault="00531AD6" w:rsidP="007B624A">
      <w:r>
        <w:t xml:space="preserve">Since mTORC1 is a major regulator of metabolism and is activated by </w:t>
      </w:r>
      <w:commentRangeStart w:id="7"/>
      <w:r>
        <w:t>elevated amino acids, we next evaluated whether mTORC1 activity is increased in</w:t>
      </w:r>
      <w:r w:rsidR="001A6A7C">
        <w:t xml:space="preserve"> C2C12 myotubes</w:t>
      </w:r>
      <w:commentRangeEnd w:id="7"/>
      <w:r w:rsidR="0038762E">
        <w:rPr>
          <w:rStyle w:val="CommentReference"/>
        </w:rPr>
        <w:commentReference w:id="7"/>
      </w:r>
      <w:r w:rsidR="001A6A7C">
        <w:t xml:space="preserve">.  </w:t>
      </w:r>
      <w:commentRangeStart w:id="8"/>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8"/>
      <w:r w:rsidR="001A6A7C">
        <w:rPr>
          <w:rStyle w:val="CommentReference"/>
        </w:rPr>
        <w:commentReference w:id="8"/>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45067A">
        <w:t xml:space="preserve"> (Figure 2C-D</w:t>
      </w:r>
      <w:r w:rsidR="002D7887">
        <w:t>)</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rsidR="001A6A7C">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Based on </w:t>
      </w:r>
      <w:r w:rsidR="00B90CD2">
        <w:t>reduced adiposity</w:t>
      </w:r>
      <w:r w:rsidR="0038762E">
        <w:t xml:space="preserve"> and mTORC1-activating effects of high protein diets, we investigated a mouse model of mTORC1 activation, specifically in muscle tissues.</w:t>
      </w:r>
      <w:r w:rsidR="00373D35">
        <w:t xml:space="preserve"> </w:t>
      </w:r>
    </w:p>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446563C4"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9"/>
      <w:r>
        <w:t xml:space="preserve">triglycerides </w:t>
      </w:r>
      <w:commentRangeEnd w:id="9"/>
      <w:r w:rsidR="0039397E">
        <w:rPr>
          <w:rStyle w:val="CommentReference"/>
        </w:rPr>
        <w:commentReference w:id="9"/>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 xml:space="preserve">PTG has previously been shown to anchor protein phosphatase activity to </w:t>
      </w:r>
      <w:r w:rsidR="00573A9D">
        <w:lastRenderedPageBreak/>
        <w:t>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10"/>
      <w:r w:rsidR="005838B0">
        <w:t xml:space="preserve">muscle </w:t>
      </w:r>
      <w:r w:rsidR="00573A9D">
        <w:t xml:space="preserve">PTG protein </w:t>
      </w:r>
      <w:commentRangeEnd w:id="10"/>
      <w:r w:rsidR="00A64165">
        <w:rPr>
          <w:rStyle w:val="CommentReference"/>
        </w:rPr>
        <w:commentReference w:id="10"/>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Mechanistically, this</w:t>
      </w:r>
      <w:r>
        <w:t xml:space="preserve"> is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1"/>
      <w:r>
        <w:t xml:space="preserve">XX </w:t>
      </w:r>
      <w:commentRangeEnd w:id="11"/>
      <w:r w:rsidR="005008B3">
        <w:rPr>
          <w:rStyle w:val="CommentReference"/>
        </w:rPr>
        <w:commentReference w:id="11"/>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7B559B5C"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A10EE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B83F46">
        <w:fldChar w:fldCharType="separate"/>
      </w:r>
      <w:r w:rsidR="00A10EEA" w:rsidRPr="00A10EEA">
        <w:rPr>
          <w:noProof/>
        </w:rPr>
        <w:t>[50]</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A72A9A1" w:rsidR="00A40A23" w:rsidRDefault="00A40A23" w:rsidP="00E22913">
      <w:r>
        <w:t xml:space="preserve">The authors would like to thank Nathan Qi and Melanie Schmitt of the UM Metabolic Phenotyping Core for assistance with </w:t>
      </w:r>
      <w:r w:rsidR="00451202">
        <w:t>CLAMS studies</w:t>
      </w:r>
      <w:r w:rsidR="00232F5F">
        <w:t xml:space="preserve">.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2"/>
      <w:r w:rsidR="001E0A5E">
        <w:t xml:space="preserve">XXXX </w:t>
      </w:r>
      <w:commentRangeEnd w:id="12"/>
      <w:r w:rsidR="00E22913">
        <w:rPr>
          <w:rStyle w:val="CommentReference"/>
        </w:rPr>
        <w:commentReference w:id="12"/>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13"/>
      <w:r w:rsidR="00B4522B">
        <w:t xml:space="preserve">14 week </w:t>
      </w:r>
      <w:commentRangeEnd w:id="13"/>
      <w:r w:rsidR="0006561D">
        <w:rPr>
          <w:rStyle w:val="CommentReference"/>
        </w:rPr>
        <w:commentReference w:id="13"/>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4"/>
      <w:r w:rsidR="004A33CD">
        <w:t xml:space="preserve">XX </w:t>
      </w:r>
      <w:commentRangeEnd w:id="14"/>
      <w:r w:rsidR="004A33CD">
        <w:rPr>
          <w:rStyle w:val="CommentReference"/>
        </w:rPr>
        <w:commentReference w:id="14"/>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5"/>
      <w:r w:rsidR="006C5190">
        <w:t xml:space="preserve">XX </w:t>
      </w:r>
      <w:commentRangeEnd w:id="15"/>
      <w:r w:rsidR="007D4121">
        <w:rPr>
          <w:rStyle w:val="CommentReference"/>
        </w:rPr>
        <w:commentReference w:id="15"/>
      </w:r>
      <w:r w:rsidR="006C5190">
        <w:t>weeks of diet.  E) Data from D,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B80ABE" w:rsidRDefault="00B80ABE">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5838B0" w:rsidRDefault="005838B0">
      <w:pPr>
        <w:pStyle w:val="CommentText"/>
      </w:pPr>
      <w:r>
        <w:rPr>
          <w:rStyle w:val="CommentReference"/>
        </w:rPr>
        <w:annotationRef/>
      </w:r>
      <w:r w:rsidR="00B80ABE">
        <w:t xml:space="preserve">Innocence can you add the </w:t>
      </w:r>
      <w:r>
        <w:t>Stock number</w:t>
      </w:r>
    </w:p>
  </w:comment>
  <w:comment w:id="2" w:author="Dave Bridges" w:date="2015-09-11T08:32:00Z" w:initials="DB">
    <w:p w14:paraId="0B51BC07" w14:textId="54039498" w:rsidR="005838B0" w:rsidRDefault="005838B0">
      <w:pPr>
        <w:pStyle w:val="CommentText"/>
      </w:pPr>
      <w:r>
        <w:rPr>
          <w:rStyle w:val="CommentReference"/>
        </w:rPr>
        <w:annotationRef/>
      </w:r>
      <w:r w:rsidR="00B80ABE">
        <w:t xml:space="preserve">Innocence, </w:t>
      </w:r>
      <w:r>
        <w:t>Stock number</w:t>
      </w:r>
    </w:p>
  </w:comment>
  <w:comment w:id="4" w:author="Dave Bridges" w:date="2015-09-09T12:44:00Z" w:initials="DB">
    <w:p w14:paraId="5273682B" w14:textId="4A95EA17" w:rsidR="005838B0" w:rsidRDefault="005838B0">
      <w:pPr>
        <w:pStyle w:val="CommentText"/>
      </w:pPr>
      <w:r>
        <w:rPr>
          <w:rStyle w:val="CommentReference"/>
        </w:rPr>
        <w:annotationRef/>
      </w:r>
      <w:r>
        <w:t>Need to write this in</w:t>
      </w:r>
    </w:p>
  </w:comment>
  <w:comment w:id="5" w:author="Dave Bridges" w:date="2015-09-08T07:44:00Z" w:initials="DB">
    <w:p w14:paraId="1B8D7A93" w14:textId="673ED745" w:rsidR="005838B0" w:rsidRDefault="005838B0">
      <w:pPr>
        <w:pStyle w:val="CommentText"/>
      </w:pPr>
      <w:r>
        <w:rPr>
          <w:rStyle w:val="CommentReference"/>
        </w:rPr>
        <w:annotationRef/>
      </w:r>
      <w:r>
        <w:t>We should try to do histology of these fat pads, and quantify cell size and number.</w:t>
      </w:r>
    </w:p>
  </w:comment>
  <w:comment w:id="6" w:author="Dave Bridges" w:date="2015-09-08T15:43:00Z" w:initials="DB">
    <w:p w14:paraId="16243181" w14:textId="60D4B8A8" w:rsidR="005838B0" w:rsidRDefault="005838B0">
      <w:pPr>
        <w:pStyle w:val="CommentText"/>
      </w:pPr>
      <w:r>
        <w:rPr>
          <w:rStyle w:val="CommentReference"/>
        </w:rPr>
        <w:annotationRef/>
      </w:r>
      <w:r>
        <w:t>We also see a modest increase in energy expenditure, but this is not significantly different so needs to be repeated.</w:t>
      </w:r>
    </w:p>
  </w:comment>
  <w:comment w:id="7" w:author="Dave Bridges" w:date="2015-09-08T16:06:00Z" w:initials="DB">
    <w:p w14:paraId="0B360825" w14:textId="740083C3" w:rsidR="005838B0" w:rsidRDefault="005838B0">
      <w:pPr>
        <w:pStyle w:val="CommentText"/>
      </w:pPr>
      <w:r>
        <w:rPr>
          <w:rStyle w:val="CommentReference"/>
        </w:rPr>
        <w:annotationRef/>
      </w:r>
      <w:r>
        <w:t>Need to do</w:t>
      </w:r>
    </w:p>
  </w:comment>
  <w:comment w:id="8" w:author="Dave Bridges" w:date="2015-08-03T07:35:00Z" w:initials="DB">
    <w:p w14:paraId="479448E9" w14:textId="7B89652E" w:rsidR="005838B0" w:rsidRDefault="005838B0">
      <w:pPr>
        <w:pStyle w:val="CommentText"/>
      </w:pPr>
      <w:r>
        <w:rPr>
          <w:rStyle w:val="CommentReference"/>
        </w:rPr>
        <w:annotationRef/>
      </w:r>
      <w:r>
        <w:t>Need to do</w:t>
      </w:r>
    </w:p>
  </w:comment>
  <w:comment w:id="9" w:author="Dave Bridges" w:date="2015-09-09T12:43:00Z" w:initials="DB">
    <w:p w14:paraId="5805DF2D" w14:textId="21D75E87" w:rsidR="005838B0" w:rsidRDefault="005838B0">
      <w:pPr>
        <w:pStyle w:val="CommentText"/>
      </w:pPr>
      <w:r>
        <w:rPr>
          <w:rStyle w:val="CommentReference"/>
        </w:rPr>
        <w:annotationRef/>
      </w:r>
      <w:r>
        <w:t>We never published the data on Triglcyeride elevations being due to SREBP1c in the MEFs, so we could probably put that in here.</w:t>
      </w:r>
    </w:p>
  </w:comment>
  <w:comment w:id="10" w:author="Dave Bridges" w:date="2015-09-11T08:14:00Z" w:initials="DB">
    <w:p w14:paraId="76D50CC8" w14:textId="7D7893E8" w:rsidR="00A64165" w:rsidRDefault="00A64165">
      <w:pPr>
        <w:pStyle w:val="CommentText"/>
      </w:pPr>
      <w:r>
        <w:rPr>
          <w:rStyle w:val="CommentReference"/>
        </w:rPr>
        <w:annotationRef/>
      </w:r>
      <w:r>
        <w:t xml:space="preserve">We have qPCR data showing elevated PTG mRNA in these muscles, but that’s duplicated in the RNAseq data before.  </w:t>
      </w:r>
    </w:p>
  </w:comment>
  <w:comment w:id="11" w:author="Dave Bridges" w:date="2015-08-03T08:05:00Z" w:initials="DB">
    <w:p w14:paraId="73DF81C3" w14:textId="0694CCD8" w:rsidR="005838B0" w:rsidRDefault="005838B0">
      <w:pPr>
        <w:pStyle w:val="CommentText"/>
      </w:pPr>
      <w:r>
        <w:rPr>
          <w:rStyle w:val="CommentReference"/>
        </w:rPr>
        <w:annotationRef/>
      </w:r>
      <w:r>
        <w:t>Get this data</w:t>
      </w:r>
    </w:p>
  </w:comment>
  <w:comment w:id="12" w:author="Dave Bridges" w:date="2015-09-08T08:54:00Z" w:initials="DB">
    <w:p w14:paraId="4C23780D" w14:textId="448DA0A4" w:rsidR="005838B0" w:rsidRDefault="005838B0">
      <w:pPr>
        <w:pStyle w:val="CommentText"/>
      </w:pPr>
      <w:r>
        <w:rPr>
          <w:rStyle w:val="CommentReference"/>
        </w:rPr>
        <w:annotationRef/>
      </w:r>
      <w:r>
        <w:t>Alan, which grant(s) do you want to use here?</w:t>
      </w:r>
    </w:p>
  </w:comment>
  <w:comment w:id="13" w:author="Dave Bridges" w:date="2015-09-09T09:55:00Z" w:initials="DB">
    <w:p w14:paraId="71886FA5" w14:textId="49E08F2F" w:rsidR="005838B0" w:rsidRDefault="005838B0">
      <w:pPr>
        <w:pStyle w:val="CommentText"/>
      </w:pPr>
      <w:r>
        <w:rPr>
          <w:rStyle w:val="CommentReference"/>
        </w:rPr>
        <w:annotationRef/>
      </w:r>
      <w:r>
        <w:t>Innocence, was this the age at which these animals were killed</w:t>
      </w:r>
    </w:p>
  </w:comment>
  <w:comment w:id="14" w:author="Dave Bridges" w:date="2015-09-08T15:47:00Z" w:initials="DB">
    <w:p w14:paraId="33BBDA48" w14:textId="3B71C97D" w:rsidR="005838B0" w:rsidRDefault="005838B0">
      <w:pPr>
        <w:pStyle w:val="CommentText"/>
      </w:pPr>
      <w:r>
        <w:rPr>
          <w:rStyle w:val="CommentReference"/>
        </w:rPr>
        <w:annotationRef/>
      </w:r>
      <w:r>
        <w:t>Innocence how old were the mice during the ITT?</w:t>
      </w:r>
    </w:p>
  </w:comment>
  <w:comment w:id="15" w:author="Dave Bridges" w:date="2015-09-09T09:54:00Z" w:initials="DB">
    <w:p w14:paraId="4BFD02C7" w14:textId="43E9F91D" w:rsidR="005838B0" w:rsidRDefault="005838B0">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5838B0" w:rsidRDefault="005838B0" w:rsidP="00907F04">
      <w:r>
        <w:separator/>
      </w:r>
    </w:p>
  </w:endnote>
  <w:endnote w:type="continuationSeparator" w:id="0">
    <w:p w14:paraId="22470711" w14:textId="77777777" w:rsidR="005838B0" w:rsidRDefault="005838B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5838B0" w:rsidRDefault="005838B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5838B0" w:rsidRDefault="00583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5838B0" w:rsidRDefault="005838B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50D2">
      <w:rPr>
        <w:rStyle w:val="PageNumber"/>
        <w:noProof/>
      </w:rPr>
      <w:t>1</w:t>
    </w:r>
    <w:r>
      <w:rPr>
        <w:rStyle w:val="PageNumber"/>
      </w:rPr>
      <w:fldChar w:fldCharType="end"/>
    </w:r>
  </w:p>
  <w:p w14:paraId="493E31A3" w14:textId="77777777" w:rsidR="005838B0" w:rsidRDefault="00583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5838B0" w:rsidRDefault="005838B0" w:rsidP="00907F04">
      <w:r>
        <w:separator/>
      </w:r>
    </w:p>
  </w:footnote>
  <w:footnote w:type="continuationSeparator" w:id="0">
    <w:p w14:paraId="268D88E6" w14:textId="77777777" w:rsidR="005838B0" w:rsidRDefault="005838B0"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2EA6"/>
    <w:rsid w:val="00037C8C"/>
    <w:rsid w:val="00062D30"/>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4290F"/>
    <w:rsid w:val="001736D0"/>
    <w:rsid w:val="00190F17"/>
    <w:rsid w:val="001A6A7C"/>
    <w:rsid w:val="001A7E83"/>
    <w:rsid w:val="001E0A5E"/>
    <w:rsid w:val="00205F41"/>
    <w:rsid w:val="00217BA9"/>
    <w:rsid w:val="00221DBF"/>
    <w:rsid w:val="00232F5F"/>
    <w:rsid w:val="00237F34"/>
    <w:rsid w:val="00245445"/>
    <w:rsid w:val="00250F5B"/>
    <w:rsid w:val="002648CF"/>
    <w:rsid w:val="00266DA2"/>
    <w:rsid w:val="00275E69"/>
    <w:rsid w:val="002A7B4B"/>
    <w:rsid w:val="002B4B3F"/>
    <w:rsid w:val="002C7364"/>
    <w:rsid w:val="002D65EF"/>
    <w:rsid w:val="002D7887"/>
    <w:rsid w:val="002E25A9"/>
    <w:rsid w:val="002E45D2"/>
    <w:rsid w:val="00303444"/>
    <w:rsid w:val="00331B56"/>
    <w:rsid w:val="00331F69"/>
    <w:rsid w:val="00334230"/>
    <w:rsid w:val="0033583C"/>
    <w:rsid w:val="003406C3"/>
    <w:rsid w:val="003407C9"/>
    <w:rsid w:val="00344094"/>
    <w:rsid w:val="00373D35"/>
    <w:rsid w:val="0038762E"/>
    <w:rsid w:val="0039397E"/>
    <w:rsid w:val="0039667E"/>
    <w:rsid w:val="00396BD8"/>
    <w:rsid w:val="003A0720"/>
    <w:rsid w:val="003E7617"/>
    <w:rsid w:val="003F5BD8"/>
    <w:rsid w:val="003F5FAC"/>
    <w:rsid w:val="003F6A53"/>
    <w:rsid w:val="00403E87"/>
    <w:rsid w:val="00426050"/>
    <w:rsid w:val="00427FDD"/>
    <w:rsid w:val="00445957"/>
    <w:rsid w:val="0045067A"/>
    <w:rsid w:val="00451202"/>
    <w:rsid w:val="0046122A"/>
    <w:rsid w:val="00496EF3"/>
    <w:rsid w:val="004A2F25"/>
    <w:rsid w:val="004A33CD"/>
    <w:rsid w:val="004B4BBE"/>
    <w:rsid w:val="004C5CD7"/>
    <w:rsid w:val="004C6C48"/>
    <w:rsid w:val="004D4201"/>
    <w:rsid w:val="004F062C"/>
    <w:rsid w:val="005008B3"/>
    <w:rsid w:val="00502679"/>
    <w:rsid w:val="00504B90"/>
    <w:rsid w:val="0050751B"/>
    <w:rsid w:val="005169CA"/>
    <w:rsid w:val="0052183D"/>
    <w:rsid w:val="00526B0E"/>
    <w:rsid w:val="00531AD6"/>
    <w:rsid w:val="00573A9D"/>
    <w:rsid w:val="005838B0"/>
    <w:rsid w:val="00583F7C"/>
    <w:rsid w:val="005858D1"/>
    <w:rsid w:val="005F1E8E"/>
    <w:rsid w:val="00620F42"/>
    <w:rsid w:val="006823FC"/>
    <w:rsid w:val="006847F1"/>
    <w:rsid w:val="00692503"/>
    <w:rsid w:val="006B24A7"/>
    <w:rsid w:val="006B552C"/>
    <w:rsid w:val="006C5190"/>
    <w:rsid w:val="006C7920"/>
    <w:rsid w:val="006D5C06"/>
    <w:rsid w:val="006D6FB2"/>
    <w:rsid w:val="006E7ABB"/>
    <w:rsid w:val="006F352E"/>
    <w:rsid w:val="006F51AF"/>
    <w:rsid w:val="006F5D2C"/>
    <w:rsid w:val="00723E82"/>
    <w:rsid w:val="0072553D"/>
    <w:rsid w:val="00736644"/>
    <w:rsid w:val="00762EF3"/>
    <w:rsid w:val="00794576"/>
    <w:rsid w:val="007B624A"/>
    <w:rsid w:val="007B7AEB"/>
    <w:rsid w:val="007C4F6A"/>
    <w:rsid w:val="007D199B"/>
    <w:rsid w:val="007D1A22"/>
    <w:rsid w:val="007D4121"/>
    <w:rsid w:val="00802891"/>
    <w:rsid w:val="0080402E"/>
    <w:rsid w:val="00823A14"/>
    <w:rsid w:val="00842DEC"/>
    <w:rsid w:val="008437EE"/>
    <w:rsid w:val="008545F6"/>
    <w:rsid w:val="00864774"/>
    <w:rsid w:val="00864B68"/>
    <w:rsid w:val="00871236"/>
    <w:rsid w:val="00881C69"/>
    <w:rsid w:val="008A11B9"/>
    <w:rsid w:val="008B795B"/>
    <w:rsid w:val="008E07CF"/>
    <w:rsid w:val="009010AA"/>
    <w:rsid w:val="00901963"/>
    <w:rsid w:val="00907F04"/>
    <w:rsid w:val="00931A46"/>
    <w:rsid w:val="00972512"/>
    <w:rsid w:val="00974B1E"/>
    <w:rsid w:val="00980BD7"/>
    <w:rsid w:val="00996376"/>
    <w:rsid w:val="009B110D"/>
    <w:rsid w:val="009D0FFE"/>
    <w:rsid w:val="009D1EBE"/>
    <w:rsid w:val="009F47C8"/>
    <w:rsid w:val="00A01F29"/>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3409A"/>
    <w:rsid w:val="00B4522B"/>
    <w:rsid w:val="00B77490"/>
    <w:rsid w:val="00B80ABE"/>
    <w:rsid w:val="00B83F46"/>
    <w:rsid w:val="00B90CD2"/>
    <w:rsid w:val="00B91EDD"/>
    <w:rsid w:val="00BC2B3A"/>
    <w:rsid w:val="00C10DEF"/>
    <w:rsid w:val="00C13E13"/>
    <w:rsid w:val="00C50D02"/>
    <w:rsid w:val="00C6712D"/>
    <w:rsid w:val="00C913F9"/>
    <w:rsid w:val="00CB219E"/>
    <w:rsid w:val="00CE66CE"/>
    <w:rsid w:val="00CE7E88"/>
    <w:rsid w:val="00D04DA3"/>
    <w:rsid w:val="00D05FF7"/>
    <w:rsid w:val="00D07952"/>
    <w:rsid w:val="00D2057A"/>
    <w:rsid w:val="00D300E1"/>
    <w:rsid w:val="00D45DD4"/>
    <w:rsid w:val="00D52992"/>
    <w:rsid w:val="00D8601B"/>
    <w:rsid w:val="00D863F7"/>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EB6CB5"/>
    <w:rsid w:val="00F07541"/>
    <w:rsid w:val="00F10B8B"/>
    <w:rsid w:val="00F311C5"/>
    <w:rsid w:val="00F52887"/>
    <w:rsid w:val="00F57B88"/>
    <w:rsid w:val="00F60DC7"/>
    <w:rsid w:val="00F70CE4"/>
    <w:rsid w:val="00F901B5"/>
    <w:rsid w:val="00F951B7"/>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13</Pages>
  <Words>36461</Words>
  <Characters>207831</Characters>
  <Application>Microsoft Macintosh Word</Application>
  <DocSecurity>0</DocSecurity>
  <Lines>1731</Lines>
  <Paragraphs>487</Paragraphs>
  <ScaleCrop>false</ScaleCrop>
  <Company>UT-HSC</Company>
  <LinksUpToDate>false</LinksUpToDate>
  <CharactersWithSpaces>243805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137</cp:revision>
  <cp:lastPrinted>2015-09-08T14:05:00Z</cp:lastPrinted>
  <dcterms:created xsi:type="dcterms:W3CDTF">2015-07-01T15:40:00Z</dcterms:created>
  <dcterms:modified xsi:type="dcterms:W3CDTF">2015-09-11T15:54:00Z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