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EA5873C"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791A870"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867669">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93d3f526-0304-492e-b185-4e03c8200d17"]},{"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686015F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67669">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hypertrophy.","type":"article-journal","volume":"3"},"uris":["http://www.mendeley.com/documents/?uuid=93d3f526-0304-492e-b185-4e03c8200d17"]},{"id":"ITEM-2","itemData":{"DOI":"10.1016/j.cmet.2013.03.015","ISBN":"1932-7420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7"/>
      <w:r w:rsidR="00BA3BA0">
        <w:rPr>
          <w:bCs/>
        </w:rPr>
        <w:t>Heart and muscle weights were determined by</w:t>
      </w:r>
      <w:commentRangeEnd w:id="7"/>
      <w:r w:rsidR="00BA3BA0">
        <w:rPr>
          <w:rStyle w:val="CommentReference"/>
        </w:rPr>
        <w:commentReference w:id="7"/>
      </w:r>
    </w:p>
    <w:p w14:paraId="50A5FCCB" w14:textId="77777777" w:rsidR="00E55F38" w:rsidRDefault="00E55F38" w:rsidP="0052183D"/>
    <w:p w14:paraId="609ADDB8" w14:textId="06F0F82D"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343FBFBE"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w:t>
      </w:r>
      <w:r w:rsidR="001A7E83">
        <w:lastRenderedPageBreak/>
        <w:t xml:space="preserve">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9"/>
      <w:r>
        <w:t>Triglyceride and Glycogen Determination</w:t>
      </w:r>
      <w:commentRangeEnd w:id="9"/>
      <w:r>
        <w:rPr>
          <w:rStyle w:val="CommentReference"/>
          <w:rFonts w:asciiTheme="minorHAnsi" w:eastAsiaTheme="minorEastAsia" w:hAnsiTheme="minorHAnsi" w:cstheme="minorBidi"/>
          <w:b w:val="0"/>
          <w:bCs w:val="0"/>
          <w:color w:val="auto"/>
        </w:rPr>
        <w:commentReference w:id="9"/>
      </w:r>
    </w:p>
    <w:p w14:paraId="7E25B47B" w14:textId="5A8B976A" w:rsidR="00C868B8" w:rsidRDefault="00D86AFE" w:rsidP="00C868B8">
      <w:r>
        <w:t xml:space="preserve">Triglyceride and glycogen levels were determined from snap frozen tissues as previously described </w:t>
      </w:r>
      <w:r>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0"/>
      <w:proofErr w:type="spellStart"/>
      <w:r>
        <w:t>CrystalChem</w:t>
      </w:r>
      <w:commentRangeEnd w:id="10"/>
      <w:proofErr w:type="spellEnd"/>
      <w:r w:rsidR="007F46DE">
        <w:rPr>
          <w:rStyle w:val="CommentReference"/>
        </w:rPr>
        <w:commentReference w:id="10"/>
      </w:r>
      <w:r>
        <w:t>).</w:t>
      </w:r>
    </w:p>
    <w:p w14:paraId="5B4A182B" w14:textId="77777777" w:rsidR="00F82FCB" w:rsidRDefault="00F82FCB" w:rsidP="00C868B8"/>
    <w:p w14:paraId="1B6BE666" w14:textId="673089F4" w:rsidR="00F82FCB" w:rsidRDefault="00F82FCB" w:rsidP="00F82FCB">
      <w:pPr>
        <w:pStyle w:val="Heading2"/>
      </w:pPr>
      <w:commentRangeStart w:id="11"/>
      <w:proofErr w:type="spellStart"/>
      <w:r>
        <w:t>RNAseq</w:t>
      </w:r>
      <w:proofErr w:type="spellEnd"/>
      <w:r>
        <w:t xml:space="preserve"> Analysis</w:t>
      </w:r>
      <w:commentRangeEnd w:id="11"/>
      <w:r w:rsidR="00BA3BA0">
        <w:rPr>
          <w:rStyle w:val="CommentReference"/>
          <w:rFonts w:asciiTheme="minorHAnsi" w:eastAsiaTheme="minorEastAsia" w:hAnsiTheme="minorHAnsi" w:cstheme="minorBidi"/>
          <w:b w:val="0"/>
          <w:bCs w:val="0"/>
          <w:color w:val="auto"/>
        </w:rPr>
        <w:commentReference w:id="11"/>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2"/>
      <w:r>
        <w:t>NADH Staining of Muscle Sections</w:t>
      </w:r>
      <w:commentRangeEnd w:id="12"/>
      <w:r w:rsidR="00BA3BA0">
        <w:rPr>
          <w:rStyle w:val="CommentReference"/>
          <w:rFonts w:asciiTheme="minorHAnsi" w:eastAsiaTheme="minorEastAsia" w:hAnsiTheme="minorHAnsi" w:cstheme="minorBidi"/>
          <w:b w:val="0"/>
          <w:bCs w:val="0"/>
          <w:color w:val="auto"/>
        </w:rPr>
        <w:commentReference w:id="12"/>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t>
      </w:r>
      <w:r w:rsidR="0045183A">
        <w:lastRenderedPageBreak/>
        <w:t xml:space="preserve">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3"/>
      <w:r>
        <w:t>Results</w:t>
      </w:r>
      <w:commentRangeEnd w:id="13"/>
      <w:r w:rsidR="0045183A">
        <w:rPr>
          <w:rStyle w:val="CommentReference"/>
          <w:rFonts w:asciiTheme="minorHAnsi" w:eastAsiaTheme="minorEastAsia" w:hAnsiTheme="minorHAnsi" w:cstheme="minorBidi"/>
          <w:b w:val="0"/>
          <w:bCs w:val="0"/>
          <w:color w:val="auto"/>
        </w:rPr>
        <w:commentReference w:id="13"/>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4FEFE3E"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 xml:space="preserve">For the animals injected with rapamycin, there was </w:t>
      </w:r>
      <w:commentRangeStart w:id="14"/>
      <w:r w:rsidR="00D92193">
        <w:t>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xml:space="preserve">).  </w:t>
      </w:r>
      <w:commentRangeEnd w:id="14"/>
      <w:r w:rsidR="004A7A2F">
        <w:rPr>
          <w:rStyle w:val="CommentReference"/>
        </w:rPr>
        <w:commentReference w:id="14"/>
      </w:r>
      <w:r w:rsidR="00DD3A40">
        <w:t>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7239889F"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5"/>
      </w:r>
      <w:r>
        <w:t xml:space="preserve">Consistent with prior reports using </w:t>
      </w:r>
      <w:r>
        <w:rPr>
          <w:i/>
        </w:rPr>
        <w:t>ACTA1-Cre</w:t>
      </w:r>
      <w:r>
        <w:t xml:space="preserve"> driven </w:t>
      </w:r>
      <w:r>
        <w:rPr>
          <w:i/>
        </w:rPr>
        <w:t>Tsc1</w:t>
      </w:r>
      <w:r>
        <w:t xml:space="preserve"> knockout we observed a XX % elevation in energy expenditure in muscle specific </w:t>
      </w:r>
      <w:r>
        <w:rPr>
          <w:i/>
        </w:rPr>
        <w:t>Tsc1</w:t>
      </w:r>
      <w:r>
        <w:t xml:space="preserve"> knockout mouse (Figure 1F) but with no observable differences in physical activity during</w:t>
      </w:r>
      <w:r w:rsidR="00106DC4">
        <w:t xml:space="preserve"> the</w:t>
      </w:r>
      <w:r>
        <w:t xml:space="preserve"> monitoring</w:t>
      </w:r>
      <w:r w:rsidR="00106DC4">
        <w:t xml:space="preserve"> period</w:t>
      </w:r>
      <w:r w:rsidR="00472BDC">
        <w:t xml:space="preserve"> (Figure 1G</w:t>
      </w:r>
      <w:r w:rsidR="00472BDC">
        <w:softHyphen/>
      </w:r>
      <w:r w:rsidR="00472BDC">
        <w:softHyphen/>
      </w:r>
      <w:r w:rsidR="00472BDC">
        <w:softHyphen/>
      </w:r>
      <w:r w:rsidR="00472BDC">
        <w:softHyphen/>
      </w:r>
      <w:r>
        <w:t>).  These data are consistent with a physiological role of mTORC1 in moderating organismal energy expenditure.</w:t>
      </w:r>
      <w:r w:rsidR="00C64A2D">
        <w:t xml:space="preserve">  We next evaluated food intake in these animals on both NCD and HFD diets.  As shown in </w:t>
      </w:r>
      <w:commentRangeStart w:id="16"/>
      <w:r w:rsidR="00C64A2D">
        <w:t>Figure 1E</w:t>
      </w:r>
      <w:commentRangeEnd w:id="16"/>
      <w:r w:rsidR="00C64A2D">
        <w:rPr>
          <w:rStyle w:val="CommentReference"/>
        </w:rPr>
        <w:commentReference w:id="16"/>
      </w:r>
      <w:r w:rsidR="00C64A2D">
        <w:t xml:space="preserve">, while the HFD animals ingested more calories, there was no 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D2C69AB"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7"/>
      <w:r w:rsidR="0087648E">
        <w:t xml:space="preserve">XX </w:t>
      </w:r>
      <w:commentRangeEnd w:id="17"/>
      <w:r w:rsidR="0087648E">
        <w:rPr>
          <w:rStyle w:val="CommentReference"/>
        </w:rPr>
        <w:commentReference w:id="17"/>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lastRenderedPageBreak/>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w:t>
      </w:r>
      <w:proofErr w:type="spellStart"/>
      <w:r w:rsidR="0087648E">
        <w:t>epdidymal</w:t>
      </w:r>
      <w:proofErr w:type="spellEnd"/>
      <w:r w:rsidR="0087648E">
        <w:t xml:space="preserve">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8"/>
      <w:r>
        <w:t xml:space="preserve">resistant </w:t>
      </w:r>
      <w:commentRangeEnd w:id="18"/>
      <w:r>
        <w:rPr>
          <w:rStyle w:val="CommentReference"/>
        </w:rPr>
        <w:commentReference w:id="18"/>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19"/>
      <w:r>
        <w:t>XXX-YYY</w:t>
      </w:r>
      <w:commentRangeEnd w:id="19"/>
      <w:r>
        <w:rPr>
          <w:rStyle w:val="CommentReference"/>
        </w:rPr>
        <w:commentReference w:id="19"/>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3149DF"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67669">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[45,46]","plainTextFormattedCitation":"[45,46]","previouslyFormattedCitation":"[45,46]"},"properties":{"noteIndex":0},"schema":"https://github.com/citation-style-language/schema/raw/master/csl-citation.json"}</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67669">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867669">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[47]","plainTextFormattedCitation":"[47]","previouslyFormattedCitation":"[47]"},"properties":{"noteIndex":0},"schema":"https://github.com/citation-style-language/schema/raw/master/csl-citation.json"}</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4662EE1"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867669">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[48–51]","plainTextFormattedCitation":"[48–51]","previouslyFormattedCitation":"[48–51]"},"properties":{"noteIndex":0},"schema":"https://github.com/citation-style-language/schema/raw/master/csl-citation.json"}</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20"/>
      <w:r w:rsidR="004905D8">
        <w:t>ER</w:t>
      </w:r>
      <w:commentRangeEnd w:id="20"/>
      <w:r w:rsidR="006374B4">
        <w:rPr>
          <w:rStyle w:val="CommentReference"/>
        </w:rPr>
        <w:commentReference w:id="20"/>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9619B34"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867669">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[52,53]","plainTextFormattedCitation":"[52,53]","previouslyFormattedCitation":"[52,53]"},"properties":{"noteIndex":0},"schema":"https://github.com/citation-style-language/schema/raw/master/csl-citation.json"}</w:instrText>
      </w:r>
      <w:r w:rsidR="006F352E">
        <w:fldChar w:fldCharType="separate"/>
      </w:r>
      <w:r w:rsidR="003840F7" w:rsidRPr="003840F7">
        <w:rPr>
          <w:noProof/>
        </w:rPr>
        <w:t>[52,53]</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67669">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[54,55]","plainTextFormattedCitation":"[54,55]","previouslyFormattedCitation":"[54,55]"},"properties":{"noteIndex":0},"schema":"https://github.com/citation-style-language/schema/raw/master/csl-citation.json"}</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556F505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w:t>
      </w:r>
      <w:r>
        <w:lastRenderedPageBreak/>
        <w:t xml:space="preserve">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867669">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[56,57]","plainTextFormattedCitation":"[56,57]","previouslyFormattedCitation":"[56,57]"},"properties":{"noteIndex":0},"schema":"https://github.com/citation-style-language/schema/raw/master/csl-citation.json"}</w:instrText>
      </w:r>
      <w:r>
        <w:fldChar w:fldCharType="separate"/>
      </w:r>
      <w:r w:rsidR="003840F7" w:rsidRPr="003840F7">
        <w:rPr>
          <w:noProof/>
        </w:rPr>
        <w:t>[56,57]</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867669">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[57–63]","plainTextFormattedCitation":"[57–63]","previouslyFormattedCitation":"[57–63]"},"properties":{"noteIndex":0},"schema":"https://github.com/citation-style-language/schema/raw/master/csl-citation.json"}</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867669">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[64–66]","plainTextFormattedCitation":"[64–66]","previouslyFormattedCitation":"[64–66]"},"properties":{"noteIndex":0},"schema":"https://github.com/citation-style-language/schema/raw/master/csl-citation.json"}</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255F2B18"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867669">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[67,68]","plainTextFormattedCitation":"[67,68]","previouslyFormattedCitation":"[67,68]"},"properties":{"noteIndex":0},"schema":"https://github.com/citation-style-language/schema/raw/master/csl-citation.json"}</w:instrText>
      </w:r>
      <w:r>
        <w:fldChar w:fldCharType="separate"/>
      </w:r>
      <w:r w:rsidR="003840F7" w:rsidRPr="003840F7">
        <w:rPr>
          <w:noProof/>
        </w:rPr>
        <w:t>[67,68]</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CE786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[27,69,70]","plainTextFormattedCitation":"[27,69,70]"},"properties":{"noteIndex":0},"schema":"https://github.com/citation-style-language/schema/raw/master/csl-citation.json"}</w:instrText>
      </w:r>
      <w:r w:rsidR="00CE7860">
        <w:fldChar w:fldCharType="separate"/>
      </w:r>
      <w:r w:rsidR="00CE7860" w:rsidRPr="00CE7860">
        <w:rPr>
          <w:noProof/>
        </w:rPr>
        <w:t>[27,69,70]</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4A55199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CE786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[31,71,72]","plainTextFormattedCitation":"[31,71,72]","previouslyFormattedCitation":"[31,71,72]"},"properties":{"noteIndex":0},"schema":"https://github.com/citation-style-language/schema/raw/master/csl-citation.json"}</w:instrText>
      </w:r>
      <w:r w:rsidR="002638F5">
        <w:fldChar w:fldCharType="separate"/>
      </w:r>
      <w:r w:rsidR="00CE7860" w:rsidRPr="00CE7860">
        <w:rPr>
          <w:noProof/>
        </w:rPr>
        <w:t>[31,71,72]</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CE786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[73]","plainTextFormattedCitation":"[73]","previouslyFormattedCitation":"[73]"},"properties":{"noteIndex":0},"schema":"https://github.com/citation-style-language/schema/raw/master/csl-citation.json"}</w:instrText>
      </w:r>
      <w:r w:rsidR="00CD1EC4">
        <w:fldChar w:fldCharType="separate"/>
      </w:r>
      <w:r w:rsidR="00CE7860" w:rsidRPr="00CE7860">
        <w:rPr>
          <w:noProof/>
        </w:rPr>
        <w:t>[73]</w:t>
      </w:r>
      <w:r w:rsidR="00CD1EC4">
        <w:fldChar w:fldCharType="end"/>
      </w:r>
      <w:r w:rsidR="00CD1EC4">
        <w:t xml:space="preserve"> and with the observation that elevated free fatty acids can promote mitochondrial biogenesis </w:t>
      </w:r>
      <w:r w:rsidR="00CD1EC4">
        <w:fldChar w:fldCharType="begin" w:fldLock="1"/>
      </w:r>
      <w:r w:rsidR="00CE786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[74]","plainTextFormattedCitation":"[74]","previouslyFormattedCitation":"[74]"},"properties":{"noteIndex":0},"schema":"https://github.com/citation-style-language/schema/raw/master/csl-citation.json"}</w:instrText>
      </w:r>
      <w:r w:rsidR="00CD1EC4">
        <w:fldChar w:fldCharType="separate"/>
      </w:r>
      <w:r w:rsidR="00CE7860" w:rsidRPr="00CE7860">
        <w:rPr>
          <w:noProof/>
        </w:rPr>
        <w:t>[74]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CE786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[48,75]","plainTextFormattedCitation":"[48,75]","previouslyFormattedCitation":"[48,75]"},"properties":{"noteIndex":0},"schema":"https://github.com/citation-style-language/schema/raw/master/csl-citation.json"}</w:instrText>
      </w:r>
      <w:r w:rsidR="00FD1D50">
        <w:fldChar w:fldCharType="separate"/>
      </w:r>
      <w:r w:rsidR="00CE7860" w:rsidRPr="00CE7860">
        <w:rPr>
          <w:noProof/>
        </w:rPr>
        <w:t>[48,75]</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867669">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[48–50]","plainTextFormattedCitation":"[48–50]","previouslyFormattedCitation":"[48–50]"},"properties":{"noteIndex":0},"schema":"https://github.com/citation-style-language/schema/raw/master/csl-citation.json"}</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867669">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[51]","plainTextFormattedCitation":"[51]","previouslyFormattedCitation":"[51]"},"properties":{"noteIndex":0},"schema":"https://github.com/citation-style-language/schema/raw/master/csl-citation.json"}</w:instrText>
      </w:r>
      <w:r w:rsidR="00412036">
        <w:fldChar w:fldCharType="separate"/>
      </w:r>
      <w:r w:rsidR="003840F7" w:rsidRPr="003840F7">
        <w:rPr>
          <w:noProof/>
        </w:rPr>
        <w:t>[51]</w:t>
      </w:r>
      <w:r w:rsidR="00412036">
        <w:fldChar w:fldCharType="end"/>
      </w:r>
      <w:r w:rsidR="00CD1EC4">
        <w:t xml:space="preserve">. </w:t>
      </w:r>
      <w:commentRangeStart w:id="21"/>
      <w:r w:rsidR="00CD1EC4">
        <w:t>As</w:t>
      </w:r>
      <w:commentRangeEnd w:id="21"/>
      <w:r w:rsidR="00804E7C">
        <w:rPr>
          <w:rStyle w:val="CommentReference"/>
        </w:rPr>
        <w:commentReference w:id="21"/>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lastRenderedPageBreak/>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2"/>
      <w:r w:rsidR="001E0A5E">
        <w:t xml:space="preserve">XXXX </w:t>
      </w:r>
      <w:commentRangeEnd w:id="22"/>
      <w:r w:rsidR="00E22913">
        <w:rPr>
          <w:rStyle w:val="CommentReference"/>
        </w:rPr>
        <w:commentReference w:id="22"/>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bookmarkStart w:id="23" w:name="_GoBack"/>
      <w:bookmarkEnd w:id="23"/>
    </w:p>
    <w:p w14:paraId="0D600EE1" w14:textId="7264965E" w:rsidR="00CE7860" w:rsidRPr="00CE7860" w:rsidRDefault="00871236" w:rsidP="00CE786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CE7860" w:rsidRPr="00CE7860">
        <w:rPr>
          <w:rFonts w:ascii="Garamond" w:hAnsi="Garamond" w:cs="Times New Roman"/>
          <w:noProof/>
        </w:rPr>
        <w:t>[1]</w:t>
      </w:r>
      <w:r w:rsidR="00CE7860" w:rsidRPr="00CE7860">
        <w:rPr>
          <w:rFonts w:ascii="Garamond" w:hAnsi="Garamond" w:cs="Times New Roman"/>
          <w:noProof/>
        </w:rPr>
        <w:tab/>
        <w:t>World Health Organization., 2013. Obesity and Overweight. http://www.who.int/mediacentre/factsheets/fs311/en/.</w:t>
      </w:r>
    </w:p>
    <w:p w14:paraId="39278D3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w:t>
      </w:r>
      <w:r w:rsidRPr="00CE7860">
        <w:rPr>
          <w:rFonts w:ascii="Garamond" w:hAnsi="Garamond" w:cs="Times New Roman"/>
          <w:noProof/>
        </w:rPr>
        <w:tab/>
        <w:t>Leibel, R.L., Hirsch, J., 1984. Diminished energy requirements in reduced-obese patients. Metabolism 33(2): 164–70, Doi: 10.1016/0026-0495(84)90130-6.</w:t>
      </w:r>
    </w:p>
    <w:p w14:paraId="3D60D7F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w:t>
      </w:r>
      <w:r w:rsidRPr="00CE786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4749CA9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w:t>
      </w:r>
      <w:r w:rsidRPr="00CE786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4ECDA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w:t>
      </w:r>
      <w:r w:rsidRPr="00CE786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3D7888A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w:t>
      </w:r>
      <w:r w:rsidRPr="00CE786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541ECA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w:t>
      </w:r>
      <w:r w:rsidRPr="00CE7860">
        <w:rPr>
          <w:rFonts w:ascii="Garamond" w:hAnsi="Garamond" w:cs="Times New Roman"/>
          <w:noProof/>
        </w:rPr>
        <w:tab/>
        <w:t>Efeyan, A., Comb, W.C., Sabatini, D.M., 2015. Nutrient-sensing mechanisms and pathways. Nature 517(7534): 302–10, Doi: 10.1038/nature14190.</w:t>
      </w:r>
    </w:p>
    <w:p w14:paraId="3C394F3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[8]</w:t>
      </w:r>
      <w:r w:rsidRPr="00CE786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DA03D8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[9]</w:t>
      </w:r>
      <w:r w:rsidRPr="00CE786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07645F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[10]</w:t>
      </w:r>
      <w:r w:rsidRPr="00CE786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0BEB7F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[11]</w:t>
      </w:r>
      <w:r w:rsidRPr="00CE7860">
        <w:rPr>
          <w:rFonts w:ascii="Garamond" w:hAnsi="Garamond" w:cs="Times New Roman"/>
          <w:noProof/>
        </w:rPr>
        <w:tab/>
        <w:t xml:space="preserve">Lu, B., Bridges, D., Yang, Y., Fisher, K., Cheng, A., Chang, L., et al., 2014. Metabolic </w:t>
      </w:r>
      <w:r w:rsidRPr="00CE7860">
        <w:rPr>
          <w:rFonts w:ascii="Garamond" w:hAnsi="Garamond" w:cs="Times New Roman"/>
          <w:noProof/>
        </w:rPr>
        <w:lastRenderedPageBreak/>
        <w:t>crosstalk: molecular links between glycogen and lipid metabolism in obesity. Diabetes 63(9): 2935–48, Doi: 10.2337/db13-1531.</w:t>
      </w:r>
    </w:p>
    <w:p w14:paraId="1FA4634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[12]</w:t>
      </w:r>
      <w:r w:rsidRPr="00CE786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081B83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[13]</w:t>
      </w:r>
      <w:r w:rsidRPr="00CE7860">
        <w:rPr>
          <w:rFonts w:ascii="Garamond" w:hAnsi="Garamond" w:cs="Times New Roman"/>
          <w:noProof/>
        </w:rPr>
        <w:tab/>
        <w:t>Hatfield, I., Harvey, I., Yates, E.R., Redd, J.R., Reiter, L.T., Bridges, D., 2015. The role of TORC1 in muscle development in Drosophila. Scientific Reports 5: 9676, Doi: 10.1038/srep09676.</w:t>
      </w:r>
    </w:p>
    <w:p w14:paraId="0B8507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[14]</w:t>
      </w:r>
      <w:r w:rsidRPr="00CE786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98BD3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[15]</w:t>
      </w:r>
      <w:r w:rsidRPr="00CE786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543BB52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[16]</w:t>
      </w:r>
      <w:r w:rsidRPr="00CE786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11A1C7F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[17]</w:t>
      </w:r>
      <w:r w:rsidRPr="00CE786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68022D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[18]</w:t>
      </w:r>
      <w:r w:rsidRPr="00CE786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CC59E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[19]</w:t>
      </w:r>
      <w:r w:rsidRPr="00CE786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445C5D6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[20]</w:t>
      </w:r>
      <w:r w:rsidRPr="00CE786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2678C23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[21]</w:t>
      </w:r>
      <w:r w:rsidRPr="00CE786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1BE8FF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[22]</w:t>
      </w:r>
      <w:r w:rsidRPr="00CE7860">
        <w:rPr>
          <w:rFonts w:ascii="Garamond" w:hAnsi="Garamond" w:cs="Times New Roman"/>
          <w:noProof/>
        </w:rPr>
        <w:tab/>
        <w:t>Gale, C.R., Martyn, C.N., Cooper, C., Sayer, A.A., 2007. Grip strength, body composition, and mortality. International Journal of Epidemiology 36(1): 228–35, Doi: 10.1093/ije/dyl224.</w:t>
      </w:r>
    </w:p>
    <w:p w14:paraId="06A6D3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[23]</w:t>
      </w:r>
      <w:r w:rsidRPr="00CE786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91EC2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[24]</w:t>
      </w:r>
      <w:r w:rsidRPr="00CE7860">
        <w:rPr>
          <w:rFonts w:ascii="Garamond" w:hAnsi="Garamond" w:cs="Times New Roman"/>
          <w:noProof/>
        </w:rPr>
        <w:tab/>
        <w:t xml:space="preserve">Metter, E.J., Talbot, L. a., Schrager, M., Conwit, R., 2002. Skeletal muscle strength as a predictor of all-cause mortality in healthy men. The Journals of Gerontology. Series </w:t>
      </w:r>
      <w:r w:rsidRPr="00CE7860">
        <w:rPr>
          <w:rFonts w:ascii="Garamond" w:hAnsi="Garamond" w:cs="Times New Roman"/>
          <w:noProof/>
        </w:rPr>
        <w:lastRenderedPageBreak/>
        <w:t>A, Biological Sciences and Medical Sciences 57(10): B359–65, Doi: 10.1093/gerona/57.10.B359.</w:t>
      </w:r>
    </w:p>
    <w:p w14:paraId="3C2B31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[25]</w:t>
      </w:r>
      <w:r w:rsidRPr="00CE786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02918B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[26]</w:t>
      </w:r>
      <w:r w:rsidRPr="00CE786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3A5F69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[27]</w:t>
      </w:r>
      <w:r w:rsidRPr="00CE786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0F24E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[28]</w:t>
      </w:r>
      <w:r w:rsidRPr="00CE786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C52A8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[29]</w:t>
      </w:r>
      <w:r w:rsidRPr="00CE7860">
        <w:rPr>
          <w:rFonts w:ascii="Garamond" w:hAnsi="Garamond" w:cs="Times New Roman"/>
          <w:noProof/>
        </w:rPr>
        <w:tab/>
        <w:t>Rolfe, D.F., Brown, G.C., 1997. Cellular energy utilization and molecular origin of standard metabolic rate in mammals. Physiological Reviews 77(3): 731–58.</w:t>
      </w:r>
    </w:p>
    <w:p w14:paraId="58FCFE5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[30]</w:t>
      </w:r>
      <w:r w:rsidRPr="00CE786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CB546A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[31]</w:t>
      </w:r>
      <w:r w:rsidRPr="00CE786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63B38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[32]</w:t>
      </w:r>
      <w:r w:rsidRPr="00CE786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8EC2E6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[33]</w:t>
      </w:r>
      <w:r w:rsidRPr="00CE786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7BDA4E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[34]</w:t>
      </w:r>
      <w:r w:rsidRPr="00CE786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16CDAD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[35]</w:t>
      </w:r>
      <w:r w:rsidRPr="00CE786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814FDB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[36]</w:t>
      </w:r>
      <w:r w:rsidRPr="00CE7860">
        <w:rPr>
          <w:rFonts w:ascii="Garamond" w:hAnsi="Garamond" w:cs="Times New Roman"/>
          <w:noProof/>
        </w:rPr>
        <w:tab/>
        <w:t>Cuthbertson, D., Smith, K., Babraj, J., Leese, G., Waddell, T., Atherton, P., et al., 2005. Anabolic signaling deficits underlie amino acid resistance of wasting, aging muscle. The FASEB Journal</w:t>
      </w:r>
      <w:r w:rsidRPr="00CE7860">
        <w:rPr>
          <w:rFonts w:ascii="Times New Roman" w:hAnsi="Times New Roman" w:cs="Times New Roman"/>
          <w:noProof/>
        </w:rPr>
        <w:t> </w:t>
      </w:r>
      <w:r w:rsidRPr="00CE7860">
        <w:rPr>
          <w:rFonts w:ascii="Garamond" w:hAnsi="Garamond" w:cs="Times New Roman"/>
          <w:noProof/>
        </w:rPr>
        <w:t>: Official Publication of the Federation of American Societies for Experimental Biology 19(3): 422–4, Doi: 10.1096/fj.04-2640fje.</w:t>
      </w:r>
    </w:p>
    <w:p w14:paraId="48554B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[37]</w:t>
      </w:r>
      <w:r w:rsidRPr="00CE7860">
        <w:rPr>
          <w:rFonts w:ascii="Garamond" w:hAnsi="Garamond" w:cs="Times New Roman"/>
          <w:noProof/>
        </w:rPr>
        <w:tab/>
        <w:t xml:space="preserve">Tschöp, M.H., Speakman, J.R., Arch, J.R.S., Auwerx, J., Brüning, J.C.C., Chan, L., et </w:t>
      </w:r>
      <w:r w:rsidRPr="00CE7860">
        <w:rPr>
          <w:rFonts w:ascii="Garamond" w:hAnsi="Garamond" w:cs="Times New Roman"/>
          <w:noProof/>
        </w:rPr>
        <w:lastRenderedPageBreak/>
        <w:t>al., 2011. A guide to analysis of mouse energy metabolism. Nature Methods 9(1): 57–63, Doi: 10.1038/nmeth.1806.</w:t>
      </w:r>
    </w:p>
    <w:p w14:paraId="0B50F6D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[38]</w:t>
      </w:r>
      <w:r w:rsidRPr="00CE786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1A45F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[39]</w:t>
      </w:r>
      <w:r w:rsidRPr="00CE786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FBB10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[40]</w:t>
      </w:r>
      <w:r w:rsidRPr="00CE7860">
        <w:rPr>
          <w:rFonts w:ascii="Garamond" w:hAnsi="Garamond" w:cs="Times New Roman"/>
          <w:noProof/>
        </w:rPr>
        <w:tab/>
        <w:t>R Core Team., 2013. R: A Language and Environment for Statistical Computing.</w:t>
      </w:r>
    </w:p>
    <w:p w14:paraId="10C279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[41]</w:t>
      </w:r>
      <w:r w:rsidRPr="00CE7860">
        <w:rPr>
          <w:rFonts w:ascii="Garamond" w:hAnsi="Garamond" w:cs="Times New Roman"/>
          <w:noProof/>
        </w:rPr>
        <w:tab/>
        <w:t>Bates, D.M., Mächler, M., Bolker, B., Walker, S., 2014. Fitting Linear Mixed-Effects Models using lme4. ArXiv 1406.5823: 1–51.</w:t>
      </w:r>
    </w:p>
    <w:p w14:paraId="0FAD09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[42]</w:t>
      </w:r>
      <w:r w:rsidRPr="00CE7860">
        <w:rPr>
          <w:rFonts w:ascii="Garamond" w:hAnsi="Garamond" w:cs="Times New Roman"/>
          <w:noProof/>
        </w:rPr>
        <w:tab/>
        <w:t>Therneau, T.M., Grambsch, P.M., 2000. Modeling Survival Data: Extending the Cox Model. New York, NY: Springer New York.</w:t>
      </w:r>
    </w:p>
    <w:p w14:paraId="7C5CF2A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[43]</w:t>
      </w:r>
      <w:r w:rsidRPr="00CE7860">
        <w:rPr>
          <w:rFonts w:ascii="Garamond" w:hAnsi="Garamond" w:cs="Times New Roman"/>
          <w:noProof/>
        </w:rPr>
        <w:tab/>
        <w:t>Therneau, T., 2012. A Package for Survival Analysis in S. R package version. Survival.</w:t>
      </w:r>
    </w:p>
    <w:p w14:paraId="14D4F4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[44]</w:t>
      </w:r>
      <w:r w:rsidRPr="00CE786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48B2408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[45]</w:t>
      </w:r>
      <w:r w:rsidRPr="00CE786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962850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[46]</w:t>
      </w:r>
      <w:r w:rsidRPr="00CE786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39780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[47]</w:t>
      </w:r>
      <w:r w:rsidRPr="00CE786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62E041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[48]</w:t>
      </w:r>
      <w:r w:rsidRPr="00CE786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E5FC64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[49]</w:t>
      </w:r>
      <w:r w:rsidRPr="00CE786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1B45E55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[50]</w:t>
      </w:r>
      <w:r w:rsidRPr="00CE786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37CDF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[51]</w:t>
      </w:r>
      <w:r w:rsidRPr="00CE7860">
        <w:rPr>
          <w:rFonts w:ascii="Garamond" w:hAnsi="Garamond" w:cs="Times New Roman"/>
          <w:noProof/>
        </w:rPr>
        <w:tab/>
        <w:t>Maurya, S.K., Periasamy, M., 2015. Sarcolipin is a novel regulator of muscle metabolism and obesity. Pharmacological Research 102: 270–5, Doi: 10.1016/j.phrs.2015.10.020.</w:t>
      </w:r>
    </w:p>
    <w:p w14:paraId="488E6D0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[52]</w:t>
      </w:r>
      <w:r w:rsidRPr="00CE7860">
        <w:rPr>
          <w:rFonts w:ascii="Garamond" w:hAnsi="Garamond" w:cs="Times New Roman"/>
          <w:noProof/>
        </w:rPr>
        <w:tab/>
        <w:t xml:space="preserve">Goodpaster, B.H., He, J., Watkins, S., Kelley, D.E., 2001. Skeletal muscle lipid </w:t>
      </w:r>
      <w:r w:rsidRPr="00CE7860">
        <w:rPr>
          <w:rFonts w:ascii="Garamond" w:hAnsi="Garamond" w:cs="Times New Roman"/>
          <w:noProof/>
        </w:rPr>
        <w:lastRenderedPageBreak/>
        <w:t>content and insulin resistance: Evidence for a paradox in endurance-trained athletes. Journal of Clinical Endocrinology and Metabolism 86(12): 5755–61, Doi: 10.1210/jc.86.12.5755.</w:t>
      </w:r>
    </w:p>
    <w:p w14:paraId="1AF87A6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[53]</w:t>
      </w:r>
      <w:r w:rsidRPr="00CE7860">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97CC6B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[54]</w:t>
      </w:r>
      <w:r w:rsidRPr="00CE7860">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2E039A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[55]</w:t>
      </w:r>
      <w:r w:rsidRPr="00CE7860">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7F1016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[56]</w:t>
      </w:r>
      <w:r w:rsidRPr="00CE786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733897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[57]</w:t>
      </w:r>
      <w:r w:rsidRPr="00CE786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F2E8F9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[58]</w:t>
      </w:r>
      <w:r w:rsidRPr="00CE786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847BED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[59]</w:t>
      </w:r>
      <w:r w:rsidRPr="00CE786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33712B6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[60]</w:t>
      </w:r>
      <w:r w:rsidRPr="00CE786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179BCEF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[61]</w:t>
      </w:r>
      <w:r w:rsidRPr="00CE786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F5F8F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[62]</w:t>
      </w:r>
      <w:r w:rsidRPr="00CE786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200F380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[63]</w:t>
      </w:r>
      <w:r w:rsidRPr="00CE786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02E5F53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[64]</w:t>
      </w:r>
      <w:r w:rsidRPr="00CE7860">
        <w:rPr>
          <w:rFonts w:ascii="Garamond" w:hAnsi="Garamond" w:cs="Times New Roman"/>
          <w:noProof/>
        </w:rPr>
        <w:tab/>
        <w:t xml:space="preserve">Giannakou, M.E., Goss, M., Jünger, M.A., Hafen, E., Leevers, S.J., Partridge, L., 2004. </w:t>
      </w:r>
      <w:r w:rsidRPr="00CE7860">
        <w:rPr>
          <w:rFonts w:ascii="Garamond" w:hAnsi="Garamond" w:cs="Times New Roman"/>
          <w:noProof/>
        </w:rPr>
        <w:lastRenderedPageBreak/>
        <w:t>Long-lived Drosophila with overexpressed dFOXO in adult fat body. Science 305(5682): 361, Doi: 10.1126/science.1098219.</w:t>
      </w:r>
    </w:p>
    <w:p w14:paraId="4AFCCBB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[65]</w:t>
      </w:r>
      <w:r w:rsidRPr="00CE786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F20270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[66]</w:t>
      </w:r>
      <w:r w:rsidRPr="00CE786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F86894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[67]</w:t>
      </w:r>
      <w:r w:rsidRPr="00CE786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174CDF5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[68]</w:t>
      </w:r>
      <w:r w:rsidRPr="00CE786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B215E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[69]</w:t>
      </w:r>
      <w:r w:rsidRPr="00CE786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4A2126A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[70]</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74D5D0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[71]</w:t>
      </w:r>
      <w:r w:rsidRPr="00CE786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99A8F2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[72]</w:t>
      </w:r>
      <w:r w:rsidRPr="00CE786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4973D4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[73]</w:t>
      </w:r>
      <w:r w:rsidRPr="00CE786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BB0835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[74]</w:t>
      </w:r>
      <w:r w:rsidRPr="00CE786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DACA269" w14:textId="77777777" w:rsidR="00CE7860" w:rsidRPr="00CE7860" w:rsidRDefault="00CE7860" w:rsidP="00CE7860">
      <w:pPr>
        <w:widowControl w:val="0"/>
        <w:autoSpaceDE w:val="0"/>
        <w:autoSpaceDN w:val="0"/>
        <w:adjustRightInd w:val="0"/>
        <w:spacing w:before="100" w:after="100"/>
        <w:ind w:left="640" w:hanging="640"/>
        <w:rPr>
          <w:rFonts w:ascii="Garamond" w:hAnsi="Garamond"/>
          <w:noProof/>
        </w:rPr>
      </w:pPr>
      <w:r w:rsidRPr="00CE7860">
        <w:rPr>
          <w:rFonts w:ascii="Garamond" w:hAnsi="Garamond" w:cs="Times New Roman"/>
          <w:noProof/>
        </w:rPr>
        <w:t>[75]</w:t>
      </w:r>
      <w:r w:rsidRPr="00CE7860">
        <w:rPr>
          <w:rFonts w:ascii="Garamond" w:hAnsi="Garamond" w:cs="Times New Roman"/>
          <w:noProof/>
        </w:rPr>
        <w:tab/>
        <w:t xml:space="preserve">Sahoo, S.K., Shaikh, S.A., Sopariwala, D.H., Bal, N.C., Periasamy, M., 2013. Sarcolipin Protein Interaction with Sarco(endo)plasmic Reticulum Ca2+ATPase (SERCA) Is Distinct from Phospholamban Protein, and Only Sarcolipin Can Promote Uncoupling of the SERCA Pump. Journal of Biological Chemistry 288(10): </w:t>
      </w:r>
      <w:r w:rsidRPr="00CE7860">
        <w:rPr>
          <w:rFonts w:ascii="Garamond" w:hAnsi="Garamond" w:cs="Times New Roman"/>
          <w:noProof/>
        </w:rPr>
        <w:lastRenderedPageBreak/>
        <w:t>6881–9, Doi: 10.1074/jbc.M112.436915.</w:t>
      </w:r>
    </w:p>
    <w:p w14:paraId="22D37FF9" w14:textId="3DC3C1D2" w:rsidR="00871236" w:rsidRPr="005149B5" w:rsidRDefault="00871236" w:rsidP="00CE786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0"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1" w:author="Dave Bridges" w:date="2016-06-09T17:16:00Z" w:initials="DB">
    <w:p w14:paraId="614455D1" w14:textId="486F254D" w:rsidR="00BA3BA0" w:rsidRDefault="00BA3BA0">
      <w:pPr>
        <w:pStyle w:val="CommentText"/>
      </w:pPr>
      <w:r>
        <w:rPr>
          <w:rStyle w:val="CommentReference"/>
        </w:rPr>
        <w:annotationRef/>
      </w:r>
      <w:r>
        <w:t>Quynh please write</w:t>
      </w:r>
    </w:p>
  </w:comment>
  <w:comment w:id="12"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3"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4" w:author="Dave Bridges" w:date="2019-01-31T16:37:00Z" w:initials="DB">
    <w:p w14:paraId="30A69D67" w14:textId="124A7D33" w:rsidR="004A7A2F" w:rsidRDefault="004A7A2F">
      <w:pPr>
        <w:pStyle w:val="CommentText"/>
      </w:pPr>
      <w:r>
        <w:rPr>
          <w:rStyle w:val="CommentReference"/>
        </w:rPr>
        <w:annotationRef/>
      </w:r>
      <w:r>
        <w:t>Need to clarify these statistics.</w:t>
      </w:r>
    </w:p>
  </w:comment>
  <w:comment w:id="15"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6" w:author="Dave Bridges" w:date="2019-01-30T09:37:00Z" w:initials="DB">
    <w:p w14:paraId="243B2BC8" w14:textId="65B70365" w:rsidR="00C64A2D" w:rsidRDefault="00C64A2D">
      <w:pPr>
        <w:pStyle w:val="CommentText"/>
      </w:pPr>
      <w:r>
        <w:rPr>
          <w:rStyle w:val="CommentReference"/>
        </w:rPr>
        <w:annotationRef/>
      </w:r>
      <w:r>
        <w:t>Add this figure</w:t>
      </w:r>
    </w:p>
  </w:comment>
  <w:comment w:id="17"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8"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9"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20"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1"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2"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30A69D67" w15:done="0"/>
  <w15:commentEx w15:paraId="5A8DF493" w15:done="0"/>
  <w15:commentEx w15:paraId="243B2BC8" w15:done="0"/>
  <w15:commentEx w15:paraId="6C5CD8C1"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30A69D67" w16cid:durableId="1FFDA2CA"/>
  <w16cid:commentId w16cid:paraId="243B2BC8" w16cid:durableId="1FFBEEDB"/>
  <w16cid:commentId w16cid:paraId="6C5CD8C1" w16cid:durableId="1F1E93E0"/>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914A" w14:textId="77777777" w:rsidR="00026298" w:rsidRDefault="00026298" w:rsidP="00907F04">
      <w:r>
        <w:separator/>
      </w:r>
    </w:p>
  </w:endnote>
  <w:endnote w:type="continuationSeparator" w:id="0">
    <w:p w14:paraId="2F418491" w14:textId="77777777" w:rsidR="00026298" w:rsidRDefault="00026298"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1970" w14:textId="77777777" w:rsidR="00026298" w:rsidRDefault="00026298" w:rsidP="00907F04">
      <w:r>
        <w:separator/>
      </w:r>
    </w:p>
  </w:footnote>
  <w:footnote w:type="continuationSeparator" w:id="0">
    <w:p w14:paraId="277B4132" w14:textId="77777777" w:rsidR="00026298" w:rsidRDefault="00026298"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8153C"/>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D2A58"/>
    <w:rsid w:val="00DD3A40"/>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E78"/>
    <w:rsid w:val="00F0463F"/>
    <w:rsid w:val="00F07541"/>
    <w:rsid w:val="00F1021D"/>
    <w:rsid w:val="00F10B8B"/>
    <w:rsid w:val="00F30796"/>
    <w:rsid w:val="00F311C5"/>
    <w:rsid w:val="00F52887"/>
    <w:rsid w:val="00F57B88"/>
    <w:rsid w:val="00F60DC7"/>
    <w:rsid w:val="00F64D91"/>
    <w:rsid w:val="00F70CE4"/>
    <w:rsid w:val="00F72D7F"/>
    <w:rsid w:val="00F75ACE"/>
    <w:rsid w:val="00F811D4"/>
    <w:rsid w:val="00F82FCB"/>
    <w:rsid w:val="00F901B5"/>
    <w:rsid w:val="00F94801"/>
    <w:rsid w:val="00F951B7"/>
    <w:rsid w:val="00FA15D0"/>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D0F3-32C5-9943-BD56-C43BF697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49734</Words>
  <Characters>283489</Characters>
  <Application>Microsoft Office Word</Application>
  <DocSecurity>0</DocSecurity>
  <Lines>2362</Lines>
  <Paragraphs>665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287</cp:revision>
  <cp:lastPrinted>2018-08-15T17:02:00Z</cp:lastPrinted>
  <dcterms:created xsi:type="dcterms:W3CDTF">2015-07-01T15:40:00Z</dcterms:created>
  <dcterms:modified xsi:type="dcterms:W3CDTF">2019-02-01T21:10:00Z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