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0038CF16" w:rsidR="00E32EF3" w:rsidRPr="00E32EF3" w:rsidRDefault="00E32EF3" w:rsidP="00E32EF3">
      <w:r>
        <w:t xml:space="preserve">Dave Bridges, Erin </w:t>
      </w:r>
      <w:r w:rsidR="00736644">
        <w:t xml:space="preserve">J. </w:t>
      </w:r>
      <w:r>
        <w:t>Stephenson, Innocence Har</w:t>
      </w:r>
      <w:r w:rsidR="0050751B">
        <w:t xml:space="preserve">vey, Binbin Lu, </w:t>
      </w:r>
      <w:r w:rsidR="00496EF3">
        <w:t xml:space="preserve">JeAnna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31917AB9"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2A7B4B">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79DAA43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0402E">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 17]", "plainTextFormattedCitation" : "[16, 17]", "previouslyFormattedCitation" : "[16, 17]" }, "properties" : { "noteIndex" : 0 }, "schema" : "https://github.com/citation-style-language/schema/raw/master/csl-citation.json" }</w:instrText>
      </w:r>
      <w:r w:rsidR="00403E87">
        <w:fldChar w:fldCharType="separate"/>
      </w:r>
      <w:r w:rsidR="00CE7E88" w:rsidRPr="00CE7E88">
        <w:rPr>
          <w:noProof/>
        </w:rPr>
        <w:t>[16, 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0402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 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 19]", "plainTextFormattedCitation" : "[18, 19]", "previouslyFormattedCitation" : "[18, 19]" }, "properties" : { "noteIndex" : 0 }, "schema" : "https://github.com/citation-style-language/schema/raw/master/csl-citation.json" }</w:instrText>
      </w:r>
      <w:r w:rsidR="00403E87">
        <w:fldChar w:fldCharType="separate"/>
      </w:r>
      <w:r w:rsidR="00CE7E88" w:rsidRPr="00CE7E88">
        <w:rPr>
          <w:noProof/>
        </w:rPr>
        <w:t>[18, 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403E87">
        <w:fldChar w:fldCharType="separate"/>
      </w:r>
      <w:r w:rsidR="00CE7E88" w:rsidRPr="00CE7E88">
        <w:rPr>
          <w:noProof/>
        </w:rPr>
        <w:t>[20, 21]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0402E">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"[22\u201324]", "plainTextFormattedCitation" : "[22\u201324]", "previouslyFormattedCitation" : "[22\u201324]" }, "properties" : { "noteIndex" : 0 }, "schema" : "https://github.com/citation-style-language/schema/raw/master/csl-citation.json" }</w:instrText>
      </w:r>
      <w:r w:rsidR="00AC73D9">
        <w:fldChar w:fldCharType="separate"/>
      </w:r>
      <w:r w:rsidR="00CE7E88" w:rsidRPr="00CE7E88">
        <w:rPr>
          <w:noProof/>
        </w:rPr>
        <w:t>[22–24]</w:t>
      </w:r>
      <w:r w:rsidR="00AC73D9">
        <w:fldChar w:fldCharType="end"/>
      </w:r>
      <w:r w:rsidR="00AC73D9">
        <w:t xml:space="preserve">.  mTORC1 </w:t>
      </w:r>
      <w:r w:rsidR="000B72BD">
        <w:t>is strongly activation in co-ordination with high protein diets</w:t>
      </w:r>
      <w:r w:rsidR="009010AA">
        <w:t xml:space="preserve"> or supplementation with essential amino acids </w:t>
      </w:r>
      <w:r w:rsidR="009010AA">
        <w:fldChar w:fldCharType="begin" w:fldLock="1"/>
      </w:r>
      <w:r w:rsidR="0080402E">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"http://www.mendeley.com/documents/?uuid=c1d639d3-6ff4-415a-bf68-1525bdf99fff"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"[25, 26]", "plainTextFormattedCitation" : "[25, 26]", "previouslyFormattedCitation" : "[25, 26]" }, "properties" : { "noteIndex" : 0 }, "schema" : "https://github.com/citation-style-language/schema/raw/master/csl-citation.json" }</w:instrText>
      </w:r>
      <w:r w:rsidR="009010AA">
        <w:fldChar w:fldCharType="separate"/>
      </w:r>
      <w:r w:rsidR="00CE7E88" w:rsidRPr="00CE7E88">
        <w:rPr>
          <w:noProof/>
        </w:rPr>
        <w:t>[25, 26]</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5134F79F" w:rsidR="0039667E" w:rsidRDefault="00996376" w:rsidP="00996376">
      <w:r>
        <w:t xml:space="preserve">All mice were purchased from The Jackson Laboratory.  </w:t>
      </w:r>
      <w:r w:rsidR="00B80ABE">
        <w:t xml:space="preserve">Unless otherwise stated, animals were fed a normal chow diet from </w:t>
      </w:r>
      <w:commentRangeStart w:id="0"/>
      <w:r w:rsidR="00B80ABE">
        <w:t>Harlan Teklad</w:t>
      </w:r>
      <w:commentRangeEnd w:id="0"/>
      <w:r w:rsidR="00B80ABE">
        <w:rPr>
          <w:rStyle w:val="CommentReference"/>
        </w:rPr>
        <w:commentReference w:id="0"/>
      </w:r>
      <w:r w:rsidR="00B80ABE">
        <w:t xml:space="preserve">. </w:t>
      </w:r>
      <w:r w:rsidR="0039667E">
        <w:t>For high protein diet (</w:t>
      </w:r>
      <w:commentRangeStart w:id="1"/>
      <w:r w:rsidR="0039667E">
        <w:t>HPD</w:t>
      </w:r>
      <w:commentRangeEnd w:id="1"/>
      <w:r w:rsidR="00972512">
        <w:rPr>
          <w:rStyle w:val="CommentReference"/>
        </w:rPr>
        <w:commentReference w:id="1"/>
      </w:r>
      <w:r w:rsidR="0039667E">
        <w:t>) feeding studies, a custom high protein diet and a matched control diet (</w:t>
      </w:r>
      <w:commentRangeStart w:id="2"/>
      <w:r w:rsidR="0039667E">
        <w:t>CD</w:t>
      </w:r>
      <w:commentRangeEnd w:id="2"/>
      <w:r w:rsidR="00972512">
        <w:rPr>
          <w:rStyle w:val="CommentReference"/>
        </w:rPr>
        <w:commentReference w:id="2"/>
      </w:r>
      <w:r w:rsidR="0039667E">
        <w:t xml:space="preserve">) were purchased from Research Diets (see Table 1).  </w:t>
      </w:r>
      <w:r w:rsidR="00D04DA3">
        <w:t xml:space="preserve">Male </w:t>
      </w:r>
      <w:r w:rsidR="0039667E">
        <w:t>C57BL/6J mice were purchased at 8 weeks of age, and allowed to acclimate to the animal facility</w:t>
      </w:r>
      <w:r w:rsidR="004C5CD7">
        <w:t xml:space="preserve"> prior to changing diets for two weeks</w:t>
      </w:r>
      <w:r w:rsidR="0039667E">
        <w:t xml:space="preserve">.  Animals </w:t>
      </w:r>
      <w:r w:rsidR="0072553D">
        <w:t xml:space="preserve">were </w:t>
      </w:r>
      <w:r w:rsidR="004C5CD7">
        <w:t xml:space="preserve">then </w:t>
      </w:r>
      <w:r w:rsidR="0072553D">
        <w:t>provided</w:t>
      </w:r>
      <w:r w:rsidR="006847F1">
        <w:t xml:space="preserve"> </w:t>
      </w:r>
      <w:r w:rsidR="006847F1">
        <w:rPr>
          <w:i/>
        </w:rPr>
        <w:t>ad libitum</w:t>
      </w:r>
      <w:r w:rsidR="006847F1">
        <w:t xml:space="preserve"> access to</w:t>
      </w:r>
      <w:r w:rsidR="0039667E">
        <w:t xml:space="preserve"> </w:t>
      </w:r>
      <w:r w:rsidR="00A01F29">
        <w:t>CD</w:t>
      </w:r>
      <w:r w:rsidR="0039667E">
        <w:t xml:space="preserve"> or HPD </w:t>
      </w:r>
      <w:r w:rsidR="006847F1">
        <w:t xml:space="preserve">starting </w:t>
      </w:r>
      <w:r w:rsidR="0039667E">
        <w:t xml:space="preserve">at 10 weeks of age.  </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54D71501" w:rsidR="0039667E" w:rsidRDefault="0039667E" w:rsidP="0039667E">
      <w:pPr>
        <w:pStyle w:val="Heading2"/>
      </w:pPr>
      <w:r>
        <w:t>Food Intake</w:t>
      </w:r>
      <w:r w:rsidR="00B3409A">
        <w:t xml:space="preserve"> and Body Composition</w:t>
      </w:r>
    </w:p>
    <w:p w14:paraId="0F193F30" w14:textId="53BE61FE" w:rsidR="00871236" w:rsidRPr="002A7B4B" w:rsidRDefault="0039667E" w:rsidP="00871236">
      <w:r>
        <w:t>Food intake was determined throughout the CD/HPD feeding studies by we</w:t>
      </w:r>
      <w:r w:rsidR="00736644">
        <w:t>ighing the food in the cages (</w:t>
      </w:r>
      <w:r w:rsidR="00620F42">
        <w:t>3</w:t>
      </w:r>
      <w:r>
        <w:t xml:space="preserve">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075D446E"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80402E">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 "page" : "57-63", "title" : "A guide to analysis of mouse energy metabolism", "type" : "article-journal", "volume" : "9" }, "uris" : [ "http://www.mendeley.com/documents/?uuid=7200ae06-3e84-4cb9-8831-035cc6185906" ] } ], "mendeley" : { "formattedCitation" : "[27]", "plainTextFormattedCitation" : "[27]", "previouslyFormattedCitation" : "[27]" }, "properties" : { "noteIndex" : 0 }, "schema" : "https://github.com/citation-style-language/schema/raw/master/csl-citation.json" }</w:instrText>
      </w:r>
      <w:r w:rsidR="002A7B4B">
        <w:fldChar w:fldCharType="separate"/>
      </w:r>
      <w:r w:rsidR="00CE7E88" w:rsidRPr="00CE7E88">
        <w:rPr>
          <w:noProof/>
        </w:rPr>
        <w:t>[27]</w:t>
      </w:r>
      <w:r w:rsidR="002A7B4B">
        <w:fldChar w:fldCharType="end"/>
      </w:r>
      <w:r w:rsidR="002A7B4B">
        <w:t>.</w:t>
      </w:r>
    </w:p>
    <w:p w14:paraId="47F6346F" w14:textId="22843678" w:rsidR="003406C3" w:rsidRDefault="003406C3" w:rsidP="00C913F9">
      <w:pPr>
        <w:pStyle w:val="Heading2"/>
      </w:pPr>
      <w:r>
        <w:t>Insulin</w:t>
      </w:r>
      <w:r w:rsidR="007D199B">
        <w:t>/Glucose</w:t>
      </w:r>
      <w:r w:rsidR="00445957">
        <w:t>/Pyruvate</w:t>
      </w:r>
      <w:r>
        <w:t xml:space="preserve"> Tolerance Tests and Euglycemic Hyperinsulinemic Clamp Studies</w:t>
      </w:r>
    </w:p>
    <w:p w14:paraId="2BF56F01" w14:textId="1D93CBF3" w:rsidR="0045067A" w:rsidRDefault="00C913F9" w:rsidP="0052183D">
      <w:r>
        <w:t xml:space="preserve">Insulin tolerance tests were performed as previously described </w:t>
      </w:r>
      <w:r>
        <w:fldChar w:fldCharType="begin" w:fldLock="1"/>
      </w:r>
      <w:r w:rsidR="0080402E">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"http://www.mendeley.com/documents/?uuid=b00291bd-42ee-44d7-a7a2-bb9d5a302bbd"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28]", "plainTextFormattedCitation" : "[11, 28]", "previouslyFormattedCitation" : "[11, 28]" }, "properties" : { "noteIndex" : 0 }, "schema" : "https://github.com/citation-style-language/schema/raw/master/csl-citation.json" }</w:instrText>
      </w:r>
      <w:r>
        <w:fldChar w:fldCharType="separate"/>
      </w:r>
      <w:r w:rsidR="00CE7E88" w:rsidRPr="00CE7E88">
        <w:rPr>
          <w:noProof/>
        </w:rPr>
        <w:t>[11, 28]</w:t>
      </w:r>
      <w:r>
        <w:fldChar w:fldCharType="end"/>
      </w:r>
      <w:r>
        <w:t xml:space="preserve"> by fasting mice for 6h, followed by an intraperitoneal injection of 1 mU/kg insulin (Humulin HR, Lily) </w:t>
      </w:r>
      <w:r w:rsidR="007D199B">
        <w:t>with</w:t>
      </w:r>
      <w:r>
        <w:t xml:space="preserve"> monitoring of blood glucose </w:t>
      </w:r>
      <w:r w:rsidR="007D199B">
        <w:t xml:space="preserve">from the tail vein measured </w:t>
      </w:r>
      <w:r>
        <w:t xml:space="preserve">over time using a handheld glucometer (Accuchek).  </w:t>
      </w:r>
      <w:r w:rsidR="007D199B">
        <w:t xml:space="preserve">Glucose tolerance tests were performed by injecting 1 mg/g glucose into mice fasted for 16h, with blood glucose being identified as described above.  </w:t>
      </w:r>
      <w:r w:rsidR="00445957">
        <w:t xml:space="preserve">For pyruvate tolerance tests, 2.5 mg/g pyruvate was injected intraperitoneally after a 6h fast. All of these tests were performed at approximately ZT8.  </w:t>
      </w:r>
      <w:r>
        <w:t xml:space="preserve">To perform hyperinsulinemic euglycemic clamps, conscious 100 day old muscle </w:t>
      </w:r>
      <w:r>
        <w:rPr>
          <w:i/>
        </w:rPr>
        <w:t>Tsc1</w:t>
      </w:r>
      <w:r>
        <w:t xml:space="preserve"> knockout mice were analyzed at the Vanderbilt Mouse Metabolic Phenotyping Center and according to previously published protocols </w:t>
      </w:r>
      <w:r w:rsidR="007D199B">
        <w:fldChar w:fldCharType="begin" w:fldLock="1"/>
      </w:r>
      <w:r w:rsidR="0080402E">
        <w:instrText>ADDIN CSL_CITATION { "citationItems" : [ { "id" : "ITEM-1", "itemData" : { "ISSN" : "0012-1797", "PMID" : "16443772", "abstract" : "Despite increased use of the hyperinsulinemic-euglycemic clamp to study insulin action in mice, the effects of experimental parameters on the results obtained have not been addressed. In our studies, we determined the influences of sampling sites, fasting duration, and insulin delivery on results obtained from clamps in conscious mice. Carotid artery and jugular vein catheters were implanted in C57BL/6J mice (n = 6-10/group) fed a normal diet for sampling and infusions. After a 5-day recovery period, mice underwent a 120-min clamp (2.5-mU . kg(-1) . min(-1) insulin infusion; approximately 120-130 mg/dl glucose) while receiving [3-(3)H]glucose to determine glucose appearance (endoR(a)) and disappearance (R(d)). Sampling large volumes (approximately 100 mul) from the cut tail resulted in elevated catecholamines and basal glucose compared with artery sampling. Catecholamines were not elevated when taking small samples ( approximately 5 mul) from the cut tail. Overnight (18-h) fasting resulted in greater loss of total body, lean, and fat masses and hepatic glycogen but resulted in enhanced insulin sensitivity compared with 5-h fasting. Compared with a 16-mU/kg insulin prime, a 300-mU/kg prime resulted in hepatic insulin resistance and slower acquisition of steady-state glucose infusion rates (GIR) after a 5-h fast. The steady-state GIR was expedited after the 300-mU/kg prime in 18-h-fasted mice. The GIR and R(d) rose with increasing insulin infusions (0.8, 2.5, 4, and 20 mU . kg(-1) . min(-1)), but endoR(a) was fully suppressed with doses higher than 0.8 mU . kg(-1) . min(-1). Thus, common variations in experimental factors yield different results and should be considered in designing and interpreting clamps.",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"ITEM-1", "issue" : "2", "issued" : { "date-parts" : [ [ "2006", "3" ] ] }, "page" : "390-7", "title" : "Considerations in the design of hyperinsulinemic-euglycemic clamps in the conscious mouse.", "type" : "article-journal", "volume" : "55" }, "uris" : [ "http://www.mendeley.com/documents/?uuid=9c75cf24-b920-4cc8-bbf9-7763e709c36e" ] } ], "mendeley" : { "formattedCitation" : "[29]", "plainTextFormattedCitation" : "[29]", "previouslyFormattedCitation" : "[29]" }, "properties" : { "noteIndex" : 0 }, "schema" : "https://github.com/citation-style-language/schema/raw/master/csl-citation.json" }</w:instrText>
      </w:r>
      <w:r w:rsidR="007D199B">
        <w:fldChar w:fldCharType="separate"/>
      </w:r>
      <w:r w:rsidR="00CE7E88" w:rsidRPr="00CE7E88">
        <w:rPr>
          <w:noProof/>
        </w:rPr>
        <w:t>[29]</w:t>
      </w:r>
      <w:r w:rsidR="007D199B">
        <w:fldChar w:fldCharType="end"/>
      </w:r>
      <w:r>
        <w:t>.</w:t>
      </w:r>
      <w:r w:rsidR="007D199B">
        <w:t xml:space="preserve">  Insulin was determined using an ELISA assay (CrystalChem Ultrasensitive Mouse Insulin ELISA) from retro-oribital blood drawn from isoflurane-anaesthetized animals.</w:t>
      </w:r>
    </w:p>
    <w:p w14:paraId="01B056BA" w14:textId="2D6CB591" w:rsidR="0045067A" w:rsidRDefault="0045067A" w:rsidP="0045067A">
      <w:pPr>
        <w:pStyle w:val="Heading2"/>
      </w:pPr>
      <w:r>
        <w:t>Western Blotting</w:t>
      </w:r>
    </w:p>
    <w:p w14:paraId="64FBDD7B" w14:textId="46986E23"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1A7E83">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 30, 31]", "plainTextFormattedCitation" : "[11, 30, 31]", "previouslyFormattedCitation" : "[11, 30, 31]" }, "properties" : { "noteIndex" : 0 }, "schema" : "https://github.com/citation-style-language/schema/raw/master/csl-citation.json" }</w:instrText>
      </w:r>
      <w:r w:rsidR="001A7E83">
        <w:fldChar w:fldCharType="separate"/>
      </w:r>
      <w:r w:rsidR="001A7E83" w:rsidRPr="001A7E83">
        <w:rPr>
          <w:noProof/>
        </w:rPr>
        <w:t>[11, 30, 31]</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80BD7">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Pr="00C913F9" w:rsidRDefault="0039397E" w:rsidP="0039397E">
      <w:pPr>
        <w:pStyle w:val="Heading2"/>
      </w:pPr>
      <w:commentRangeStart w:id="3"/>
      <w:r>
        <w:t>Triglyceride and Glycogen Determination</w:t>
      </w:r>
      <w:commentRangeEnd w:id="3"/>
      <w:r>
        <w:rPr>
          <w:rStyle w:val="CommentReference"/>
          <w:rFonts w:asciiTheme="minorHAnsi" w:eastAsiaTheme="minorEastAsia" w:hAnsiTheme="minorHAnsi" w:cstheme="minorBidi"/>
          <w:b w:val="0"/>
          <w:bCs w:val="0"/>
          <w:color w:val="auto"/>
        </w:rPr>
        <w:commentReference w:id="3"/>
      </w:r>
    </w:p>
    <w:p w14:paraId="25428308" w14:textId="03A99F67" w:rsidR="00AE30D5" w:rsidRDefault="00AE30D5" w:rsidP="00AE30D5">
      <w:pPr>
        <w:pStyle w:val="Heading2"/>
      </w:pPr>
      <w:r>
        <w:t>Statistical Analyses</w:t>
      </w:r>
    </w:p>
    <w:p w14:paraId="08382C47" w14:textId="007DC154" w:rsidR="00396BD8" w:rsidRPr="00396BD8" w:rsidRDefault="00D52992" w:rsidP="00396BD8">
      <w:r>
        <w:t>All statistical ana</w:t>
      </w:r>
      <w:r w:rsidR="00AC53AD">
        <w:t>lyses were performed using the R</w:t>
      </w:r>
      <w:r>
        <w:t xml:space="preserve">, version 3.2.2 </w:t>
      </w:r>
      <w:r>
        <w:fldChar w:fldCharType="begin" w:fldLock="1"/>
      </w:r>
      <w:r w:rsidR="001A7E83">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"[32]", "plainTextFormattedCitation" : "[32]", "previouslyFormattedCitation" : "[32]" }, "properties" : { "noteIndex" : 0 }, "schema" : "https://github.com/citation-style-language/schema/raw/master/csl-citation.json" }</w:instrText>
      </w:r>
      <w:r>
        <w:fldChar w:fldCharType="separate"/>
      </w:r>
      <w:r w:rsidR="001A7E83" w:rsidRPr="001A7E83">
        <w:rPr>
          <w:noProof/>
        </w:rPr>
        <w:t>[32]</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1A7E83">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"[33]", "plainTextFormattedCitation" : "[33]", "previouslyFormattedCitation" : "[33]" }, "properties" : { "noteIndex" : 0 }, "schema" : "https://github.com/citation-style-language/schema/raw/master/csl-citation.json" }</w:instrText>
      </w:r>
      <w:r>
        <w:fldChar w:fldCharType="separate"/>
      </w:r>
      <w:r w:rsidR="001A7E83" w:rsidRPr="001A7E83">
        <w:rPr>
          <w:noProof/>
        </w:rPr>
        <w:t>[33]</w:t>
      </w:r>
      <w:r>
        <w:fldChar w:fldCharType="end"/>
      </w:r>
      <w:r w:rsidR="00396BD8">
        <w:t xml:space="preserve">.  </w:t>
      </w:r>
      <w:r w:rsidR="00334230">
        <w:t>Pyruvate and ins</w:t>
      </w:r>
      <w:r w:rsidR="006B24A7">
        <w:t>ulin tolerance tests were analyz</w:t>
      </w:r>
      <w:r w:rsidR="00334230">
        <w:t xml:space="preserve">ed similarly with each time point treated as an independent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1A7E83">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"[34]", "plainTextFormattedCitation" : "[34]", "previouslyFormattedCitation" : "[34]" }, "properties" : { "noteIndex" : 0 }, "schema" : "https://github.com/citation-style-language/schema/raw/master/csl-citation.json" }</w:instrText>
      </w:r>
      <w:r w:rsidR="00D05FF7">
        <w:fldChar w:fldCharType="separate"/>
      </w:r>
      <w:r w:rsidR="001A7E83" w:rsidRPr="001A7E83">
        <w:rPr>
          <w:noProof/>
        </w:rPr>
        <w:t>[34]</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6AB9CB4B"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r w:rsidR="00427FDD">
        <w:t>reductions</w:t>
      </w:r>
      <w:commentRangeStart w:id="4"/>
      <w:r w:rsidR="00AE30D5">
        <w:t xml:space="preserve"> </w:t>
      </w:r>
      <w:commentRangeEnd w:id="4"/>
      <w:r w:rsidR="00AE30D5">
        <w:rPr>
          <w:rStyle w:val="CommentReference"/>
        </w:rPr>
        <w:commentReference w:id="4"/>
      </w:r>
      <w:r w:rsidR="00AE30D5">
        <w:t>of both subcutaneous and epididymal 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at the end of the diet (Supplementary Figure 1A).</w:t>
      </w:r>
    </w:p>
    <w:p w14:paraId="0EF8F0FF" w14:textId="77777777" w:rsidR="00802891" w:rsidRDefault="00802891" w:rsidP="007B624A"/>
    <w:p w14:paraId="279385EE" w14:textId="715DD285" w:rsidR="00531AD6" w:rsidRDefault="00802891" w:rsidP="007B624A">
      <w:r>
        <w:t>In order to identify changes in energy balance in these animals, we monitored food intake of HPD and CD-fed animals throughout t</w:t>
      </w:r>
      <w:r w:rsidR="00CB219E">
        <w:t xml:space="preserve">he study.  As shown in </w:t>
      </w:r>
      <w:r w:rsidR="00C4123A">
        <w:t xml:space="preserve">Supplementary </w:t>
      </w:r>
      <w:r w:rsidR="00CB219E">
        <w:t>Figure</w:t>
      </w:r>
      <w:r w:rsidR="00190F17">
        <w:t>s</w:t>
      </w:r>
      <w:r w:rsidR="00C4123A">
        <w:t xml:space="preserve"> 1B-C</w:t>
      </w:r>
      <w:r w:rsidR="0033583C">
        <w:t>,</w:t>
      </w:r>
      <w:r w:rsidR="00190F17">
        <w:t xml:space="preserve"> there was no significant difference between caloric consumption either weekly or cumulatively</w:t>
      </w:r>
      <w:r w:rsidR="000D2A60">
        <w:t xml:space="preserve"> between the diets</w:t>
      </w:r>
      <w:r>
        <w:t xml:space="preserve">. </w:t>
      </w:r>
      <w:r w:rsidR="008E07CF">
        <w:t xml:space="preserve"> To test whether there was differential insulin sensitivity in HPD fed animals, we performed an insulin tolerance test.  As shown in Supplementary Figure </w:t>
      </w:r>
      <w:r w:rsidR="00652E5B">
        <w:t>1D-E</w:t>
      </w:r>
      <w:bookmarkStart w:id="5" w:name="_GoBack"/>
      <w:bookmarkEnd w:id="5"/>
      <w:r w:rsidR="008E07CF">
        <w:t>, there was no change in the rate at which glucose decreased in response to insulin, but we did observe a more rapid increase</w:t>
      </w:r>
      <w:r w:rsidR="00AB3D88">
        <w:t xml:space="preserve"> back to euglycemia in the HPD fed animals.  We interpret these data to mean that reduced systemic insulin sensitivity does underlie the reduced lipid storage in HPD fed animals.</w:t>
      </w:r>
      <w:r w:rsidR="00C6712D">
        <w:t xml:space="preserve">  The reduced fasting glucose levels, and more rapid return to euglycemia </w:t>
      </w:r>
      <w:r w:rsidR="005858D1">
        <w:t xml:space="preserve">may underlie more efficient gluconeogenesis, but reduced glycogen levels in HPD fed </w:t>
      </w:r>
      <w:commentRangeStart w:id="6"/>
      <w:r w:rsidR="005858D1">
        <w:t>animals</w:t>
      </w:r>
      <w:commentRangeEnd w:id="6"/>
      <w:r w:rsidR="005858D1">
        <w:rPr>
          <w:rStyle w:val="CommentReference"/>
        </w:rPr>
        <w:commentReference w:id="6"/>
      </w:r>
      <w:r w:rsidR="005858D1">
        <w:t>.</w:t>
      </w:r>
      <w:r w:rsidR="003F5BD8">
        <w:t xml:space="preserve">  To test this directly, we determined the rate at which injected pyruvate is converted into glucose (Supplementary Figure 1</w:t>
      </w:r>
      <w:r w:rsidR="00652E5B">
        <w:t>F-G</w:t>
      </w:r>
      <w:r w:rsidR="003F5BD8">
        <w:t>).  These pyruvate tolerance tests showed that HPD fed animals are more efficient at converting pyruvate into glucose, consistent with elevated gluconeogenesis.</w:t>
      </w:r>
    </w:p>
    <w:p w14:paraId="6185D1DA" w14:textId="54CC0C2A" w:rsidR="00531AD6" w:rsidRDefault="00531AD6" w:rsidP="00531AD6">
      <w:pPr>
        <w:pStyle w:val="Heading2"/>
      </w:pPr>
      <w:r>
        <w:t>High Protein Diet Feeding Results in mTORC1 Activation</w:t>
      </w:r>
      <w:r w:rsidR="004C18FC">
        <w:t xml:space="preserve"> in Muscle</w:t>
      </w:r>
    </w:p>
    <w:p w14:paraId="28CEC381" w14:textId="77777777" w:rsidR="004C18FC" w:rsidRDefault="00531AD6" w:rsidP="007B624A">
      <w:r>
        <w:t>Since mTORC1 is a major regulator of metabolism and is activated by elevated amino acids, we next evaluated whether mTORC1 activity is increased in</w:t>
      </w:r>
      <w:r w:rsidR="001A6A7C">
        <w:t xml:space="preserve"> C2C12 myotubes.  As shown in Figure 2A supplementation of </w:t>
      </w:r>
      <w:r w:rsidR="004C18FC">
        <w:t xml:space="preserve">amino-acid starved, </w:t>
      </w:r>
      <w:r w:rsidR="001A6A7C">
        <w:t xml:space="preserve">cultured myotubes </w:t>
      </w:r>
      <w:r w:rsidR="005F1E8E">
        <w:t xml:space="preserve">with </w:t>
      </w:r>
      <w:r w:rsidR="004C18FC">
        <w:t>amino acid containing media</w:t>
      </w:r>
      <w:r w:rsidR="005F1E8E">
        <w:t xml:space="preserve"> </w:t>
      </w:r>
      <w:r w:rsidR="001A6A7C">
        <w:t xml:space="preserve">results in increased phosphorylation of </w:t>
      </w:r>
      <w:commentRangeStart w:id="7"/>
      <w:r w:rsidR="001A6A7C">
        <w:t>S</w:t>
      </w:r>
      <w:r w:rsidR="004C18FC">
        <w:t xml:space="preserve">6 </w:t>
      </w:r>
      <w:commentRangeEnd w:id="7"/>
      <w:r w:rsidR="004C18FC">
        <w:rPr>
          <w:rStyle w:val="CommentReference"/>
        </w:rPr>
        <w:commentReference w:id="7"/>
      </w:r>
      <w:r w:rsidR="004C18FC">
        <w:t>along with a dephosphorylation of Akt</w:t>
      </w:r>
      <w:r w:rsidR="006D5C06">
        <w:t xml:space="preserve">.  </w:t>
      </w:r>
      <w:r w:rsidR="004C18FC">
        <w:t xml:space="preserve">This was not associated with changes in TSC2 phosphorylation, indicating that this mechanism is independent of the Akt/TSC2 signaling access, consistent with previous reports in other cell lines.  </w:t>
      </w:r>
    </w:p>
    <w:p w14:paraId="66AD8215" w14:textId="77777777" w:rsidR="004C18FC" w:rsidRDefault="004C18FC" w:rsidP="007B624A"/>
    <w:p w14:paraId="40ABDAF6" w14:textId="14646E52" w:rsidR="00531AD6" w:rsidRDefault="001A6A7C" w:rsidP="007B624A">
      <w:r>
        <w:t>To tes</w:t>
      </w:r>
      <w:r w:rsidR="005F1E8E">
        <w:t>t</w:t>
      </w:r>
      <w:r>
        <w:t xml:space="preserve"> </w:t>
      </w:r>
      <w:r w:rsidR="004C18FC">
        <w:t>whether chronic HPD feeding affects muscle mTORC1</w:t>
      </w:r>
      <w:r>
        <w:t xml:space="preserve"> </w:t>
      </w:r>
      <w:r w:rsidRPr="006D5C06">
        <w:rPr>
          <w:i/>
        </w:rPr>
        <w:t>in vivo</w:t>
      </w:r>
      <w:r>
        <w:t>, we evaluated quadriceps lysates from HPD fed animals</w:t>
      </w:r>
      <w:r w:rsidR="0045067A">
        <w:t xml:space="preserve"> (Figure 2C-D</w:t>
      </w:r>
      <w:r w:rsidR="002D7887">
        <w:t>)</w:t>
      </w:r>
      <w:r>
        <w:t>.  To</w:t>
      </w:r>
      <w:r w:rsidR="00531AD6">
        <w:t xml:space="preserve"> avoid the confounding effects of acute </w:t>
      </w:r>
      <w:r w:rsidR="00802891">
        <w:t>protein feeding</w:t>
      </w:r>
      <w:r w:rsidR="00531AD6">
        <w:t>, animals</w:t>
      </w:r>
      <w:r w:rsidR="000F13F0">
        <w:t xml:space="preserve"> were starved for 16h prior to </w:t>
      </w:r>
      <w:r w:rsidR="00802891">
        <w:t>sacrifice.   We blotted lysates from quadriceps for the mTORC1 target S6K and found</w:t>
      </w:r>
      <w:r w:rsidR="00864B68">
        <w:t xml:space="preserve"> a 42% increase in</w:t>
      </w:r>
      <w:r w:rsidR="00802891">
        <w:t xml:space="preserve"> phosphorylation of S6K, indicating increased mTORC1 activity in muscle tissue.</w:t>
      </w:r>
      <w:r>
        <w:t xml:space="preserve"> </w:t>
      </w:r>
      <w:r w:rsidR="006D5C06">
        <w:t xml:space="preserve">We also blotted these lysates for Akt </w:t>
      </w:r>
      <w:r w:rsidR="00EB6CB5">
        <w:t>activation</w:t>
      </w:r>
      <w:r w:rsidR="006D5C06">
        <w:t xml:space="preserve"> and found that the pAkt/Akt ratio was unchanged</w:t>
      </w:r>
      <w:r w:rsidR="00881C69">
        <w:t xml:space="preserve"> (Figure 2C</w:t>
      </w:r>
      <w:r w:rsidR="0045067A">
        <w:t>-D</w:t>
      </w:r>
      <w:r w:rsidR="00881C69">
        <w:t>)</w:t>
      </w:r>
      <w:r w:rsidR="006D5C06">
        <w:t>.  These data support an Akt-independent role of mTORC1 activation by protein feeding.</w:t>
      </w:r>
      <w:r w:rsidR="0038762E">
        <w:t xml:space="preserve"> </w:t>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6BE8EE78" w14:textId="77777777" w:rsidR="00EE7DA9" w:rsidRDefault="00EE7DA9" w:rsidP="00EE7DA9"/>
    <w:p w14:paraId="4D764869" w14:textId="77777777" w:rsidR="00EE7DA9" w:rsidRDefault="00EE7DA9" w:rsidP="00EE7DA9">
      <w:r>
        <w:t xml:space="preserve">Based on reduced adiposity and mTORC1-activating effects of high protein diets, we investigated a mouse model of mTORC1 activation, specifically in muscle tissues.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A13114F"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1A7E83">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"[35]", "plainTextFormattedCitation" : "[35]", "previouslyFormattedCitation" : "[35]" }, "properties" : { "noteIndex" : 0 }, "schema" : "https://github.com/citation-style-language/schema/raw/master/csl-citation.json" }</w:instrText>
      </w:r>
      <w:r>
        <w:fldChar w:fldCharType="separate"/>
      </w:r>
      <w:r w:rsidR="001A7E83" w:rsidRPr="001A7E83">
        <w:rPr>
          <w:noProof/>
        </w:rPr>
        <w:t>[35]</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1A7E83">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"[36]", "plainTextFormattedCitation" : "[36]", "previouslyFormattedCitation" : "[36]" }, "properties" : { "noteIndex" : 0 }, "schema" : "https://github.com/citation-style-language/schema/raw/master/csl-citation.json" }</w:instrText>
      </w:r>
      <w:r>
        <w:fldChar w:fldCharType="separate"/>
      </w:r>
      <w:r w:rsidR="001A7E83" w:rsidRPr="001A7E83">
        <w:rPr>
          <w:noProof/>
        </w:rPr>
        <w:t>[36]</w:t>
      </w:r>
      <w:r>
        <w:fldChar w:fldCharType="end"/>
      </w:r>
      <w:r>
        <w:t xml:space="preserve">). </w:t>
      </w:r>
      <w:r w:rsidR="0080402E">
        <w:t xml:space="preserve">This </w:t>
      </w:r>
      <w:r w:rsidR="00794576">
        <w:t>driver</w:t>
      </w:r>
      <w:r w:rsidR="0080402E">
        <w:t xml:space="preserve"> differs from the </w:t>
      </w:r>
      <w:r w:rsidR="0080402E" w:rsidRPr="0080402E">
        <w:rPr>
          <w:i/>
        </w:rPr>
        <w:t xml:space="preserve">HSA-Cre </w:t>
      </w:r>
      <w:r w:rsidR="0080402E">
        <w:t xml:space="preserve">driven </w:t>
      </w:r>
      <w:r w:rsidR="0080402E" w:rsidRPr="0080402E">
        <w:rPr>
          <w:i/>
        </w:rPr>
        <w:t>Tsc1</w:t>
      </w:r>
      <w:r w:rsidR="0080402E">
        <w:t xml:space="preserve"> knockout models previously described </w:t>
      </w:r>
      <w:r w:rsidR="0080402E">
        <w:fldChar w:fldCharType="begin" w:fldLock="1"/>
      </w:r>
      <w:r w:rsidR="001A7E83">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80402E">
        <w:fldChar w:fldCharType="separate"/>
      </w:r>
      <w:r w:rsidR="0080402E" w:rsidRPr="0080402E">
        <w:rPr>
          <w:noProof/>
        </w:rPr>
        <w:t>[20, 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446563C4"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8"/>
      <w:r>
        <w:t xml:space="preserve">triglycerides </w:t>
      </w:r>
      <w:commentRangeEnd w:id="8"/>
      <w:r w:rsidR="0039397E">
        <w:rPr>
          <w:rStyle w:val="CommentReference"/>
        </w:rPr>
        <w:commentReference w:id="8"/>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A10EEA">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37]", "plainTextFormattedCitation" : "[11, 37]", "previouslyFormattedCitation" : "[11, 37]" }, "properties" : { "noteIndex" : 0 }, "schema" : "https://github.com/citation-style-language/schema/raw/master/csl-citation.json" }</w:instrText>
      </w:r>
      <w:r w:rsidR="00980BD7">
        <w:fldChar w:fldCharType="separate"/>
      </w:r>
      <w:r w:rsidR="00980BD7" w:rsidRPr="00980BD7">
        <w:rPr>
          <w:noProof/>
        </w:rPr>
        <w:t>[11, 37]</w:t>
      </w:r>
      <w:r w:rsidR="00980BD7">
        <w:fldChar w:fldCharType="end"/>
      </w:r>
      <w:r w:rsidR="00573A9D">
        <w:t xml:space="preserve">, and the dramatic increase in </w:t>
      </w:r>
      <w:commentRangeStart w:id="9"/>
      <w:r w:rsidR="005838B0">
        <w:t xml:space="preserve">muscle </w:t>
      </w:r>
      <w:r w:rsidR="00573A9D">
        <w:t xml:space="preserve">PTG protein </w:t>
      </w:r>
      <w:commentRangeEnd w:id="9"/>
      <w:r w:rsidR="00A64165">
        <w:rPr>
          <w:rStyle w:val="CommentReference"/>
        </w:rPr>
        <w:commentReference w:id="9"/>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Mechanistically, this</w:t>
      </w:r>
      <w:r>
        <w:t xml:space="preserve"> is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9D0FFE">
        <w:t xml:space="preserve"> </w:t>
      </w:r>
      <w:r>
        <w:rPr>
          <w:i/>
        </w:rPr>
        <w:fldChar w:fldCharType="begin" w:fldLock="1"/>
      </w:r>
      <w:r w:rsidR="002A7B4B">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51BA4FF"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0"/>
      <w:r>
        <w:t xml:space="preserve">XX </w:t>
      </w:r>
      <w:commentRangeEnd w:id="10"/>
      <w:r w:rsidR="005008B3">
        <w:rPr>
          <w:rStyle w:val="CommentReference"/>
        </w:rPr>
        <w:commentReference w:id="10"/>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A15A7B">
        <w:t xml:space="preserve">  A previous study using</w:t>
      </w:r>
      <w:r w:rsidR="00205F41">
        <w:t xml:space="preserve"> </w:t>
      </w:r>
      <w:r w:rsidR="00205F41">
        <w:rPr>
          <w:i/>
        </w:rPr>
        <w:t>HSA-Cre</w:t>
      </w:r>
      <w:r w:rsidR="00205F41">
        <w:t xml:space="preserve"> mediated knockout of </w:t>
      </w:r>
      <w:r w:rsidR="00205F41">
        <w:rPr>
          <w:i/>
        </w:rPr>
        <w:t xml:space="preserve">Tsc1 </w:t>
      </w:r>
      <w:r w:rsidR="000E6F5D">
        <w:t xml:space="preserve">also </w:t>
      </w:r>
      <w:r w:rsidR="00205F41">
        <w:t>observed reductions in fat mass</w:t>
      </w:r>
      <w:r w:rsidR="000E6F5D">
        <w:t>, but in their case lean mass was reduced as well</w:t>
      </w:r>
      <w:r w:rsidR="00205F41">
        <w:t xml:space="preserve"> </w:t>
      </w:r>
      <w:r w:rsidR="00205F41">
        <w:fldChar w:fldCharType="begin" w:fldLock="1"/>
      </w:r>
      <w:r w:rsidR="0080402E">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"[21]", "plainTextFormattedCitation" : "[21]", "previouslyFormattedCitation" : "[21]" }, "properties" : { "noteIndex" : 0 }, "schema" : "https://github.com/citation-style-language/schema/raw/master/csl-citation.json" }</w:instrText>
      </w:r>
      <w:r w:rsidR="00205F41">
        <w:fldChar w:fldCharType="separate"/>
      </w:r>
      <w:r w:rsidR="00CE7E88" w:rsidRPr="00CE7E88">
        <w:rPr>
          <w:noProof/>
        </w:rPr>
        <w:t>[21]</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676D2E4C" w:rsidR="00F07541" w:rsidRPr="00205F41" w:rsidRDefault="00F07541" w:rsidP="00D04DA3">
      <w:r>
        <w:t xml:space="preserve">To identify the cause of these reductions, we performed calorimetry studies on these mice, prior to differences in adiposity (90 days of age).   </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0EFDE259" w:rsidR="007B624A" w:rsidRDefault="007B624A" w:rsidP="007B624A">
      <w:pPr>
        <w:pStyle w:val="Heading2"/>
      </w:pPr>
      <w:r>
        <w:t xml:space="preserve">Ablation of Muscle Tsc1 Results in Increased Expression of </w:t>
      </w:r>
      <w:r w:rsidR="00F52887">
        <w:t xml:space="preserve">Oxidative Fiber Type and </w:t>
      </w:r>
      <w:r>
        <w:t>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0CDEB5A7" w14:textId="77777777" w:rsidR="00A922D2" w:rsidRDefault="00A922D2" w:rsidP="00A922D2"/>
    <w:p w14:paraId="0CB39097" w14:textId="2FA3C19C" w:rsidR="00A922D2" w:rsidRPr="008437E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A10EEA">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"[38, 39]", "plainTextFormattedCitation" : "[38, 39]", "previouslyFormattedCitation" : "[38, 39]" }, "properties" : { "noteIndex" : 0 }, "schema" : "https://github.com/citation-style-language/schema/raw/master/csl-citation.json" }</w:instrText>
      </w:r>
      <w:r w:rsidR="006F352E">
        <w:fldChar w:fldCharType="separate"/>
      </w:r>
      <w:r w:rsidR="00980BD7" w:rsidRPr="00980BD7">
        <w:rPr>
          <w:noProof/>
        </w:rPr>
        <w:t>[38, 39]</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A10EEA">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"[40, 41]", "plainTextFormattedCitation" : "[40, 41]", "previouslyFormattedCitation" : "[40, 41]" }, "properties" : { "noteIndex" : 0 }, "schema" : "https://github.com/citation-style-language/schema/raw/master/csl-citation.json" }</w:instrText>
      </w:r>
      <w:r w:rsidR="00DD2A58">
        <w:fldChar w:fldCharType="separate"/>
      </w:r>
      <w:r w:rsidR="00980BD7" w:rsidRPr="00980BD7">
        <w:rPr>
          <w:noProof/>
        </w:rPr>
        <w:t>[40, 41]</w:t>
      </w:r>
      <w:r w:rsidR="00DD2A58">
        <w:fldChar w:fldCharType="end"/>
      </w:r>
      <w:r w:rsidR="00DD2A58">
        <w:t>.</w:t>
      </w:r>
    </w:p>
    <w:p w14:paraId="41D0AC97" w14:textId="77777777" w:rsidR="007D1A22" w:rsidRDefault="007D1A22" w:rsidP="007D1A22"/>
    <w:p w14:paraId="7EB87ED1" w14:textId="490D48B8" w:rsidR="007D1A22" w:rsidRDefault="007D1A22" w:rsidP="007D1A22">
      <w:r>
        <w:t xml:space="preserve">Clinical studies have shown that energy expenditure can rapidly increase in response to overfeeding </w:t>
      </w:r>
      <w:r>
        <w:fldChar w:fldCharType="begin" w:fldLock="1"/>
      </w:r>
      <w:r w:rsidR="00A10EEA">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42]", "plainTextFormattedCitation" : "[3, 42]", "previouslyFormattedCitation" : "[3, 42]" }, "properties" : { "noteIndex" : 0 }, "schema" : "https://github.com/citation-style-language/schema/raw/master/csl-citation.json" }</w:instrText>
      </w:r>
      <w:r>
        <w:fldChar w:fldCharType="separate"/>
      </w:r>
      <w:r w:rsidR="00980BD7" w:rsidRPr="00980BD7">
        <w:rPr>
          <w:noProof/>
        </w:rPr>
        <w:t>[3, 42]</w:t>
      </w:r>
      <w:r>
        <w:fldChar w:fldCharType="end"/>
      </w:r>
      <w:r>
        <w:t xml:space="preserve">, consistent with the observation that obese individuals have higher energy expenditure than lean subjects </w:t>
      </w:r>
      <w:r w:rsidR="009F47C8">
        <w:fldChar w:fldCharType="begin" w:fldLock="1"/>
      </w:r>
      <w:r w:rsidR="00A10EEA">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 E", "non-dropping-particle" : "", "parse-names" : false, "suffix" : "" }, { "dropping-particle" : "", "family" : "Hames", "given" : "K C", "non-dropping-particle" : "", "parse-names" : false, "suffix" : "" }, { "dropping-particle" : "", "family" : "Jakicic", "given" : "J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43\u201345]", "plainTextFormattedCitation" : "[3, 43\u201345]", "previouslyFormattedCitation" : "[3, 43\u201345]" }, "properties" : { "noteIndex" : 0 }, "schema" : "https://github.com/citation-style-language/schema/raw/master/csl-citation.json" }</w:instrText>
      </w:r>
      <w:r w:rsidR="009F47C8">
        <w:fldChar w:fldCharType="separate"/>
      </w:r>
      <w:r w:rsidR="00980BD7" w:rsidRPr="00980BD7">
        <w:rPr>
          <w:noProof/>
        </w:rPr>
        <w:t>[3, 43–45]</w:t>
      </w:r>
      <w:r w:rsidR="009F47C8">
        <w:fldChar w:fldCharType="end"/>
      </w:r>
      <w:r w:rsidR="009F47C8">
        <w:t xml:space="preserve">.  Similarly, weight loss results in a rapid reduction in energy expenditure </w:t>
      </w:r>
      <w:r w:rsidR="009F47C8">
        <w:fldChar w:fldCharType="begin" w:fldLock="1"/>
      </w:r>
      <w:r w:rsidR="00403E87">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"[2, 3, 6]", "plainTextFormattedCitation" : "[2, 3, 6]", "previouslyFormattedCitation" : "[2, 3, 6]" }, "properties" : { "noteIndex" : 0 }, "schema" : "https://github.com/citation-style-language/schema/raw/master/csl-citation.json" }</w:instrText>
      </w:r>
      <w:r w:rsidR="009F47C8">
        <w:fldChar w:fldCharType="separate"/>
      </w:r>
      <w:r w:rsidR="00403E87" w:rsidRPr="00403E87">
        <w:rPr>
          <w:noProof/>
        </w:rPr>
        <w:t>[2, 3,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contributes to body weight set point maintenance and make successful, long term weight loss very difficult.  Recent studies have shown that low carbohydrate (</w:t>
      </w:r>
      <w:r w:rsidR="00B1423F">
        <w:t>and</w:t>
      </w:r>
      <w:r w:rsidR="004A2F25">
        <w:t xml:space="preserve"> high protein) diets are more successful in maintaining weight reductions </w:t>
      </w:r>
      <w:r w:rsidR="004A2F25">
        <w:fldChar w:fldCharType="begin" w:fldLock="1"/>
      </w:r>
      <w:r w:rsidR="00A10EEA">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"[46]", "plainTextFormattedCitation" : "[46]", "previouslyFormattedCitation" : "[46]" }, "properties" : { "noteIndex" : 0 }, "schema" : "https://github.com/citation-style-language/schema/raw/master/csl-citation.json" }</w:instrText>
      </w:r>
      <w:r w:rsidR="004A2F25">
        <w:fldChar w:fldCharType="separate"/>
      </w:r>
      <w:r w:rsidR="00980BD7" w:rsidRPr="00980BD7">
        <w:rPr>
          <w:noProof/>
        </w:rPr>
        <w:t>[46]</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A10EEA">
        <w:instrText>ADDIN CSL_CITATION { "citationItems" : [ { "id" : "ITEM-1", "itemData" : { "DOI" : "10.1016/j.cmet.2015.07.021", "ISSN" : "15504131", "author" : [ { "dropping-particle" : "", "family" : "Hall", "given" : "Kevin\u00a0D.", "non-dropping-particle" : "", "parse-names" : false, "suffix" : "" }, { "dropping-particle" : "", "family" : "Bemis", "given" : "Thomas", "non-dropping-particle" : "", "parse-names" : false, "suffix" : "" }, { "dropping-particle" : "", "family" : "Brychta", "given" : "Robert", "non-dropping-particle" : "", "parse-names" : false, "suffix" : "" }, { "dropping-particle" : "", "family" : "Chen", "given" : "Kong\u00a0Y.", "non-dropping-particle" : "", "parse-names" : false, "suffix" : "" }, { "dropping-particle" : "", "family" : "Courville", "given" : "Amber", "non-dropping-particle" : "", "parse-names" : false, "suffix" : "" }, { "dropping-particle" : "", "family" : "Crayner", "given" : "Emma\u00a0J.",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"Nicolas\u00a0D.", "non-dropping-particle" : "", "parse-names" : false, "suffix" : "" }, { "dropping-particle" : "", "family" : "Miller", "given" : "Bernard\u00a0V.", "non-dropping-particle" : "", "parse-names" : false, "suffix" : "" }, { "dropping-particle" : "", "family" : "Prado", "given" : "Carla\u00a0M.", "non-dropping-particle" : "", "parse-names" : false, "suffix" : "" }, { "dropping-particle" : "", "family" : "Siervo", "given" : "Mario", "non-dropping-particle" : "", "parse-names" : false, "suffix" : "" }, { "dropping-particle" : "", "family" : "Skarulis", "given" : "Monica\u00a0C.", "non-dropping-particle" : "", "parse-names" : false, "suffix" : "" }, { "dropping-particle" : "", "family" : "Walter", "given" : "Mary", "non-dropping-particle" : "", "parse-names" : false, "suffix" : "" }, { "dropping-particle" : "", "family" : "Walter", "given" : "Peter\u00a0J.",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"http://www.mendeley.com/documents/?uuid=7cb6a522-2e1e-42a4-953b-c5298750babe" ] } ], "mendeley" : { "formattedCitation" : "[47]", "plainTextFormattedCitation" : "[47]" }, "properties" : { "noteIndex" : 0 }, "schema" : "https://github.com/citation-style-language/schema/raw/master/csl-citation.json" }</w:instrText>
      </w:r>
      <w:r w:rsidR="00A10EEA">
        <w:fldChar w:fldCharType="separate"/>
      </w:r>
      <w:r w:rsidR="00A10EEA" w:rsidRPr="00A10EEA">
        <w:rPr>
          <w:noProof/>
        </w:rPr>
        <w:t>[47]</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A10EEA">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48]", "plainTextFormattedCitation" : "[5, 48]", "previouslyFormattedCitation" : "[5, 47]" }, "properties" : { "noteIndex" : 0 }, "schema" : "https://github.com/citation-style-language/schema/raw/master/csl-citation.json" }</w:instrText>
      </w:r>
      <w:r w:rsidR="004A2F25">
        <w:fldChar w:fldCharType="separate"/>
      </w:r>
      <w:r w:rsidR="00A10EEA" w:rsidRPr="00A10EEA">
        <w:rPr>
          <w:noProof/>
        </w:rPr>
        <w:t>[5, 48]</w:t>
      </w:r>
      <w:r w:rsidR="004A2F25">
        <w:fldChar w:fldCharType="end"/>
      </w:r>
      <w:r w:rsidR="004A2F25">
        <w:t>.</w:t>
      </w:r>
    </w:p>
    <w:p w14:paraId="20FE2733" w14:textId="77777777" w:rsidR="003F5FAC" w:rsidRDefault="003F5FAC" w:rsidP="007D1A22"/>
    <w:p w14:paraId="51329E80" w14:textId="7B559B5C" w:rsidR="003F5FAC" w:rsidRPr="00B83F46" w:rsidRDefault="003F5FAC" w:rsidP="007D1A22">
      <w:r>
        <w:t xml:space="preserve">Our identification of </w:t>
      </w:r>
      <w:r w:rsidR="00E522BC">
        <w:t xml:space="preserve">skeletal muscle </w:t>
      </w:r>
      <w:r>
        <w:t>mTORC1 as b</w:t>
      </w:r>
      <w:r w:rsidR="00E522BC">
        <w:t xml:space="preserve">oth a target of high protein diets, </w:t>
      </w:r>
      <w:r w:rsidR="00373D35">
        <w:t>and</w:t>
      </w:r>
      <w:r w:rsidR="00E522BC">
        <w:t xml:space="preserve"> as 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A10EEA">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"[49]", "plainTextFormattedCitation" : "[49]", "previouslyFormattedCitation" : "[48]" }, "properties" : { "noteIndex" : 0 }, "schema" : "https://github.com/citation-style-language/schema/raw/master/csl-citation.json" }</w:instrText>
      </w:r>
      <w:r w:rsidR="00B83F46">
        <w:fldChar w:fldCharType="separate"/>
      </w:r>
      <w:r w:rsidR="00A10EEA" w:rsidRPr="00A10EEA">
        <w:rPr>
          <w:noProof/>
        </w:rPr>
        <w:t>[49]</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B83F46">
        <w:t xml:space="preserve">.  Furthermore, our observation of elevations in the fatty acid transporters CD36 and FABP3 are consistent with anti-obesegenic effects of muscle specific </w:t>
      </w:r>
      <w:r w:rsidR="00B83F46">
        <w:rPr>
          <w:i/>
        </w:rPr>
        <w:t>Cd36</w:t>
      </w:r>
      <w:r w:rsidR="00B83F46">
        <w:t xml:space="preserve"> overexpression </w:t>
      </w:r>
      <w:r w:rsidR="00B83F46">
        <w:fldChar w:fldCharType="begin" w:fldLock="1"/>
      </w:r>
      <w:r w:rsidR="00A10EEA">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"[50]", "plainTextFormattedCitation" : "[50]", "previouslyFormattedCitation" : "[49]" }, "properties" : { "noteIndex" : 0 }, "schema" : "https://github.com/citation-style-language/schema/raw/master/csl-citation.json" }</w:instrText>
      </w:r>
      <w:r w:rsidR="00B83F46">
        <w:fldChar w:fldCharType="separate"/>
      </w:r>
      <w:r w:rsidR="00A10EEA" w:rsidRPr="00A10EEA">
        <w:rPr>
          <w:noProof/>
        </w:rPr>
        <w:t>[50]</w:t>
      </w:r>
      <w:r w:rsidR="00B83F46">
        <w:fldChar w:fldCharType="end"/>
      </w:r>
      <w:r w:rsidR="00F311C5">
        <w:t>.  Together these findings support the hypothesis that activation of mTORC1</w:t>
      </w:r>
      <w:r w:rsidR="00F60DC7">
        <w:t xml:space="preserve"> or its downstream targets</w:t>
      </w:r>
      <w:r w:rsidR="00F311C5">
        <w:t xml:space="preserve"> 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0A72A9A1" w:rsidR="00A40A23" w:rsidRDefault="00A40A23" w:rsidP="00E22913">
      <w:r>
        <w:t xml:space="preserve">The authors would like to thank Nathan Qi and Melanie Schmitt of the UM Metabolic Phenotyping Core for assistance with </w:t>
      </w:r>
      <w:r w:rsidR="00451202">
        <w:t>CLAMS studies</w:t>
      </w:r>
      <w:r w:rsidR="00232F5F">
        <w:t xml:space="preserve">.  </w:t>
      </w:r>
      <w:r w:rsidR="00F52887">
        <w:t xml:space="preserve">William Taylor, Caitlin Costelle and Felicia Waller at the UTHSC Molecular Resource Center provided </w:t>
      </w:r>
      <w:r w:rsidR="00D07952">
        <w:t>support t</w:t>
      </w:r>
      <w:r w:rsidR="00F52887">
        <w:t xml:space="preserve">o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6AF76B3F"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11"/>
      <w:r w:rsidR="001E0A5E">
        <w:t xml:space="preserve">XXXX </w:t>
      </w:r>
      <w:commentRangeEnd w:id="11"/>
      <w:r w:rsidR="00E22913">
        <w:rPr>
          <w:rStyle w:val="CommentReference"/>
        </w:rPr>
        <w:commentReference w:id="11"/>
      </w:r>
      <w:r w:rsidR="001E0A5E">
        <w:t xml:space="preserve">(ARS), funds from the Memphis Research Consortium </w:t>
      </w:r>
      <w:r>
        <w:t>(DB)</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350DADE1" w14:textId="1CD35698" w:rsidR="00A10EEA" w:rsidRPr="00A10EEA" w:rsidRDefault="00871236">
      <w:pPr>
        <w:pStyle w:val="NormalWeb"/>
        <w:divId w:val="506797119"/>
        <w:rPr>
          <w:rFonts w:ascii="Cambria" w:hAnsi="Cambria"/>
          <w:noProof/>
          <w:sz w:val="24"/>
        </w:rPr>
      </w:pPr>
      <w:r>
        <w:fldChar w:fldCharType="begin" w:fldLock="1"/>
      </w:r>
      <w:r>
        <w:instrText xml:space="preserve">ADDIN Mendeley Bibliography CSL_BIBLIOGRAPHY </w:instrText>
      </w:r>
      <w:r>
        <w:fldChar w:fldCharType="separate"/>
      </w:r>
      <w:r w:rsidR="00A10EEA" w:rsidRPr="00A10EEA">
        <w:rPr>
          <w:rFonts w:ascii="Cambria" w:hAnsi="Cambria"/>
          <w:noProof/>
          <w:sz w:val="24"/>
        </w:rPr>
        <w:t xml:space="preserve">1. </w:t>
      </w:r>
      <w:r w:rsidR="00A10EEA" w:rsidRPr="00A10EEA">
        <w:rPr>
          <w:rFonts w:ascii="Cambria" w:hAnsi="Cambria"/>
          <w:b/>
          <w:bCs/>
          <w:noProof/>
          <w:sz w:val="24"/>
        </w:rPr>
        <w:t>Obesity and Overweight</w:t>
      </w:r>
      <w:r w:rsidR="00A10EEA" w:rsidRPr="00A10EEA">
        <w:rPr>
          <w:rFonts w:ascii="Cambria" w:hAnsi="Cambria"/>
          <w:noProof/>
          <w:sz w:val="24"/>
        </w:rPr>
        <w:t xml:space="preserve"> [http://www.who.int/mediacentre/factsheets/fs311/en/]</w:t>
      </w:r>
    </w:p>
    <w:p w14:paraId="68D4669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 Leibel RL, Hirsch J: </w:t>
      </w:r>
      <w:r w:rsidRPr="00A10EEA">
        <w:rPr>
          <w:rFonts w:ascii="Cambria" w:hAnsi="Cambria"/>
          <w:b/>
          <w:bCs/>
          <w:noProof/>
          <w:sz w:val="24"/>
        </w:rPr>
        <w:t>Diminished energy requirements in reduced-obese patients</w:t>
      </w:r>
      <w:r w:rsidRPr="00A10EEA">
        <w:rPr>
          <w:rFonts w:ascii="Cambria" w:hAnsi="Cambria"/>
          <w:noProof/>
          <w:sz w:val="24"/>
        </w:rPr>
        <w:t xml:space="preserve">. </w:t>
      </w:r>
      <w:r w:rsidRPr="00A10EEA">
        <w:rPr>
          <w:rFonts w:ascii="Cambria" w:hAnsi="Cambria"/>
          <w:i/>
          <w:iCs/>
          <w:noProof/>
          <w:sz w:val="24"/>
        </w:rPr>
        <w:t>Metabolism</w:t>
      </w:r>
      <w:r w:rsidRPr="00A10EEA">
        <w:rPr>
          <w:rFonts w:ascii="Cambria" w:hAnsi="Cambria"/>
          <w:noProof/>
          <w:sz w:val="24"/>
        </w:rPr>
        <w:t xml:space="preserve"> 1984, </w:t>
      </w:r>
      <w:r w:rsidRPr="00A10EEA">
        <w:rPr>
          <w:rFonts w:ascii="Cambria" w:hAnsi="Cambria"/>
          <w:b/>
          <w:bCs/>
          <w:noProof/>
          <w:sz w:val="24"/>
        </w:rPr>
        <w:t>33</w:t>
      </w:r>
      <w:r w:rsidRPr="00A10EEA">
        <w:rPr>
          <w:rFonts w:ascii="Cambria" w:hAnsi="Cambria"/>
          <w:noProof/>
          <w:sz w:val="24"/>
        </w:rPr>
        <w:t>:164–170.</w:t>
      </w:r>
    </w:p>
    <w:p w14:paraId="3771284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 Leibel RL, Rosenbaum M, Hirsch J: </w:t>
      </w:r>
      <w:r w:rsidRPr="00A10EEA">
        <w:rPr>
          <w:rFonts w:ascii="Cambria" w:hAnsi="Cambria"/>
          <w:b/>
          <w:bCs/>
          <w:noProof/>
          <w:sz w:val="24"/>
        </w:rPr>
        <w:t>Changes in energy expenditure resulting from altered body weight.</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1995, </w:t>
      </w:r>
      <w:r w:rsidRPr="00A10EEA">
        <w:rPr>
          <w:rFonts w:ascii="Cambria" w:hAnsi="Cambria"/>
          <w:b/>
          <w:bCs/>
          <w:noProof/>
          <w:sz w:val="24"/>
        </w:rPr>
        <w:t>332</w:t>
      </w:r>
      <w:r w:rsidRPr="00A10EEA">
        <w:rPr>
          <w:rFonts w:ascii="Cambria" w:hAnsi="Cambria"/>
          <w:noProof/>
          <w:sz w:val="24"/>
        </w:rPr>
        <w:t>:621–8.</w:t>
      </w:r>
    </w:p>
    <w:p w14:paraId="0B2392E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 Sumithran P, Prendergast LA, Delbridge E, Purcell K, Shulkes A, Kriketos A, Proietto J: </w:t>
      </w:r>
      <w:r w:rsidRPr="00A10EEA">
        <w:rPr>
          <w:rFonts w:ascii="Cambria" w:hAnsi="Cambria"/>
          <w:b/>
          <w:bCs/>
          <w:noProof/>
          <w:sz w:val="24"/>
        </w:rPr>
        <w:t>Long-Term Persistence of Hormonal Adaptations to Weight Loss</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2011, </w:t>
      </w:r>
      <w:r w:rsidRPr="00A10EEA">
        <w:rPr>
          <w:rFonts w:ascii="Cambria" w:hAnsi="Cambria"/>
          <w:b/>
          <w:bCs/>
          <w:noProof/>
          <w:sz w:val="24"/>
        </w:rPr>
        <w:t>365</w:t>
      </w:r>
      <w:r w:rsidRPr="00A10EEA">
        <w:rPr>
          <w:rFonts w:ascii="Cambria" w:hAnsi="Cambria"/>
          <w:noProof/>
          <w:sz w:val="24"/>
        </w:rPr>
        <w:t>:1597–1604.</w:t>
      </w:r>
    </w:p>
    <w:p w14:paraId="6EC655B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5. Bray GA, Smith SR, de Jonge L, Xie H, Rood J, Martin CK, Most M, Brock C, Mancuso S, Redman LM: </w:t>
      </w:r>
      <w:r w:rsidRPr="00A10EEA">
        <w:rPr>
          <w:rFonts w:ascii="Cambria" w:hAnsi="Cambria"/>
          <w:b/>
          <w:bCs/>
          <w:noProof/>
          <w:sz w:val="24"/>
        </w:rPr>
        <w:t>Effect of dietary protein content on weight gain, energy expenditure, and body composition during overeating: a randomized controlled trial.</w:t>
      </w:r>
      <w:r w:rsidRPr="00A10EEA">
        <w:rPr>
          <w:rFonts w:ascii="Cambria" w:hAnsi="Cambria"/>
          <w:noProof/>
          <w:sz w:val="24"/>
        </w:rPr>
        <w:t xml:space="preserve"> </w:t>
      </w:r>
      <w:r w:rsidRPr="00A10EEA">
        <w:rPr>
          <w:rFonts w:ascii="Cambria" w:hAnsi="Cambria"/>
          <w:i/>
          <w:iCs/>
          <w:noProof/>
          <w:sz w:val="24"/>
        </w:rPr>
        <w:t>JAMA</w:t>
      </w:r>
      <w:r w:rsidRPr="00A10EEA">
        <w:rPr>
          <w:rFonts w:ascii="Cambria" w:hAnsi="Cambria"/>
          <w:noProof/>
          <w:sz w:val="24"/>
        </w:rPr>
        <w:t xml:space="preserve"> 2012, </w:t>
      </w:r>
      <w:r w:rsidRPr="00A10EEA">
        <w:rPr>
          <w:rFonts w:ascii="Cambria" w:hAnsi="Cambria"/>
          <w:b/>
          <w:bCs/>
          <w:noProof/>
          <w:sz w:val="24"/>
        </w:rPr>
        <w:t>307</w:t>
      </w:r>
      <w:r w:rsidRPr="00A10EEA">
        <w:rPr>
          <w:rFonts w:ascii="Cambria" w:hAnsi="Cambria"/>
          <w:noProof/>
          <w:sz w:val="24"/>
        </w:rPr>
        <w:t>:47–55.</w:t>
      </w:r>
    </w:p>
    <w:p w14:paraId="49D446F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6. Ebbeling CB, Swain JF, Feldman H a, Wong WW, Hachey DL, Garcia-Lago E, Ludwig DS: </w:t>
      </w:r>
      <w:r w:rsidRPr="00A10EEA">
        <w:rPr>
          <w:rFonts w:ascii="Cambria" w:hAnsi="Cambria"/>
          <w:b/>
          <w:bCs/>
          <w:noProof/>
          <w:sz w:val="24"/>
        </w:rPr>
        <w:t>Effects of dietary composition on energy expenditure during weight-loss maintenance.</w:t>
      </w:r>
      <w:r w:rsidRPr="00A10EEA">
        <w:rPr>
          <w:rFonts w:ascii="Cambria" w:hAnsi="Cambria"/>
          <w:noProof/>
          <w:sz w:val="24"/>
        </w:rPr>
        <w:t xml:space="preserve"> </w:t>
      </w:r>
      <w:r w:rsidRPr="00A10EEA">
        <w:rPr>
          <w:rFonts w:ascii="Cambria" w:hAnsi="Cambria"/>
          <w:i/>
          <w:iCs/>
          <w:noProof/>
          <w:sz w:val="24"/>
        </w:rPr>
        <w:t>JAMA</w:t>
      </w:r>
      <w:r w:rsidRPr="00A10EEA">
        <w:rPr>
          <w:rFonts w:ascii="Cambria" w:hAnsi="Cambria"/>
          <w:noProof/>
          <w:sz w:val="24"/>
        </w:rPr>
        <w:t xml:space="preserve"> 2012, </w:t>
      </w:r>
      <w:r w:rsidRPr="00A10EEA">
        <w:rPr>
          <w:rFonts w:ascii="Cambria" w:hAnsi="Cambria"/>
          <w:b/>
          <w:bCs/>
          <w:noProof/>
          <w:sz w:val="24"/>
        </w:rPr>
        <w:t>307</w:t>
      </w:r>
      <w:r w:rsidRPr="00A10EEA">
        <w:rPr>
          <w:rFonts w:ascii="Cambria" w:hAnsi="Cambria"/>
          <w:noProof/>
          <w:sz w:val="24"/>
        </w:rPr>
        <w:t>:2627–34.</w:t>
      </w:r>
    </w:p>
    <w:p w14:paraId="6FB3762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7. Efeyan A, Comb WC, Sabatini DM: </w:t>
      </w:r>
      <w:r w:rsidRPr="00A10EEA">
        <w:rPr>
          <w:rFonts w:ascii="Cambria" w:hAnsi="Cambria"/>
          <w:b/>
          <w:bCs/>
          <w:noProof/>
          <w:sz w:val="24"/>
        </w:rPr>
        <w:t>Nutrient-sensing mechanisms and pathways</w:t>
      </w:r>
      <w:r w:rsidRPr="00A10EEA">
        <w:rPr>
          <w:rFonts w:ascii="Cambria" w:hAnsi="Cambria"/>
          <w:noProof/>
          <w:sz w:val="24"/>
        </w:rPr>
        <w:t xml:space="preserve">. </w:t>
      </w:r>
      <w:r w:rsidRPr="00A10EEA">
        <w:rPr>
          <w:rFonts w:ascii="Cambria" w:hAnsi="Cambria"/>
          <w:i/>
          <w:iCs/>
          <w:noProof/>
          <w:sz w:val="24"/>
        </w:rPr>
        <w:t>Nature</w:t>
      </w:r>
      <w:r w:rsidRPr="00A10EEA">
        <w:rPr>
          <w:rFonts w:ascii="Cambria" w:hAnsi="Cambria"/>
          <w:noProof/>
          <w:sz w:val="24"/>
        </w:rPr>
        <w:t xml:space="preserve"> 2015, </w:t>
      </w:r>
      <w:r w:rsidRPr="00A10EEA">
        <w:rPr>
          <w:rFonts w:ascii="Cambria" w:hAnsi="Cambria"/>
          <w:b/>
          <w:bCs/>
          <w:noProof/>
          <w:sz w:val="24"/>
        </w:rPr>
        <w:t>517</w:t>
      </w:r>
      <w:r w:rsidRPr="00A10EEA">
        <w:rPr>
          <w:rFonts w:ascii="Cambria" w:hAnsi="Cambria"/>
          <w:noProof/>
          <w:sz w:val="24"/>
        </w:rPr>
        <w:t>:302–310.</w:t>
      </w:r>
    </w:p>
    <w:p w14:paraId="52C7A84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8. Yecies JL, Zhang HH, Menon S, Liu S, Yecies D, Lipovsky AI, Gorgun C, Kwiatkowski DJ, Hotamisligil GS, Lee C-H, Manning BD: </w:t>
      </w:r>
      <w:r w:rsidRPr="00A10EEA">
        <w:rPr>
          <w:rFonts w:ascii="Cambria" w:hAnsi="Cambria"/>
          <w:b/>
          <w:bCs/>
          <w:noProof/>
          <w:sz w:val="24"/>
        </w:rPr>
        <w:t>Akt Stimulates Hepatic SREBP1c and Lipogenesis through Parallel mTORC1-Dependent and Independent Pathways.</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2011, </w:t>
      </w:r>
      <w:r w:rsidRPr="00A10EEA">
        <w:rPr>
          <w:rFonts w:ascii="Cambria" w:hAnsi="Cambria"/>
          <w:b/>
          <w:bCs/>
          <w:noProof/>
          <w:sz w:val="24"/>
        </w:rPr>
        <w:t>14</w:t>
      </w:r>
      <w:r w:rsidRPr="00A10EEA">
        <w:rPr>
          <w:rFonts w:ascii="Cambria" w:hAnsi="Cambria"/>
          <w:noProof/>
          <w:sz w:val="24"/>
        </w:rPr>
        <w:t>:21–32.</w:t>
      </w:r>
    </w:p>
    <w:p w14:paraId="508E9E8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9. Chakrabarti P, English T, Shi J, Smas CM, Kandror K V.: </w:t>
      </w:r>
      <w:r w:rsidRPr="00A10EEA">
        <w:rPr>
          <w:rFonts w:ascii="Cambria" w:hAnsi="Cambria"/>
          <w:b/>
          <w:bCs/>
          <w:noProof/>
          <w:sz w:val="24"/>
        </w:rPr>
        <w:t>Mammalian target of rapamycin complex 1 suppresses lipolysis, stimulates lipogenesis, and promotes fat storage</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2010, </w:t>
      </w:r>
      <w:r w:rsidRPr="00A10EEA">
        <w:rPr>
          <w:rFonts w:ascii="Cambria" w:hAnsi="Cambria"/>
          <w:b/>
          <w:bCs/>
          <w:noProof/>
          <w:sz w:val="24"/>
        </w:rPr>
        <w:t>59</w:t>
      </w:r>
      <w:r w:rsidRPr="00A10EEA">
        <w:rPr>
          <w:rFonts w:ascii="Cambria" w:hAnsi="Cambria"/>
          <w:noProof/>
          <w:sz w:val="24"/>
        </w:rPr>
        <w:t>:775–781.</w:t>
      </w:r>
    </w:p>
    <w:p w14:paraId="0A65785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10. Li S, Brown MS, Goldstein JL: </w:t>
      </w:r>
      <w:r w:rsidRPr="00A10EEA">
        <w:rPr>
          <w:rFonts w:ascii="Cambria" w:hAnsi="Cambria"/>
          <w:b/>
          <w:bCs/>
          <w:noProof/>
          <w:sz w:val="24"/>
        </w:rPr>
        <w:t>Bifurcation of insulin signaling pathway in rat liver: mTORC1 required for stimulation of lipogenesis, but not inhibition of gluconeogenesis.</w:t>
      </w:r>
      <w:r w:rsidRPr="00A10EEA">
        <w:rPr>
          <w:rFonts w:ascii="Cambria" w:hAnsi="Cambria"/>
          <w:noProof/>
          <w:sz w:val="24"/>
        </w:rPr>
        <w:t xml:space="preserve"> </w:t>
      </w:r>
      <w:r w:rsidRPr="00A10EEA">
        <w:rPr>
          <w:rFonts w:ascii="Cambria" w:hAnsi="Cambria"/>
          <w:i/>
          <w:iCs/>
          <w:noProof/>
          <w:sz w:val="24"/>
        </w:rPr>
        <w:t>Proc Natl Acad Sci U S A</w:t>
      </w:r>
      <w:r w:rsidRPr="00A10EEA">
        <w:rPr>
          <w:rFonts w:ascii="Cambria" w:hAnsi="Cambria"/>
          <w:noProof/>
          <w:sz w:val="24"/>
        </w:rPr>
        <w:t xml:space="preserve"> 2010, </w:t>
      </w:r>
      <w:r w:rsidRPr="00A10EEA">
        <w:rPr>
          <w:rFonts w:ascii="Cambria" w:hAnsi="Cambria"/>
          <w:b/>
          <w:bCs/>
          <w:noProof/>
          <w:sz w:val="24"/>
        </w:rPr>
        <w:t>107</w:t>
      </w:r>
      <w:r w:rsidRPr="00A10EEA">
        <w:rPr>
          <w:rFonts w:ascii="Cambria" w:hAnsi="Cambria"/>
          <w:noProof/>
          <w:sz w:val="24"/>
        </w:rPr>
        <w:t>:3441–6.</w:t>
      </w:r>
    </w:p>
    <w:p w14:paraId="71C76C43"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11. Lu B, Bridges D, Yang Y, Fisher K, Cheng A, Chang L, Meng ZZ-X, Lin JD, Downes M, Yu RT, Liddle C, Evans RM, Saltiel AR: </w:t>
      </w:r>
      <w:r w:rsidRPr="00A10EEA">
        <w:rPr>
          <w:rFonts w:ascii="Cambria" w:hAnsi="Cambria"/>
          <w:b/>
          <w:bCs/>
          <w:noProof/>
          <w:sz w:val="24"/>
        </w:rPr>
        <w:t>Metabolic crosstalk: molecular links between glycogen and lipid metabolism in obesity.</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2014, </w:t>
      </w:r>
      <w:r w:rsidRPr="00A10EEA">
        <w:rPr>
          <w:rFonts w:ascii="Cambria" w:hAnsi="Cambria"/>
          <w:b/>
          <w:bCs/>
          <w:noProof/>
          <w:sz w:val="24"/>
        </w:rPr>
        <w:t>63</w:t>
      </w:r>
      <w:r w:rsidRPr="00A10EEA">
        <w:rPr>
          <w:rFonts w:ascii="Cambria" w:hAnsi="Cambria"/>
          <w:noProof/>
          <w:sz w:val="24"/>
        </w:rPr>
        <w:t>:2935–48.</w:t>
      </w:r>
    </w:p>
    <w:p w14:paraId="0A91367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12. Zhang HH, Huang J, Düvel K, Boback B, Wu S, Squillace RM, Wu C-L, Manning BD: </w:t>
      </w:r>
      <w:r w:rsidRPr="00A10EEA">
        <w:rPr>
          <w:rFonts w:ascii="Cambria" w:hAnsi="Cambria"/>
          <w:b/>
          <w:bCs/>
          <w:noProof/>
          <w:sz w:val="24"/>
        </w:rPr>
        <w:t>Insulin stimulates adipogenesis through the Akt-TSC2-mTORC1 pathway.</w:t>
      </w:r>
      <w:r w:rsidRPr="00A10EEA">
        <w:rPr>
          <w:rFonts w:ascii="Cambria" w:hAnsi="Cambria"/>
          <w:noProof/>
          <w:sz w:val="24"/>
        </w:rPr>
        <w:t xml:space="preserve"> </w:t>
      </w:r>
      <w:r w:rsidRPr="00A10EEA">
        <w:rPr>
          <w:rFonts w:ascii="Cambria" w:hAnsi="Cambria"/>
          <w:i/>
          <w:iCs/>
          <w:noProof/>
          <w:sz w:val="24"/>
        </w:rPr>
        <w:t>PLoS One</w:t>
      </w:r>
      <w:r w:rsidRPr="00A10EEA">
        <w:rPr>
          <w:rFonts w:ascii="Cambria" w:hAnsi="Cambria"/>
          <w:noProof/>
          <w:sz w:val="24"/>
        </w:rPr>
        <w:t xml:space="preserve"> 2009, </w:t>
      </w:r>
      <w:r w:rsidRPr="00A10EEA">
        <w:rPr>
          <w:rFonts w:ascii="Cambria" w:hAnsi="Cambria"/>
          <w:b/>
          <w:bCs/>
          <w:noProof/>
          <w:sz w:val="24"/>
        </w:rPr>
        <w:t>4</w:t>
      </w:r>
      <w:r w:rsidRPr="00A10EEA">
        <w:rPr>
          <w:rFonts w:ascii="Cambria" w:hAnsi="Cambria"/>
          <w:noProof/>
          <w:sz w:val="24"/>
        </w:rPr>
        <w:t>:e6189.</w:t>
      </w:r>
    </w:p>
    <w:p w14:paraId="7FE20FF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13. Hatfield I, Harvey I, Yates ER, Redd JR, Reiter LT, Bridges D: </w:t>
      </w:r>
      <w:r w:rsidRPr="00A10EEA">
        <w:rPr>
          <w:rFonts w:ascii="Cambria" w:hAnsi="Cambria"/>
          <w:b/>
          <w:bCs/>
          <w:noProof/>
          <w:sz w:val="24"/>
        </w:rPr>
        <w:t>The role of TORC1 in muscle development in Drosophila.</w:t>
      </w:r>
      <w:r w:rsidRPr="00A10EEA">
        <w:rPr>
          <w:rFonts w:ascii="Cambria" w:hAnsi="Cambria"/>
          <w:noProof/>
          <w:sz w:val="24"/>
        </w:rPr>
        <w:t xml:space="preserve"> </w:t>
      </w:r>
      <w:r w:rsidRPr="00A10EEA">
        <w:rPr>
          <w:rFonts w:ascii="Cambria" w:hAnsi="Cambria"/>
          <w:i/>
          <w:iCs/>
          <w:noProof/>
          <w:sz w:val="24"/>
        </w:rPr>
        <w:t>Sci Rep</w:t>
      </w:r>
      <w:r w:rsidRPr="00A10EEA">
        <w:rPr>
          <w:rFonts w:ascii="Cambria" w:hAnsi="Cambria"/>
          <w:noProof/>
          <w:sz w:val="24"/>
        </w:rPr>
        <w:t xml:space="preserve"> 2015, </w:t>
      </w:r>
      <w:r w:rsidRPr="00A10EEA">
        <w:rPr>
          <w:rFonts w:ascii="Cambria" w:hAnsi="Cambria"/>
          <w:b/>
          <w:bCs/>
          <w:noProof/>
          <w:sz w:val="24"/>
        </w:rPr>
        <w:t>5</w:t>
      </w:r>
      <w:r w:rsidRPr="00A10EEA">
        <w:rPr>
          <w:rFonts w:ascii="Cambria" w:hAnsi="Cambria"/>
          <w:noProof/>
          <w:sz w:val="24"/>
        </w:rPr>
        <w:t>:9676.</w:t>
      </w:r>
    </w:p>
    <w:p w14:paraId="1E8BA08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14. Erbay E, Chen J: </w:t>
      </w:r>
      <w:r w:rsidRPr="00A10EEA">
        <w:rPr>
          <w:rFonts w:ascii="Cambria" w:hAnsi="Cambria"/>
          <w:b/>
          <w:bCs/>
          <w:noProof/>
          <w:sz w:val="24"/>
        </w:rPr>
        <w:t>The mammalian target of rapamycin regulates C2C12 myogenesis via a kinase-independent mechanism.</w:t>
      </w:r>
      <w:r w:rsidRPr="00A10EEA">
        <w:rPr>
          <w:rFonts w:ascii="Cambria" w:hAnsi="Cambria"/>
          <w:noProof/>
          <w:sz w:val="24"/>
        </w:rPr>
        <w:t xml:space="preserve"> </w:t>
      </w:r>
      <w:r w:rsidRPr="00A10EEA">
        <w:rPr>
          <w:rFonts w:ascii="Cambria" w:hAnsi="Cambria"/>
          <w:i/>
          <w:iCs/>
          <w:noProof/>
          <w:sz w:val="24"/>
        </w:rPr>
        <w:t>J Biol Chem</w:t>
      </w:r>
      <w:r w:rsidRPr="00A10EEA">
        <w:rPr>
          <w:rFonts w:ascii="Cambria" w:hAnsi="Cambria"/>
          <w:noProof/>
          <w:sz w:val="24"/>
        </w:rPr>
        <w:t xml:space="preserve"> 2001, </w:t>
      </w:r>
      <w:r w:rsidRPr="00A10EEA">
        <w:rPr>
          <w:rFonts w:ascii="Cambria" w:hAnsi="Cambria"/>
          <w:b/>
          <w:bCs/>
          <w:noProof/>
          <w:sz w:val="24"/>
        </w:rPr>
        <w:t>276</w:t>
      </w:r>
      <w:r w:rsidRPr="00A10EEA">
        <w:rPr>
          <w:rFonts w:ascii="Cambria" w:hAnsi="Cambria"/>
          <w:noProof/>
          <w:sz w:val="24"/>
        </w:rPr>
        <w:t>:36079–82.</w:t>
      </w:r>
    </w:p>
    <w:p w14:paraId="6D99D8D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15. Shah OJ, Wang Z, Hunter T: </w:t>
      </w:r>
      <w:r w:rsidRPr="00A10EEA">
        <w:rPr>
          <w:rFonts w:ascii="Cambria" w:hAnsi="Cambria"/>
          <w:b/>
          <w:bCs/>
          <w:noProof/>
          <w:sz w:val="24"/>
        </w:rPr>
        <w:t>Inappropriate activation of the TSC/Rheb/mTOR/S6K cassette induces IRS1/2 depletion, insulin resistance, and cell survival deficiencies.</w:t>
      </w:r>
      <w:r w:rsidRPr="00A10EEA">
        <w:rPr>
          <w:rFonts w:ascii="Cambria" w:hAnsi="Cambria"/>
          <w:noProof/>
          <w:sz w:val="24"/>
        </w:rPr>
        <w:t xml:space="preserve"> </w:t>
      </w:r>
      <w:r w:rsidRPr="00A10EEA">
        <w:rPr>
          <w:rFonts w:ascii="Cambria" w:hAnsi="Cambria"/>
          <w:i/>
          <w:iCs/>
          <w:noProof/>
          <w:sz w:val="24"/>
        </w:rPr>
        <w:t>Curr Biol</w:t>
      </w:r>
      <w:r w:rsidRPr="00A10EEA">
        <w:rPr>
          <w:rFonts w:ascii="Cambria" w:hAnsi="Cambria"/>
          <w:noProof/>
          <w:sz w:val="24"/>
        </w:rPr>
        <w:t xml:space="preserve"> 2004, </w:t>
      </w:r>
      <w:r w:rsidRPr="00A10EEA">
        <w:rPr>
          <w:rFonts w:ascii="Cambria" w:hAnsi="Cambria"/>
          <w:b/>
          <w:bCs/>
          <w:noProof/>
          <w:sz w:val="24"/>
        </w:rPr>
        <w:t>14</w:t>
      </w:r>
      <w:r w:rsidRPr="00A10EEA">
        <w:rPr>
          <w:rFonts w:ascii="Cambria" w:hAnsi="Cambria"/>
          <w:noProof/>
          <w:sz w:val="24"/>
        </w:rPr>
        <w:t>:1650–6.</w:t>
      </w:r>
    </w:p>
    <w:p w14:paraId="4221B296"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16. DeFronzo RA, Ferrannini E, Sato Y, Felig P, Wahren J: </w:t>
      </w:r>
      <w:r w:rsidRPr="00A10EEA">
        <w:rPr>
          <w:rFonts w:ascii="Cambria" w:hAnsi="Cambria"/>
          <w:b/>
          <w:bCs/>
          <w:noProof/>
          <w:sz w:val="24"/>
        </w:rPr>
        <w:t>Synergistic interaction between exercise and insulin on peripheral glucose uptake.</w:t>
      </w:r>
      <w:r w:rsidRPr="00A10EEA">
        <w:rPr>
          <w:rFonts w:ascii="Cambria" w:hAnsi="Cambria"/>
          <w:noProof/>
          <w:sz w:val="24"/>
        </w:rPr>
        <w:t xml:space="preserve"> </w:t>
      </w:r>
      <w:r w:rsidRPr="00A10EEA">
        <w:rPr>
          <w:rFonts w:ascii="Cambria" w:hAnsi="Cambria"/>
          <w:i/>
          <w:iCs/>
          <w:noProof/>
          <w:sz w:val="24"/>
        </w:rPr>
        <w:t>J Clin Invest</w:t>
      </w:r>
      <w:r w:rsidRPr="00A10EEA">
        <w:rPr>
          <w:rFonts w:ascii="Cambria" w:hAnsi="Cambria"/>
          <w:noProof/>
          <w:sz w:val="24"/>
        </w:rPr>
        <w:t xml:space="preserve"> 1981, </w:t>
      </w:r>
      <w:r w:rsidRPr="00A10EEA">
        <w:rPr>
          <w:rFonts w:ascii="Cambria" w:hAnsi="Cambria"/>
          <w:b/>
          <w:bCs/>
          <w:noProof/>
          <w:sz w:val="24"/>
        </w:rPr>
        <w:t>68</w:t>
      </w:r>
      <w:r w:rsidRPr="00A10EEA">
        <w:rPr>
          <w:rFonts w:ascii="Cambria" w:hAnsi="Cambria"/>
          <w:noProof/>
          <w:sz w:val="24"/>
        </w:rPr>
        <w:t>:1468–74.</w:t>
      </w:r>
    </w:p>
    <w:p w14:paraId="21CCFAB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17. Rolfe DF, Brown GC: </w:t>
      </w:r>
      <w:r w:rsidRPr="00A10EEA">
        <w:rPr>
          <w:rFonts w:ascii="Cambria" w:hAnsi="Cambria"/>
          <w:b/>
          <w:bCs/>
          <w:noProof/>
          <w:sz w:val="24"/>
        </w:rPr>
        <w:t>Cellular energy utilization and molecular origin of standard metabolic rate in mammals.</w:t>
      </w:r>
      <w:r w:rsidRPr="00A10EEA">
        <w:rPr>
          <w:rFonts w:ascii="Cambria" w:hAnsi="Cambria"/>
          <w:noProof/>
          <w:sz w:val="24"/>
        </w:rPr>
        <w:t xml:space="preserve"> </w:t>
      </w:r>
      <w:r w:rsidRPr="00A10EEA">
        <w:rPr>
          <w:rFonts w:ascii="Cambria" w:hAnsi="Cambria"/>
          <w:i/>
          <w:iCs/>
          <w:noProof/>
          <w:sz w:val="24"/>
        </w:rPr>
        <w:t>Physiol Rev</w:t>
      </w:r>
      <w:r w:rsidRPr="00A10EEA">
        <w:rPr>
          <w:rFonts w:ascii="Cambria" w:hAnsi="Cambria"/>
          <w:noProof/>
          <w:sz w:val="24"/>
        </w:rPr>
        <w:t xml:space="preserve"> 1997, </w:t>
      </w:r>
      <w:r w:rsidRPr="00A10EEA">
        <w:rPr>
          <w:rFonts w:ascii="Cambria" w:hAnsi="Cambria"/>
          <w:b/>
          <w:bCs/>
          <w:noProof/>
          <w:sz w:val="24"/>
        </w:rPr>
        <w:t>77</w:t>
      </w:r>
      <w:r w:rsidRPr="00A10EEA">
        <w:rPr>
          <w:rFonts w:ascii="Cambria" w:hAnsi="Cambria"/>
          <w:noProof/>
          <w:sz w:val="24"/>
        </w:rPr>
        <w:t>:731–758.</w:t>
      </w:r>
    </w:p>
    <w:p w14:paraId="4FBBDAC2"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18. Bentzinger CF, Romanino K, Cloëtta D, Lin S, Mascarenhas JB, Oliveri F, Xia J, Casanova E, Costa CF, Brink M, Zorzato F, Hall MN, Rüegg MA: </w:t>
      </w:r>
      <w:r w:rsidRPr="00A10EEA">
        <w:rPr>
          <w:rFonts w:ascii="Cambria" w:hAnsi="Cambria"/>
          <w:b/>
          <w:bCs/>
          <w:noProof/>
          <w:sz w:val="24"/>
        </w:rPr>
        <w:t>Skeletal muscle-specific ablation of raptor, but not of rictor, causes metabolic changes and results in muscle dystrophy.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2008, </w:t>
      </w:r>
      <w:r w:rsidRPr="00A10EEA">
        <w:rPr>
          <w:rFonts w:ascii="Cambria" w:hAnsi="Cambria"/>
          <w:b/>
          <w:bCs/>
          <w:noProof/>
          <w:sz w:val="24"/>
        </w:rPr>
        <w:t>8</w:t>
      </w:r>
      <w:r w:rsidRPr="00A10EEA">
        <w:rPr>
          <w:rFonts w:ascii="Cambria" w:hAnsi="Cambria"/>
          <w:noProof/>
          <w:sz w:val="24"/>
        </w:rPr>
        <w:t>:411–24.</w:t>
      </w:r>
    </w:p>
    <w:p w14:paraId="74C423D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19. Risson V, Mazelin L, Roceri M, Sanchez H, Moncollin V, Corneloup C, Richard-Bulteau H, Vignaud A, Baas D, Defour A, Freyssenet D, Tanti J-F, Le-Marchand-Brustel Y, Ferrier B, Conjard-Duplany A, Romanino K, Bauché S, Hantaï D, Mueller M, Kozma SC, Thomas G, Rüegg MA, Ferry A, Pende M, Bigard X, Koulmann N, Schaeffer L, Gangloff Y-G: </w:t>
      </w:r>
      <w:r w:rsidRPr="00A10EEA">
        <w:rPr>
          <w:rFonts w:ascii="Cambria" w:hAnsi="Cambria"/>
          <w:b/>
          <w:bCs/>
          <w:noProof/>
          <w:sz w:val="24"/>
        </w:rPr>
        <w:t>Muscle inactivation of mTOR causes metabolic and dystrophin defects leading to severe myopathy.</w:t>
      </w:r>
      <w:r w:rsidRPr="00A10EEA">
        <w:rPr>
          <w:rFonts w:ascii="Cambria" w:hAnsi="Cambria"/>
          <w:noProof/>
          <w:sz w:val="24"/>
        </w:rPr>
        <w:t xml:space="preserve"> </w:t>
      </w:r>
      <w:r w:rsidRPr="00A10EEA">
        <w:rPr>
          <w:rFonts w:ascii="Cambria" w:hAnsi="Cambria"/>
          <w:i/>
          <w:iCs/>
          <w:noProof/>
          <w:sz w:val="24"/>
        </w:rPr>
        <w:t>J Cell Biol</w:t>
      </w:r>
      <w:r w:rsidRPr="00A10EEA">
        <w:rPr>
          <w:rFonts w:ascii="Cambria" w:hAnsi="Cambria"/>
          <w:noProof/>
          <w:sz w:val="24"/>
        </w:rPr>
        <w:t xml:space="preserve"> 2009, </w:t>
      </w:r>
      <w:r w:rsidRPr="00A10EEA">
        <w:rPr>
          <w:rFonts w:ascii="Cambria" w:hAnsi="Cambria"/>
          <w:b/>
          <w:bCs/>
          <w:noProof/>
          <w:sz w:val="24"/>
        </w:rPr>
        <w:t>187</w:t>
      </w:r>
      <w:r w:rsidRPr="00A10EEA">
        <w:rPr>
          <w:rFonts w:ascii="Cambria" w:hAnsi="Cambria"/>
          <w:noProof/>
          <w:sz w:val="24"/>
        </w:rPr>
        <w:t>:859–74.</w:t>
      </w:r>
    </w:p>
    <w:p w14:paraId="23A0918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20. Bentzinger CF, Lin S, Romanino K, Castets P, Guridi M, Summermatter S, Handschin C, Tintignac LA, Hall MN, Rüegg MA: </w:t>
      </w:r>
      <w:r w:rsidRPr="00A10EEA">
        <w:rPr>
          <w:rFonts w:ascii="Cambria" w:hAnsi="Cambria"/>
          <w:b/>
          <w:bCs/>
          <w:noProof/>
          <w:sz w:val="24"/>
        </w:rPr>
        <w:t>Differential response of skeletal muscles to mTORC1 signaling during atrophy and hypertrophy.</w:t>
      </w:r>
      <w:r w:rsidRPr="00A10EEA">
        <w:rPr>
          <w:rFonts w:ascii="Cambria" w:hAnsi="Cambria"/>
          <w:noProof/>
          <w:sz w:val="24"/>
        </w:rPr>
        <w:t xml:space="preserve"> </w:t>
      </w:r>
      <w:r w:rsidRPr="00A10EEA">
        <w:rPr>
          <w:rFonts w:ascii="Cambria" w:hAnsi="Cambria"/>
          <w:i/>
          <w:iCs/>
          <w:noProof/>
          <w:sz w:val="24"/>
        </w:rPr>
        <w:t>Skelet Muscle</w:t>
      </w:r>
      <w:r w:rsidRPr="00A10EEA">
        <w:rPr>
          <w:rFonts w:ascii="Cambria" w:hAnsi="Cambria"/>
          <w:noProof/>
          <w:sz w:val="24"/>
        </w:rPr>
        <w:t xml:space="preserve"> 2013, </w:t>
      </w:r>
      <w:r w:rsidRPr="00A10EEA">
        <w:rPr>
          <w:rFonts w:ascii="Cambria" w:hAnsi="Cambria"/>
          <w:b/>
          <w:bCs/>
          <w:noProof/>
          <w:sz w:val="24"/>
        </w:rPr>
        <w:t>3</w:t>
      </w:r>
      <w:r w:rsidRPr="00A10EEA">
        <w:rPr>
          <w:rFonts w:ascii="Cambria" w:hAnsi="Cambria"/>
          <w:noProof/>
          <w:sz w:val="24"/>
        </w:rPr>
        <w:t>:6.</w:t>
      </w:r>
    </w:p>
    <w:p w14:paraId="61FBC36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21. Castets P, Lin S, Rion N, Di Fulvio S, Romanino K, Guridi M, Frank S, Tintignac LA a, Sinnreich M, Rüegg MA a, Di Fulvio S: </w:t>
      </w:r>
      <w:r w:rsidRPr="00A10EEA">
        <w:rPr>
          <w:rFonts w:ascii="Cambria" w:hAnsi="Cambria"/>
          <w:b/>
          <w:bCs/>
          <w:noProof/>
          <w:sz w:val="24"/>
        </w:rPr>
        <w:t>Sustained activation of mTORC1 in skeletal muscle inhibits constitutive and starvation-induced autophagy and causes a severe, late-onset myopathy.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2013, </w:t>
      </w:r>
      <w:r w:rsidRPr="00A10EEA">
        <w:rPr>
          <w:rFonts w:ascii="Cambria" w:hAnsi="Cambria"/>
          <w:b/>
          <w:bCs/>
          <w:noProof/>
          <w:sz w:val="24"/>
        </w:rPr>
        <w:t>17</w:t>
      </w:r>
      <w:r w:rsidRPr="00A10EEA">
        <w:rPr>
          <w:rFonts w:ascii="Cambria" w:hAnsi="Cambria"/>
          <w:noProof/>
          <w:sz w:val="24"/>
        </w:rPr>
        <w:t>:731–44.</w:t>
      </w:r>
    </w:p>
    <w:p w14:paraId="12834A3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22. Cunningham JT, Rodgers JT, Arlow DH, Vazquez F, Mootha VK, Puigserver P: </w:t>
      </w:r>
      <w:r w:rsidRPr="00A10EEA">
        <w:rPr>
          <w:rFonts w:ascii="Cambria" w:hAnsi="Cambria"/>
          <w:b/>
          <w:bCs/>
          <w:noProof/>
          <w:sz w:val="24"/>
        </w:rPr>
        <w:t>mTOR controls mitochondrial oxidative function through a YY1-PGC-1alpha transcriptional complex.</w:t>
      </w:r>
      <w:r w:rsidRPr="00A10EEA">
        <w:rPr>
          <w:rFonts w:ascii="Cambria" w:hAnsi="Cambria"/>
          <w:noProof/>
          <w:sz w:val="24"/>
        </w:rPr>
        <w:t xml:space="preserve"> </w:t>
      </w:r>
      <w:r w:rsidRPr="00A10EEA">
        <w:rPr>
          <w:rFonts w:ascii="Cambria" w:hAnsi="Cambria"/>
          <w:i/>
          <w:iCs/>
          <w:noProof/>
          <w:sz w:val="24"/>
        </w:rPr>
        <w:t>Nature</w:t>
      </w:r>
      <w:r w:rsidRPr="00A10EEA">
        <w:rPr>
          <w:rFonts w:ascii="Cambria" w:hAnsi="Cambria"/>
          <w:noProof/>
          <w:sz w:val="24"/>
        </w:rPr>
        <w:t xml:space="preserve"> 2007, </w:t>
      </w:r>
      <w:r w:rsidRPr="00A10EEA">
        <w:rPr>
          <w:rFonts w:ascii="Cambria" w:hAnsi="Cambria"/>
          <w:b/>
          <w:bCs/>
          <w:noProof/>
          <w:sz w:val="24"/>
        </w:rPr>
        <w:t>450</w:t>
      </w:r>
      <w:r w:rsidRPr="00A10EEA">
        <w:rPr>
          <w:rFonts w:ascii="Cambria" w:hAnsi="Cambria"/>
          <w:noProof/>
          <w:sz w:val="24"/>
        </w:rPr>
        <w:t>:736–740.</w:t>
      </w:r>
    </w:p>
    <w:p w14:paraId="51C1E722"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23. Ramanathan A, Schreiber SL: </w:t>
      </w:r>
      <w:r w:rsidRPr="00A10EEA">
        <w:rPr>
          <w:rFonts w:ascii="Cambria" w:hAnsi="Cambria"/>
          <w:b/>
          <w:bCs/>
          <w:noProof/>
          <w:sz w:val="24"/>
        </w:rPr>
        <w:t>Direct control of mitochondrial function by mTOR.</w:t>
      </w:r>
      <w:r w:rsidRPr="00A10EEA">
        <w:rPr>
          <w:rFonts w:ascii="Cambria" w:hAnsi="Cambria"/>
          <w:noProof/>
          <w:sz w:val="24"/>
        </w:rPr>
        <w:t xml:space="preserve"> </w:t>
      </w:r>
      <w:r w:rsidRPr="00A10EEA">
        <w:rPr>
          <w:rFonts w:ascii="Cambria" w:hAnsi="Cambria"/>
          <w:i/>
          <w:iCs/>
          <w:noProof/>
          <w:sz w:val="24"/>
        </w:rPr>
        <w:t>Proc Natl Acad Sci U S A</w:t>
      </w:r>
      <w:r w:rsidRPr="00A10EEA">
        <w:rPr>
          <w:rFonts w:ascii="Cambria" w:hAnsi="Cambria"/>
          <w:noProof/>
          <w:sz w:val="24"/>
        </w:rPr>
        <w:t xml:space="preserve"> 2009, </w:t>
      </w:r>
      <w:r w:rsidRPr="00A10EEA">
        <w:rPr>
          <w:rFonts w:ascii="Cambria" w:hAnsi="Cambria"/>
          <w:b/>
          <w:bCs/>
          <w:noProof/>
          <w:sz w:val="24"/>
        </w:rPr>
        <w:t>106</w:t>
      </w:r>
      <w:r w:rsidRPr="00A10EEA">
        <w:rPr>
          <w:rFonts w:ascii="Cambria" w:hAnsi="Cambria"/>
          <w:noProof/>
          <w:sz w:val="24"/>
        </w:rPr>
        <w:t>:22229–22232.</w:t>
      </w:r>
    </w:p>
    <w:p w14:paraId="16CCD913"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24. Koyanagi M, Asahara SI, Matsuda T, Hashimoto N, Shigeyama Y, Shibutani Y, Kanno A, Fuchita M, Mikami T, Hosooka T, Inoue H, Matsumoto M, Koike M, Uchiyama Y, Noda T, Seino S, Kasuga M, Kido Y: </w:t>
      </w:r>
      <w:r w:rsidRPr="00A10EEA">
        <w:rPr>
          <w:rFonts w:ascii="Cambria" w:hAnsi="Cambria"/>
          <w:b/>
          <w:bCs/>
          <w:noProof/>
          <w:sz w:val="24"/>
        </w:rPr>
        <w:t>Ablation of TSC2 enhances insulin secretion by increasing the number of mitochondria through activation of mTORC1</w:t>
      </w:r>
      <w:r w:rsidRPr="00A10EEA">
        <w:rPr>
          <w:rFonts w:ascii="Cambria" w:hAnsi="Cambria"/>
          <w:noProof/>
          <w:sz w:val="24"/>
        </w:rPr>
        <w:t xml:space="preserve">. </w:t>
      </w:r>
      <w:r w:rsidRPr="00A10EEA">
        <w:rPr>
          <w:rFonts w:ascii="Cambria" w:hAnsi="Cambria"/>
          <w:i/>
          <w:iCs/>
          <w:noProof/>
          <w:sz w:val="24"/>
        </w:rPr>
        <w:t>PLoS One</w:t>
      </w:r>
      <w:r w:rsidRPr="00A10EEA">
        <w:rPr>
          <w:rFonts w:ascii="Cambria" w:hAnsi="Cambria"/>
          <w:noProof/>
          <w:sz w:val="24"/>
        </w:rPr>
        <w:t xml:space="preserve"> 2011, </w:t>
      </w:r>
      <w:r w:rsidRPr="00A10EEA">
        <w:rPr>
          <w:rFonts w:ascii="Cambria" w:hAnsi="Cambria"/>
          <w:b/>
          <w:bCs/>
          <w:noProof/>
          <w:sz w:val="24"/>
        </w:rPr>
        <w:t>6</w:t>
      </w:r>
      <w:r w:rsidRPr="00A10EEA">
        <w:rPr>
          <w:rFonts w:ascii="Cambria" w:hAnsi="Cambria"/>
          <w:noProof/>
          <w:sz w:val="24"/>
        </w:rPr>
        <w:t>.</w:t>
      </w:r>
    </w:p>
    <w:p w14:paraId="4BB05996"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25. Fujita S, Dreyer HC, Drummond MJ, Glynn EL, Cadenas JG, Yoshizawa F, Volpi E, Rasmussen BB: </w:t>
      </w:r>
      <w:r w:rsidRPr="00A10EEA">
        <w:rPr>
          <w:rFonts w:ascii="Cambria" w:hAnsi="Cambria"/>
          <w:b/>
          <w:bCs/>
          <w:noProof/>
          <w:sz w:val="24"/>
        </w:rPr>
        <w:t>Nutrient signalling in the regulation of human muscle protein synthesis.</w:t>
      </w:r>
      <w:r w:rsidRPr="00A10EEA">
        <w:rPr>
          <w:rFonts w:ascii="Cambria" w:hAnsi="Cambria"/>
          <w:noProof/>
          <w:sz w:val="24"/>
        </w:rPr>
        <w:t xml:space="preserve"> </w:t>
      </w:r>
      <w:r w:rsidRPr="00A10EEA">
        <w:rPr>
          <w:rFonts w:ascii="Cambria" w:hAnsi="Cambria"/>
          <w:i/>
          <w:iCs/>
          <w:noProof/>
          <w:sz w:val="24"/>
        </w:rPr>
        <w:t>J Physiol</w:t>
      </w:r>
      <w:r w:rsidRPr="00A10EEA">
        <w:rPr>
          <w:rFonts w:ascii="Cambria" w:hAnsi="Cambria"/>
          <w:noProof/>
          <w:sz w:val="24"/>
        </w:rPr>
        <w:t xml:space="preserve"> 2007, </w:t>
      </w:r>
      <w:r w:rsidRPr="00A10EEA">
        <w:rPr>
          <w:rFonts w:ascii="Cambria" w:hAnsi="Cambria"/>
          <w:b/>
          <w:bCs/>
          <w:noProof/>
          <w:sz w:val="24"/>
        </w:rPr>
        <w:t>582</w:t>
      </w:r>
      <w:r w:rsidRPr="00A10EEA">
        <w:rPr>
          <w:rFonts w:ascii="Cambria" w:hAnsi="Cambria"/>
          <w:noProof/>
          <w:sz w:val="24"/>
        </w:rPr>
        <w:t>(Pt 2):813–23.</w:t>
      </w:r>
    </w:p>
    <w:p w14:paraId="4769A5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26. Cuthbertson D, Smith K, Babraj J, Leese G, Waddell T, Atherton P, Wackerhage H, Taylor PM, Rennie MJ: </w:t>
      </w:r>
      <w:r w:rsidRPr="00A10EEA">
        <w:rPr>
          <w:rFonts w:ascii="Cambria" w:hAnsi="Cambria"/>
          <w:b/>
          <w:bCs/>
          <w:noProof/>
          <w:sz w:val="24"/>
        </w:rPr>
        <w:t>Anabolic signaling deficits underlie amino acid resistance of wasting, aging muscle.</w:t>
      </w:r>
      <w:r w:rsidRPr="00A10EEA">
        <w:rPr>
          <w:rFonts w:ascii="Cambria" w:hAnsi="Cambria"/>
          <w:noProof/>
          <w:sz w:val="24"/>
        </w:rPr>
        <w:t xml:space="preserve"> </w:t>
      </w:r>
      <w:r w:rsidRPr="00A10EEA">
        <w:rPr>
          <w:rFonts w:ascii="Cambria" w:hAnsi="Cambria"/>
          <w:i/>
          <w:iCs/>
          <w:noProof/>
          <w:sz w:val="24"/>
        </w:rPr>
        <w:t>FASEB J</w:t>
      </w:r>
      <w:r w:rsidRPr="00A10EEA">
        <w:rPr>
          <w:rFonts w:ascii="Cambria" w:hAnsi="Cambria"/>
          <w:noProof/>
          <w:sz w:val="24"/>
        </w:rPr>
        <w:t xml:space="preserve"> 2005, </w:t>
      </w:r>
      <w:r w:rsidRPr="00A10EEA">
        <w:rPr>
          <w:rFonts w:ascii="Cambria" w:hAnsi="Cambria"/>
          <w:b/>
          <w:bCs/>
          <w:noProof/>
          <w:sz w:val="24"/>
        </w:rPr>
        <w:t>19</w:t>
      </w:r>
      <w:r w:rsidRPr="00A10EEA">
        <w:rPr>
          <w:rFonts w:ascii="Cambria" w:hAnsi="Cambria"/>
          <w:noProof/>
          <w:sz w:val="24"/>
        </w:rPr>
        <w:t>:422–424.</w:t>
      </w:r>
    </w:p>
    <w:p w14:paraId="3AF99A6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27. Tschöp MH, Speakman JR, Arch JRS, Auwerx J, Brüning JC, Chan L, Eckel RH, Farese R V, Galgani JE, Hambly C, Herman M a, Horvath TL, Kahn BB, Kozma SC, Maratos-Flier E, Müller TD, Münzberg H, Pfluger PT, Plum L, Reitman ML, Rahmouni K, Shulman GI, Thomas G, Kahn CR, Ravussin E: </w:t>
      </w:r>
      <w:r w:rsidRPr="00A10EEA">
        <w:rPr>
          <w:rFonts w:ascii="Cambria" w:hAnsi="Cambria"/>
          <w:b/>
          <w:bCs/>
          <w:noProof/>
          <w:sz w:val="24"/>
        </w:rPr>
        <w:t>A guide to analysis of mouse energy metabolism</w:t>
      </w:r>
      <w:r w:rsidRPr="00A10EEA">
        <w:rPr>
          <w:rFonts w:ascii="Cambria" w:hAnsi="Cambria"/>
          <w:noProof/>
          <w:sz w:val="24"/>
        </w:rPr>
        <w:t xml:space="preserve">. </w:t>
      </w:r>
      <w:r w:rsidRPr="00A10EEA">
        <w:rPr>
          <w:rFonts w:ascii="Cambria" w:hAnsi="Cambria"/>
          <w:i/>
          <w:iCs/>
          <w:noProof/>
          <w:sz w:val="24"/>
        </w:rPr>
        <w:t>Nat Methods</w:t>
      </w:r>
      <w:r w:rsidRPr="00A10EEA">
        <w:rPr>
          <w:rFonts w:ascii="Cambria" w:hAnsi="Cambria"/>
          <w:noProof/>
          <w:sz w:val="24"/>
        </w:rPr>
        <w:t xml:space="preserve"> 2011, </w:t>
      </w:r>
      <w:r w:rsidRPr="00A10EEA">
        <w:rPr>
          <w:rFonts w:ascii="Cambria" w:hAnsi="Cambria"/>
          <w:b/>
          <w:bCs/>
          <w:noProof/>
          <w:sz w:val="24"/>
        </w:rPr>
        <w:t>9</w:t>
      </w:r>
      <w:r w:rsidRPr="00A10EEA">
        <w:rPr>
          <w:rFonts w:ascii="Cambria" w:hAnsi="Cambria"/>
          <w:noProof/>
          <w:sz w:val="24"/>
        </w:rPr>
        <w:t>:57–63.</w:t>
      </w:r>
    </w:p>
    <w:p w14:paraId="14A5556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28. Hochberg I, Harvey I, Tran QT, Stephenson EJ, Barkan AL, Saltiel AR, Chandler WF, Bridges D: </w:t>
      </w:r>
      <w:r w:rsidRPr="00A10EEA">
        <w:rPr>
          <w:rFonts w:ascii="Cambria" w:hAnsi="Cambria"/>
          <w:b/>
          <w:bCs/>
          <w:noProof/>
          <w:sz w:val="24"/>
        </w:rPr>
        <w:t>Gene expression changes in subcutaneous adipose tissue due to Cushing’s disease</w:t>
      </w:r>
      <w:r w:rsidRPr="00A10EEA">
        <w:rPr>
          <w:rFonts w:ascii="Cambria" w:hAnsi="Cambria"/>
          <w:noProof/>
          <w:sz w:val="24"/>
        </w:rPr>
        <w:t xml:space="preserve">. </w:t>
      </w:r>
      <w:r w:rsidRPr="00A10EEA">
        <w:rPr>
          <w:rFonts w:ascii="Cambria" w:hAnsi="Cambria"/>
          <w:i/>
          <w:iCs/>
          <w:noProof/>
          <w:sz w:val="24"/>
        </w:rPr>
        <w:t>J Mol Endocrinol</w:t>
      </w:r>
      <w:r w:rsidRPr="00A10EEA">
        <w:rPr>
          <w:rFonts w:ascii="Cambria" w:hAnsi="Cambria"/>
          <w:noProof/>
          <w:sz w:val="24"/>
        </w:rPr>
        <w:t xml:space="preserve"> 2015, </w:t>
      </w:r>
      <w:r w:rsidRPr="00A10EEA">
        <w:rPr>
          <w:rFonts w:ascii="Cambria" w:hAnsi="Cambria"/>
          <w:b/>
          <w:bCs/>
          <w:noProof/>
          <w:sz w:val="24"/>
        </w:rPr>
        <w:t>55</w:t>
      </w:r>
      <w:r w:rsidRPr="00A10EEA">
        <w:rPr>
          <w:rFonts w:ascii="Cambria" w:hAnsi="Cambria"/>
          <w:noProof/>
          <w:sz w:val="24"/>
        </w:rPr>
        <w:t>:81–94.</w:t>
      </w:r>
    </w:p>
    <w:p w14:paraId="25CA5784"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29. Ayala JE, Bracy DP, McGuinness OP, Wasserman DH: </w:t>
      </w:r>
      <w:r w:rsidRPr="00A10EEA">
        <w:rPr>
          <w:rFonts w:ascii="Cambria" w:hAnsi="Cambria"/>
          <w:b/>
          <w:bCs/>
          <w:noProof/>
          <w:sz w:val="24"/>
        </w:rPr>
        <w:t>Considerations in the design of hyperinsulinemic-euglycemic clamps in the conscious mouse.</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2006, </w:t>
      </w:r>
      <w:r w:rsidRPr="00A10EEA">
        <w:rPr>
          <w:rFonts w:ascii="Cambria" w:hAnsi="Cambria"/>
          <w:b/>
          <w:bCs/>
          <w:noProof/>
          <w:sz w:val="24"/>
        </w:rPr>
        <w:t>55</w:t>
      </w:r>
      <w:r w:rsidRPr="00A10EEA">
        <w:rPr>
          <w:rFonts w:ascii="Cambria" w:hAnsi="Cambria"/>
          <w:noProof/>
          <w:sz w:val="24"/>
        </w:rPr>
        <w:t>:390–7.</w:t>
      </w:r>
    </w:p>
    <w:p w14:paraId="5E8C298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30. Cheng A, Zhang M, Gentry MS, Worby CA, Dixon JE, Saltiel AR: </w:t>
      </w:r>
      <w:r w:rsidRPr="00A10EEA">
        <w:rPr>
          <w:rFonts w:ascii="Cambria" w:hAnsi="Cambria"/>
          <w:b/>
          <w:bCs/>
          <w:noProof/>
          <w:sz w:val="24"/>
        </w:rPr>
        <w:t>A role for AGL ubiquitination in the glycogen storage disorders of Lafora and Cori’s disease.</w:t>
      </w:r>
      <w:r w:rsidRPr="00A10EEA">
        <w:rPr>
          <w:rFonts w:ascii="Cambria" w:hAnsi="Cambria"/>
          <w:noProof/>
          <w:sz w:val="24"/>
        </w:rPr>
        <w:t xml:space="preserve"> </w:t>
      </w:r>
      <w:r w:rsidRPr="00A10EEA">
        <w:rPr>
          <w:rFonts w:ascii="Cambria" w:hAnsi="Cambria"/>
          <w:i/>
          <w:iCs/>
          <w:noProof/>
          <w:sz w:val="24"/>
        </w:rPr>
        <w:t>Genes Dev</w:t>
      </w:r>
      <w:r w:rsidRPr="00A10EEA">
        <w:rPr>
          <w:rFonts w:ascii="Cambria" w:hAnsi="Cambria"/>
          <w:noProof/>
          <w:sz w:val="24"/>
        </w:rPr>
        <w:t xml:space="preserve"> 2007, </w:t>
      </w:r>
      <w:r w:rsidRPr="00A10EEA">
        <w:rPr>
          <w:rFonts w:ascii="Cambria" w:hAnsi="Cambria"/>
          <w:b/>
          <w:bCs/>
          <w:noProof/>
          <w:sz w:val="24"/>
        </w:rPr>
        <w:t>21</w:t>
      </w:r>
      <w:r w:rsidRPr="00A10EEA">
        <w:rPr>
          <w:rFonts w:ascii="Cambria" w:hAnsi="Cambria"/>
          <w:noProof/>
          <w:sz w:val="24"/>
        </w:rPr>
        <w:t>:2399–409.</w:t>
      </w:r>
    </w:p>
    <w:p w14:paraId="42224AA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31. Cheng A, Zhang M, Okubo M, Omichi K, Saltiel AR: </w:t>
      </w:r>
      <w:r w:rsidRPr="00A10EEA">
        <w:rPr>
          <w:rFonts w:ascii="Cambria" w:hAnsi="Cambria"/>
          <w:b/>
          <w:bCs/>
          <w:noProof/>
          <w:sz w:val="24"/>
        </w:rPr>
        <w:t>Distinct mutations in the glycogen debranching enzyme found in glycogen storage disease type III lead to impairment in diverse cellular functions.</w:t>
      </w:r>
      <w:r w:rsidRPr="00A10EEA">
        <w:rPr>
          <w:rFonts w:ascii="Cambria" w:hAnsi="Cambria"/>
          <w:noProof/>
          <w:sz w:val="24"/>
        </w:rPr>
        <w:t xml:space="preserve"> </w:t>
      </w:r>
      <w:r w:rsidRPr="00A10EEA">
        <w:rPr>
          <w:rFonts w:ascii="Cambria" w:hAnsi="Cambria"/>
          <w:i/>
          <w:iCs/>
          <w:noProof/>
          <w:sz w:val="24"/>
        </w:rPr>
        <w:t>Hum Mol Genet</w:t>
      </w:r>
      <w:r w:rsidRPr="00A10EEA">
        <w:rPr>
          <w:rFonts w:ascii="Cambria" w:hAnsi="Cambria"/>
          <w:noProof/>
          <w:sz w:val="24"/>
        </w:rPr>
        <w:t xml:space="preserve"> 2009, </w:t>
      </w:r>
      <w:r w:rsidRPr="00A10EEA">
        <w:rPr>
          <w:rFonts w:ascii="Cambria" w:hAnsi="Cambria"/>
          <w:b/>
          <w:bCs/>
          <w:noProof/>
          <w:sz w:val="24"/>
        </w:rPr>
        <w:t>18</w:t>
      </w:r>
      <w:r w:rsidRPr="00A10EEA">
        <w:rPr>
          <w:rFonts w:ascii="Cambria" w:hAnsi="Cambria"/>
          <w:noProof/>
          <w:sz w:val="24"/>
        </w:rPr>
        <w:t>:2045–52.</w:t>
      </w:r>
    </w:p>
    <w:p w14:paraId="3896D9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32. R Core Team: </w:t>
      </w:r>
      <w:r w:rsidRPr="00A10EEA">
        <w:rPr>
          <w:rFonts w:ascii="Cambria" w:hAnsi="Cambria"/>
          <w:b/>
          <w:bCs/>
          <w:noProof/>
          <w:sz w:val="24"/>
        </w:rPr>
        <w:t>R: A Language and Environment for Statistical Computing</w:t>
      </w:r>
      <w:r w:rsidRPr="00A10EEA">
        <w:rPr>
          <w:rFonts w:ascii="Cambria" w:hAnsi="Cambria"/>
          <w:noProof/>
          <w:sz w:val="24"/>
        </w:rPr>
        <w:t>. 2013.</w:t>
      </w:r>
    </w:p>
    <w:p w14:paraId="0E1D7F7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33. Bates D, Mächler M, Bolker B, Walker S: </w:t>
      </w:r>
      <w:r w:rsidRPr="00A10EEA">
        <w:rPr>
          <w:rFonts w:ascii="Cambria" w:hAnsi="Cambria"/>
          <w:b/>
          <w:bCs/>
          <w:noProof/>
          <w:sz w:val="24"/>
        </w:rPr>
        <w:t>Fitting Linear Mixed-Effects Models using lme4</w:t>
      </w:r>
      <w:r w:rsidRPr="00A10EEA">
        <w:rPr>
          <w:rFonts w:ascii="Cambria" w:hAnsi="Cambria"/>
          <w:noProof/>
          <w:sz w:val="24"/>
        </w:rPr>
        <w:t xml:space="preserve">. </w:t>
      </w:r>
      <w:r w:rsidRPr="00A10EEA">
        <w:rPr>
          <w:rFonts w:ascii="Cambria" w:hAnsi="Cambria"/>
          <w:i/>
          <w:iCs/>
          <w:noProof/>
          <w:sz w:val="24"/>
        </w:rPr>
        <w:t>ArXiv</w:t>
      </w:r>
      <w:r w:rsidRPr="00A10EEA">
        <w:rPr>
          <w:rFonts w:ascii="Cambria" w:hAnsi="Cambria"/>
          <w:noProof/>
          <w:sz w:val="24"/>
        </w:rPr>
        <w:t xml:space="preserve"> 2014, </w:t>
      </w:r>
      <w:r w:rsidRPr="00A10EEA">
        <w:rPr>
          <w:rFonts w:ascii="Cambria" w:hAnsi="Cambria"/>
          <w:b/>
          <w:bCs/>
          <w:noProof/>
          <w:sz w:val="24"/>
        </w:rPr>
        <w:t>1406.5823</w:t>
      </w:r>
      <w:r w:rsidRPr="00A10EEA">
        <w:rPr>
          <w:rFonts w:ascii="Cambria" w:hAnsi="Cambria"/>
          <w:noProof/>
          <w:sz w:val="24"/>
        </w:rPr>
        <w:t>:1–51.</w:t>
      </w:r>
    </w:p>
    <w:p w14:paraId="1CAF679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34. Benjamini Y, Hochberg Y: </w:t>
      </w:r>
      <w:r w:rsidRPr="00A10EEA">
        <w:rPr>
          <w:rFonts w:ascii="Cambria" w:hAnsi="Cambria"/>
          <w:b/>
          <w:bCs/>
          <w:noProof/>
          <w:sz w:val="24"/>
        </w:rPr>
        <w:t>Controlling the False Discovery Rate: A Practical and Powerful Approach to Multiple Testing</w:t>
      </w:r>
      <w:r w:rsidRPr="00A10EEA">
        <w:rPr>
          <w:rFonts w:ascii="Cambria" w:hAnsi="Cambria"/>
          <w:noProof/>
          <w:sz w:val="24"/>
        </w:rPr>
        <w:t xml:space="preserve">. </w:t>
      </w:r>
      <w:r w:rsidRPr="00A10EEA">
        <w:rPr>
          <w:rFonts w:ascii="Cambria" w:hAnsi="Cambria"/>
          <w:i/>
          <w:iCs/>
          <w:noProof/>
          <w:sz w:val="24"/>
        </w:rPr>
        <w:t>J R Stat Soc Ser B</w:t>
      </w:r>
      <w:r w:rsidRPr="00A10EEA">
        <w:rPr>
          <w:rFonts w:ascii="Cambria" w:hAnsi="Cambria"/>
          <w:noProof/>
          <w:sz w:val="24"/>
        </w:rPr>
        <w:t xml:space="preserve"> 1995, </w:t>
      </w:r>
      <w:r w:rsidRPr="00A10EEA">
        <w:rPr>
          <w:rFonts w:ascii="Cambria" w:hAnsi="Cambria"/>
          <w:b/>
          <w:bCs/>
          <w:noProof/>
          <w:sz w:val="24"/>
        </w:rPr>
        <w:t>57</w:t>
      </w:r>
      <w:r w:rsidRPr="00A10EEA">
        <w:rPr>
          <w:rFonts w:ascii="Cambria" w:hAnsi="Cambria"/>
          <w:noProof/>
          <w:sz w:val="24"/>
        </w:rPr>
        <w:t>:289–300.</w:t>
      </w:r>
    </w:p>
    <w:p w14:paraId="102625F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35. Kwiatkowski DJ, Zhang H, Bandura JL, Heiberger KM, Glogauer M, el-Hashemite N, Onda H: </w:t>
      </w:r>
      <w:r w:rsidRPr="00A10EEA">
        <w:rPr>
          <w:rFonts w:ascii="Cambria" w:hAnsi="Cambria"/>
          <w:b/>
          <w:bCs/>
          <w:noProof/>
          <w:sz w:val="24"/>
        </w:rPr>
        <w:t>A mouse model of TSC1 reveals sex-dependent lethality from liver hemangiomas, and up-regulation of p70S6 kinase activity in Tsc1 null cells.</w:t>
      </w:r>
      <w:r w:rsidRPr="00A10EEA">
        <w:rPr>
          <w:rFonts w:ascii="Cambria" w:hAnsi="Cambria"/>
          <w:noProof/>
          <w:sz w:val="24"/>
        </w:rPr>
        <w:t xml:space="preserve"> </w:t>
      </w:r>
      <w:r w:rsidRPr="00A10EEA">
        <w:rPr>
          <w:rFonts w:ascii="Cambria" w:hAnsi="Cambria"/>
          <w:i/>
          <w:iCs/>
          <w:noProof/>
          <w:sz w:val="24"/>
        </w:rPr>
        <w:t>Hum Mol Genet</w:t>
      </w:r>
      <w:r w:rsidRPr="00A10EEA">
        <w:rPr>
          <w:rFonts w:ascii="Cambria" w:hAnsi="Cambria"/>
          <w:noProof/>
          <w:sz w:val="24"/>
        </w:rPr>
        <w:t xml:space="preserve"> 2002, </w:t>
      </w:r>
      <w:r w:rsidRPr="00A10EEA">
        <w:rPr>
          <w:rFonts w:ascii="Cambria" w:hAnsi="Cambria"/>
          <w:b/>
          <w:bCs/>
          <w:noProof/>
          <w:sz w:val="24"/>
        </w:rPr>
        <w:t>11</w:t>
      </w:r>
      <w:r w:rsidRPr="00A10EEA">
        <w:rPr>
          <w:rFonts w:ascii="Cambria" w:hAnsi="Cambria"/>
          <w:noProof/>
          <w:sz w:val="24"/>
        </w:rPr>
        <w:t>:525–34.</w:t>
      </w:r>
    </w:p>
    <w:p w14:paraId="228C006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36. Brüning JC, Michael MD, Winnay JN, Hayashi T, Hörsch D, Accili D, Goodyear LJ, Kahn CR: </w:t>
      </w:r>
      <w:r w:rsidRPr="00A10EEA">
        <w:rPr>
          <w:rFonts w:ascii="Cambria" w:hAnsi="Cambria"/>
          <w:b/>
          <w:bCs/>
          <w:noProof/>
          <w:sz w:val="24"/>
        </w:rPr>
        <w:t>A Muscle-Specific Insulin Receptor Knockout Exhibits Features of the Metabolic Syndrome of NIDDM without Altering Glucose Tolerance</w:t>
      </w:r>
      <w:r w:rsidRPr="00A10EEA">
        <w:rPr>
          <w:rFonts w:ascii="Cambria" w:hAnsi="Cambria"/>
          <w:noProof/>
          <w:sz w:val="24"/>
        </w:rPr>
        <w:t xml:space="preserve">. </w:t>
      </w:r>
      <w:r w:rsidRPr="00A10EEA">
        <w:rPr>
          <w:rFonts w:ascii="Cambria" w:hAnsi="Cambria"/>
          <w:i/>
          <w:iCs/>
          <w:noProof/>
          <w:sz w:val="24"/>
        </w:rPr>
        <w:t>Mol Cell</w:t>
      </w:r>
      <w:r w:rsidRPr="00A10EEA">
        <w:rPr>
          <w:rFonts w:ascii="Cambria" w:hAnsi="Cambria"/>
          <w:noProof/>
          <w:sz w:val="24"/>
        </w:rPr>
        <w:t xml:space="preserve"> 1998, </w:t>
      </w:r>
      <w:r w:rsidRPr="00A10EEA">
        <w:rPr>
          <w:rFonts w:ascii="Cambria" w:hAnsi="Cambria"/>
          <w:b/>
          <w:bCs/>
          <w:noProof/>
          <w:sz w:val="24"/>
        </w:rPr>
        <w:t>2</w:t>
      </w:r>
      <w:r w:rsidRPr="00A10EEA">
        <w:rPr>
          <w:rFonts w:ascii="Cambria" w:hAnsi="Cambria"/>
          <w:noProof/>
          <w:sz w:val="24"/>
        </w:rPr>
        <w:t>:559–569.</w:t>
      </w:r>
    </w:p>
    <w:p w14:paraId="6FF735D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37. Printen JA, Brady MJ, Saltiel AR: </w:t>
      </w:r>
      <w:r w:rsidRPr="00A10EEA">
        <w:rPr>
          <w:rFonts w:ascii="Cambria" w:hAnsi="Cambria"/>
          <w:b/>
          <w:bCs/>
          <w:noProof/>
          <w:sz w:val="24"/>
        </w:rPr>
        <w:t>PTG, a protein phosphatase 1-binding protein with a role in glycogen metabolism.</w:t>
      </w:r>
      <w:r w:rsidRPr="00A10EEA">
        <w:rPr>
          <w:rFonts w:ascii="Cambria" w:hAnsi="Cambria"/>
          <w:noProof/>
          <w:sz w:val="24"/>
        </w:rPr>
        <w:t xml:space="preserve"> </w:t>
      </w:r>
      <w:r w:rsidRPr="00A10EEA">
        <w:rPr>
          <w:rFonts w:ascii="Cambria" w:hAnsi="Cambria"/>
          <w:i/>
          <w:iCs/>
          <w:noProof/>
          <w:sz w:val="24"/>
        </w:rPr>
        <w:t>Science (80- )</w:t>
      </w:r>
      <w:r w:rsidRPr="00A10EEA">
        <w:rPr>
          <w:rFonts w:ascii="Cambria" w:hAnsi="Cambria"/>
          <w:noProof/>
          <w:sz w:val="24"/>
        </w:rPr>
        <w:t xml:space="preserve"> 1997, </w:t>
      </w:r>
      <w:r w:rsidRPr="00A10EEA">
        <w:rPr>
          <w:rFonts w:ascii="Cambria" w:hAnsi="Cambria"/>
          <w:b/>
          <w:bCs/>
          <w:noProof/>
          <w:sz w:val="24"/>
        </w:rPr>
        <w:t>275</w:t>
      </w:r>
      <w:r w:rsidRPr="00A10EEA">
        <w:rPr>
          <w:rFonts w:ascii="Cambria" w:hAnsi="Cambria"/>
          <w:noProof/>
          <w:sz w:val="24"/>
        </w:rPr>
        <w:t>:1475–8.</w:t>
      </w:r>
    </w:p>
    <w:p w14:paraId="79D8960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38. Goodpaster BH, He J, Watkins S, Kelley DE: </w:t>
      </w:r>
      <w:r w:rsidRPr="00A10EEA">
        <w:rPr>
          <w:rFonts w:ascii="Cambria" w:hAnsi="Cambria"/>
          <w:b/>
          <w:bCs/>
          <w:noProof/>
          <w:sz w:val="24"/>
        </w:rPr>
        <w:t>Skeletal muscle lipid content and insulin resistance: Evidence for a paradox in endurance-trained athletes</w:t>
      </w:r>
      <w:r w:rsidRPr="00A10EEA">
        <w:rPr>
          <w:rFonts w:ascii="Cambria" w:hAnsi="Cambria"/>
          <w:noProof/>
          <w:sz w:val="24"/>
        </w:rPr>
        <w:t xml:space="preserve">. </w:t>
      </w:r>
      <w:r w:rsidRPr="00A10EEA">
        <w:rPr>
          <w:rFonts w:ascii="Cambria" w:hAnsi="Cambria"/>
          <w:i/>
          <w:iCs/>
          <w:noProof/>
          <w:sz w:val="24"/>
        </w:rPr>
        <w:t>J Clin Endocrinol Metab</w:t>
      </w:r>
      <w:r w:rsidRPr="00A10EEA">
        <w:rPr>
          <w:rFonts w:ascii="Cambria" w:hAnsi="Cambria"/>
          <w:noProof/>
          <w:sz w:val="24"/>
        </w:rPr>
        <w:t xml:space="preserve"> 2001, </w:t>
      </w:r>
      <w:r w:rsidRPr="00A10EEA">
        <w:rPr>
          <w:rFonts w:ascii="Cambria" w:hAnsi="Cambria"/>
          <w:b/>
          <w:bCs/>
          <w:noProof/>
          <w:sz w:val="24"/>
        </w:rPr>
        <w:t>86</w:t>
      </w:r>
      <w:r w:rsidRPr="00A10EEA">
        <w:rPr>
          <w:rFonts w:ascii="Cambria" w:hAnsi="Cambria"/>
          <w:noProof/>
          <w:sz w:val="24"/>
        </w:rPr>
        <w:t>:5755–5761.</w:t>
      </w:r>
    </w:p>
    <w:p w14:paraId="050145C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39. Amati F, Dubé JJ, Alvarez-Carnero E, Edreira MM, Chomentowski P, Coen PM, Switzer GE, Bickel PE, Stefanovic-Racic M, Toledo FGS, Goodpaster BH: </w:t>
      </w:r>
      <w:r w:rsidRPr="00A10EEA">
        <w:rPr>
          <w:rFonts w:ascii="Cambria" w:hAnsi="Cambria"/>
          <w:b/>
          <w:bCs/>
          <w:noProof/>
          <w:sz w:val="24"/>
        </w:rPr>
        <w:t>Skeletal muscle triglycerides, diacylglycerols, and ceramides in insulin resistance: Another paradox in endurance-trained athletes?</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2011, </w:t>
      </w:r>
      <w:r w:rsidRPr="00A10EEA">
        <w:rPr>
          <w:rFonts w:ascii="Cambria" w:hAnsi="Cambria"/>
          <w:b/>
          <w:bCs/>
          <w:noProof/>
          <w:sz w:val="24"/>
        </w:rPr>
        <w:t>60</w:t>
      </w:r>
      <w:r w:rsidRPr="00A10EEA">
        <w:rPr>
          <w:rFonts w:ascii="Cambria" w:hAnsi="Cambria"/>
          <w:noProof/>
          <w:sz w:val="24"/>
        </w:rPr>
        <w:t>:2588–2597.</w:t>
      </w:r>
    </w:p>
    <w:p w14:paraId="1CDE5057"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40. Philp A, Hamilton DL, Baar K: </w:t>
      </w:r>
      <w:r w:rsidRPr="00A10EEA">
        <w:rPr>
          <w:rFonts w:ascii="Cambria" w:hAnsi="Cambria"/>
          <w:b/>
          <w:bCs/>
          <w:noProof/>
          <w:sz w:val="24"/>
        </w:rPr>
        <w:t>Signals mediating skeletal muscle remodeling by resistance exercise: PI3-kinase independent activation of mTORC1.</w:t>
      </w:r>
      <w:r w:rsidRPr="00A10EEA">
        <w:rPr>
          <w:rFonts w:ascii="Cambria" w:hAnsi="Cambria"/>
          <w:noProof/>
          <w:sz w:val="24"/>
        </w:rPr>
        <w:t xml:space="preserve"> </w:t>
      </w:r>
      <w:r w:rsidRPr="00A10EEA">
        <w:rPr>
          <w:rFonts w:ascii="Cambria" w:hAnsi="Cambria"/>
          <w:i/>
          <w:iCs/>
          <w:noProof/>
          <w:sz w:val="24"/>
        </w:rPr>
        <w:t>J Appl Physiol</w:t>
      </w:r>
      <w:r w:rsidRPr="00A10EEA">
        <w:rPr>
          <w:rFonts w:ascii="Cambria" w:hAnsi="Cambria"/>
          <w:noProof/>
          <w:sz w:val="24"/>
        </w:rPr>
        <w:t xml:space="preserve"> 2011, </w:t>
      </w:r>
      <w:r w:rsidRPr="00A10EEA">
        <w:rPr>
          <w:rFonts w:ascii="Cambria" w:hAnsi="Cambria"/>
          <w:b/>
          <w:bCs/>
          <w:noProof/>
          <w:sz w:val="24"/>
        </w:rPr>
        <w:t>110</w:t>
      </w:r>
      <w:r w:rsidRPr="00A10EEA">
        <w:rPr>
          <w:rFonts w:ascii="Cambria" w:hAnsi="Cambria"/>
          <w:noProof/>
          <w:sz w:val="24"/>
        </w:rPr>
        <w:t>:561–8.</w:t>
      </w:r>
    </w:p>
    <w:p w14:paraId="17BCCECF"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41. Hamilton DL, Philp A, MacKenzie MG, Patton A, Towler MC, Gallagher IJ, Bodine SC, Baar K: </w:t>
      </w:r>
      <w:r w:rsidRPr="00A10EEA">
        <w:rPr>
          <w:rFonts w:ascii="Cambria" w:hAnsi="Cambria"/>
          <w:b/>
          <w:bCs/>
          <w:noProof/>
          <w:sz w:val="24"/>
        </w:rPr>
        <w:t>Molecular brakes regulating mTORC1 activation in skeletal muscle following synergist ablation.</w:t>
      </w:r>
      <w:r w:rsidRPr="00A10EEA">
        <w:rPr>
          <w:rFonts w:ascii="Cambria" w:hAnsi="Cambria"/>
          <w:noProof/>
          <w:sz w:val="24"/>
        </w:rPr>
        <w:t xml:space="preserve"> </w:t>
      </w:r>
      <w:r w:rsidRPr="00A10EEA">
        <w:rPr>
          <w:rFonts w:ascii="Cambria" w:hAnsi="Cambria"/>
          <w:i/>
          <w:iCs/>
          <w:noProof/>
          <w:sz w:val="24"/>
        </w:rPr>
        <w:t>Am J Physiol Endocrinol Metab</w:t>
      </w:r>
      <w:r w:rsidRPr="00A10EEA">
        <w:rPr>
          <w:rFonts w:ascii="Cambria" w:hAnsi="Cambria"/>
          <w:noProof/>
          <w:sz w:val="24"/>
        </w:rPr>
        <w:t xml:space="preserve"> 2014.</w:t>
      </w:r>
    </w:p>
    <w:p w14:paraId="41568D54"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42. Acheson KJ, Schutz Y, Bessard T, Anantharaman K, Flatt JP, Jequier E: </w:t>
      </w:r>
      <w:r w:rsidRPr="00A10EEA">
        <w:rPr>
          <w:rFonts w:ascii="Cambria" w:hAnsi="Cambria"/>
          <w:b/>
          <w:bCs/>
          <w:noProof/>
          <w:sz w:val="24"/>
        </w:rPr>
        <w:t>Glycoprotein storage capacity and de novo lipogenesis during massive carbohydrate overfeeding in man</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1988, </w:t>
      </w:r>
      <w:r w:rsidRPr="00A10EEA">
        <w:rPr>
          <w:rFonts w:ascii="Cambria" w:hAnsi="Cambria"/>
          <w:b/>
          <w:bCs/>
          <w:noProof/>
          <w:sz w:val="24"/>
        </w:rPr>
        <w:t>48</w:t>
      </w:r>
      <w:r w:rsidRPr="00A10EEA">
        <w:rPr>
          <w:rFonts w:ascii="Cambria" w:hAnsi="Cambria"/>
          <w:noProof/>
          <w:sz w:val="24"/>
        </w:rPr>
        <w:t>:240–247.</w:t>
      </w:r>
    </w:p>
    <w:p w14:paraId="307896D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43. Ravussin E, Burnand B, Schutz Y, Jequier E: </w:t>
      </w:r>
      <w:r w:rsidRPr="00A10EEA">
        <w:rPr>
          <w:rFonts w:ascii="Cambria" w:hAnsi="Cambria"/>
          <w:b/>
          <w:bCs/>
          <w:noProof/>
          <w:sz w:val="24"/>
        </w:rPr>
        <w:t>Twenty-four-hour energy expenditure and resting metabolic rate in obese, moderately obese, and control subjects</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1982, </w:t>
      </w:r>
      <w:r w:rsidRPr="00A10EEA">
        <w:rPr>
          <w:rFonts w:ascii="Cambria" w:hAnsi="Cambria"/>
          <w:b/>
          <w:bCs/>
          <w:noProof/>
          <w:sz w:val="24"/>
        </w:rPr>
        <w:t>35</w:t>
      </w:r>
      <w:r w:rsidRPr="00A10EEA">
        <w:rPr>
          <w:rFonts w:ascii="Cambria" w:hAnsi="Cambria"/>
          <w:noProof/>
          <w:sz w:val="24"/>
        </w:rPr>
        <w:t>:566–573.</w:t>
      </w:r>
    </w:p>
    <w:p w14:paraId="1D3FD9A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44. Ravussin E, Lillioja S, Anderson TE, Christin L, Bogardus C: </w:t>
      </w:r>
      <w:r w:rsidRPr="00A10EEA">
        <w:rPr>
          <w:rFonts w:ascii="Cambria" w:hAnsi="Cambria"/>
          <w:b/>
          <w:bCs/>
          <w:noProof/>
          <w:sz w:val="24"/>
        </w:rPr>
        <w:t>Determinants of 24-hour energy expenditure in man. Methods and results using a respiratory chamber.</w:t>
      </w:r>
      <w:r w:rsidRPr="00A10EEA">
        <w:rPr>
          <w:rFonts w:ascii="Cambria" w:hAnsi="Cambria"/>
          <w:noProof/>
          <w:sz w:val="24"/>
        </w:rPr>
        <w:t xml:space="preserve"> </w:t>
      </w:r>
      <w:r w:rsidRPr="00A10EEA">
        <w:rPr>
          <w:rFonts w:ascii="Cambria" w:hAnsi="Cambria"/>
          <w:i/>
          <w:iCs/>
          <w:noProof/>
          <w:sz w:val="24"/>
        </w:rPr>
        <w:t>J Clin Invest</w:t>
      </w:r>
      <w:r w:rsidRPr="00A10EEA">
        <w:rPr>
          <w:rFonts w:ascii="Cambria" w:hAnsi="Cambria"/>
          <w:noProof/>
          <w:sz w:val="24"/>
        </w:rPr>
        <w:t xml:space="preserve"> 1986, </w:t>
      </w:r>
      <w:r w:rsidRPr="00A10EEA">
        <w:rPr>
          <w:rFonts w:ascii="Cambria" w:hAnsi="Cambria"/>
          <w:b/>
          <w:bCs/>
          <w:noProof/>
          <w:sz w:val="24"/>
        </w:rPr>
        <w:t>78</w:t>
      </w:r>
      <w:r w:rsidRPr="00A10EEA">
        <w:rPr>
          <w:rFonts w:ascii="Cambria" w:hAnsi="Cambria"/>
          <w:noProof/>
          <w:sz w:val="24"/>
        </w:rPr>
        <w:t>:1568–78.</w:t>
      </w:r>
    </w:p>
    <w:p w14:paraId="358E895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45. Delany JP, Kelley DE, Hames KC, Jakicic JM, Goodpaster BH: </w:t>
      </w:r>
      <w:r w:rsidRPr="00A10EEA">
        <w:rPr>
          <w:rFonts w:ascii="Cambria" w:hAnsi="Cambria"/>
          <w:b/>
          <w:bCs/>
          <w:noProof/>
          <w:sz w:val="24"/>
        </w:rPr>
        <w:t>High energy expenditure masks low physical activity in obesity.</w:t>
      </w:r>
      <w:r w:rsidRPr="00A10EEA">
        <w:rPr>
          <w:rFonts w:ascii="Cambria" w:hAnsi="Cambria"/>
          <w:noProof/>
          <w:sz w:val="24"/>
        </w:rPr>
        <w:t xml:space="preserve"> </w:t>
      </w:r>
      <w:r w:rsidRPr="00A10EEA">
        <w:rPr>
          <w:rFonts w:ascii="Cambria" w:hAnsi="Cambria"/>
          <w:i/>
          <w:iCs/>
          <w:noProof/>
          <w:sz w:val="24"/>
        </w:rPr>
        <w:t>Int J Obes (Lond)</w:t>
      </w:r>
      <w:r w:rsidRPr="00A10EEA">
        <w:rPr>
          <w:rFonts w:ascii="Cambria" w:hAnsi="Cambria"/>
          <w:noProof/>
          <w:sz w:val="24"/>
        </w:rPr>
        <w:t xml:space="preserve"> 2013, </w:t>
      </w:r>
      <w:r w:rsidRPr="00A10EEA">
        <w:rPr>
          <w:rFonts w:ascii="Cambria" w:hAnsi="Cambria"/>
          <w:b/>
          <w:bCs/>
          <w:noProof/>
          <w:sz w:val="24"/>
        </w:rPr>
        <w:t>37</w:t>
      </w:r>
      <w:r w:rsidRPr="00A10EEA">
        <w:rPr>
          <w:rFonts w:ascii="Cambria" w:hAnsi="Cambria"/>
          <w:noProof/>
          <w:sz w:val="24"/>
        </w:rPr>
        <w:t>:1006–11.</w:t>
      </w:r>
    </w:p>
    <w:p w14:paraId="3837404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46. Foster GD, Wyatt HR, Hill JO, McGuckin BG, Brill C, Mohammed BS, Szapary PO, Rader DJ, Edman JS, Klein S: </w:t>
      </w:r>
      <w:r w:rsidRPr="00A10EEA">
        <w:rPr>
          <w:rFonts w:ascii="Cambria" w:hAnsi="Cambria"/>
          <w:b/>
          <w:bCs/>
          <w:noProof/>
          <w:sz w:val="24"/>
        </w:rPr>
        <w:t>A randomized trial of a low-carbohydrate diet for obesity.</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2003, </w:t>
      </w:r>
      <w:r w:rsidRPr="00A10EEA">
        <w:rPr>
          <w:rFonts w:ascii="Cambria" w:hAnsi="Cambria"/>
          <w:b/>
          <w:bCs/>
          <w:noProof/>
          <w:sz w:val="24"/>
        </w:rPr>
        <w:t>348</w:t>
      </w:r>
      <w:r w:rsidRPr="00A10EEA">
        <w:rPr>
          <w:rFonts w:ascii="Cambria" w:hAnsi="Cambria"/>
          <w:noProof/>
          <w:sz w:val="24"/>
        </w:rPr>
        <w:t>:2082–2090.</w:t>
      </w:r>
    </w:p>
    <w:p w14:paraId="3AAA62D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47. Hall KD, Bemis T, Brychta R, Chen KY, Courville A, Crayner EJ, Goodwin S, Guo J, Howard L, Knuth ND, Miller BV, Prado CM, Siervo M, Skarulis MC, Walter M, Walter PJ, Yannai L: </w:t>
      </w:r>
      <w:r w:rsidRPr="00A10EEA">
        <w:rPr>
          <w:rFonts w:ascii="Cambria" w:hAnsi="Cambria"/>
          <w:b/>
          <w:bCs/>
          <w:noProof/>
          <w:sz w:val="24"/>
        </w:rPr>
        <w:t>Calorie for Calorie, Dietary Fat Restriction Results in More Body Fat Loss than Carbohydrate Restriction in People with Obesity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2015, </w:t>
      </w:r>
      <w:r w:rsidRPr="00A10EEA">
        <w:rPr>
          <w:rFonts w:ascii="Cambria" w:hAnsi="Cambria"/>
          <w:b/>
          <w:bCs/>
          <w:noProof/>
          <w:sz w:val="24"/>
        </w:rPr>
        <w:t>22</w:t>
      </w:r>
      <w:r w:rsidRPr="00A10EEA">
        <w:rPr>
          <w:rFonts w:ascii="Cambria" w:hAnsi="Cambria"/>
          <w:noProof/>
          <w:sz w:val="24"/>
        </w:rPr>
        <w:t>:427–436.</w:t>
      </w:r>
    </w:p>
    <w:p w14:paraId="359F04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48. Bray GA, Redman LM, de Jonge L, Covington J, Rood J, Brock C, Mancuso S, Martin CK, Smith SR: </w:t>
      </w:r>
      <w:r w:rsidRPr="00A10EEA">
        <w:rPr>
          <w:rFonts w:ascii="Cambria" w:hAnsi="Cambria"/>
          <w:b/>
          <w:bCs/>
          <w:noProof/>
          <w:sz w:val="24"/>
        </w:rPr>
        <w:t>Effect of protein overfeeding on energy expenditure measured in a metabolic chamber</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2015, </w:t>
      </w:r>
      <w:r w:rsidRPr="00A10EEA">
        <w:rPr>
          <w:rFonts w:ascii="Cambria" w:hAnsi="Cambria"/>
          <w:b/>
          <w:bCs/>
          <w:noProof/>
          <w:sz w:val="24"/>
        </w:rPr>
        <w:t>101</w:t>
      </w:r>
      <w:r w:rsidRPr="00A10EEA">
        <w:rPr>
          <w:rFonts w:ascii="Cambria" w:hAnsi="Cambria"/>
          <w:noProof/>
          <w:sz w:val="24"/>
        </w:rPr>
        <w:t>:496–505.</w:t>
      </w:r>
    </w:p>
    <w:p w14:paraId="30771BF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49. Morita M, Gravel SP, Chénard V, Sikström K, Zheng L, Alain T, Gandin V, Avizonis D, Arguello M, Zakaria C, McLaughlan S, Nouet Y, Pause A, Pollak M, Gottlieb E, Larsson O, St-Pierre J, Topisirovic I, Sonenberg N: </w:t>
      </w:r>
      <w:r w:rsidRPr="00A10EEA">
        <w:rPr>
          <w:rFonts w:ascii="Cambria" w:hAnsi="Cambria"/>
          <w:b/>
          <w:bCs/>
          <w:noProof/>
          <w:sz w:val="24"/>
        </w:rPr>
        <w:t>MTORC1 controls mitochondrial activity and biogenesis through 4E-BP-dependent translational regulation</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2013, </w:t>
      </w:r>
      <w:r w:rsidRPr="00A10EEA">
        <w:rPr>
          <w:rFonts w:ascii="Cambria" w:hAnsi="Cambria"/>
          <w:b/>
          <w:bCs/>
          <w:noProof/>
          <w:sz w:val="24"/>
        </w:rPr>
        <w:t>18</w:t>
      </w:r>
      <w:r w:rsidRPr="00A10EEA">
        <w:rPr>
          <w:rFonts w:ascii="Cambria" w:hAnsi="Cambria"/>
          <w:noProof/>
          <w:sz w:val="24"/>
        </w:rPr>
        <w:t>:698–711.</w:t>
      </w:r>
    </w:p>
    <w:p w14:paraId="64794ED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50. Ibrahimi A, Bonen A, Blinn WD, Hajri T, Li X, Zhong K, Cameron R, Abumrad NA: </w:t>
      </w:r>
      <w:r w:rsidRPr="00A10EEA">
        <w:rPr>
          <w:rFonts w:ascii="Cambria" w:hAnsi="Cambria"/>
          <w:b/>
          <w:bCs/>
          <w:noProof/>
          <w:sz w:val="24"/>
        </w:rPr>
        <w:t>Muscle-specific Overexpression of FAT/CD36 Enhances Fatty Acid Oxidation by Contracting Muscle, Reduces Plasma Triglycerides and Fatty Acids, and Increases Plasma Glucose and Insulin</w:t>
      </w:r>
      <w:r w:rsidRPr="00A10EEA">
        <w:rPr>
          <w:rFonts w:ascii="Cambria" w:hAnsi="Cambria"/>
          <w:noProof/>
          <w:sz w:val="24"/>
        </w:rPr>
        <w:t xml:space="preserve">. </w:t>
      </w:r>
      <w:r w:rsidRPr="00A10EEA">
        <w:rPr>
          <w:rFonts w:ascii="Cambria" w:hAnsi="Cambria"/>
          <w:i/>
          <w:iCs/>
          <w:noProof/>
          <w:sz w:val="24"/>
        </w:rPr>
        <w:t>J Biol Chem</w:t>
      </w:r>
      <w:r w:rsidRPr="00A10EEA">
        <w:rPr>
          <w:rFonts w:ascii="Cambria" w:hAnsi="Cambria"/>
          <w:noProof/>
          <w:sz w:val="24"/>
        </w:rPr>
        <w:t xml:space="preserve"> 1999, </w:t>
      </w:r>
      <w:r w:rsidRPr="00A10EEA">
        <w:rPr>
          <w:rFonts w:ascii="Cambria" w:hAnsi="Cambria"/>
          <w:b/>
          <w:bCs/>
          <w:noProof/>
          <w:sz w:val="24"/>
        </w:rPr>
        <w:t>274</w:t>
      </w:r>
      <w:r w:rsidRPr="00A10EEA">
        <w:rPr>
          <w:rFonts w:ascii="Cambria" w:hAnsi="Cambria"/>
          <w:noProof/>
          <w:sz w:val="24"/>
        </w:rPr>
        <w:t xml:space="preserve">:26761–26766. </w:t>
      </w:r>
    </w:p>
    <w:p w14:paraId="22D37FF9" w14:textId="49A3FE96" w:rsidR="00871236" w:rsidRPr="00871236" w:rsidRDefault="00871236" w:rsidP="00A10EEA">
      <w:pPr>
        <w:pStyle w:val="NormalWeb"/>
        <w:divId w:val="2129540701"/>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67CF94B8"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commentRangeStart w:id="12"/>
      <w:r w:rsidR="00B4522B">
        <w:t xml:space="preserve">14 week </w:t>
      </w:r>
      <w:commentRangeEnd w:id="12"/>
      <w:r w:rsidR="0006561D">
        <w:rPr>
          <w:rStyle w:val="CommentReference"/>
        </w:rPr>
        <w:commentReference w:id="12"/>
      </w:r>
      <w:r w:rsidR="00B4522B">
        <w:t xml:space="preserve">dietary intervention. </w:t>
      </w:r>
      <w:r w:rsidR="000711BE">
        <w:t xml:space="preserve">Statistical significance </w:t>
      </w:r>
      <w:r w:rsidR="007C4F6A">
        <w:t>(p&lt;0.05</w:t>
      </w:r>
      <w:r w:rsidR="00B4522B">
        <w:t>, n=6</w:t>
      </w:r>
      <w:r w:rsidR="007C4F6A">
        <w:t xml:space="preserve">) </w:t>
      </w:r>
      <w:r w:rsidR="00B4522B">
        <w:t>wa</w:t>
      </w:r>
      <w:r w:rsidR="000711BE">
        <w:t xml:space="preserve">s denoted </w:t>
      </w:r>
      <w:r w:rsidR="00A526B3">
        <w:t xml:space="preserve">if reached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Welch’s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07D86CF6"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Insulin tolerance test of CD and HPD fed animals after </w:t>
      </w:r>
      <w:commentRangeStart w:id="13"/>
      <w:r w:rsidR="004A33CD">
        <w:t xml:space="preserve">XX </w:t>
      </w:r>
      <w:commentRangeEnd w:id="13"/>
      <w:r w:rsidR="004A33CD">
        <w:rPr>
          <w:rStyle w:val="CommentReference"/>
        </w:rPr>
        <w:commentReference w:id="13"/>
      </w:r>
      <w:r w:rsidR="004A33CD">
        <w:t xml:space="preserve">weeks of diet.  C) Data from B, normalized to reflect changes </w:t>
      </w:r>
      <w:r w:rsidR="004B4BBE">
        <w:t>relative to</w:t>
      </w:r>
      <w:r w:rsidR="004A33CD">
        <w:t xml:space="preserve"> fasting glucose levels.</w:t>
      </w:r>
      <w:r w:rsidR="006C5190">
        <w:t xml:space="preserve">  D) Pyruvate tolerance test of CD and HPD fed animals after </w:t>
      </w:r>
      <w:commentRangeStart w:id="14"/>
      <w:r w:rsidR="006C5190">
        <w:t xml:space="preserve">XX </w:t>
      </w:r>
      <w:commentRangeEnd w:id="14"/>
      <w:r w:rsidR="007D4121">
        <w:rPr>
          <w:rStyle w:val="CommentReference"/>
        </w:rPr>
        <w:commentReference w:id="14"/>
      </w:r>
      <w:r w:rsidR="006C5190">
        <w:t>weeks of diet.  E) Data from D, normalized to reflect changes relative to fasting glucose levels.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11T08:32:00Z" w:initials="DB">
    <w:p w14:paraId="780C7A5B" w14:textId="4D228BDB" w:rsidR="00C4123A" w:rsidRDefault="00C4123A">
      <w:pPr>
        <w:pStyle w:val="CommentText"/>
      </w:pPr>
      <w:r>
        <w:rPr>
          <w:rStyle w:val="CommentReference"/>
        </w:rPr>
        <w:annotationRef/>
      </w:r>
      <w:r>
        <w:t>JeAnna can you find out the stock number for the normal chow diets</w:t>
      </w:r>
    </w:p>
  </w:comment>
  <w:comment w:id="1" w:author="Dave Bridges" w:date="2015-09-11T08:32:00Z" w:initials="DB">
    <w:p w14:paraId="77AA8E39" w14:textId="0B263673" w:rsidR="00C4123A" w:rsidRDefault="00C4123A">
      <w:pPr>
        <w:pStyle w:val="CommentText"/>
      </w:pPr>
      <w:r>
        <w:rPr>
          <w:rStyle w:val="CommentReference"/>
        </w:rPr>
        <w:annotationRef/>
      </w:r>
      <w:r>
        <w:t>Innocence can you add the Stock number</w:t>
      </w:r>
    </w:p>
  </w:comment>
  <w:comment w:id="2" w:author="Dave Bridges" w:date="2015-09-11T08:32:00Z" w:initials="DB">
    <w:p w14:paraId="0B51BC07" w14:textId="54039498" w:rsidR="00C4123A" w:rsidRDefault="00C4123A">
      <w:pPr>
        <w:pStyle w:val="CommentText"/>
      </w:pPr>
      <w:r>
        <w:rPr>
          <w:rStyle w:val="CommentReference"/>
        </w:rPr>
        <w:annotationRef/>
      </w:r>
      <w:r>
        <w:t>Innocence, Stock number</w:t>
      </w:r>
    </w:p>
  </w:comment>
  <w:comment w:id="3" w:author="Dave Bridges" w:date="2015-09-09T12:44:00Z" w:initials="DB">
    <w:p w14:paraId="5273682B" w14:textId="4A95EA17" w:rsidR="00C4123A" w:rsidRDefault="00C4123A">
      <w:pPr>
        <w:pStyle w:val="CommentText"/>
      </w:pPr>
      <w:r>
        <w:rPr>
          <w:rStyle w:val="CommentReference"/>
        </w:rPr>
        <w:annotationRef/>
      </w:r>
      <w:r>
        <w:t>Need to write this in</w:t>
      </w:r>
    </w:p>
  </w:comment>
  <w:comment w:id="4" w:author="Dave Bridges" w:date="2015-09-08T07:44:00Z" w:initials="DB">
    <w:p w14:paraId="1B8D7A93" w14:textId="673ED745" w:rsidR="00C4123A" w:rsidRDefault="00C4123A">
      <w:pPr>
        <w:pStyle w:val="CommentText"/>
      </w:pPr>
      <w:r>
        <w:rPr>
          <w:rStyle w:val="CommentReference"/>
        </w:rPr>
        <w:annotationRef/>
      </w:r>
      <w:r>
        <w:t>We should try to do histology of these fat pads, and quantify cell size and number.</w:t>
      </w:r>
    </w:p>
  </w:comment>
  <w:comment w:id="6" w:author="Dave Bridges" w:date="2015-09-08T15:43:00Z" w:initials="DB">
    <w:p w14:paraId="16243181" w14:textId="60D4B8A8" w:rsidR="00C4123A" w:rsidRDefault="00C4123A">
      <w:pPr>
        <w:pStyle w:val="CommentText"/>
      </w:pPr>
      <w:r>
        <w:rPr>
          <w:rStyle w:val="CommentReference"/>
        </w:rPr>
        <w:annotationRef/>
      </w:r>
      <w:r>
        <w:t>We also see a modest increase in energy expenditure, but this is not significantly different so needs to be repeated.</w:t>
      </w:r>
    </w:p>
  </w:comment>
  <w:comment w:id="7" w:author="Dave Bridges" w:date="2015-11-04T10:40:00Z" w:initials="DB">
    <w:p w14:paraId="3CB839E8" w14:textId="581854A5" w:rsidR="00C4123A" w:rsidRDefault="00C4123A">
      <w:pPr>
        <w:pStyle w:val="CommentText"/>
      </w:pPr>
      <w:r>
        <w:rPr>
          <w:rStyle w:val="CommentReference"/>
        </w:rPr>
        <w:annotationRef/>
      </w:r>
      <w:r>
        <w:t>Fold change and p</w:t>
      </w:r>
    </w:p>
  </w:comment>
  <w:comment w:id="8" w:author="Dave Bridges" w:date="2015-09-09T12:43:00Z" w:initials="DB">
    <w:p w14:paraId="5805DF2D" w14:textId="21D75E87" w:rsidR="00C4123A" w:rsidRDefault="00C4123A">
      <w:pPr>
        <w:pStyle w:val="CommentText"/>
      </w:pPr>
      <w:r>
        <w:rPr>
          <w:rStyle w:val="CommentReference"/>
        </w:rPr>
        <w:annotationRef/>
      </w:r>
      <w:r>
        <w:t>We never published the data on Triglcyeride elevations being due to SREBP1c in the MEFs, so we could probably put that in here.</w:t>
      </w:r>
    </w:p>
  </w:comment>
  <w:comment w:id="9" w:author="Dave Bridges" w:date="2015-09-11T08:14:00Z" w:initials="DB">
    <w:p w14:paraId="76D50CC8" w14:textId="7D7893E8" w:rsidR="00C4123A" w:rsidRDefault="00C4123A">
      <w:pPr>
        <w:pStyle w:val="CommentText"/>
      </w:pPr>
      <w:r>
        <w:rPr>
          <w:rStyle w:val="CommentReference"/>
        </w:rPr>
        <w:annotationRef/>
      </w:r>
      <w:r>
        <w:t xml:space="preserve">We have qPCR data showing elevated PTG mRNA in these muscles, but that’s duplicated in the RNAseq data before.  </w:t>
      </w:r>
    </w:p>
  </w:comment>
  <w:comment w:id="10" w:author="Dave Bridges" w:date="2015-08-03T08:05:00Z" w:initials="DB">
    <w:p w14:paraId="73DF81C3" w14:textId="0694CCD8" w:rsidR="00C4123A" w:rsidRDefault="00C4123A">
      <w:pPr>
        <w:pStyle w:val="CommentText"/>
      </w:pPr>
      <w:r>
        <w:rPr>
          <w:rStyle w:val="CommentReference"/>
        </w:rPr>
        <w:annotationRef/>
      </w:r>
      <w:r>
        <w:t>Get this data</w:t>
      </w:r>
    </w:p>
  </w:comment>
  <w:comment w:id="11" w:author="Dave Bridges" w:date="2015-09-08T08:54:00Z" w:initials="DB">
    <w:p w14:paraId="4C23780D" w14:textId="448DA0A4" w:rsidR="00C4123A" w:rsidRDefault="00C4123A">
      <w:pPr>
        <w:pStyle w:val="CommentText"/>
      </w:pPr>
      <w:r>
        <w:rPr>
          <w:rStyle w:val="CommentReference"/>
        </w:rPr>
        <w:annotationRef/>
      </w:r>
      <w:r>
        <w:t>Alan, which grant(s) do you want to use here?</w:t>
      </w:r>
    </w:p>
  </w:comment>
  <w:comment w:id="12" w:author="Dave Bridges" w:date="2015-09-09T09:55:00Z" w:initials="DB">
    <w:p w14:paraId="71886FA5" w14:textId="49E08F2F" w:rsidR="00C4123A" w:rsidRDefault="00C4123A">
      <w:pPr>
        <w:pStyle w:val="CommentText"/>
      </w:pPr>
      <w:r>
        <w:rPr>
          <w:rStyle w:val="CommentReference"/>
        </w:rPr>
        <w:annotationRef/>
      </w:r>
      <w:r>
        <w:t>Innocence, was this the age at which these animals were killed</w:t>
      </w:r>
    </w:p>
  </w:comment>
  <w:comment w:id="13" w:author="Dave Bridges" w:date="2015-09-08T15:47:00Z" w:initials="DB">
    <w:p w14:paraId="33BBDA48" w14:textId="3B71C97D" w:rsidR="00C4123A" w:rsidRDefault="00C4123A">
      <w:pPr>
        <w:pStyle w:val="CommentText"/>
      </w:pPr>
      <w:r>
        <w:rPr>
          <w:rStyle w:val="CommentReference"/>
        </w:rPr>
        <w:annotationRef/>
      </w:r>
      <w:r>
        <w:t>Innocence how old were the mice during the ITT?</w:t>
      </w:r>
    </w:p>
  </w:comment>
  <w:comment w:id="14" w:author="Dave Bridges" w:date="2015-09-09T09:54:00Z" w:initials="DB">
    <w:p w14:paraId="4BFD02C7" w14:textId="43E9F91D" w:rsidR="00C4123A" w:rsidRDefault="00C4123A">
      <w:pPr>
        <w:pStyle w:val="CommentText"/>
      </w:pPr>
      <w:r>
        <w:rPr>
          <w:rStyle w:val="CommentReference"/>
        </w:rPr>
        <w:annotationRef/>
      </w:r>
      <w:r>
        <w:t>Innocence how old were these mice during the (second) PTT?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C4123A" w:rsidRDefault="00C4123A" w:rsidP="00907F04">
      <w:r>
        <w:separator/>
      </w:r>
    </w:p>
  </w:endnote>
  <w:endnote w:type="continuationSeparator" w:id="0">
    <w:p w14:paraId="22470711" w14:textId="77777777" w:rsidR="00C4123A" w:rsidRDefault="00C4123A"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2FDAE" w14:textId="77777777" w:rsidR="00C4123A" w:rsidRDefault="00C4123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C4123A" w:rsidRDefault="00C4123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326DC" w14:textId="77777777" w:rsidR="00C4123A" w:rsidRDefault="00C4123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2E5B">
      <w:rPr>
        <w:rStyle w:val="PageNumber"/>
        <w:noProof/>
      </w:rPr>
      <w:t>1</w:t>
    </w:r>
    <w:r>
      <w:rPr>
        <w:rStyle w:val="PageNumber"/>
      </w:rPr>
      <w:fldChar w:fldCharType="end"/>
    </w:r>
  </w:p>
  <w:p w14:paraId="493E31A3" w14:textId="77777777" w:rsidR="00C4123A" w:rsidRDefault="00C412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C4123A" w:rsidRDefault="00C4123A" w:rsidP="00907F04">
      <w:r>
        <w:separator/>
      </w:r>
    </w:p>
  </w:footnote>
  <w:footnote w:type="continuationSeparator" w:id="0">
    <w:p w14:paraId="268D88E6" w14:textId="77777777" w:rsidR="00C4123A" w:rsidRDefault="00C4123A"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2EA6"/>
    <w:rsid w:val="00037C8C"/>
    <w:rsid w:val="00062D30"/>
    <w:rsid w:val="0006561D"/>
    <w:rsid w:val="000711BE"/>
    <w:rsid w:val="000743D3"/>
    <w:rsid w:val="00085075"/>
    <w:rsid w:val="000850D2"/>
    <w:rsid w:val="00090C3D"/>
    <w:rsid w:val="000A25BD"/>
    <w:rsid w:val="000B72BD"/>
    <w:rsid w:val="000C2BF5"/>
    <w:rsid w:val="000C5F3E"/>
    <w:rsid w:val="000D2A60"/>
    <w:rsid w:val="000E6F5D"/>
    <w:rsid w:val="000F13F0"/>
    <w:rsid w:val="001037A6"/>
    <w:rsid w:val="0011510C"/>
    <w:rsid w:val="0014290F"/>
    <w:rsid w:val="001736D0"/>
    <w:rsid w:val="00190F17"/>
    <w:rsid w:val="001A6A7C"/>
    <w:rsid w:val="001A7E83"/>
    <w:rsid w:val="001E0A5E"/>
    <w:rsid w:val="00205F41"/>
    <w:rsid w:val="00217BA9"/>
    <w:rsid w:val="00221DBF"/>
    <w:rsid w:val="00232F5F"/>
    <w:rsid w:val="00237F34"/>
    <w:rsid w:val="00245445"/>
    <w:rsid w:val="00250F5B"/>
    <w:rsid w:val="002648CF"/>
    <w:rsid w:val="00266DA2"/>
    <w:rsid w:val="00275E69"/>
    <w:rsid w:val="002A7B4B"/>
    <w:rsid w:val="002B4B3F"/>
    <w:rsid w:val="002C7364"/>
    <w:rsid w:val="002D65EF"/>
    <w:rsid w:val="002D7887"/>
    <w:rsid w:val="002E25A9"/>
    <w:rsid w:val="002E45D2"/>
    <w:rsid w:val="00303444"/>
    <w:rsid w:val="00331B56"/>
    <w:rsid w:val="00331F69"/>
    <w:rsid w:val="00334230"/>
    <w:rsid w:val="0033583C"/>
    <w:rsid w:val="003406C3"/>
    <w:rsid w:val="003407C9"/>
    <w:rsid w:val="00344094"/>
    <w:rsid w:val="00373D35"/>
    <w:rsid w:val="0038762E"/>
    <w:rsid w:val="0039397E"/>
    <w:rsid w:val="0039667E"/>
    <w:rsid w:val="00396BD8"/>
    <w:rsid w:val="003A0720"/>
    <w:rsid w:val="003E7617"/>
    <w:rsid w:val="003F5BD8"/>
    <w:rsid w:val="003F5FAC"/>
    <w:rsid w:val="003F6A53"/>
    <w:rsid w:val="00403E87"/>
    <w:rsid w:val="00426050"/>
    <w:rsid w:val="00427FDD"/>
    <w:rsid w:val="00445957"/>
    <w:rsid w:val="0045067A"/>
    <w:rsid w:val="00451202"/>
    <w:rsid w:val="0046122A"/>
    <w:rsid w:val="00496EF3"/>
    <w:rsid w:val="004A2F25"/>
    <w:rsid w:val="004A33CD"/>
    <w:rsid w:val="004B4BBE"/>
    <w:rsid w:val="004C18FC"/>
    <w:rsid w:val="004C5CD7"/>
    <w:rsid w:val="004C6C48"/>
    <w:rsid w:val="004D4201"/>
    <w:rsid w:val="004F062C"/>
    <w:rsid w:val="005008B3"/>
    <w:rsid w:val="00502679"/>
    <w:rsid w:val="00504B90"/>
    <w:rsid w:val="0050751B"/>
    <w:rsid w:val="005169CA"/>
    <w:rsid w:val="0052183D"/>
    <w:rsid w:val="00526B0E"/>
    <w:rsid w:val="00531AD6"/>
    <w:rsid w:val="00573A9D"/>
    <w:rsid w:val="005838B0"/>
    <w:rsid w:val="00583F7C"/>
    <w:rsid w:val="005858D1"/>
    <w:rsid w:val="005F1E8E"/>
    <w:rsid w:val="00620F42"/>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23E82"/>
    <w:rsid w:val="0072553D"/>
    <w:rsid w:val="00736644"/>
    <w:rsid w:val="00762EF3"/>
    <w:rsid w:val="00794576"/>
    <w:rsid w:val="007B624A"/>
    <w:rsid w:val="007B7AEB"/>
    <w:rsid w:val="007C4F6A"/>
    <w:rsid w:val="007D199B"/>
    <w:rsid w:val="007D1A22"/>
    <w:rsid w:val="007D4121"/>
    <w:rsid w:val="00802891"/>
    <w:rsid w:val="0080402E"/>
    <w:rsid w:val="00823A14"/>
    <w:rsid w:val="00842DEC"/>
    <w:rsid w:val="008437EE"/>
    <w:rsid w:val="008545F6"/>
    <w:rsid w:val="0086281F"/>
    <w:rsid w:val="00864774"/>
    <w:rsid w:val="00864B68"/>
    <w:rsid w:val="00871236"/>
    <w:rsid w:val="00881C69"/>
    <w:rsid w:val="008A11B9"/>
    <w:rsid w:val="008B795B"/>
    <w:rsid w:val="008E07CF"/>
    <w:rsid w:val="009010AA"/>
    <w:rsid w:val="00901963"/>
    <w:rsid w:val="00907F04"/>
    <w:rsid w:val="00931A46"/>
    <w:rsid w:val="00972512"/>
    <w:rsid w:val="00974B1E"/>
    <w:rsid w:val="00980BD7"/>
    <w:rsid w:val="00996376"/>
    <w:rsid w:val="009B110D"/>
    <w:rsid w:val="009D0FFE"/>
    <w:rsid w:val="009D1EBE"/>
    <w:rsid w:val="009F47C8"/>
    <w:rsid w:val="00A01F29"/>
    <w:rsid w:val="00A10EEA"/>
    <w:rsid w:val="00A15A7B"/>
    <w:rsid w:val="00A34EF3"/>
    <w:rsid w:val="00A40A23"/>
    <w:rsid w:val="00A526B3"/>
    <w:rsid w:val="00A64165"/>
    <w:rsid w:val="00A84192"/>
    <w:rsid w:val="00A85F86"/>
    <w:rsid w:val="00A86399"/>
    <w:rsid w:val="00A922D2"/>
    <w:rsid w:val="00AB3D88"/>
    <w:rsid w:val="00AC305E"/>
    <w:rsid w:val="00AC53AD"/>
    <w:rsid w:val="00AC73D9"/>
    <w:rsid w:val="00AE30D5"/>
    <w:rsid w:val="00AF0847"/>
    <w:rsid w:val="00B10A19"/>
    <w:rsid w:val="00B1423F"/>
    <w:rsid w:val="00B3409A"/>
    <w:rsid w:val="00B4522B"/>
    <w:rsid w:val="00B77490"/>
    <w:rsid w:val="00B80ABE"/>
    <w:rsid w:val="00B83F46"/>
    <w:rsid w:val="00B90CD2"/>
    <w:rsid w:val="00B91EDD"/>
    <w:rsid w:val="00BC2B3A"/>
    <w:rsid w:val="00C10DEF"/>
    <w:rsid w:val="00C13E13"/>
    <w:rsid w:val="00C4123A"/>
    <w:rsid w:val="00C50D02"/>
    <w:rsid w:val="00C6712D"/>
    <w:rsid w:val="00C913F9"/>
    <w:rsid w:val="00CB219E"/>
    <w:rsid w:val="00CE61CD"/>
    <w:rsid w:val="00CE66CE"/>
    <w:rsid w:val="00CE7E88"/>
    <w:rsid w:val="00D04DA3"/>
    <w:rsid w:val="00D05FF7"/>
    <w:rsid w:val="00D07952"/>
    <w:rsid w:val="00D2057A"/>
    <w:rsid w:val="00D300E1"/>
    <w:rsid w:val="00D45DD4"/>
    <w:rsid w:val="00D52992"/>
    <w:rsid w:val="00D8601B"/>
    <w:rsid w:val="00D863F7"/>
    <w:rsid w:val="00D95C50"/>
    <w:rsid w:val="00DA21D3"/>
    <w:rsid w:val="00DD2A58"/>
    <w:rsid w:val="00DD3F13"/>
    <w:rsid w:val="00E00396"/>
    <w:rsid w:val="00E11C5F"/>
    <w:rsid w:val="00E22913"/>
    <w:rsid w:val="00E2598A"/>
    <w:rsid w:val="00E32EF3"/>
    <w:rsid w:val="00E35E47"/>
    <w:rsid w:val="00E447C3"/>
    <w:rsid w:val="00E522BC"/>
    <w:rsid w:val="00E83625"/>
    <w:rsid w:val="00E93970"/>
    <w:rsid w:val="00EB4395"/>
    <w:rsid w:val="00EB6CB5"/>
    <w:rsid w:val="00EE7DA9"/>
    <w:rsid w:val="00F07541"/>
    <w:rsid w:val="00F10B8B"/>
    <w:rsid w:val="00F311C5"/>
    <w:rsid w:val="00F52887"/>
    <w:rsid w:val="00F57B88"/>
    <w:rsid w:val="00F60DC7"/>
    <w:rsid w:val="00F70CE4"/>
    <w:rsid w:val="00F901B5"/>
    <w:rsid w:val="00F951B7"/>
    <w:rsid w:val="00FD4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13</Pages>
  <Words>36525</Words>
  <Characters>208194</Characters>
  <Application>Microsoft Macintosh Word</Application>
  <DocSecurity>0</DocSecurity>
  <Lines>1734</Lines>
  <Paragraphs>488</Paragraphs>
  <ScaleCrop>false</ScaleCrop>
  <Company>UT-HSC</Company>
  <LinksUpToDate>false</LinksUpToDate>
  <CharactersWithSpaces>244231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141</cp:revision>
  <cp:lastPrinted>2015-09-08T14:05:00Z</cp:lastPrinted>
  <dcterms:created xsi:type="dcterms:W3CDTF">2015-07-01T15:40:00Z</dcterms:created>
  <dcterms:modified xsi:type="dcterms:W3CDTF">2015-11-04T18:55:00Z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