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w:t>
      </w:r>
      <w:r w:rsidR="001A7E83">
        <w:lastRenderedPageBreak/>
        <w:t xml:space="preserve">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8"/>
      <w:proofErr w:type="spellStart"/>
      <w:r>
        <w:t>RNAseq</w:t>
      </w:r>
      <w:proofErr w:type="spellEnd"/>
      <w:r>
        <w:t xml:space="preserve"> Analysis</w:t>
      </w:r>
      <w:commentRangeEnd w:id="8"/>
      <w:r w:rsidR="00BA3BA0">
        <w:rPr>
          <w:rStyle w:val="CommentReference"/>
          <w:rFonts w:asciiTheme="minorHAnsi" w:eastAsiaTheme="minorEastAsia" w:hAnsiTheme="minorHAnsi" w:cstheme="minorBidi"/>
          <w:b w:val="0"/>
          <w:bCs w:val="0"/>
          <w:color w:val="auto"/>
        </w:rPr>
        <w:commentReference w:id="8"/>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9"/>
      <w:r>
        <w:t>NADH Staining of Muscle Sections</w:t>
      </w:r>
      <w:commentRangeEnd w:id="9"/>
      <w:r w:rsidR="00BA3BA0">
        <w:rPr>
          <w:rStyle w:val="CommentReference"/>
          <w:rFonts w:asciiTheme="minorHAnsi" w:eastAsiaTheme="minorEastAsia" w:hAnsiTheme="minorHAnsi" w:cstheme="minorBidi"/>
          <w:b w:val="0"/>
          <w:bCs w:val="0"/>
          <w:color w:val="auto"/>
        </w:rPr>
        <w:commentReference w:id="9"/>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0"/>
      <w:r>
        <w:t>Results</w:t>
      </w:r>
      <w:commentRangeEnd w:id="10"/>
      <w:r w:rsidR="0045183A">
        <w:rPr>
          <w:rStyle w:val="CommentReference"/>
          <w:rFonts w:asciiTheme="minorHAnsi" w:eastAsiaTheme="minorEastAsia" w:hAnsiTheme="minorHAnsi" w:cstheme="minorBidi"/>
          <w:b w:val="0"/>
          <w:bCs w:val="0"/>
          <w:color w:val="auto"/>
        </w:rPr>
        <w:commentReference w:id="10"/>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lastRenderedPageBreak/>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1"/>
      <w:r w:rsidR="00C64A2D">
        <w:t>Figure 1E</w:t>
      </w:r>
      <w:commentRangeEnd w:id="11"/>
      <w:r w:rsidR="00C64A2D">
        <w:rPr>
          <w:rStyle w:val="CommentReference"/>
        </w:rPr>
        <w:commentReference w:id="11"/>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4BFE0BBD"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w:t>
      </w:r>
      <w:r w:rsidR="0022606C">
        <w:t>80</w:t>
      </w:r>
      <w:r w:rsidR="0038168E">
        <w:t>%</w:t>
      </w:r>
      <w:r w:rsidR="0022606C">
        <w:t xml:space="preserve"> and </w:t>
      </w:r>
      <w:r w:rsidR="0038168E">
        <w:t>77% respectively,</w:t>
      </w:r>
      <w:r w:rsidR="00482AEB">
        <w:t xml:space="preserve"> each p&lt;1 x 10</w:t>
      </w:r>
      <w:r w:rsidR="00482AEB">
        <w:rPr>
          <w:vertAlign w:val="superscript"/>
        </w:rPr>
        <w:t>-6</w:t>
      </w:r>
      <w:r w:rsidR="00EE675F">
        <w:t xml:space="preserve">; </w:t>
      </w:r>
      <w:r w:rsidR="00B04B43">
        <w:t>Figures 2</w:t>
      </w:r>
      <w:r w:rsidR="009D095F">
        <w:t>C-D</w:t>
      </w:r>
      <w:r w:rsidR="0087648E">
        <w:t>).</w:t>
      </w:r>
    </w:p>
    <w:p w14:paraId="3AF0DF1B" w14:textId="77777777" w:rsidR="0087648E" w:rsidRDefault="0087648E" w:rsidP="0087648E"/>
    <w:p w14:paraId="642D4C1D" w14:textId="4BA0BE56"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2"/>
      <w:r>
        <w:t xml:space="preserve">resistant </w:t>
      </w:r>
      <w:commentRangeEnd w:id="12"/>
      <w:r>
        <w:rPr>
          <w:rStyle w:val="CommentReference"/>
        </w:rPr>
        <w:commentReference w:id="12"/>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lastRenderedPageBreak/>
        <w:t>(Figure 3</w:t>
      </w:r>
      <w:r w:rsidR="003C3B52">
        <w:t>B</w:t>
      </w:r>
      <w:r w:rsidR="00135321">
        <w:t>, p=0.941</w:t>
      </w:r>
      <w:r>
        <w:t>)</w:t>
      </w:r>
      <w:r w:rsidR="00F72D7F">
        <w:t>, though as expected female lean mass was lower</w:t>
      </w:r>
      <w:r w:rsidR="003C3B52">
        <w:t xml:space="preserve"> than that of male mice</w:t>
      </w:r>
      <w:r w:rsidR="00F72D7F">
        <w:t>.</w:t>
      </w:r>
      <w:r>
        <w:t xml:space="preserve">  </w:t>
      </w:r>
    </w:p>
    <w:p w14:paraId="4FB72DE4" w14:textId="77777777" w:rsidR="00BB27F2" w:rsidRDefault="00BB27F2" w:rsidP="0087648E"/>
    <w:p w14:paraId="15BC992A" w14:textId="25C0BA54"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13"/>
      <w:r>
        <w:t>XXX-YYY</w:t>
      </w:r>
      <w:commentRangeEnd w:id="13"/>
      <w:r>
        <w:rPr>
          <w:rStyle w:val="CommentReference"/>
        </w:rPr>
        <w:commentReference w:id="13"/>
      </w:r>
      <w:r>
        <w:t xml:space="preserve">% reduction in perigonadal and inguinal fat pad mass for both males and females (all p&lt;).  In this study, we observed no changes in the </w:t>
      </w:r>
      <w:bookmarkStart w:id="14" w:name="_GoBack"/>
      <w:bookmarkEnd w:id="14"/>
      <w:r>
        <w:t xml:space="preserve">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w:t>
      </w:r>
      <w:r w:rsidR="007E387B">
        <w:t>a previous report</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EF79C02"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5"/>
      <w:r w:rsidR="004905D8">
        <w:t>ER</w:t>
      </w:r>
      <w:commentRangeEnd w:id="15"/>
      <w:r w:rsidR="006374B4">
        <w:rPr>
          <w:rStyle w:val="CommentReference"/>
        </w:rPr>
        <w:commentReference w:id="15"/>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lastRenderedPageBreak/>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w:t>
      </w:r>
      <w:r>
        <w:lastRenderedPageBreak/>
        <w:t>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6"/>
      <w:r w:rsidR="00CD1EC4">
        <w:t>As</w:t>
      </w:r>
      <w:commentRangeEnd w:id="16"/>
      <w:r w:rsidR="00804E7C">
        <w:rPr>
          <w:rStyle w:val="CommentReference"/>
        </w:rPr>
        <w:commentReference w:id="16"/>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lastRenderedPageBreak/>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World Health Organization., 2013. Obesity and Overweight. 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 xml:space="preserve">Erbay, E., Chen, J., 2001. The mammalian target of rapamycin regulates C2C12 </w:t>
      </w:r>
      <w:r w:rsidRPr="001B5133">
        <w:rPr>
          <w:rFonts w:ascii="Garamond" w:hAnsi="Garamond" w:cs="Times New Roman"/>
          <w:noProof/>
        </w:rPr>
        <w:lastRenderedPageBreak/>
        <w:t>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[27]</w:t>
      </w:r>
      <w:r w:rsidRPr="001B5133">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 xml:space="preserve">Amati, F., Dubé, J.J., Alvarez-Carnero, E., Edreira, M.M., Chomentowski, P., Coen, P.M., et al., 2011. Skeletal muscle triglycerides, diacylglycerols, and ceramides in insulin resistance: Another paradox in endurance-trained athletes? Diabetes 60(10): </w:t>
      </w:r>
      <w:r w:rsidRPr="001B5133">
        <w:rPr>
          <w:rFonts w:ascii="Garamond" w:hAnsi="Garamond" w:cs="Times New Roman"/>
          <w:noProof/>
        </w:rPr>
        <w:lastRenderedPageBreak/>
        <w:t>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 xml:space="preserve">Milan, G., Romanello, V., Pescatore, F., Armani, A., Paik, J.-H., Frasson, L., et al., </w:t>
      </w:r>
      <w:r w:rsidRPr="001B5133">
        <w:rPr>
          <w:rFonts w:ascii="Garamond" w:hAnsi="Garamond" w:cs="Times New Roman"/>
          <w:noProof/>
        </w:rPr>
        <w:lastRenderedPageBreak/>
        <w:t>2015. Regulation of autophagy and the ubiquitin-proteasome system by the FoxO 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1D047720" w:rsidR="003E7617" w:rsidRPr="007C4F6A" w:rsidRDefault="003E7617" w:rsidP="003E7617">
      <w:commentRangeStart w:id="18"/>
      <w:r w:rsidRPr="00C10DEF">
        <w:rPr>
          <w:b/>
        </w:rPr>
        <w:t xml:space="preserve">Figure 1: </w:t>
      </w:r>
      <w:r w:rsidR="006D6803">
        <w:rPr>
          <w:b/>
        </w:rPr>
        <w:t xml:space="preserve">mTORC1 </w:t>
      </w:r>
      <w:r w:rsidR="00F200DF">
        <w:rPr>
          <w:b/>
        </w:rPr>
        <w:t>regulates energy expenditure.</w:t>
      </w:r>
      <w:commentRangeEnd w:id="18"/>
      <w:r w:rsidR="008F7204">
        <w:rPr>
          <w:rStyle w:val="CommentReference"/>
        </w:rPr>
        <w:commentReference w:id="18"/>
      </w:r>
    </w:p>
    <w:p w14:paraId="41AFEE05" w14:textId="77777777" w:rsidR="000711BE" w:rsidRDefault="000711BE" w:rsidP="003E7617"/>
    <w:p w14:paraId="77F02DE0" w14:textId="5BFE9EFE"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 and example images (D).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DB6758">
        <w:t>Welch’</w:t>
      </w:r>
      <w:r w:rsidR="00DB6758">
        <w:t xml:space="preserve"> </w:t>
      </w:r>
      <w:r w:rsidR="00DB6758">
        <w:rPr>
          <w:i/>
        </w:rPr>
        <w:t>t-</w:t>
      </w:r>
      <w:r w:rsidR="00DB6758">
        <w:t>test (</w:t>
      </w:r>
      <w:r w:rsidR="00DB6758">
        <w:t>C</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6-06-09T17:16:00Z" w:initials="DB">
    <w:p w14:paraId="614455D1" w14:textId="486F254D" w:rsidR="00BA3BA0" w:rsidRDefault="00BA3BA0">
      <w:pPr>
        <w:pStyle w:val="CommentText"/>
      </w:pPr>
      <w:r>
        <w:rPr>
          <w:rStyle w:val="CommentReference"/>
        </w:rPr>
        <w:annotationRef/>
      </w:r>
      <w:r>
        <w:t>Quynh please write</w:t>
      </w:r>
    </w:p>
  </w:comment>
  <w:comment w:id="9"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0"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1" w:author="Dave Bridges" w:date="2019-01-30T09:37:00Z" w:initials="DB">
    <w:p w14:paraId="243B2BC8" w14:textId="65B70365" w:rsidR="00C64A2D" w:rsidRDefault="00C64A2D">
      <w:pPr>
        <w:pStyle w:val="CommentText"/>
      </w:pPr>
      <w:r>
        <w:rPr>
          <w:rStyle w:val="CommentReference"/>
        </w:rPr>
        <w:annotationRef/>
      </w:r>
      <w:r>
        <w:t>Add this figure</w:t>
      </w:r>
    </w:p>
  </w:comment>
  <w:comment w:id="12"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3"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15"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6"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 w:id="18" w:author="Dave Bridges" w:date="2019-02-28T14:34:00Z" w:initials="DB">
    <w:p w14:paraId="4673376A" w14:textId="0A27860B" w:rsidR="008F7204" w:rsidRDefault="008F7204">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035440B0" w15:done="0"/>
  <w15:commentEx w15:paraId="614455D1" w15:done="0"/>
  <w15:commentEx w15:paraId="55D27F74" w15:done="0"/>
  <w15:commentEx w15:paraId="3850CF62" w15:done="0"/>
  <w15:commentEx w15:paraId="243B2BC8" w15:done="0"/>
  <w15:commentEx w15:paraId="16770F19" w15:done="0"/>
  <w15:commentEx w15:paraId="25A84AAE" w15:done="0"/>
  <w15:commentEx w15:paraId="5132E99F" w15:done="0"/>
  <w15:commentEx w15:paraId="3E1143CE" w15:done="0"/>
  <w15:commentEx w15:paraId="4C23780D" w15:done="0"/>
  <w15:commentEx w15:paraId="46733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Id w16cid:paraId="4673376A" w16cid:durableId="2022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814D3" w14:textId="77777777" w:rsidR="00D26A31" w:rsidRDefault="00D26A31" w:rsidP="00907F04">
      <w:r>
        <w:separator/>
      </w:r>
    </w:p>
  </w:endnote>
  <w:endnote w:type="continuationSeparator" w:id="0">
    <w:p w14:paraId="1BC91A89" w14:textId="77777777" w:rsidR="00D26A31" w:rsidRDefault="00D26A31"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79951" w14:textId="77777777" w:rsidR="00D26A31" w:rsidRDefault="00D26A31" w:rsidP="00907F04">
      <w:r>
        <w:separator/>
      </w:r>
    </w:p>
  </w:footnote>
  <w:footnote w:type="continuationSeparator" w:id="0">
    <w:p w14:paraId="483BF689" w14:textId="77777777" w:rsidR="00D26A31" w:rsidRDefault="00D26A31"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743AA"/>
    <w:rsid w:val="0038153C"/>
    <w:rsid w:val="0038168E"/>
    <w:rsid w:val="003840F7"/>
    <w:rsid w:val="0038762E"/>
    <w:rsid w:val="0039397E"/>
    <w:rsid w:val="00395526"/>
    <w:rsid w:val="0039667E"/>
    <w:rsid w:val="00396BD8"/>
    <w:rsid w:val="003A0720"/>
    <w:rsid w:val="003B35C6"/>
    <w:rsid w:val="003B6C80"/>
    <w:rsid w:val="003C3B52"/>
    <w:rsid w:val="003D55EC"/>
    <w:rsid w:val="003E7617"/>
    <w:rsid w:val="003F5BD8"/>
    <w:rsid w:val="003F5FAC"/>
    <w:rsid w:val="003F6A53"/>
    <w:rsid w:val="003F7532"/>
    <w:rsid w:val="00403E87"/>
    <w:rsid w:val="00404B3E"/>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82AEB"/>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803"/>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0A53"/>
    <w:rsid w:val="007756BC"/>
    <w:rsid w:val="00776A6D"/>
    <w:rsid w:val="00784182"/>
    <w:rsid w:val="00794576"/>
    <w:rsid w:val="007B0A52"/>
    <w:rsid w:val="007B5953"/>
    <w:rsid w:val="007B624A"/>
    <w:rsid w:val="007B7AEB"/>
    <w:rsid w:val="007C0FAF"/>
    <w:rsid w:val="007C4F6A"/>
    <w:rsid w:val="007D199B"/>
    <w:rsid w:val="007D1A22"/>
    <w:rsid w:val="007D4121"/>
    <w:rsid w:val="007E387B"/>
    <w:rsid w:val="007E574F"/>
    <w:rsid w:val="007F46DE"/>
    <w:rsid w:val="007F72CB"/>
    <w:rsid w:val="007F73C7"/>
    <w:rsid w:val="00802891"/>
    <w:rsid w:val="0080402E"/>
    <w:rsid w:val="00804E7C"/>
    <w:rsid w:val="00814360"/>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32E1"/>
    <w:rsid w:val="008947CA"/>
    <w:rsid w:val="008A11B9"/>
    <w:rsid w:val="008A506B"/>
    <w:rsid w:val="008B795B"/>
    <w:rsid w:val="008C44ED"/>
    <w:rsid w:val="008E02A2"/>
    <w:rsid w:val="008E070C"/>
    <w:rsid w:val="008E07CF"/>
    <w:rsid w:val="008F7204"/>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81CA9"/>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26A31"/>
    <w:rsid w:val="00D300E1"/>
    <w:rsid w:val="00D45DD4"/>
    <w:rsid w:val="00D515A5"/>
    <w:rsid w:val="00D52992"/>
    <w:rsid w:val="00D5799A"/>
    <w:rsid w:val="00D75095"/>
    <w:rsid w:val="00D75864"/>
    <w:rsid w:val="00D8601B"/>
    <w:rsid w:val="00D863F7"/>
    <w:rsid w:val="00D86AFE"/>
    <w:rsid w:val="00D92193"/>
    <w:rsid w:val="00D95C50"/>
    <w:rsid w:val="00DA21D3"/>
    <w:rsid w:val="00DB6758"/>
    <w:rsid w:val="00DC1E3E"/>
    <w:rsid w:val="00DC211A"/>
    <w:rsid w:val="00DC6626"/>
    <w:rsid w:val="00DD2A58"/>
    <w:rsid w:val="00DD3A40"/>
    <w:rsid w:val="00DD3F13"/>
    <w:rsid w:val="00DE3A03"/>
    <w:rsid w:val="00DE6A31"/>
    <w:rsid w:val="00DF797E"/>
    <w:rsid w:val="00E00396"/>
    <w:rsid w:val="00E0148A"/>
    <w:rsid w:val="00E01C7B"/>
    <w:rsid w:val="00E11C5F"/>
    <w:rsid w:val="00E22913"/>
    <w:rsid w:val="00E2598A"/>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E0421"/>
    <w:rsid w:val="00EE675F"/>
    <w:rsid w:val="00EE7DA9"/>
    <w:rsid w:val="00F007AD"/>
    <w:rsid w:val="00F00E78"/>
    <w:rsid w:val="00F0463F"/>
    <w:rsid w:val="00F07541"/>
    <w:rsid w:val="00F1021D"/>
    <w:rsid w:val="00F10B8B"/>
    <w:rsid w:val="00F200DF"/>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D2585-56C5-FC40-BDF1-821D649D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49963</Words>
  <Characters>284791</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305</cp:revision>
  <cp:lastPrinted>2018-08-15T17:02:00Z</cp:lastPrinted>
  <dcterms:created xsi:type="dcterms:W3CDTF">2015-07-01T15:40:00Z</dcterms:created>
  <dcterms:modified xsi:type="dcterms:W3CDTF">2019-02-28T19:39:00Z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