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367F72B7"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w:t>
      </w:r>
      <w:r w:rsidR="00926840" w:rsidRPr="00926840">
        <w:t xml:space="preserve"> </w:t>
      </w:r>
      <w:r w:rsidR="00926840">
        <w:t>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1"/>
      <w:r w:rsidR="00AC7808">
        <w:t>D1492</w:t>
      </w:r>
      <w:commentRangeEnd w:id="1"/>
      <w:r w:rsidR="00AC7808">
        <w:rPr>
          <w:rStyle w:val="CommentReference"/>
        </w:rPr>
        <w:commentReference w:id="1"/>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6EC3D209"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2"/>
      <w:r>
        <w:t xml:space="preserve">vehicle </w:t>
      </w:r>
      <w:commentRangeEnd w:id="2"/>
      <w:r>
        <w:rPr>
          <w:rStyle w:val="CommentReference"/>
        </w:rPr>
        <w:commentReference w:id="2"/>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3"/>
      <w:r>
        <w:t>Triglyceride and Glycogen Determination</w:t>
      </w:r>
      <w:commentRangeEnd w:id="3"/>
      <w:r>
        <w:rPr>
          <w:rStyle w:val="CommentReference"/>
          <w:rFonts w:asciiTheme="minorHAnsi" w:eastAsiaTheme="minorEastAsia" w:hAnsiTheme="minorHAnsi" w:cstheme="minorBidi"/>
          <w:b w:val="0"/>
          <w:bCs w:val="0"/>
          <w:color w:val="auto"/>
        </w:rPr>
        <w:commentReference w:id="3"/>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4"/>
      <w:r>
        <w:t>CrystalChem</w:t>
      </w:r>
      <w:commentRangeEnd w:id="4"/>
      <w:r w:rsidR="007F46DE">
        <w:rPr>
          <w:rStyle w:val="CommentReference"/>
        </w:rPr>
        <w:commentReference w:id="4"/>
      </w:r>
      <w:r>
        <w:t>).</w:t>
      </w:r>
    </w:p>
    <w:p w14:paraId="5B4A182B" w14:textId="77777777" w:rsidR="00F82FCB" w:rsidRDefault="00F82FCB" w:rsidP="00C868B8"/>
    <w:p w14:paraId="1B6BE666" w14:textId="673089F4" w:rsidR="00F82FCB" w:rsidRDefault="00F82FCB" w:rsidP="00F82FCB">
      <w:pPr>
        <w:pStyle w:val="Heading2"/>
      </w:pPr>
      <w:r>
        <w:t>RNAseq Analysis</w:t>
      </w:r>
    </w:p>
    <w:p w14:paraId="157290FA" w14:textId="77777777" w:rsidR="00F82FCB" w:rsidRDefault="00F82FCB" w:rsidP="00F82FCB">
      <w:pPr>
        <w:pStyle w:val="Heading2"/>
      </w:pPr>
    </w:p>
    <w:p w14:paraId="4C294C40" w14:textId="675F21B1" w:rsidR="00F82FCB" w:rsidRPr="00C868B8" w:rsidRDefault="00F82FCB" w:rsidP="00F82FCB">
      <w:pPr>
        <w:pStyle w:val="Heading2"/>
      </w:pPr>
      <w:r>
        <w:t>NADH Staining of Muscle Sections</w:t>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5"/>
      <w:r>
        <w:t>Results</w:t>
      </w:r>
      <w:commentRangeEnd w:id="5"/>
      <w:r w:rsidR="0045183A">
        <w:rPr>
          <w:rStyle w:val="CommentReference"/>
          <w:rFonts w:asciiTheme="minorHAnsi" w:eastAsiaTheme="minorEastAsia" w:hAnsiTheme="minorHAnsi" w:cstheme="minorBidi"/>
          <w:b w:val="0"/>
          <w:bCs w:val="0"/>
          <w:color w:val="auto"/>
        </w:rPr>
        <w:commentReference w:id="5"/>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6"/>
      <w:r>
        <w:t xml:space="preserve">triglycerides </w:t>
      </w:r>
      <w:commentRangeEnd w:id="6"/>
      <w:r w:rsidR="0039397E">
        <w:rPr>
          <w:rStyle w:val="CommentReference"/>
        </w:rPr>
        <w:commentReference w:id="6"/>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7"/>
      <w:r w:rsidR="005838B0">
        <w:t xml:space="preserve">muscle </w:t>
      </w:r>
      <w:r w:rsidR="00573A9D">
        <w:t xml:space="preserve">PTG protein </w:t>
      </w:r>
      <w:commentRangeEnd w:id="7"/>
      <w:r w:rsidR="00A64165">
        <w:rPr>
          <w:rStyle w:val="CommentReference"/>
        </w:rPr>
        <w:commentReference w:id="7"/>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8"/>
      <w:r>
        <w:t xml:space="preserve">XX </w:t>
      </w:r>
      <w:commentRangeEnd w:id="8"/>
      <w:r w:rsidR="005008B3">
        <w:rPr>
          <w:rStyle w:val="CommentReference"/>
        </w:rPr>
        <w:commentReference w:id="8"/>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9"/>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77777777" w:rsidR="00EA6963" w:rsidRDefault="00EA6963" w:rsidP="00EA6963">
      <w:pPr>
        <w:pStyle w:val="Heading2"/>
      </w:pPr>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69D7D88A"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0"/>
      <w:r w:rsidR="00E7425C">
        <w:t xml:space="preserve">highly resistant </w:t>
      </w:r>
      <w:commentRangeEnd w:id="10"/>
      <w:r w:rsidR="00E7425C">
        <w:rPr>
          <w:rStyle w:val="CommentReference"/>
        </w:rPr>
        <w:commentReference w:id="10"/>
      </w:r>
      <w:r w:rsidR="00E7425C">
        <w:t>to weight gain on high fat diet.    The majority of this difference was in fat mass (</w:t>
      </w:r>
      <w:commentRangeStart w:id="11"/>
      <w:r w:rsidR="00E7425C">
        <w:t>XXXX</w:t>
      </w:r>
      <w:commentRangeEnd w:id="11"/>
      <w:r w:rsidR="00E7425C">
        <w:rPr>
          <w:rStyle w:val="CommentReference"/>
        </w:rPr>
        <w:commentReference w:id="11"/>
      </w:r>
      <w:r w:rsidR="00E7425C">
        <w:t xml:space="preserve">; Figure 6B) as there was only a modest increase in fat free mass in knockout males, and a modest decrease in knockout females (Figure 6C).  In terms of percent fat mass, there was a </w:t>
      </w:r>
      <w:commentRangeStart w:id="12"/>
      <w:r w:rsidR="00E7425C">
        <w:t xml:space="preserve">XX% reduction (p &lt; </w:t>
      </w:r>
      <w:commentRangeEnd w:id="12"/>
      <w:r w:rsidR="00E7425C">
        <w:rPr>
          <w:rStyle w:val="CommentReference"/>
        </w:rPr>
        <w:commentReference w:id="12"/>
      </w:r>
      <w:r w:rsidR="00E7425C">
        <w:t xml:space="preserve">; Figure 6D).  Upon sacrifice, fat pads were excised from these animals, and consistent with the body composition determinations, we observed a </w:t>
      </w:r>
      <w:commentRangeStart w:id="13"/>
      <w:r w:rsidR="00E7425C">
        <w:t>XXX-YYY</w:t>
      </w:r>
      <w:commentRangeEnd w:id="13"/>
      <w:r w:rsidR="00E7425C">
        <w:rPr>
          <w:rStyle w:val="CommentReference"/>
        </w:rPr>
        <w:commentReference w:id="13"/>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32099B">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7102CF6B"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4905D8">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"1097-4164",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"171-83", "title" : "Activation of a metabolic gene regulatory network downstream of mTOR complex 1.", "type" : "article-journal", "volume" : "39" }, "uris" : [ "http://www.mendeley.com/documents/?uuid=20818240-4097-40a9-9988-024735c39eaf" ] } ], "mendeley" : { "formattedCitation" : "[37,38]", "plainTextFormattedCitation" : "[37,38]", "previouslyFormattedCitation" : "[37,38]" }, "properties" : { "noteIndex" : 0 }, "schema" : "https://github.com/citation-style-language/schema/raw/master/csl-citation.json" }</w:instrText>
      </w:r>
      <w:r>
        <w:fldChar w:fldCharType="separate"/>
      </w:r>
      <w:r w:rsidR="007E574F" w:rsidRPr="007E574F">
        <w:rPr>
          <w:noProof/>
        </w:rPr>
        <w:t>[37,38]</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4905D8">
        <w:instrText>ADDIN CSL_CITATION { "citationItems" : [ { "id" : "ITEM-1", "itemData" : { "DOI" : "10.1016/j.molcel.2010.06.022", "ISBN" : "1097-4164 (Electronic) 1097-2765 (Linking)", "ISSN" : "1097-4164",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"171-83", "title" : "Activation of a metabolic gene regulatory network downstream of mTOR complex 1.", "type" : "article-journal", "volume" : "39" }, "uris" : [ "http://www.mendeley.com/documents/?uuid=20818240-4097-40a9-9988-024735c39eaf" ] } ], "mendeley" : { "formattedCitation" : "[38]", "plainTextFormattedCitation" : "[38]", "previouslyFormattedCitation" : "[38]" }, "properties" : { "noteIndex" : 0 }, "schema" : "https://github.com/citation-style-language/schema/raw/master/csl-citation.json" }</w:instrText>
      </w:r>
      <w:r w:rsidR="007E574F">
        <w:fldChar w:fldCharType="separate"/>
      </w:r>
      <w:r w:rsidR="007E574F" w:rsidRPr="007E574F">
        <w:rPr>
          <w:noProof/>
        </w:rPr>
        <w:t>[38]</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4905D8">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"[39]", "plainTextFormattedCitation" : "[39]", "previouslyFormattedCitation" : "[39]" }, "properties" : { "noteIndex" : 0 }, "schema" : "https://github.com/citation-style-language/schema/raw/master/csl-citation.json" }</w:instrText>
      </w:r>
      <w:r w:rsidR="007E574F">
        <w:fldChar w:fldCharType="separate"/>
      </w:r>
      <w:r w:rsidR="007E574F" w:rsidRPr="007E574F">
        <w:rPr>
          <w:noProof/>
        </w:rPr>
        <w:t>[39]</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mRNA level (Figure XXX), while both the fatty acid transporter CD36 and binding protein FABP3 were increased at the transcriptional level (Figure XXX).  We confirmed the increase in CD36 protein levels by western blotting (Figure XXX)</w:t>
      </w:r>
    </w:p>
    <w:p w14:paraId="59D0B110" w14:textId="77777777" w:rsidR="00F82FCB" w:rsidRDefault="00F82FCB" w:rsidP="003669B1"/>
    <w:p w14:paraId="1D6D41C9" w14:textId="27C89B3B" w:rsidR="00F82FCB" w:rsidRPr="00F82FCB" w:rsidRDefault="00F82FCB" w:rsidP="003669B1">
      <w:r>
        <w:t xml:space="preserve">To </w:t>
      </w:r>
      <w:r w:rsidR="00D5799A">
        <w:t>evaluate</w:t>
      </w:r>
      <w:bookmarkStart w:id="14" w:name="_GoBack"/>
      <w:bookmarkEnd w:id="14"/>
      <w:r>
        <w:t xml:space="preserve"> endocrine factors derived from the muscles, we evaluated the expression of reported myokines and found increases in the expression of both PAI1-1 (encoded by </w:t>
      </w:r>
      <w:r w:rsidRPr="00F82FCB">
        <w:rPr>
          <w:i/>
        </w:rPr>
        <w:t>Serpine1</w:t>
      </w:r>
      <w:r>
        <w:t>) and transcriptional downregulation of both Myostatin (</w:t>
      </w:r>
      <w:r w:rsidRPr="004905D8">
        <w:rPr>
          <w:i/>
        </w:rPr>
        <w:t>Mstn</w:t>
      </w:r>
      <w:r>
        <w:t>) and</w:t>
      </w:r>
      <w:r w:rsidR="004905D8">
        <w:t xml:space="preserve"> Osteocrin</w:t>
      </w:r>
      <w:r>
        <w:t xml:space="preserve"> (</w:t>
      </w:r>
      <w:r w:rsidRPr="004905D8">
        <w:rPr>
          <w:i/>
        </w:rPr>
        <w:t>Ostn</w:t>
      </w:r>
      <w:r>
        <w:t xml:space="preserve">).  We observed a 2.2X increase in </w:t>
      </w:r>
      <w:r>
        <w:rPr>
          <w:i/>
        </w:rPr>
        <w:t xml:space="preserve">Fgf21 </w:t>
      </w:r>
      <w:r>
        <w:t xml:space="preserve">expression, though it was below our detection threshold for significant testing.  </w:t>
      </w:r>
      <w:r w:rsidR="004905D8">
        <w:t xml:space="preserve">Guridi </w:t>
      </w:r>
      <w:r w:rsidR="004905D8">
        <w:rPr>
          <w:i/>
        </w:rPr>
        <w:t>et al.</w:t>
      </w:r>
      <w:r w:rsidR="004905D8">
        <w:t xml:space="preserve"> </w:t>
      </w:r>
      <w:r w:rsidR="004905D8">
        <w:fldChar w:fldCharType="begin" w:fldLock="1"/>
      </w:r>
      <w:r w:rsidR="004905D8">
        <w:instrText>ADDIN CSL_CITATION { "citationItems" : [ { "id" : "ITEM-1", "itemData" : { "DOI" : "10.1186/s13395-016-0084-8", "ISBN" : "1339501600", "ISSN" : "2044-5040", "PMID" : "27004103", "author" : [ { "dropping-particle" : "", "family" : "Guridi", "given" : "Maitea", "non-dropping-particle" : "", "parse-names" : false, "suffix" : "" }, { "dropping-particle" : "", "family" : "Kupr", "given" : "Barbara", "non-dropping-particle" : "", "parse-names" : false, "suffix" : "" }, { "dropping-particle" : "", "family" : "Romanino", "given" : "Klaas", "non-dropping-particle" : "", "parse-names" : false, "suffix" : "" }, { "dropping-particle" : "", "family" : "Lin", "given" : "Shuo", "non-dropping-particle" : "", "parse-names" : false, "suffix" : "" }, { "dropping-particle" : "", "family" : "Falcetta", "given" : "Denis", "non-dropping-particle" : "", "parse-names" : false, "suffix" : "" }, { "dropping-particle" : "", "family" : "Tintignac", "given" : "Lionel", "non-dropping-particle" : "", "parse-names" : false, "suffix" : "" }, { "dropping-particle" : "", "family" : "R\u00fcegg", "given" : "Markus A.", "non-dropping-particle" : "", "parse-names" : false, "suffix" : "" } ], "container-title" : "Skeletal Muscle", "id" : "ITEM-1", "issue" : "1", "issued" : { "date-parts" : [ [ "2016" ] ] }, "page" : "13", "publisher" : "Skeletal Muscle", "title" : "Alterations to mTORC1 signaling in the skeletal muscle differentially affect whole-body metabolism", "type" : "article-journal", "volume" : "6" }, "uris" : [ "http://www.mendeley.com/documents/?uuid=1dfb21af-e3ac-424a-83b8-13f5b9b4a754" ] } ], "mendeley" : { "formattedCitation" : "[40]", "plainTextFormattedCitation" : "[40]" }, "properties" : { "noteIndex" : 0 }, "schema" : "https://github.com/citation-style-language/schema/raw/master/csl-citation.json" }</w:instrText>
      </w:r>
      <w:r w:rsidR="004905D8">
        <w:fldChar w:fldCharType="separate"/>
      </w:r>
      <w:r w:rsidR="004905D8" w:rsidRPr="004905D8">
        <w:rPr>
          <w:noProof/>
        </w:rPr>
        <w:t>[40]</w:t>
      </w:r>
      <w:r w:rsidR="004905D8">
        <w:fldChar w:fldCharType="end"/>
      </w:r>
      <w:r w:rsidR="004905D8">
        <w:rPr>
          <w:i/>
        </w:rPr>
        <w:t>,</w:t>
      </w:r>
      <w:r w:rsidR="004905D8">
        <w:t xml:space="preserve"> also observed an increase in FGF21 with muscle </w:t>
      </w:r>
      <w:r w:rsidR="004905D8" w:rsidRPr="004905D8">
        <w:rPr>
          <w:i/>
        </w:rPr>
        <w:t>Tsc1</w:t>
      </w:r>
      <w:r w:rsidR="004905D8">
        <w:t xml:space="preserve"> knockout, so</w:t>
      </w:r>
      <w:r>
        <w:t xml:space="preserve"> evaluated FGF21 levels in fasting sera from these animals and also identified increases in this hormone.</w:t>
      </w:r>
    </w:p>
    <w:p w14:paraId="1AB2C960" w14:textId="77777777" w:rsidR="00F82FCB" w:rsidRDefault="00F82FCB" w:rsidP="003669B1"/>
    <w:p w14:paraId="7AA0CBBF" w14:textId="55E34A51" w:rsidR="00F82FCB" w:rsidRPr="00E7425C"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We noted that there were dramatic increases in the ER Calcuim pump SERCA2 (encoded by </w:t>
      </w:r>
      <w:r w:rsidR="004905D8">
        <w:rPr>
          <w:i/>
        </w:rPr>
        <w:t>Atp2a2</w:t>
      </w:r>
      <w:r w:rsidR="004905D8">
        <w:t xml:space="preserve">), and its uncoupler Sarcolipin (encoded by </w:t>
      </w:r>
      <w:r w:rsidR="004905D8" w:rsidRPr="004905D8">
        <w:rPr>
          <w:i/>
        </w:rPr>
        <w:t>Sln</w:t>
      </w:r>
      <w:r w:rsidR="004905D8">
        <w:t xml:space="preserve">).  To confirm this,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ER.</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4CEB4A9F" w:rsidR="00A922D2" w:rsidRPr="008437EE" w:rsidRDefault="00A922D2" w:rsidP="00A922D2">
      <w:commentRangeStart w:id="15"/>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4905D8">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"[41,42]", "plainTextFormattedCitation" : "[41,42]", "previouslyFormattedCitation" : "[40,41]" }, "properties" : { "noteIndex" : 0 }, "schema" : "https://github.com/citation-style-language/schema/raw/master/csl-citation.json" }</w:instrText>
      </w:r>
      <w:r w:rsidR="006F352E">
        <w:fldChar w:fldCharType="separate"/>
      </w:r>
      <w:r w:rsidR="004905D8" w:rsidRPr="004905D8">
        <w:rPr>
          <w:noProof/>
        </w:rPr>
        <w:t>[41,42]</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4905D8">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"[43,44]", "plainTextFormattedCitation" : "[43,44]", "previouslyFormattedCitation" : "[42,43]" }, "properties" : { "noteIndex" : 0 }, "schema" : "https://github.com/citation-style-language/schema/raw/master/csl-citation.json" }</w:instrText>
      </w:r>
      <w:r w:rsidR="00DD2A58">
        <w:fldChar w:fldCharType="separate"/>
      </w:r>
      <w:r w:rsidR="004905D8" w:rsidRPr="004905D8">
        <w:rPr>
          <w:noProof/>
        </w:rPr>
        <w:t>[43,44]</w:t>
      </w:r>
      <w:r w:rsidR="00DD2A58">
        <w:fldChar w:fldCharType="end"/>
      </w:r>
      <w:r w:rsidR="00DD2A58">
        <w:t>.</w:t>
      </w:r>
      <w:commentRangeEnd w:id="15"/>
      <w:r w:rsidR="00200D61">
        <w:rPr>
          <w:rStyle w:val="CommentReference"/>
        </w:rPr>
        <w:commentReference w:id="15"/>
      </w:r>
    </w:p>
    <w:p w14:paraId="41D0AC97" w14:textId="77777777" w:rsidR="007D1A22" w:rsidRDefault="007D1A22" w:rsidP="007D1A22"/>
    <w:p w14:paraId="7EB87ED1" w14:textId="13A8BD32" w:rsidR="007D1A22" w:rsidRPr="007B0A52" w:rsidRDefault="007D1A22" w:rsidP="007D1A22">
      <w:r>
        <w:t xml:space="preserve">Clinical studies have shown that energy expenditure can rapidly increase in response to overfeeding </w:t>
      </w:r>
      <w:r>
        <w:fldChar w:fldCharType="begin" w:fldLock="1"/>
      </w:r>
      <w:r w:rsidR="004905D8">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"[3,45]", "plainTextFormattedCitation" : "[3,45]", "previouslyFormattedCitation" : "[3,44]" }, "properties" : { "noteIndex" : 0 }, "schema" : "https://github.com/citation-style-language/schema/raw/master/csl-citation.json" }</w:instrText>
      </w:r>
      <w:r>
        <w:fldChar w:fldCharType="separate"/>
      </w:r>
      <w:r w:rsidR="004905D8" w:rsidRPr="004905D8">
        <w:rPr>
          <w:noProof/>
        </w:rPr>
        <w:t>[3,45]</w:t>
      </w:r>
      <w:r>
        <w:fldChar w:fldCharType="end"/>
      </w:r>
      <w:r>
        <w:t xml:space="preserve">, consistent with the observation that obese individuals have higher energy expenditure than lean subjects </w:t>
      </w:r>
      <w:r w:rsidR="009F47C8">
        <w:fldChar w:fldCharType="begin" w:fldLock="1"/>
      </w:r>
      <w:r w:rsidR="004905D8">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"[3,46\u201348]", "plainTextFormattedCitation" : "[3,46\u201348]", "previouslyFormattedCitation" : "[3,45\u201347]" }, "properties" : { "noteIndex" : 0 }, "schema" : "https://github.com/citation-style-language/schema/raw/master/csl-citation.json" }</w:instrText>
      </w:r>
      <w:r w:rsidR="009F47C8">
        <w:fldChar w:fldCharType="separate"/>
      </w:r>
      <w:r w:rsidR="004905D8" w:rsidRPr="004905D8">
        <w:rPr>
          <w:noProof/>
        </w:rPr>
        <w:t>[3,46–48]</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4905D8">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"[49]", "plainTextFormattedCitation" : "[49]", "previouslyFormattedCitation" : "[48]" }, "properties" : { "noteIndex" : 0 }, "schema" : "https://github.com/citation-style-language/schema/raw/master/csl-citation.json" }</w:instrText>
      </w:r>
      <w:r w:rsidR="004A2F25">
        <w:fldChar w:fldCharType="separate"/>
      </w:r>
      <w:r w:rsidR="004905D8" w:rsidRPr="004905D8">
        <w:rPr>
          <w:noProof/>
        </w:rPr>
        <w:t>[49]</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4905D8">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"[50]", "plainTextFormattedCitation" : "[50]", "previouslyFormattedCitation" : "[49]" }, "properties" : { "noteIndex" : 0 }, "schema" : "https://github.com/citation-style-language/schema/raw/master/csl-citation.json" }</w:instrText>
      </w:r>
      <w:r w:rsidR="00A10EEA">
        <w:fldChar w:fldCharType="separate"/>
      </w:r>
      <w:r w:rsidR="004905D8" w:rsidRPr="004905D8">
        <w:rPr>
          <w:noProof/>
        </w:rPr>
        <w:t>[50]</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4905D8">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"[5,51]", "plainTextFormattedCitation" : "[5,51]", "previouslyFormattedCitation" : "[5,50]" }, "properties" : { "noteIndex" : 0 }, "schema" : "https://github.com/citation-style-language/schema/raw/master/csl-citation.json" }</w:instrText>
      </w:r>
      <w:r w:rsidR="004A2F25">
        <w:fldChar w:fldCharType="separate"/>
      </w:r>
      <w:r w:rsidR="004905D8" w:rsidRPr="004905D8">
        <w:rPr>
          <w:noProof/>
        </w:rPr>
        <w:t>[5,51]</w:t>
      </w:r>
      <w:r w:rsidR="004A2F25">
        <w:fldChar w:fldCharType="end"/>
      </w:r>
      <w:r w:rsidR="004A2F25">
        <w:t>.</w:t>
      </w:r>
      <w:r w:rsidR="007B0A52">
        <w:t xml:space="preserve">  It is unlikely that brown adipose tissue mediates these effects as there is no increase in brown adipose tissue oxygen consumption in response to HFD </w:t>
      </w:r>
      <w:r w:rsidR="007B0A52">
        <w:fldChar w:fldCharType="begin" w:fldLock="1"/>
      </w:r>
      <w:r w:rsidR="004905D8">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"[52]", "plainTextFormattedCitation" : "[52]", "previouslyFormattedCitation" : "[51]" }, "properties" : { "noteIndex" : 0 }, "schema" : "https://github.com/citation-style-language/schema/raw/master/csl-citation.json" }</w:instrText>
      </w:r>
      <w:r w:rsidR="007B0A52">
        <w:fldChar w:fldCharType="separate"/>
      </w:r>
      <w:r w:rsidR="004905D8" w:rsidRPr="004905D8">
        <w:rPr>
          <w:noProof/>
        </w:rPr>
        <w:t>[52]</w:t>
      </w:r>
      <w:r w:rsidR="007B0A52">
        <w:fldChar w:fldCharType="end"/>
      </w:r>
      <w:r w:rsidR="007B0A52">
        <w:t xml:space="preserve">, nor is HFD-induced energy expenditure impaired in </w:t>
      </w:r>
      <w:r w:rsidR="007B0A52">
        <w:rPr>
          <w:i/>
        </w:rPr>
        <w:t>Ucp1</w:t>
      </w:r>
      <w:r w:rsidR="007B0A52">
        <w:t xml:space="preserve"> knockout mice </w:t>
      </w:r>
      <w:r w:rsidR="007B0A52">
        <w:fldChar w:fldCharType="begin" w:fldLock="1"/>
      </w:r>
      <w:r w:rsidR="004905D8">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"[53]", "plainTextFormattedCitation" : "[53]", "previouslyFormattedCitation" : "[52]" }, "properties" : { "noteIndex" : 0 }, "schema" : "https://github.com/citation-style-language/schema/raw/master/csl-citation.json" }</w:instrText>
      </w:r>
      <w:r w:rsidR="007B0A52">
        <w:fldChar w:fldCharType="separate"/>
      </w:r>
      <w:r w:rsidR="004905D8" w:rsidRPr="004905D8">
        <w:rPr>
          <w:noProof/>
        </w:rPr>
        <w:t>[53]</w:t>
      </w:r>
      <w:r w:rsidR="007B0A52">
        <w:fldChar w:fldCharType="end"/>
      </w:r>
      <w:r w:rsidR="007B0A52">
        <w:t>.</w:t>
      </w:r>
    </w:p>
    <w:p w14:paraId="20FE2733" w14:textId="77777777" w:rsidR="003F5FAC" w:rsidRDefault="003F5FAC" w:rsidP="007D1A22"/>
    <w:p w14:paraId="1319FE07" w14:textId="447157DE"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4905D8">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"[54]", "plainTextFormattedCitation" : "[54]", "previouslyFormattedCitation" : "[53]" }, "properties" : { "noteIndex" : 0 }, "schema" : "https://github.com/citation-style-language/schema/raw/master/csl-citation.json" }</w:instrText>
      </w:r>
      <w:r w:rsidR="00921CEC">
        <w:fldChar w:fldCharType="separate"/>
      </w:r>
      <w:r w:rsidR="004905D8" w:rsidRPr="004905D8">
        <w:rPr>
          <w:noProof/>
        </w:rPr>
        <w:t>[54]</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4905D8">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"[55]", "plainTextFormattedCitation" : "[55]", "previouslyFormattedCitation" : "[54]" }, "properties" : { "noteIndex" : 0 }, "schema" : "https://github.com/citation-style-language/schema/raw/master/csl-citation.json" }</w:instrText>
      </w:r>
      <w:r w:rsidR="00B83F46">
        <w:fldChar w:fldCharType="separate"/>
      </w:r>
      <w:r w:rsidR="004905D8" w:rsidRPr="004905D8">
        <w:rPr>
          <w:noProof/>
        </w:rPr>
        <w:t>[55]</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expression of atrogenes</w:t>
      </w:r>
      <w:r w:rsidR="00B457C1">
        <w:t xml:space="preserve"> (data not shown)</w:t>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3ADAB360" w14:textId="21521DD1" w:rsidR="00B96350"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4905D8">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"[22,56,57]", "plainTextFormattedCitation" : "[22,56,57]", "previouslyFormattedCitation" : "[22,55,56]" }, "properties" : { "noteIndex" : 0 }, "schema" : "https://github.com/citation-style-language/schema/raw/master/csl-citation.json" }</w:instrText>
      </w:r>
      <w:r w:rsidR="002638F5">
        <w:fldChar w:fldCharType="separate"/>
      </w:r>
      <w:r w:rsidR="004905D8" w:rsidRPr="004905D8">
        <w:rPr>
          <w:noProof/>
        </w:rPr>
        <w:t>[22,56,57]</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4905D8">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"[58]", "plainTextFormattedCitation" : "[58]", "previouslyFormattedCitation" : "[57]" }, "properties" : { "noteIndex" : 0 }, "schema" : "https://github.com/citation-style-language/schema/raw/master/csl-citation.json" }</w:instrText>
      </w:r>
      <w:r w:rsidR="00CD1EC4">
        <w:fldChar w:fldCharType="separate"/>
      </w:r>
      <w:r w:rsidR="004905D8" w:rsidRPr="004905D8">
        <w:rPr>
          <w:noProof/>
        </w:rPr>
        <w:t>[58]</w:t>
      </w:r>
      <w:r w:rsidR="00CD1EC4">
        <w:fldChar w:fldCharType="end"/>
      </w:r>
      <w:r w:rsidR="00CD1EC4">
        <w:t xml:space="preserve"> and with the observation that elevated free fatty acids can promote mitochondrial biogenesis </w:t>
      </w:r>
      <w:r w:rsidR="00CD1EC4">
        <w:fldChar w:fldCharType="begin" w:fldLock="1"/>
      </w:r>
      <w:r w:rsidR="004905D8">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"[59]", "plainTextFormattedCitation" : "[59]", "previouslyFormattedCitation" : "[58]" }, "properties" : { "noteIndex" : 0 }, "schema" : "https://github.com/citation-style-language/schema/raw/master/csl-citation.json" }</w:instrText>
      </w:r>
      <w:r w:rsidR="00CD1EC4">
        <w:fldChar w:fldCharType="separate"/>
      </w:r>
      <w:r w:rsidR="004905D8" w:rsidRPr="004905D8">
        <w:rPr>
          <w:noProof/>
        </w:rPr>
        <w:t>[59]</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4905D8">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"[60,61]", "plainTextFormattedCitation" : "[60,61]", "previouslyFormattedCitation" : "[59,60]" }, "properties" : { "noteIndex" : 0 }, "schema" : "https://github.com/citation-style-language/schema/raw/master/csl-citation.json" }</w:instrText>
      </w:r>
      <w:r w:rsidR="00FD1D50">
        <w:fldChar w:fldCharType="separate"/>
      </w:r>
      <w:r w:rsidR="004905D8" w:rsidRPr="004905D8">
        <w:rPr>
          <w:noProof/>
        </w:rPr>
        <w:t>[60,61]</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4905D8">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"mendeley" : { "formattedCitation" : "[60,62]", "plainTextFormattedCitation" : "[60,62]", "previouslyFormattedCitation" : "[59,61]" }, "properties" : { "noteIndex" : 0 }, "schema" : "https://github.com/citation-style-language/schema/raw/master/csl-citation.json" }</w:instrText>
      </w:r>
      <w:r w:rsidR="00CD1EC4">
        <w:fldChar w:fldCharType="separate"/>
      </w:r>
      <w:r w:rsidR="004905D8" w:rsidRPr="004905D8">
        <w:rPr>
          <w:noProof/>
        </w:rPr>
        <w:t>[60,62]</w:t>
      </w:r>
      <w:r w:rsidR="00CD1EC4">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 xml:space="preserve">muscle-autonomous adaptations.  </w:t>
      </w:r>
    </w:p>
    <w:p w14:paraId="34E456E8" w14:textId="77777777" w:rsidR="00B96350" w:rsidRDefault="00B96350" w:rsidP="007D1A22"/>
    <w:p w14:paraId="51329E80" w14:textId="3DC8AE57" w:rsidR="003F5FAC" w:rsidRPr="00B83F46" w:rsidRDefault="00000531" w:rsidP="007D1A22">
      <w:r>
        <w:t xml:space="preserve">While further studies are needed to identify the roles of nutrient uptake, mitochondrial biogenesis and ATP </w:t>
      </w:r>
      <w:r w:rsidR="009234CA">
        <w:t>utilization</w:t>
      </w:r>
      <w:r>
        <w:t xml:space="preserve"> in mTORC1-dependent diet-induced thermogenesis, </w:t>
      </w:r>
      <w:r w:rsidR="00F311C5">
        <w:t>these findings support the hypothesis that activation of mTORC1</w:t>
      </w:r>
      <w:r w:rsidR="00F60DC7">
        <w:t xml:space="preserve"> or its downstream targets</w:t>
      </w:r>
      <w:r w:rsidR="00FA15D0">
        <w:t xml:space="preserve">, specifically </w:t>
      </w:r>
      <w:r w:rsidR="00F311C5">
        <w:t>in mu</w:t>
      </w:r>
      <w:r w:rsidR="00F60DC7">
        <w:t xml:space="preserve">scle tissue may </w:t>
      </w:r>
      <w:r w:rsidR="0045183A">
        <w:t xml:space="preserve">play a role in diet-induced thermogenesis and there for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16"/>
      <w:r w:rsidR="001E0A5E">
        <w:t xml:space="preserve">XXXX </w:t>
      </w:r>
      <w:commentRangeEnd w:id="16"/>
      <w:r w:rsidR="00E22913">
        <w:rPr>
          <w:rStyle w:val="CommentReference"/>
        </w:rPr>
        <w:commentReference w:id="16"/>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0A09F345" w14:textId="1671BDF2" w:rsidR="004905D8" w:rsidRPr="005149B5" w:rsidRDefault="00871236" w:rsidP="004905D8">
      <w:pPr>
        <w:widowControl w:val="0"/>
        <w:autoSpaceDE w:val="0"/>
        <w:autoSpaceDN w:val="0"/>
        <w:adjustRightInd w:val="0"/>
        <w:spacing w:before="100" w:after="100"/>
        <w:ind w:left="640" w:hanging="640"/>
        <w:rPr>
          <w:rFonts w:eastAsia="Times New Roman" w:cs="Times New Roman"/>
          <w:noProof/>
        </w:rPr>
      </w:pPr>
      <w:r w:rsidRPr="005149B5">
        <w:fldChar w:fldCharType="begin" w:fldLock="1"/>
      </w:r>
      <w:r w:rsidRPr="005149B5">
        <w:instrText xml:space="preserve">ADDIN Mendeley Bibliography CSL_BIBLIOGRAPHY </w:instrText>
      </w:r>
      <w:r w:rsidRPr="005149B5">
        <w:fldChar w:fldCharType="separate"/>
      </w:r>
      <w:r w:rsidR="004905D8" w:rsidRPr="005149B5">
        <w:rPr>
          <w:rFonts w:eastAsia="Times New Roman" w:cs="Times New Roman"/>
          <w:noProof/>
        </w:rPr>
        <w:t>[1]</w:t>
      </w:r>
      <w:r w:rsidR="004905D8" w:rsidRPr="005149B5">
        <w:rPr>
          <w:rFonts w:eastAsia="Times New Roman" w:cs="Times New Roman"/>
          <w:noProof/>
        </w:rPr>
        <w:tab/>
        <w:t>World Health Organization., 2013. Obesity and Overweight. http://www.who.int/mediacentre/factsheets/fs311/en/.</w:t>
      </w:r>
    </w:p>
    <w:p w14:paraId="3AC64E65"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w:t>
      </w:r>
      <w:r w:rsidRPr="005149B5">
        <w:rPr>
          <w:rFonts w:eastAsia="Times New Roman" w:cs="Times New Roman"/>
          <w:noProof/>
        </w:rPr>
        <w:tab/>
        <w:t>Leibel, R.L., Hirsch, J., 1984. Diminished energy requirements in reduced-obese patients. Metabolism 33(2): 164–70, Doi: 10.1016/0026-0495(84)90130-6.</w:t>
      </w:r>
    </w:p>
    <w:p w14:paraId="64BA5899"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w:t>
      </w:r>
      <w:r w:rsidRPr="005149B5">
        <w:rPr>
          <w:rFonts w:eastAsia="Times New Roman" w:cs="Times New Roman"/>
          <w:noProof/>
        </w:rPr>
        <w:tab/>
        <w:t>Leibel, R.L., Rosenbaum, M., Hirsch, J., 1995. Changes in energy expenditure resulting from altered body weight. The New England Journal of Medicine 332(10): 621–8, Doi: 10.1056/NEJM199503093321001.</w:t>
      </w:r>
    </w:p>
    <w:p w14:paraId="5BE5D29A"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w:t>
      </w:r>
      <w:r w:rsidRPr="005149B5">
        <w:rPr>
          <w:rFonts w:eastAsia="Times New Roman" w:cs="Times New Roman"/>
          <w:noProof/>
        </w:rPr>
        <w:tab/>
        <w:t>Sumithran, P., Prendergast, L.A., Delbridge, E., Purcell, K., Shulkes, A., Kriketos, A., et al., 2011. Long-Term Persistence of Hormonal Adaptations to Weight Loss. New England Journal of Medicine 365(17): 1597–604, Doi: 10.1056/NEJMoa1105816.</w:t>
      </w:r>
    </w:p>
    <w:p w14:paraId="1ACD42CD"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w:t>
      </w:r>
      <w:r w:rsidRPr="005149B5">
        <w:rPr>
          <w:rFonts w:eastAsia="Times New Roman" w:cs="Times New Roman"/>
          <w:noProof/>
        </w:rPr>
        <w:tab/>
        <w:t>Bray, G.A., Smith, S.R., de Jonge, L., Xie, H., Rood, J., Martin, C.K., et al., 2012. Effect of dietary protein content on weight gain, energy expenditure, and body composition during overeating: a randomized controlled trial. JAMA</w:t>
      </w:r>
      <w:r w:rsidRPr="005149B5">
        <w:rPr>
          <w:rFonts w:ascii="Calibri" w:eastAsia="Calibri" w:hAnsi="Calibri" w:cs="Calibri"/>
          <w:noProof/>
        </w:rPr>
        <w:t> </w:t>
      </w:r>
      <w:r w:rsidRPr="005149B5">
        <w:rPr>
          <w:rFonts w:eastAsia="Times New Roman" w:cs="Times New Roman"/>
          <w:noProof/>
        </w:rPr>
        <w:t>: The Journal of the American Medical Association 307(1): 47–55, Doi: 10.1001/jama.2011.1918.</w:t>
      </w:r>
    </w:p>
    <w:p w14:paraId="4F8878AE"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[6]</w:t>
      </w:r>
      <w:r w:rsidRPr="005149B5">
        <w:rPr>
          <w:rFonts w:eastAsia="Times New Roman" w:cs="Times New Roman"/>
          <w:noProof/>
        </w:rPr>
        <w:tab/>
        <w:t>Ebbeling, C.B., Swain, J.F., Feldman, H. a., Wong, W.W., Hachey, D.L., Garcia-Lago, E., et al., 2012. Effects of dietary composition on energy expenditure during weight-loss maintenance. JAMA</w:t>
      </w:r>
      <w:r w:rsidRPr="005149B5">
        <w:rPr>
          <w:rFonts w:ascii="Calibri" w:eastAsia="Calibri" w:hAnsi="Calibri" w:cs="Calibri"/>
          <w:noProof/>
        </w:rPr>
        <w:t> </w:t>
      </w:r>
      <w:r w:rsidRPr="005149B5">
        <w:rPr>
          <w:rFonts w:eastAsia="Times New Roman" w:cs="Times New Roman"/>
          <w:noProof/>
        </w:rPr>
        <w:t>: The Journal of the American Medical Association 307(24): 2627–34, Doi: 10.1001/jama.2012.6607.</w:t>
      </w:r>
    </w:p>
    <w:p w14:paraId="418A8C9E"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[7]</w:t>
      </w:r>
      <w:r w:rsidRPr="005149B5">
        <w:rPr>
          <w:rFonts w:eastAsia="Times New Roman" w:cs="Times New Roman"/>
          <w:noProof/>
        </w:rPr>
        <w:tab/>
        <w:t>Efeyan, A., Comb, W.C., Sabatini, D.M., 2015. Nutrient-sensing mechanisms and pathways. Nature 517(7534): 302–10, Doi: 10.1038/nature14190.</w:t>
      </w:r>
    </w:p>
    <w:p w14:paraId="7B416854"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[8]</w:t>
      </w:r>
      <w:r w:rsidRPr="005149B5">
        <w:rPr>
          <w:rFonts w:eastAsia="Times New Roman"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174C640A"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[9]</w:t>
      </w:r>
      <w:r w:rsidRPr="005149B5">
        <w:rPr>
          <w:rFonts w:eastAsia="Times New Roman" w:cs="Times New Roman"/>
          <w:noProof/>
        </w:rPr>
        <w:tab/>
        <w:t>Chakrabarti, P., English, T., Shi, J., Smas, C.M., Kandror, K. V., 2010. Mammalian target of rapamycin complex 1 suppresses lipolysis, stimulates lipogenesis, and promotes fat storage. Diabetes 59(4): 775–81, Doi: 10.2337/db09-1602.</w:t>
      </w:r>
    </w:p>
    <w:p w14:paraId="68A6A17B"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[10]</w:t>
      </w:r>
      <w:r w:rsidRPr="005149B5">
        <w:rPr>
          <w:rFonts w:eastAsia="Times New Roman"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B8DE152"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[11]</w:t>
      </w:r>
      <w:r w:rsidRPr="005149B5">
        <w:rPr>
          <w:rFonts w:eastAsia="Times New Roman" w:cs="Times New Roman"/>
          <w:noProof/>
        </w:rPr>
        <w:tab/>
        <w:t>Lu, B., Bridges, D., Yang, Y., Fisher, K., Cheng, A., Chang, L., et al., 2014. Metabolic crosstalk: molecular links between glycogen and lipid metabolism in obesity. Diabetes 63(9): 2935–48, Doi: 10.2337/db13-1531.</w:t>
      </w:r>
    </w:p>
    <w:p w14:paraId="6D09E75F"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[12]</w:t>
      </w:r>
      <w:r w:rsidRPr="005149B5">
        <w:rPr>
          <w:rFonts w:eastAsia="Times New Roman" w:cs="Times New Roman"/>
          <w:noProof/>
        </w:rPr>
        <w:tab/>
        <w:t>Zhang, H.H., Huang, J., Düvel, K., Boback, B., Wu, S., Squillace, R.M., et al., 2009. Insulin stimulates adipogenesis through the Akt-TSC2-mTORC1 pathway. PloS One 4(7): e6189, Doi: 10.1371/journal.pone.0006189.</w:t>
      </w:r>
    </w:p>
    <w:p w14:paraId="2FFE0686"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[13]</w:t>
      </w:r>
      <w:r w:rsidRPr="005149B5">
        <w:rPr>
          <w:rFonts w:eastAsia="Times New Roman" w:cs="Times New Roman"/>
          <w:noProof/>
        </w:rPr>
        <w:tab/>
        <w:t>Hatfield, I., Harvey, I., Yates, E.R., Redd, J.R., Reiter, L.T., Bridges, D., 2015. The role of TORC1 in muscle development in Drosophila. Scientific Reports 5: 9676, Doi: 10.1038/srep09676.</w:t>
      </w:r>
    </w:p>
    <w:p w14:paraId="3F4D0272"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[14]</w:t>
      </w:r>
      <w:r w:rsidRPr="005149B5">
        <w:rPr>
          <w:rFonts w:eastAsia="Times New Roman" w:cs="Times New Roman"/>
          <w:noProof/>
        </w:rPr>
        <w:tab/>
        <w:t>Erbay, E., Chen, J., 2001. The mammalian target of rapamycin regulates C2C12 myogenesis via a kinase-independent mechanism. The Journal of Biological Chemistry 276(39): 36079–82, Doi: 10.1074/jbc.C100406200.</w:t>
      </w:r>
    </w:p>
    <w:p w14:paraId="086398FF"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[15]</w:t>
      </w:r>
      <w:r w:rsidRPr="005149B5">
        <w:rPr>
          <w:rFonts w:eastAsia="Times New Roman" w:cs="Times New Roman"/>
          <w:noProof/>
        </w:rPr>
        <w:tab/>
        <w:t>Shah, O.J., Wang, Z., Hunter, T., 2004. Inappropriate activation of the TSC/Rheb/mTOR/S6K cassette induces IRS1/2 depletion, insulin resistance, and cell survival deficiencies. Current Biology 14(18): 1650–6, Doi: 10.1016/j.cub.2004.08.026.</w:t>
      </w:r>
    </w:p>
    <w:p w14:paraId="6FF13059"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[16]</w:t>
      </w:r>
      <w:r w:rsidRPr="005149B5">
        <w:rPr>
          <w:rFonts w:eastAsia="Times New Roman" w:cs="Times New Roman"/>
          <w:noProof/>
        </w:rPr>
        <w:tab/>
        <w:t>DeFronzo, R.A., Ferrannini, E., Sato, Y., Felig, P., Wahren, J., 1981. Synergistic interaction between exercise and insulin on peripheral glucose uptake. The Journal of Clinical Investigation 68(6): 1468–74.</w:t>
      </w:r>
    </w:p>
    <w:p w14:paraId="12D8ABA3"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[17]</w:t>
      </w:r>
      <w:r w:rsidRPr="005149B5">
        <w:rPr>
          <w:rFonts w:eastAsia="Times New Roman" w:cs="Times New Roman"/>
          <w:noProof/>
        </w:rPr>
        <w:tab/>
        <w:t>Rolfe, D.F., Brown, G.C., 1997. Cellular energy utilization and molecular origin of standard metabolic rate in mammals. Physiological Reviews 77(3): 731–58.</w:t>
      </w:r>
    </w:p>
    <w:p w14:paraId="1D3D55DF"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[18]</w:t>
      </w:r>
      <w:r w:rsidRPr="005149B5">
        <w:rPr>
          <w:rFonts w:eastAsia="Times New Roman"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551414B1"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[19]</w:t>
      </w:r>
      <w:r w:rsidRPr="005149B5">
        <w:rPr>
          <w:rFonts w:eastAsia="Times New Roman"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7E6AAB7B"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[20]</w:t>
      </w:r>
      <w:r w:rsidRPr="005149B5">
        <w:rPr>
          <w:rFonts w:eastAsia="Times New Roman" w:cs="Times New Roman"/>
          <w:noProof/>
        </w:rPr>
        <w:tab/>
        <w:t>Bentzinger, C.F., Lin, S., Romanino, K., Castets, P., Guridi, M., Summermatter, S., et al., 2013. Differential response of skeletal muscles to mTORC1 signaling during atrophy and hypertrophy. Skeletal Muscle 3(1): 6, Doi: 10.1186/2044-5040-3-6.</w:t>
      </w:r>
    </w:p>
    <w:p w14:paraId="5D417E13"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[21]</w:t>
      </w:r>
      <w:r w:rsidRPr="005149B5">
        <w:rPr>
          <w:rFonts w:eastAsia="Times New Roman"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348E8A6D"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[22]</w:t>
      </w:r>
      <w:r w:rsidRPr="005149B5">
        <w:rPr>
          <w:rFonts w:eastAsia="Times New Roman" w:cs="Times New Roman"/>
          <w:noProof/>
        </w:rPr>
        <w:tab/>
        <w:t>Guridi, M., Tintignac, L.A., Lin, S., Kupr, B., Castets, P., Rüegg, M.A., 2015. Activation of mTORC1 in skeletal muscle regulates whole-body metabolism through FGF21. Science Signaling 8(402): ra113–ra113, Doi: 10.1126/scisignal.aab3715.</w:t>
      </w:r>
    </w:p>
    <w:p w14:paraId="5B61442C"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[23]</w:t>
      </w:r>
      <w:r w:rsidRPr="005149B5">
        <w:rPr>
          <w:rFonts w:eastAsia="Times New Roman" w:cs="Times New Roman"/>
          <w:noProof/>
        </w:rPr>
        <w:tab/>
        <w:t>Cunningham, J.T., Rodgers, J.T., Arlow, D.H., Vazquez, F., Mootha, V.K., Puigserver, P., 2007. mTOR controls mitochondrial oxidative function through a YY1-PGC-1alpha transcriptional complex. Nature 450(7170): 736–40, Doi: 10.1038/nature06322.</w:t>
      </w:r>
    </w:p>
    <w:p w14:paraId="3D813E40"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[24]</w:t>
      </w:r>
      <w:r w:rsidRPr="005149B5">
        <w:rPr>
          <w:rFonts w:eastAsia="Times New Roman" w:cs="Times New Roman"/>
          <w:noProof/>
        </w:rPr>
        <w:tab/>
        <w:t>Ramanathan, A., Schreiber, S.L., 2009. Direct control of mitochondrial function by mTOR. Proceedings of the National Academy of Sciences of the United States of America 106(52): 22229–32, Doi: 10.1073/pnas.0912074106.</w:t>
      </w:r>
    </w:p>
    <w:p w14:paraId="223DF72B"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[25]</w:t>
      </w:r>
      <w:r w:rsidRPr="005149B5">
        <w:rPr>
          <w:rFonts w:eastAsia="Times New Roman"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E3FDEE6"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[26]</w:t>
      </w:r>
      <w:r w:rsidRPr="005149B5">
        <w:rPr>
          <w:rFonts w:eastAsia="Times New Roman" w:cs="Times New Roman"/>
          <w:noProof/>
        </w:rPr>
        <w:tab/>
        <w:t>Fujita, S., Dreyer, H.C., Drummond, M.J., Glynn, E.L., Cadenas, J.G., Yoshizawa, F., et al., 2007. Nutrient signalling in the regulation of human muscle protein synthesis. The Journal of Physiology 582(Pt 2): 813–23, Doi: 10.1113/jphysiol.2007.134593.</w:t>
      </w:r>
    </w:p>
    <w:p w14:paraId="3356F2D3"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[27]</w:t>
      </w:r>
      <w:r w:rsidRPr="005149B5">
        <w:rPr>
          <w:rFonts w:eastAsia="Times New Roman" w:cs="Times New Roman"/>
          <w:noProof/>
        </w:rPr>
        <w:tab/>
        <w:t>Cuthbertson, D., Smith, K., Babraj, J., Leese, G., Waddell, T., Atherton, P., et al., 2005. Anabolic signaling deficits underlie amino acid resistance of wasting, aging muscle. The FASEB Journal</w:t>
      </w:r>
      <w:r w:rsidRPr="005149B5">
        <w:rPr>
          <w:rFonts w:ascii="Calibri" w:eastAsia="Calibri" w:hAnsi="Calibri" w:cs="Calibri"/>
          <w:noProof/>
        </w:rPr>
        <w:t> </w:t>
      </w:r>
      <w:r w:rsidRPr="005149B5">
        <w:rPr>
          <w:rFonts w:eastAsia="Times New Roman" w:cs="Times New Roman"/>
          <w:noProof/>
        </w:rPr>
        <w:t>: Official Publication of the Federation of American Societies for Experimental Biology 19(3): 422–4, Doi: 10.1096/fj.04-2640fje.</w:t>
      </w:r>
    </w:p>
    <w:p w14:paraId="29AE5741"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[28]</w:t>
      </w:r>
      <w:r w:rsidRPr="005149B5">
        <w:rPr>
          <w:rFonts w:eastAsia="Times New Roman" w:cs="Times New Roman"/>
          <w:noProof/>
        </w:rPr>
        <w:tab/>
        <w:t>Tschöp, M.H., Speakman, J.R., Arch, J.R.S., Auwerx, J., Brüning, J.C., Chan, L., et al., 2011. A guide to analysis of mouse energy metabolism. Nature Methods 9(1): 57–63, Doi: 10.1038/nmeth.1806.</w:t>
      </w:r>
    </w:p>
    <w:p w14:paraId="205620D9"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[29]</w:t>
      </w:r>
      <w:r w:rsidRPr="005149B5">
        <w:rPr>
          <w:rFonts w:eastAsia="Times New Roman" w:cs="Times New Roman"/>
          <w:noProof/>
        </w:rPr>
        <w:tab/>
        <w:t>Cheng, A., Zhang, M., Gentry, M.S., Worby, C.A., Dixon, J.E., Saltiel, A.R., 2007. A role for AGL ubiquitination in the glycogen storage disorders of Lafora and Cori’s disease. Genes &amp; Development 21(19): 2399–409, Doi: 10.1101/gad.1553207.</w:t>
      </w:r>
    </w:p>
    <w:p w14:paraId="2336DC35"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[30]</w:t>
      </w:r>
      <w:r w:rsidRPr="005149B5">
        <w:rPr>
          <w:rFonts w:eastAsia="Times New Roman"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0AAA99A6"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[31]</w:t>
      </w:r>
      <w:r w:rsidRPr="005149B5">
        <w:rPr>
          <w:rFonts w:eastAsia="Times New Roman" w:cs="Times New Roman"/>
          <w:noProof/>
        </w:rPr>
        <w:tab/>
        <w:t>R Core Team., 2013. R: A Language and Environment for Statistical Computing.</w:t>
      </w:r>
    </w:p>
    <w:p w14:paraId="4DD53837"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[32]</w:t>
      </w:r>
      <w:r w:rsidRPr="005149B5">
        <w:rPr>
          <w:rFonts w:eastAsia="Times New Roman" w:cs="Times New Roman"/>
          <w:noProof/>
        </w:rPr>
        <w:tab/>
        <w:t>Bates, D., Mächler, M., Bolker, B., Walker, S., 2014. Fitting Linear Mixed-Effects Models using lme4. ArXiv 1406.5823: 1–51.</w:t>
      </w:r>
    </w:p>
    <w:p w14:paraId="07DA77B1"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[33]</w:t>
      </w:r>
      <w:r w:rsidRPr="005149B5">
        <w:rPr>
          <w:rFonts w:eastAsia="Times New Roman" w:cs="Times New Roman"/>
          <w:noProof/>
        </w:rPr>
        <w:tab/>
        <w:t>Benjamini, Y., Hochberg, Y., 1995. Controlling the False Discovery Rate: A Practical and Powerful Approach to Multiple Testing. Journal of the Royal Statistical Society. Series B 57(1): 289–300.</w:t>
      </w:r>
    </w:p>
    <w:p w14:paraId="632E6F61"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[34]</w:t>
      </w:r>
      <w:r w:rsidRPr="005149B5">
        <w:rPr>
          <w:rFonts w:eastAsia="Times New Roman"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0773D148"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[35]</w:t>
      </w:r>
      <w:r w:rsidRPr="005149B5">
        <w:rPr>
          <w:rFonts w:eastAsia="Times New Roman"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01305FFF"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[36]</w:t>
      </w:r>
      <w:r w:rsidRPr="005149B5">
        <w:rPr>
          <w:rFonts w:eastAsia="Times New Roman" w:cs="Times New Roman"/>
          <w:noProof/>
        </w:rPr>
        <w:tab/>
        <w:t>Printen, J.A., Brady, M.J., Saltiel, A.R., 1997. PTG, a protein phosphatase 1-binding protein with a role in glycogen metabolism. Science 275(5305): 1475–8.</w:t>
      </w:r>
    </w:p>
    <w:p w14:paraId="37DF6CE3"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[37]</w:t>
      </w:r>
      <w:r w:rsidRPr="005149B5">
        <w:rPr>
          <w:rFonts w:eastAsia="Times New Roman"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11612399"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[38]</w:t>
      </w:r>
      <w:r w:rsidRPr="005149B5">
        <w:rPr>
          <w:rFonts w:eastAsia="Times New Roman" w:cs="Times New Roman"/>
          <w:noProof/>
        </w:rPr>
        <w:tab/>
        <w:t>D??vel, K., Yecies, J.L., Menon, S., Raman, P., Lipovsky, A.I., Souza, A.L., et al., 2010. Activation of a metabolic gene regulatory network downstream of mTOR complex 1. Molecular Cell 39(2): 171–83, Doi: 10.1016/j.molcel.2010.06.022.</w:t>
      </w:r>
    </w:p>
    <w:p w14:paraId="569F6F6F"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[39]</w:t>
      </w:r>
      <w:r w:rsidRPr="005149B5">
        <w:rPr>
          <w:rFonts w:eastAsia="Times New Roman" w:cs="Times New Roman"/>
          <w:noProof/>
        </w:rPr>
        <w:tab/>
        <w:t>Pacher, M., Seewald, M.J., Mikula, M., Oehler, S., Mogg, M., Vinatzer, U., et al., 2007. Impact of constitutive IGF1/IGF2 stimulation on the transcriptional program of human breast cancer cells. Carcinogenesis 28(1): 49–59, Doi: 10.1093/carcin/bgl091.</w:t>
      </w:r>
    </w:p>
    <w:p w14:paraId="3D82E0C6"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[40]</w:t>
      </w:r>
      <w:r w:rsidRPr="005149B5">
        <w:rPr>
          <w:rFonts w:eastAsia="Times New Roman" w:cs="Times New Roman"/>
          <w:noProof/>
        </w:rPr>
        <w:tab/>
        <w:t>Guridi, M., Kupr, B., Romanino, K., Lin, S., Falcetta, D., Tintignac, L., et al., 2016. Alterations to mTORC1 signaling in the skeletal muscle differentially affect whole-body metabolism. Skeletal Muscle 6(1): 13, Doi: 10.1186/s13395-016-0084-8.</w:t>
      </w:r>
    </w:p>
    <w:p w14:paraId="60F5D189"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[41]</w:t>
      </w:r>
      <w:r w:rsidRPr="005149B5">
        <w:rPr>
          <w:rFonts w:eastAsia="Times New Roman"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51746B28"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[42]</w:t>
      </w:r>
      <w:r w:rsidRPr="005149B5">
        <w:rPr>
          <w:rFonts w:eastAsia="Times New Roman"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7A3FB711"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[43]</w:t>
      </w:r>
      <w:r w:rsidRPr="005149B5">
        <w:rPr>
          <w:rFonts w:eastAsia="Times New Roman" w:cs="Times New Roman"/>
          <w:noProof/>
        </w:rPr>
        <w:tab/>
        <w:t>Philp, A., Hamilton, D.L., Baar, K., 2011. Signals mediating skeletal muscle remodeling by resistance exercise: PI3-kinase independent activation of mTORC1. Journal of Applied Physiology 110(2): 561–8, Doi: 10.1152/japplphysiol.00941.2010.</w:t>
      </w:r>
    </w:p>
    <w:p w14:paraId="795F09B3"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[44]</w:t>
      </w:r>
      <w:r w:rsidRPr="005149B5">
        <w:rPr>
          <w:rFonts w:eastAsia="Times New Roman"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4E04020D"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[45]</w:t>
      </w:r>
      <w:r w:rsidRPr="005149B5">
        <w:rPr>
          <w:rFonts w:eastAsia="Times New Roman" w:cs="Times New Roman"/>
          <w:noProof/>
        </w:rPr>
        <w:tab/>
        <w:t>Acheson, K.J., Schutz, Y., Bessard, T., Anantharaman, K., Flatt, J.P., Jequier, E., 1988. Glycoprotein storage capacity and de novo lipogenesis during massive carbohydrate overfeeding in man. American Journal of Clinical Nutrition 48(2): 240–7.</w:t>
      </w:r>
    </w:p>
    <w:p w14:paraId="0ACF8777"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[46]</w:t>
      </w:r>
      <w:r w:rsidRPr="005149B5">
        <w:rPr>
          <w:rFonts w:eastAsia="Times New Roman" w:cs="Times New Roman"/>
          <w:noProof/>
        </w:rPr>
        <w:tab/>
        <w:t>Ravussin, E., Burnand, B., Schutz, Y., Jequier, E., 1982. Twenty-four-hour energy expenditure and resting metabolic rate in obese, moderately obese, and control subjects. American Journal of Clinical Nutrition 35(3): 566–73.</w:t>
      </w:r>
    </w:p>
    <w:p w14:paraId="568C926E"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[47]</w:t>
      </w:r>
      <w:r w:rsidRPr="005149B5">
        <w:rPr>
          <w:rFonts w:eastAsia="Times New Roman"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69DA7A9F"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[48]</w:t>
      </w:r>
      <w:r w:rsidRPr="005149B5">
        <w:rPr>
          <w:rFonts w:eastAsia="Times New Roman" w:cs="Times New Roman"/>
          <w:noProof/>
        </w:rPr>
        <w:tab/>
        <w:t>DeLany, J.P., Kelley, D.E., Hames, K.C., Jakicic, J.M., Goodpaster, B.H., 2013. High energy expenditure masks low physical activity in obesity. International Journal of Obesity (2005) 37(7): 1006–11, Doi: 10.1038/ijo.2012.172.</w:t>
      </w:r>
    </w:p>
    <w:p w14:paraId="7D9F1ED8"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[49]</w:t>
      </w:r>
      <w:r w:rsidRPr="005149B5">
        <w:rPr>
          <w:rFonts w:eastAsia="Times New Roman" w:cs="Times New Roman"/>
          <w:noProof/>
        </w:rPr>
        <w:tab/>
        <w:t>Foster, G.D., Wyatt, H.R., Hill, J.O., Mcguckin, B.G., Brill, C., Mohammed, B.S., et al., 2003. A randomized trial of a low-carbohydrate diet for obesity. The New England Journal of Medicine 348(21): 2082–90, Doi: 10.1056/NEJMoa022207.</w:t>
      </w:r>
    </w:p>
    <w:p w14:paraId="5C6F32B0"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[50]</w:t>
      </w:r>
      <w:r w:rsidRPr="005149B5">
        <w:rPr>
          <w:rFonts w:eastAsia="Times New Roman"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30F86B45"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[51]</w:t>
      </w:r>
      <w:r w:rsidRPr="005149B5">
        <w:rPr>
          <w:rFonts w:eastAsia="Times New Roman"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45380E08"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[52]</w:t>
      </w:r>
      <w:r w:rsidRPr="005149B5">
        <w:rPr>
          <w:rFonts w:eastAsia="Times New Roman"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127F2C30"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[53]</w:t>
      </w:r>
      <w:r w:rsidRPr="005149B5">
        <w:rPr>
          <w:rFonts w:eastAsia="Times New Roman"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33CEFAC4"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[54]</w:t>
      </w:r>
      <w:r w:rsidRPr="005149B5">
        <w:rPr>
          <w:rFonts w:eastAsia="Times New Roman" w:cs="Times New Roman"/>
          <w:noProof/>
        </w:rPr>
        <w:tab/>
        <w:t>Halton, T.L., Hu, F.B., 2004. The effects of high protein diets on thermogenesis, satiety and weight loss: a critical review. Journal of the American College of Nutrition 23(5): 373–85, Doi: 10.1080/07315724.2004.10719381.</w:t>
      </w:r>
    </w:p>
    <w:p w14:paraId="2676F610"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[55]</w:t>
      </w:r>
      <w:r w:rsidRPr="005149B5">
        <w:rPr>
          <w:rFonts w:eastAsia="Times New Roman"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3CCA9AE1"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[56]</w:t>
      </w:r>
      <w:r w:rsidRPr="005149B5">
        <w:rPr>
          <w:rFonts w:eastAsia="Times New Roman"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3A48620"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[57]</w:t>
      </w:r>
      <w:r w:rsidRPr="005149B5">
        <w:rPr>
          <w:rFonts w:eastAsia="Times New Roman" w:cs="Times New Roman"/>
          <w:noProof/>
        </w:rPr>
        <w:tab/>
        <w:t>Kim, K.H., Jeong, Y.T., Oh, H., Kim, S.H., Cho, J.M., Kim, Y.-N., et al., 2012. Autophagy deficiency leads to protection from obesity and insulin resistance by inducing Fgf21 as a mitokine. Nature Medicine, Doi: 10.1038/nm.3014.</w:t>
      </w:r>
    </w:p>
    <w:p w14:paraId="19BA520B"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[58]</w:t>
      </w:r>
      <w:r w:rsidRPr="005149B5">
        <w:rPr>
          <w:rFonts w:eastAsia="Times New Roman"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BEA305D"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[59]</w:t>
      </w:r>
      <w:r w:rsidRPr="005149B5">
        <w:rPr>
          <w:rFonts w:eastAsia="Times New Roman"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024E1464"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[60]</w:t>
      </w:r>
      <w:r w:rsidRPr="005149B5">
        <w:rPr>
          <w:rFonts w:eastAsia="Times New Roman" w:cs="Times New Roman"/>
          <w:noProof/>
        </w:rPr>
        <w:tab/>
        <w:t>Bal, N.C., Maurya, S.K., Sopariwala, D.H., Sahoo, S.K., Gupta, S.C., Shaikh, S.A., et al., 2012. Sarcolipin is a newly identified regulator of muscle-based thermogenesis in mammals. Nature Medicine 18(10): 1575–9, Doi: 10.1038/nm.2897.</w:t>
      </w:r>
    </w:p>
    <w:p w14:paraId="0870E113" w14:textId="77777777" w:rsidR="004905D8" w:rsidRPr="005149B5" w:rsidRDefault="004905D8" w:rsidP="004905D8">
      <w:pPr>
        <w:widowControl w:val="0"/>
        <w:autoSpaceDE w:val="0"/>
        <w:autoSpaceDN w:val="0"/>
        <w:adjustRightInd w:val="0"/>
        <w:spacing w:before="100" w:after="100"/>
        <w:ind w:left="640" w:hanging="640"/>
        <w:rPr>
          <w:rFonts w:eastAsia="Times New Roman" w:cs="Times New Roman"/>
          <w:noProof/>
        </w:rPr>
      </w:pPr>
      <w:r w:rsidRPr="005149B5">
        <w:rPr>
          <w:rFonts w:eastAsia="Times New Roman" w:cs="Times New Roman"/>
          <w:noProof/>
        </w:rPr>
        <w:t>[61]</w:t>
      </w:r>
      <w:r w:rsidRPr="005149B5">
        <w:rPr>
          <w:rFonts w:eastAsia="Times New Roman"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6D7757D7" w14:textId="77777777" w:rsidR="004905D8" w:rsidRPr="005149B5" w:rsidRDefault="004905D8" w:rsidP="004905D8">
      <w:pPr>
        <w:widowControl w:val="0"/>
        <w:autoSpaceDE w:val="0"/>
        <w:autoSpaceDN w:val="0"/>
        <w:adjustRightInd w:val="0"/>
        <w:spacing w:before="100" w:after="100"/>
        <w:ind w:left="640" w:hanging="640"/>
        <w:rPr>
          <w:noProof/>
        </w:rPr>
      </w:pPr>
      <w:r w:rsidRPr="005149B5">
        <w:rPr>
          <w:rFonts w:eastAsia="Times New Roman" w:cs="Times New Roman"/>
          <w:noProof/>
        </w:rPr>
        <w:t>[62]</w:t>
      </w:r>
      <w:r w:rsidRPr="005149B5">
        <w:rPr>
          <w:rFonts w:eastAsia="Times New Roman"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22D37FF9" w14:textId="664EA0E8" w:rsidR="00871236" w:rsidRPr="005149B5" w:rsidRDefault="00871236" w:rsidP="004905D8">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1"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2"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3"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4"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5"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6"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7"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8" w:author="Dave Bridges" w:date="2015-08-03T08:05:00Z" w:initials="DB">
    <w:p w14:paraId="73DF81C3" w14:textId="0694CCD8" w:rsidR="002613DA" w:rsidRDefault="002613DA">
      <w:pPr>
        <w:pStyle w:val="CommentText"/>
      </w:pPr>
      <w:r>
        <w:rPr>
          <w:rStyle w:val="CommentReference"/>
        </w:rPr>
        <w:annotationRef/>
      </w:r>
      <w:r>
        <w:t>Get this data</w:t>
      </w:r>
    </w:p>
  </w:comment>
  <w:comment w:id="9"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0"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1" w:author="Dave Bridges" w:date="2016-06-08T16:22:00Z" w:initials="DB">
    <w:p w14:paraId="29B16BFB" w14:textId="0E49EB60" w:rsidR="00E7425C" w:rsidRDefault="00E7425C">
      <w:pPr>
        <w:pStyle w:val="CommentText"/>
      </w:pPr>
      <w:r>
        <w:rPr>
          <w:rStyle w:val="CommentReference"/>
        </w:rPr>
        <w:annotationRef/>
      </w:r>
      <w:r>
        <w:t>Effect size, p-value</w:t>
      </w:r>
    </w:p>
  </w:comment>
  <w:comment w:id="12" w:author="Dave Bridges" w:date="2016-06-08T16:22:00Z" w:initials="DB">
    <w:p w14:paraId="44D777E6" w14:textId="0DC29426" w:rsidR="00E7425C" w:rsidRDefault="00E7425C">
      <w:pPr>
        <w:pStyle w:val="CommentText"/>
      </w:pPr>
      <w:r>
        <w:rPr>
          <w:rStyle w:val="CommentReference"/>
        </w:rPr>
        <w:annotationRef/>
      </w:r>
      <w:r>
        <w:t>Effect size/p-value</w:t>
      </w:r>
    </w:p>
  </w:comment>
  <w:comment w:id="13" w:author="Dave Bridges" w:date="2016-06-08T16:23:00Z" w:initials="DB">
    <w:p w14:paraId="7CBA2348" w14:textId="499E844B" w:rsidR="00E7425C" w:rsidRDefault="00E7425C">
      <w:pPr>
        <w:pStyle w:val="CommentText"/>
      </w:pPr>
      <w:r>
        <w:rPr>
          <w:rStyle w:val="CommentReference"/>
        </w:rPr>
        <w:annotationRef/>
      </w:r>
      <w:r>
        <w:t>Effect size/p-value</w:t>
      </w:r>
    </w:p>
  </w:comment>
  <w:comment w:id="15"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16"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C7A5B" w15:done="0"/>
  <w15:commentEx w15:paraId="515A300A" w15:done="0"/>
  <w15:commentEx w15:paraId="035440B0" w15:done="0"/>
  <w15:commentEx w15:paraId="5273682B" w15:done="0"/>
  <w15:commentEx w15:paraId="050BF58B" w15:done="0"/>
  <w15:commentEx w15:paraId="3850CF62" w15:done="0"/>
  <w15:commentEx w15:paraId="5805DF2D" w15:done="0"/>
  <w15:commentEx w15:paraId="76D50CC8" w15:done="0"/>
  <w15:commentEx w15:paraId="73DF81C3" w15:done="0"/>
  <w15:commentEx w15:paraId="5A8DF493" w15:done="0"/>
  <w15:commentEx w15:paraId="3F054A2A" w15:done="0"/>
  <w15:commentEx w15:paraId="29B16BFB" w15:done="0"/>
  <w15:commentEx w15:paraId="44D777E6" w15:done="0"/>
  <w15:commentEx w15:paraId="7CBA2348" w15:done="0"/>
  <w15:commentEx w15:paraId="6DC4FAE4"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C21E4" w14:textId="77777777" w:rsidR="00112FF8" w:rsidRDefault="00112FF8" w:rsidP="00907F04">
      <w:r>
        <w:separator/>
      </w:r>
    </w:p>
  </w:endnote>
  <w:endnote w:type="continuationSeparator" w:id="0">
    <w:p w14:paraId="66B5C463" w14:textId="77777777" w:rsidR="00112FF8" w:rsidRDefault="00112FF8"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2FF8">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FEA5A" w14:textId="77777777" w:rsidR="00112FF8" w:rsidRDefault="00112FF8" w:rsidP="00907F04">
      <w:r>
        <w:separator/>
      </w:r>
    </w:p>
  </w:footnote>
  <w:footnote w:type="continuationSeparator" w:id="0">
    <w:p w14:paraId="78188C69" w14:textId="77777777" w:rsidR="00112FF8" w:rsidRDefault="00112FF8"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13DA"/>
    <w:rsid w:val="002638F5"/>
    <w:rsid w:val="002648CF"/>
    <w:rsid w:val="00266DA2"/>
    <w:rsid w:val="00270732"/>
    <w:rsid w:val="00275E69"/>
    <w:rsid w:val="002A7B4B"/>
    <w:rsid w:val="002B4B3F"/>
    <w:rsid w:val="002B4C32"/>
    <w:rsid w:val="002C7364"/>
    <w:rsid w:val="002D3D11"/>
    <w:rsid w:val="002D65EF"/>
    <w:rsid w:val="002D7887"/>
    <w:rsid w:val="002E25A9"/>
    <w:rsid w:val="002E45D2"/>
    <w:rsid w:val="00303444"/>
    <w:rsid w:val="0032099B"/>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183A"/>
    <w:rsid w:val="004555BE"/>
    <w:rsid w:val="0046122A"/>
    <w:rsid w:val="004905D8"/>
    <w:rsid w:val="00496EF3"/>
    <w:rsid w:val="004A2F25"/>
    <w:rsid w:val="004A33CD"/>
    <w:rsid w:val="004B4BBE"/>
    <w:rsid w:val="004C18FC"/>
    <w:rsid w:val="004C281E"/>
    <w:rsid w:val="004C5CD7"/>
    <w:rsid w:val="004C6C48"/>
    <w:rsid w:val="004D0DD4"/>
    <w:rsid w:val="004D4201"/>
    <w:rsid w:val="004D440C"/>
    <w:rsid w:val="004D7062"/>
    <w:rsid w:val="004F062C"/>
    <w:rsid w:val="004F7AD9"/>
    <w:rsid w:val="005008B3"/>
    <w:rsid w:val="00502679"/>
    <w:rsid w:val="00502BBA"/>
    <w:rsid w:val="00504B90"/>
    <w:rsid w:val="0050751B"/>
    <w:rsid w:val="005149B5"/>
    <w:rsid w:val="005169CA"/>
    <w:rsid w:val="0052183D"/>
    <w:rsid w:val="00526B0E"/>
    <w:rsid w:val="00531AD6"/>
    <w:rsid w:val="00573A9D"/>
    <w:rsid w:val="00574315"/>
    <w:rsid w:val="005838B0"/>
    <w:rsid w:val="00583F7C"/>
    <w:rsid w:val="005858D1"/>
    <w:rsid w:val="005F1E8E"/>
    <w:rsid w:val="00620F42"/>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756BC"/>
    <w:rsid w:val="00794576"/>
    <w:rsid w:val="007B0A52"/>
    <w:rsid w:val="007B624A"/>
    <w:rsid w:val="007B7AEB"/>
    <w:rsid w:val="007C0FAF"/>
    <w:rsid w:val="007C4F6A"/>
    <w:rsid w:val="007D199B"/>
    <w:rsid w:val="007D1A22"/>
    <w:rsid w:val="007D4121"/>
    <w:rsid w:val="007E574F"/>
    <w:rsid w:val="007F46DE"/>
    <w:rsid w:val="00802891"/>
    <w:rsid w:val="0080402E"/>
    <w:rsid w:val="00823A14"/>
    <w:rsid w:val="00841CC6"/>
    <w:rsid w:val="00842DEC"/>
    <w:rsid w:val="008437EE"/>
    <w:rsid w:val="008545F6"/>
    <w:rsid w:val="0086281F"/>
    <w:rsid w:val="00864774"/>
    <w:rsid w:val="00864B68"/>
    <w:rsid w:val="00871236"/>
    <w:rsid w:val="00881C69"/>
    <w:rsid w:val="00882B61"/>
    <w:rsid w:val="008A11B9"/>
    <w:rsid w:val="008A506B"/>
    <w:rsid w:val="008B795B"/>
    <w:rsid w:val="008C44ED"/>
    <w:rsid w:val="008E07CF"/>
    <w:rsid w:val="009010AA"/>
    <w:rsid w:val="00901963"/>
    <w:rsid w:val="00907F04"/>
    <w:rsid w:val="00910E93"/>
    <w:rsid w:val="00921CEC"/>
    <w:rsid w:val="009234CA"/>
    <w:rsid w:val="00926840"/>
    <w:rsid w:val="00931A46"/>
    <w:rsid w:val="00940644"/>
    <w:rsid w:val="009452DB"/>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B10A19"/>
    <w:rsid w:val="00B1423F"/>
    <w:rsid w:val="00B20F63"/>
    <w:rsid w:val="00B3409A"/>
    <w:rsid w:val="00B4522B"/>
    <w:rsid w:val="00B457C1"/>
    <w:rsid w:val="00B77490"/>
    <w:rsid w:val="00B80ABE"/>
    <w:rsid w:val="00B83F46"/>
    <w:rsid w:val="00B90CD2"/>
    <w:rsid w:val="00B91EDD"/>
    <w:rsid w:val="00B96350"/>
    <w:rsid w:val="00BC2B3A"/>
    <w:rsid w:val="00BF2F76"/>
    <w:rsid w:val="00C10DEF"/>
    <w:rsid w:val="00C13E13"/>
    <w:rsid w:val="00C4123A"/>
    <w:rsid w:val="00C50D02"/>
    <w:rsid w:val="00C6712D"/>
    <w:rsid w:val="00C868B8"/>
    <w:rsid w:val="00C913F9"/>
    <w:rsid w:val="00CA664B"/>
    <w:rsid w:val="00CB219E"/>
    <w:rsid w:val="00CD1EC4"/>
    <w:rsid w:val="00CE61CD"/>
    <w:rsid w:val="00CE66CE"/>
    <w:rsid w:val="00CE7E88"/>
    <w:rsid w:val="00D011BE"/>
    <w:rsid w:val="00D04DA3"/>
    <w:rsid w:val="00D05FF7"/>
    <w:rsid w:val="00D07952"/>
    <w:rsid w:val="00D2057A"/>
    <w:rsid w:val="00D300E1"/>
    <w:rsid w:val="00D45DD4"/>
    <w:rsid w:val="00D52992"/>
    <w:rsid w:val="00D5799A"/>
    <w:rsid w:val="00D75864"/>
    <w:rsid w:val="00D8601B"/>
    <w:rsid w:val="00D863F7"/>
    <w:rsid w:val="00D95C50"/>
    <w:rsid w:val="00DA21D3"/>
    <w:rsid w:val="00DD2A58"/>
    <w:rsid w:val="00DD3F13"/>
    <w:rsid w:val="00E00396"/>
    <w:rsid w:val="00E01C7B"/>
    <w:rsid w:val="00E11C5F"/>
    <w:rsid w:val="00E22913"/>
    <w:rsid w:val="00E2598A"/>
    <w:rsid w:val="00E26D9D"/>
    <w:rsid w:val="00E32EF3"/>
    <w:rsid w:val="00E35E47"/>
    <w:rsid w:val="00E447C3"/>
    <w:rsid w:val="00E522BC"/>
    <w:rsid w:val="00E7425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811D4"/>
    <w:rsid w:val="00F82FCB"/>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14</Pages>
  <Words>48468</Words>
  <Characters>276272</Characters>
  <Application>Microsoft Macintosh Word</Application>
  <DocSecurity>0</DocSecurity>
  <Lines>2302</Lines>
  <Paragraphs>648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Muscle mTORC1 Activation Causes Reduced Adiposity in Mice</vt:lpstr>
      <vt:lpstr>Abstract</vt:lpstr>
      <vt:lpstr>Introduction</vt:lpstr>
      <vt:lpstr>Methods and Materials</vt:lpstr>
      <vt:lpstr>    Animal Husbandry</vt:lpstr>
      <vt:lpstr>    Food Intake and Body Composition</vt:lpstr>
      <vt:lpstr>    Energy Expenditure Studies</vt:lpstr>
      <vt:lpstr>    Western Blotting</vt:lpstr>
    </vt:vector>
  </TitlesOfParts>
  <Company>UT-HSC</Company>
  <LinksUpToDate>false</LinksUpToDate>
  <CharactersWithSpaces>324092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203</cp:revision>
  <cp:lastPrinted>2015-09-08T14:05:00Z</cp:lastPrinted>
  <dcterms:created xsi:type="dcterms:W3CDTF">2015-07-01T15:40:00Z</dcterms:created>
  <dcterms:modified xsi:type="dcterms:W3CDTF">2016-06-09T20:57:00Z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