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5DE2BE35" w:rsidR="00E32EF3" w:rsidRPr="00E32EF3" w:rsidRDefault="00E32EF3" w:rsidP="00E32EF3">
      <w:r>
        <w:t xml:space="preserve">Erin </w:t>
      </w:r>
      <w:r w:rsidR="00736644">
        <w:t xml:space="preserve">J. </w:t>
      </w:r>
      <w:r>
        <w:t>Stephenson, Innocence Har</w:t>
      </w:r>
      <w:r w:rsidR="0050751B">
        <w:t xml:space="preserve">vey, Binbin Lu, </w:t>
      </w:r>
      <w:r w:rsidR="00496EF3">
        <w:t>JeAnna</w:t>
      </w:r>
      <w:r w:rsidR="003669B1">
        <w:t xml:space="preserve"> R.</w:t>
      </w:r>
      <w:r w:rsidR="00496EF3">
        <w:t xml:space="preserve">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1"/>
      <w:r w:rsidR="00B80ABE">
        <w:t>Harlan Teklad</w:t>
      </w:r>
      <w:commentRangeEnd w:id="1"/>
      <w:r w:rsidR="00B80ABE">
        <w:rPr>
          <w:rStyle w:val="CommentReference"/>
        </w:rPr>
        <w:commentReference w:id="1"/>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2"/>
      <w:r w:rsidR="00AC7808">
        <w:t>D1492</w:t>
      </w:r>
      <w:commentRangeEnd w:id="2"/>
      <w:r w:rsidR="00AC7808">
        <w:rPr>
          <w:rStyle w:val="CommentReference"/>
        </w:rPr>
        <w:commentReference w:id="2"/>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r w:rsidR="00BA3BA0">
        <w:rPr>
          <w:bCs/>
        </w:rPr>
        <w:t xml:space="preserve">  </w:t>
      </w:r>
      <w:commentRangeStart w:id="3"/>
      <w:r w:rsidR="00BA3BA0">
        <w:rPr>
          <w:bCs/>
        </w:rPr>
        <w:t>Heart and muscle weights were determined by</w:t>
      </w:r>
      <w:commentRangeEnd w:id="3"/>
      <w:r w:rsidR="00BA3BA0">
        <w:rPr>
          <w:rStyle w:val="CommentReference"/>
        </w:rPr>
        <w:commentReference w:id="3"/>
      </w:r>
    </w:p>
    <w:p w14:paraId="50A5FCCB" w14:textId="77777777" w:rsidR="00E55F38" w:rsidRDefault="00E55F38" w:rsidP="0052183D"/>
    <w:p w14:paraId="06355B24" w14:textId="5D0980FB"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4"/>
      <w:r>
        <w:t xml:space="preserve">vehicle </w:t>
      </w:r>
      <w:commentRangeEnd w:id="4"/>
      <w:r>
        <w:rPr>
          <w:rStyle w:val="CommentReference"/>
        </w:rPr>
        <w:commentReference w:id="4"/>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Default="0039397E" w:rsidP="0039397E">
      <w:pPr>
        <w:pStyle w:val="Heading2"/>
      </w:pPr>
      <w:commentRangeStart w:id="5"/>
      <w:r>
        <w:t>Triglyceride and Glycogen Determination</w:t>
      </w:r>
      <w:commentRangeEnd w:id="5"/>
      <w:r>
        <w:rPr>
          <w:rStyle w:val="CommentReference"/>
          <w:rFonts w:asciiTheme="minorHAnsi" w:eastAsiaTheme="minorEastAsia" w:hAnsiTheme="minorHAnsi" w:cstheme="minorBidi"/>
          <w:b w:val="0"/>
          <w:bCs w:val="0"/>
          <w:color w:val="auto"/>
        </w:rPr>
        <w:commentReference w:id="5"/>
      </w:r>
    </w:p>
    <w:p w14:paraId="7E25B47B" w14:textId="77777777" w:rsidR="00C868B8" w:rsidRDefault="00C868B8" w:rsidP="00C868B8"/>
    <w:p w14:paraId="0789DFDA" w14:textId="066A62E1" w:rsidR="00C868B8" w:rsidRDefault="00C868B8" w:rsidP="00C868B8">
      <w:pPr>
        <w:pStyle w:val="Heading2"/>
      </w:pPr>
      <w:r>
        <w:t>Insulin and Glucuose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 xml:space="preserve">via a glucometer (accucheck).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6"/>
      <w:r>
        <w:t>CrystalChem</w:t>
      </w:r>
      <w:commentRangeEnd w:id="6"/>
      <w:r w:rsidR="007F46DE">
        <w:rPr>
          <w:rStyle w:val="CommentReference"/>
        </w:rPr>
        <w:commentReference w:id="6"/>
      </w:r>
      <w:r>
        <w:t>).</w:t>
      </w:r>
    </w:p>
    <w:p w14:paraId="5B4A182B" w14:textId="77777777" w:rsidR="00F82FCB" w:rsidRDefault="00F82FCB" w:rsidP="00C868B8"/>
    <w:p w14:paraId="1B6BE666" w14:textId="673089F4" w:rsidR="00F82FCB" w:rsidRDefault="00F82FCB" w:rsidP="00F82FCB">
      <w:pPr>
        <w:pStyle w:val="Heading2"/>
      </w:pPr>
      <w:commentRangeStart w:id="7"/>
      <w:r>
        <w:t>RNAseq Analysis</w:t>
      </w:r>
      <w:commentRangeEnd w:id="7"/>
      <w:r w:rsidR="00BA3BA0">
        <w:rPr>
          <w:rStyle w:val="CommentReference"/>
          <w:rFonts w:asciiTheme="minorHAnsi" w:eastAsiaTheme="minorEastAsia" w:hAnsiTheme="minorHAnsi" w:cstheme="minorBidi"/>
          <w:b w:val="0"/>
          <w:bCs w:val="0"/>
          <w:color w:val="auto"/>
        </w:rPr>
        <w:commentReference w:id="7"/>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8"/>
      <w:r>
        <w:t>NADH Staining of Muscle Sections</w:t>
      </w:r>
      <w:commentRangeEnd w:id="8"/>
      <w:r w:rsidR="00BA3BA0">
        <w:rPr>
          <w:rStyle w:val="CommentReference"/>
          <w:rFonts w:asciiTheme="minorHAnsi" w:eastAsiaTheme="minorEastAsia" w:hAnsiTheme="minorHAnsi" w:cstheme="minorBidi"/>
          <w:b w:val="0"/>
          <w:bCs w:val="0"/>
          <w:color w:val="auto"/>
        </w:rPr>
        <w:commentReference w:id="8"/>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9"/>
      <w:r>
        <w:t>Results</w:t>
      </w:r>
      <w:commentRangeEnd w:id="9"/>
      <w:r w:rsidR="0045183A">
        <w:rPr>
          <w:rStyle w:val="CommentReference"/>
          <w:rFonts w:asciiTheme="minorHAnsi" w:eastAsiaTheme="minorEastAsia" w:hAnsiTheme="minorHAnsi" w:cstheme="minorBidi"/>
          <w:b w:val="0"/>
          <w:bCs w:val="0"/>
          <w:color w:val="auto"/>
        </w:rPr>
        <w:commentReference w:id="9"/>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10"/>
      <w:r>
        <w:t xml:space="preserve">triglycerides </w:t>
      </w:r>
      <w:commentRangeEnd w:id="10"/>
      <w:r w:rsidR="0039397E">
        <w:rPr>
          <w:rStyle w:val="CommentReference"/>
        </w:rPr>
        <w:commentReference w:id="10"/>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11"/>
      <w:r w:rsidR="005838B0">
        <w:t xml:space="preserve">muscle </w:t>
      </w:r>
      <w:r w:rsidR="00573A9D">
        <w:t xml:space="preserve">PTG protein </w:t>
      </w:r>
      <w:commentRangeEnd w:id="11"/>
      <w:r w:rsidR="00A64165">
        <w:rPr>
          <w:rStyle w:val="CommentReference"/>
        </w:rPr>
        <w:commentReference w:id="11"/>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15DCCC4"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2"/>
      <w:r>
        <w:t xml:space="preserve">XX </w:t>
      </w:r>
      <w:commentRangeEnd w:id="12"/>
      <w:r w:rsidR="005008B3">
        <w:rPr>
          <w:rStyle w:val="CommentReference"/>
        </w:rPr>
        <w:commentReference w:id="12"/>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E7425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"[21,22]"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r w:rsidR="007756BC">
        <w:rPr>
          <w:rStyle w:val="CommentReference"/>
        </w:rPr>
        <w:commentReference w:id="13"/>
      </w:r>
    </w:p>
    <w:p w14:paraId="29FCD5C2" w14:textId="77777777" w:rsidR="00526B0E" w:rsidRPr="00526B0E" w:rsidRDefault="00526B0E" w:rsidP="00526B0E"/>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1A0F56F4" w:rsidR="00EA6963" w:rsidRDefault="0023334D" w:rsidP="0023334D">
      <w:r>
        <w:t xml:space="preserve">mTORC1-dependent pathways have been implicated as causative of insulin resistance, and as a mediator of obesity associated insulin resistance </w:t>
      </w:r>
      <w:r>
        <w:fldChar w:fldCharType="begin" w:fldLock="1"/>
      </w:r>
      <w:r>
        <w:instrText>ADDIN CSL_CITATION { "citationItems" : [ { "id" : "ITEM-1", "itemData" : { "DOI" : "10.1016/j.cmet.2006.05.003", "ISSN" : "1550-4131", "PMID" : "16753575", "abstract" : "Nutrient overload leads to obesity, insulin resistance, and often type 2 diabetes. Whereas increased fat intake is commonly cited as the major factor in diet-induced dysmetabolic states, increased protein consumption also contributes, through elevated circulating amino acids. Recent studies have revealed that ribosomal protein S6 kinase 1, S6K1, an effector of mTOR, is sensitive to both insulin and nutrients, including amino acids. Although S6K1 is an effector of growth, recent reports show that amino acids also negatively affect insulin signaling through mTOR/S6K1 phosphorylation of IRS1. Moreover, rather than signaling through the class 1 PI3K pathway, amino acids appear to mediate mTOR activation through class 3 PI3K, or hVps34. Consistent with this, infusion of amino acids into humans leads to S6K1 activation, inhibition of insulin-induced class 1 PI3K activation, and insulin resistance. Thus, S6K1 may mediate deleterious effects, like insulin resistance, and potentially type 2 diabetes in the face of nutrient excess.", "author" : [ { "dropping-particle" : "", "family" : "Um", "given" : "Sung Hee", "non-dropping-particle" : "", "parse-names" : false, "suffix" : "" }, { "dropping-particle" : "", "family" : "D'Alessio", "given" : "David", "non-dropping-particle" : "", "parse-names" : false, "suffix" : "" }, { "dropping-particle" : "", "family" : "Thomas", "given" : "George", "non-dropping-particle" : "", "parse-names" : false, "suffix" : "" } ], "container-title" : "Cell metabolism", "id" : "ITEM-1", "issue" : "6", "issued" : { "date-parts" : [ [ "2006", "6" ] ] }, "page" : "393-402", "title" : "Nutrient overload, insulin resistance, and ribosomal protein S6 kinase 1, S6K1.", "type" : "article-journal", "volume" : "3" }, "uris" : [ "http://www.mendeley.com/documents/?uuid=87093360-e361-4e77-8f23-c69d450bc808" ] }, { "id" : "ITEM-2", "itemData" : { "DOI" : "10.1210/en.2004-0777", "ISSN" : "0013-7227", "PMID" : "15576463", "abstract" : "The mammalian target of rapamycin (mTOR) pathway has recently emerged as a chronic modulator of insulin-mediated glucose metabolism. In this study, we evaluated the involvement of this pathway in the acute regulation of insulin action in both 3T3-L1 and human adipocytes. Insulin rapidly (t(1/2) = 5 min) stimulated the mTOR pathway, as reflected by a 10-fold stimulation of 70-kDa ribosomal S6 kinase 1 (S6K1) activity in 3T3-L1 adipocytes. Inhibition of mTOR/S6K1 by rapamycin increased insulin-stimulated glucose transport by as much as 45% in 3T3-L1 adipocytes. Activation of mTOR/S6K1 by insulin was associated with a rapamycin-sensitive increase in Ser636/639 phosphorylation of insulin receptor substrate (IRS)-1 but, surprisingly, did not result in impaired IRS-1-associated phosphatidylinositol (PI) 3-kinase activity. However, insulin-induced activation of Akt was increased by rapamycin. Insulin also activated S6K1 and increased phosphorylation of IRS-1 on Ser636/639 in human adipocytes. As in murine cells, rapamycin treatment of human adipocytes inhibited S6K1, blunted Ser636/639 phosphorylation of IRS-1, leading to increased Akt activation and glucose uptake by insulin. Further studies in 3T3-L1 adipocytes revealed that rapamycin prevented the relocalization of IRS-1 from the low-density membranes to the cytosol in response to insulin. Furthermore, inhibition of mTOR markedly potentiated the ability of insulin to increase PI 3,4,5-triphosphate levels concomitantly with an increased phosphorylation of Akt at the plasma membrane, low-density membranes, and cytosol. However, neither GLUT4 nor GLUT1 translocation induced by insulin were increased by rapamycin treatment. Taken together, these results indicate that the mTOR pathway is an important modulator of the signals involved in the acute regulation of insulin-stimulated glucose transport in 3T3-L1 and human adipocytes.", "author" : [ { "dropping-particle" : "", "family" : "Tremblay", "given" : "Fr\u00e9d\u00e9ric", "non-dropping-particle" : "", "parse-names" : false, "suffix" : "" }, { "dropping-particle" : "", "family" : "Gagnon", "given" : "AnneMarie", "non-dropping-particle" : "", "parse-names" : false, "suffix" : "" }, { "dropping-particle" : "", "family" : "Veilleux", "given" : "Alain", "non-dropping-particle" : "", "parse-names" : false, "suffix" : "" }, { "dropping-particle" : "", "family" : "Sorisky", "given" : "Alexander", "non-dropping-particle" : "", "parse-names" : false, "suffix" : "" }, { "dropping-particle" : "", "family" : "Marette", "given" : "Andr\u00e9", "non-dropping-particle" : "", "parse-names" : false, "suffix" : "" } ], "container-title" : "Endocrinology", "id" : "ITEM-2", "issue" : "3", "issued" : { "date-parts" : [ [ "2005", "3" ] ] }, "page" : "1328-37", "title" : "Activation of the mammalian target of rapamycin pathway acutely inhibits insulin signaling to Akt and glucose transport in 3T3-L1 and human adipocytes.", "type" : "article-journal", "volume" : "146" }, "uris" : [ "http://www.mendeley.com/documents/?uuid=ed872669-03e0-4334-9695-07acba4f997d"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"[22,37,38]", "plainTextFormattedCitation" : "[22,37,38]" }, "properties" : { "noteIndex" : 0 }, "schema" : "https://github.com/citation-style-language/schema/raw/master/csl-citation.json" }</w:instrText>
      </w:r>
      <w:r>
        <w:fldChar w:fldCharType="separate"/>
      </w:r>
      <w:r w:rsidRPr="0023334D">
        <w:rPr>
          <w:noProof/>
        </w:rPr>
        <w:t>[22,37,38]</w:t>
      </w:r>
      <w:r>
        <w:fldChar w:fldCharType="end"/>
      </w:r>
      <w:r>
        <w:t xml:space="preserve">.  To test whether these animals had altered glucose disposal, we performed glucose tolerance tests on the muscle </w:t>
      </w:r>
      <w:r>
        <w:rPr>
          <w:i/>
        </w:rPr>
        <w:t>Tsc1</w:t>
      </w:r>
      <w:r>
        <w:t xml:space="preserve"> knockout animals.   As shown in Figure XXA, these animals had a marked impairment in the ability to maintain glucose levels after a glucose challenge.  Surprisingly, insulin tolerance tests revealed little to no insulin resistance in normal-chow fed knockout animals (Figure XXB).  To further probe this effect, we evaluated insulin levels, both before and after a glucose injection.  As shown in Figure XXC, we observed an inability of insulin levels to be induced by glucose </w:t>
      </w:r>
      <w:r>
        <w:rPr>
          <w:i/>
        </w:rPr>
        <w:t>in vivo</w:t>
      </w:r>
      <w:r>
        <w:t xml:space="preserve">.  These data support an insulin secretion defect in muscle </w:t>
      </w:r>
      <w:r>
        <w:rPr>
          <w:i/>
        </w:rPr>
        <w:t>Tsc1</w:t>
      </w:r>
      <w:r>
        <w:t xml:space="preserve"> knockout animals as the root cause of the glucose intolerance.</w:t>
      </w:r>
    </w:p>
    <w:p w14:paraId="5A0201E3" w14:textId="77777777" w:rsidR="0023334D" w:rsidRDefault="0023334D" w:rsidP="0023334D"/>
    <w:p w14:paraId="5987A149" w14:textId="379DAEC8" w:rsidR="0023334D" w:rsidRPr="0023334D" w:rsidRDefault="0023334D" w:rsidP="0023334D">
      <w:r>
        <w:t xml:space="preserve">To test insulin sensitivity in a more controlled manner, we performed euglycemic hyperinsulinemic glucose clamp studies.  Consistent with the insulin tolerance tests, we observed no differences in glucose disposal rates, or endogenous glucose production or their changes with insulin (Figure XXD-E).  Using 2-deoxyglucose tracer studies, we also evaluated where the glucose was being disposed of at the end of these studies.  As shown in Figure XXXF, there were no changes in glucose disposal into muscle tissues, but we did observe an increase in glucose disposal into adipose tissue depots (Figure XXXG).  Together these data suggest that in contrast to </w:t>
      </w:r>
      <w:r>
        <w:rPr>
          <w:i/>
        </w:rPr>
        <w:t>ACTA-Cre</w:t>
      </w:r>
      <w:r>
        <w:t xml:space="preserve"> induced </w:t>
      </w:r>
      <w:r>
        <w:rPr>
          <w:i/>
        </w:rPr>
        <w:t xml:space="preserve">Tsc1 </w:t>
      </w:r>
      <w:r>
        <w:t xml:space="preserve">knockout animals, </w:t>
      </w:r>
      <w:r>
        <w:rPr>
          <w:i/>
        </w:rPr>
        <w:t>Ckmm-Cre</w:t>
      </w:r>
      <w:r>
        <w:t xml:space="preserve"> induced </w:t>
      </w:r>
      <w:r>
        <w:rPr>
          <w:i/>
        </w:rPr>
        <w:t xml:space="preserve">Tsc1 </w:t>
      </w:r>
      <w:r>
        <w:t>knockout animals have normal insulin sensitivity.</w:t>
      </w:r>
    </w:p>
    <w:p w14:paraId="68808AD6" w14:textId="265B1E4B" w:rsid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5A82F563" w14:textId="69D7D88A"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4"/>
      <w:r w:rsidR="00E7425C">
        <w:t xml:space="preserve">highly resistant </w:t>
      </w:r>
      <w:commentRangeEnd w:id="14"/>
      <w:r w:rsidR="00E7425C">
        <w:rPr>
          <w:rStyle w:val="CommentReference"/>
        </w:rPr>
        <w:commentReference w:id="14"/>
      </w:r>
      <w:r w:rsidR="00E7425C">
        <w:t>to weight gain on high fat diet.    The majority of this difference was in fat mass (</w:t>
      </w:r>
      <w:commentRangeStart w:id="15"/>
      <w:r w:rsidR="00E7425C">
        <w:t>XXXX</w:t>
      </w:r>
      <w:commentRangeEnd w:id="15"/>
      <w:r w:rsidR="00E7425C">
        <w:rPr>
          <w:rStyle w:val="CommentReference"/>
        </w:rPr>
        <w:commentReference w:id="15"/>
      </w:r>
      <w:r w:rsidR="00E7425C">
        <w:t xml:space="preserve">; Figure 6B) as there was only a modest increase in fat free mass in knockout males, and a modest decrease in knockout females (Figure 6C).  In terms of percent fat mass, there was a </w:t>
      </w:r>
      <w:commentRangeStart w:id="16"/>
      <w:r w:rsidR="00E7425C">
        <w:t xml:space="preserve">XX% reduction (p &lt; </w:t>
      </w:r>
      <w:commentRangeEnd w:id="16"/>
      <w:r w:rsidR="00E7425C">
        <w:rPr>
          <w:rStyle w:val="CommentReference"/>
        </w:rPr>
        <w:commentReference w:id="16"/>
      </w:r>
      <w:r w:rsidR="00E7425C">
        <w:t xml:space="preserve">; Figure 6D).  Upon sacrifice, fat pads were excised from these animals, and consistent with the body composition determinations, we observed a </w:t>
      </w:r>
      <w:commentRangeStart w:id="17"/>
      <w:r w:rsidR="00E7425C">
        <w:t>XXX-YYY</w:t>
      </w:r>
      <w:commentRangeEnd w:id="17"/>
      <w:r w:rsidR="00E7425C">
        <w:rPr>
          <w:rStyle w:val="CommentReference"/>
        </w:rPr>
        <w:commentReference w:id="17"/>
      </w:r>
      <w:r w:rsidR="00E7425C">
        <w:t xml:space="preserve">% reduction in perigonadal and inguinal fat pad mass for both males and females (all p&lt;).  In this study, we observed no changes in the mass of quadriceps, triceps surae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32099B">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E7425C">
        <w:fldChar w:fldCharType="separate"/>
      </w:r>
      <w:r w:rsidR="00E7425C" w:rsidRPr="00E7425C">
        <w:rPr>
          <w:noProof/>
        </w:rPr>
        <w:t>[22]</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C3DAE43" w14:textId="135E2D9D"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7A,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23334D">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"[39,40]", "plainTextFormattedCitation" : "[39,40]", "previouslyFormattedCitation" : "[37,38]" }, "properties" : { "noteIndex" : 0 }, "schema" : "https://github.com/citation-style-language/schema/raw/master/csl-citation.json" }</w:instrText>
      </w:r>
      <w:r>
        <w:fldChar w:fldCharType="separate"/>
      </w:r>
      <w:r w:rsidR="0023334D" w:rsidRPr="0023334D">
        <w:rPr>
          <w:noProof/>
        </w:rPr>
        <w:t>[39,40]</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23334D">
        <w:instrText>ADDIN CSL_CITATION { "citationItems" : [ { "id" : "ITEM-1",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"[40]", "plainTextFormattedCitation" : "[40]", "previouslyFormattedCitation" : "[38]" }, "properties" : { "noteIndex" : 0 }, "schema" : "https://github.com/citation-style-language/schema/raw/master/csl-citation.json" }</w:instrText>
      </w:r>
      <w:r w:rsidR="007E574F">
        <w:fldChar w:fldCharType="separate"/>
      </w:r>
      <w:r w:rsidR="0023334D" w:rsidRPr="0023334D">
        <w:rPr>
          <w:noProof/>
        </w:rPr>
        <w:t>[40]</w:t>
      </w:r>
      <w:r w:rsidR="007E574F">
        <w:fldChar w:fldCharType="end"/>
      </w:r>
      <w:r w:rsidR="00F82FCB">
        <w:t xml:space="preserve"> (Figure 7B)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23334D">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"[41]", "plainTextFormattedCitation" : "[41]", "previouslyFormattedCitation" : "[39]" }, "properties" : { "noteIndex" : 0 }, "schema" : "https://github.com/citation-style-language/schema/raw/master/csl-citation.json" }</w:instrText>
      </w:r>
      <w:r w:rsidR="007E574F">
        <w:fldChar w:fldCharType="separate"/>
      </w:r>
      <w:r w:rsidR="0023334D" w:rsidRPr="0023334D">
        <w:rPr>
          <w:noProof/>
        </w:rPr>
        <w:t>[41]</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XXX),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XXX).  We confirmed the increase in CD36 protein levels by western blotting (Figure XXX)</w:t>
      </w:r>
    </w:p>
    <w:p w14:paraId="59D0B110" w14:textId="77777777" w:rsidR="00F82FCB" w:rsidRDefault="00F82FCB" w:rsidP="003669B1"/>
    <w:p w14:paraId="1D6D41C9" w14:textId="6A165EF2" w:rsidR="00F82FCB" w:rsidRPr="00F82FCB" w:rsidRDefault="00F82FCB" w:rsidP="003669B1">
      <w:r>
        <w:t xml:space="preserve">To </w:t>
      </w:r>
      <w:r w:rsidR="00D5799A">
        <w:t>evaluate</w:t>
      </w:r>
      <w:r>
        <w:t xml:space="preserve"> endocrine factors derived from the muscles, we evaluated the expression of reported myokines and found increases in the expression of both PAI1-1 (encoded by </w:t>
      </w:r>
      <w:r w:rsidRPr="00F82FCB">
        <w:rPr>
          <w:i/>
        </w:rPr>
        <w:t>Serpine1</w:t>
      </w:r>
      <w:r>
        <w:t>) and transcriptional downregulation of both Myostatin (</w:t>
      </w:r>
      <w:r w:rsidRPr="004905D8">
        <w:rPr>
          <w:i/>
        </w:rPr>
        <w:t>Mstn</w:t>
      </w:r>
      <w:r>
        <w:t>) and</w:t>
      </w:r>
      <w:r w:rsidR="004905D8">
        <w:t xml:space="preserve"> Osteocrin</w:t>
      </w:r>
      <w:r>
        <w:t xml:space="preserve"> (</w:t>
      </w:r>
      <w:r w:rsidRPr="004905D8">
        <w:rPr>
          <w:i/>
        </w:rPr>
        <w:t>Ostn</w:t>
      </w:r>
      <w:r>
        <w:t xml:space="preserve">).  We observed a 2.2X increase in </w:t>
      </w:r>
      <w:r>
        <w:rPr>
          <w:i/>
        </w:rPr>
        <w:t xml:space="preserve">Fgf21 </w:t>
      </w:r>
      <w:r>
        <w:t xml:space="preserve">expression, though it was below our detection threshold for significant testing.  </w:t>
      </w:r>
      <w:r w:rsidR="004905D8">
        <w:t xml:space="preserve">Guridi </w:t>
      </w:r>
      <w:r w:rsidR="004905D8">
        <w:rPr>
          <w:i/>
        </w:rPr>
        <w:t>et al.</w:t>
      </w:r>
      <w:r w:rsidR="004905D8">
        <w:t xml:space="preserve"> </w:t>
      </w:r>
      <w:r w:rsidR="004905D8">
        <w:fldChar w:fldCharType="begin" w:fldLock="1"/>
      </w:r>
      <w:r w:rsidR="0023334D">
        <w:instrText>ADDIN CSL_CITATION { "citationItems" : [ { "id" : "ITEM-1", "itemData" : { "DOI" : "10.1186/s13395-016-0084-8", "ISBN" : "1339501600", "ISSN" : "2044-5040", "PMID" : "27004103", "author" : [ { "dropping-particle" : "", "family" : "Guridi", "given" : "Maitea", "non-dropping-particle" : "", "parse-names" : false, "suffix" : "" }, { "dropping-particle" : "", "family" : "Kupr", "given" : "Barbara", "non-dropping-particle" : "", "parse-names" : false, "suffix" : "" }, { "dropping-particle" : "", "family" : "Romanino", "given" : "Klaas", "non-dropping-particle" : "", "parse-names" : false, "suffix" : "" }, { "dropping-particle" : "", "family" : "Lin", "given" : "Shuo", "non-dropping-particle" : "", "parse-names" : false, "suffix" : "" }, { "dropping-particle" : "", "family" : "Falcetta", "given" : "Denis", "non-dropping-particle" : "", "parse-names" : false, "suffix" : "" }, { "dropping-particle" : "", "family" : "Tintignac", "given" : "Lionel", "non-dropping-particle" : "", "parse-names" : false, "suffix" : "" }, { "dropping-particle" : "", "family" : "R\u00fcegg", "given" : "Markus A.", "non-dropping-particle" : "", "parse-names" : false, "suffix" : "" } ], "container-title" : "Skeletal Muscle", "id" : "ITEM-1", "issue" : "1", "issued" : { "date-parts" : [ [ "2016" ] ] }, "page" : "13", "publisher" : "Skeletal Muscle", "title" : "Alterations to mTORC1 signaling in the skeletal muscle differentially affect whole-body metabolism", "type" : "article-journal", "volume" : "6" }, "uris" : [ "http://www.mendeley.com/documents/?uuid=1dfb21af-e3ac-424a-83b8-13f5b9b4a754" ] } ], "mendeley" : { "formattedCitation" : "[42]", "plainTextFormattedCitation" : "[42]", "previouslyFormattedCitation" : "[40]" }, "properties" : { "noteIndex" : 0 }, "schema" : "https://github.com/citation-style-language/schema/raw/master/csl-citation.json" }</w:instrText>
      </w:r>
      <w:r w:rsidR="004905D8">
        <w:fldChar w:fldCharType="separate"/>
      </w:r>
      <w:r w:rsidR="0023334D" w:rsidRPr="0023334D">
        <w:rPr>
          <w:noProof/>
        </w:rPr>
        <w:t>[42]</w:t>
      </w:r>
      <w:r w:rsidR="004905D8">
        <w:fldChar w:fldCharType="end"/>
      </w:r>
      <w:r w:rsidR="004905D8">
        <w:rPr>
          <w:i/>
        </w:rPr>
        <w:t>,</w:t>
      </w:r>
      <w:r w:rsidR="004905D8">
        <w:t xml:space="preserve"> also observed an increase in FGF21 with muscle </w:t>
      </w:r>
      <w:r w:rsidR="004905D8" w:rsidRPr="004905D8">
        <w:rPr>
          <w:i/>
        </w:rPr>
        <w:t>Tsc1</w:t>
      </w:r>
      <w:r w:rsidR="004905D8">
        <w:t xml:space="preserve"> knockout, so</w:t>
      </w:r>
      <w:r>
        <w:t xml:space="preserve"> evaluated FGF21 levels in fasting sera from these animals and also identified increases in this hormone.</w:t>
      </w:r>
    </w:p>
    <w:p w14:paraId="1AB2C960" w14:textId="77777777" w:rsidR="00F82FCB" w:rsidRDefault="00F82FCB" w:rsidP="003669B1"/>
    <w:p w14:paraId="465F4257" w14:textId="77777777"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 7C-D).   Consistent with this and previous studies on </w:t>
      </w:r>
      <w:r w:rsidR="00F82FCB" w:rsidRPr="00F82FCB">
        <w:rPr>
          <w:i/>
        </w:rPr>
        <w:t>Tsc1</w:t>
      </w:r>
      <w:r w:rsidR="00F82FCB">
        <w:t xml:space="preserve"> knockout muscles we observed substantially more NADH staining of cryopreserved muscle sections (Figure 7E).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3206FD5F" w:rsidR="00F82FCB" w:rsidRPr="00E7425C" w:rsidRDefault="00412036" w:rsidP="003669B1">
      <w:r>
        <w:t>While searching for an alternative mechanism for energy dissipation,</w:t>
      </w:r>
      <w:r w:rsidR="006374B4">
        <w:t xml:space="preserve"> </w:t>
      </w:r>
      <w:r>
        <w:t>we</w:t>
      </w:r>
      <w:r w:rsidR="004905D8">
        <w:t xml:space="preserve"> noted that there were dramatic increases in the ER Calcuim pump SERCA2 (encoded by </w:t>
      </w:r>
      <w:r w:rsidR="004905D8">
        <w:rPr>
          <w:i/>
        </w:rPr>
        <w:t>Atp2a2</w:t>
      </w:r>
      <w:r w:rsidR="004905D8">
        <w:t xml:space="preserve">), and its uncoupler Sarcolipin (encoded by </w:t>
      </w:r>
      <w:r w:rsidR="004905D8" w:rsidRPr="004905D8">
        <w:rPr>
          <w:i/>
        </w:rPr>
        <w:t>Sln</w:t>
      </w:r>
      <w:r w:rsidR="004905D8">
        <w:t xml:space="preserve">).  </w:t>
      </w:r>
      <w:r>
        <w:t xml:space="preserve">Sarcolipin has been reported to play a role in muscle-specific thermogenesis </w:t>
      </w:r>
      <w:r>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"id" : "ITEM-4",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"ITEM-4", "issued" : { "date-parts" : [ [ "2015", "12" ] ] }, "page" : "270-5", "title" : "Sarcolipin is a novel regulator of muscle metabolism and obesity.", "type" : "article-journal", "volume" : "102" }, "uris" : [ "http://www.mendeley.com/documents/?uuid=dbecfda7-956f-4340-8ccc-055b2f9a16c5" ] } ], "mendeley" : { "formattedCitation" : "[43\u201346]", "plainTextFormattedCitation" : "[43\u201346]", "previouslyFormattedCitation" : "[41\u201344]" }, "properties" : { "noteIndex" : 0 }, "schema" : "https://github.com/citation-style-language/schema/raw/master/csl-citation.json" }</w:instrText>
      </w:r>
      <w:r>
        <w:fldChar w:fldCharType="separate"/>
      </w:r>
      <w:r w:rsidR="0023334D" w:rsidRPr="0023334D">
        <w:rPr>
          <w:noProof/>
        </w:rPr>
        <w:t>[43–46]</w:t>
      </w:r>
      <w:r>
        <w:fldChar w:fldCharType="end"/>
      </w:r>
      <w:r>
        <w:t xml:space="preserve">. </w:t>
      </w:r>
      <w:r w:rsidR="004905D8">
        <w:t xml:space="preserve">To </w:t>
      </w:r>
      <w:r>
        <w:t>evaluate SERCA2/Sarcolipin protein levels</w:t>
      </w:r>
      <w:r w:rsidR="004905D8">
        <w:t xml:space="preserve">, we performed western blotting of these lysates to evaluate expression of SERCA2 and Sarcolipin and observed that these proteins are also upregulated.  We therefore propose that the increased oxidative </w:t>
      </w:r>
      <w:r w:rsidR="00BF2F76">
        <w:t>activity</w:t>
      </w:r>
      <w:r w:rsidR="004905D8">
        <w:t xml:space="preserve"> in these muscles may be related to increased futile cycling of ATP by uncoupled SERCA2 at the </w:t>
      </w:r>
      <w:commentRangeStart w:id="18"/>
      <w:r w:rsidR="004905D8">
        <w:t>ER</w:t>
      </w:r>
      <w:commentRangeEnd w:id="18"/>
      <w:r w:rsidR="006374B4">
        <w:rPr>
          <w:rStyle w:val="CommentReference"/>
        </w:rPr>
        <w:commentReference w:id="18"/>
      </w:r>
      <w:r w:rsidR="004905D8">
        <w:t>.</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7A302426" w:rsidR="00A922D2" w:rsidRPr="008437EE" w:rsidRDefault="00A922D2" w:rsidP="00A922D2">
      <w:commentRangeStart w:id="19"/>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23334D">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"[47,48]", "plainTextFormattedCitation" : "[47,48]", "previouslyFormattedCitation" : "[45,46]" }, "properties" : { "noteIndex" : 0 }, "schema" : "https://github.com/citation-style-language/schema/raw/master/csl-citation.json" }</w:instrText>
      </w:r>
      <w:r w:rsidR="006F352E">
        <w:fldChar w:fldCharType="separate"/>
      </w:r>
      <w:r w:rsidR="0023334D" w:rsidRPr="0023334D">
        <w:rPr>
          <w:noProof/>
        </w:rPr>
        <w:t>[47,48]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23334D">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"[49,50]", "plainTextFormattedCitation" : "[49,50]", "previouslyFormattedCitation" : "[47,48]" }, "properties" : { "noteIndex" : 0 }, "schema" : "https://github.com/citation-style-language/schema/raw/master/csl-citation.json" }</w:instrText>
      </w:r>
      <w:r w:rsidR="00DD2A58">
        <w:fldChar w:fldCharType="separate"/>
      </w:r>
      <w:r w:rsidR="0023334D" w:rsidRPr="0023334D">
        <w:rPr>
          <w:noProof/>
        </w:rPr>
        <w:t>[49,50]</w:t>
      </w:r>
      <w:r w:rsidR="00DD2A58">
        <w:fldChar w:fldCharType="end"/>
      </w:r>
      <w:r w:rsidR="00DD2A58">
        <w:t>.</w:t>
      </w:r>
      <w:commentRangeEnd w:id="19"/>
      <w:r w:rsidR="00200D61">
        <w:rPr>
          <w:rStyle w:val="CommentReference"/>
        </w:rPr>
        <w:commentReference w:id="19"/>
      </w:r>
    </w:p>
    <w:p w14:paraId="41D0AC97" w14:textId="77777777" w:rsidR="007D1A22" w:rsidRDefault="007D1A22" w:rsidP="007D1A22"/>
    <w:p w14:paraId="7EB87ED1" w14:textId="7EFD0136" w:rsidR="007D1A22" w:rsidRPr="007B0A52" w:rsidRDefault="007D1A22" w:rsidP="007D1A22">
      <w:r>
        <w:t xml:space="preserve">Clinical studies have shown that energy expenditure can rapidly increase in response to overfeeding </w:t>
      </w:r>
      <w:r>
        <w:fldChar w:fldCharType="begin" w:fldLock="1"/>
      </w:r>
      <w:r w:rsidR="002333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"[3,51]", "plainTextFormattedCitation" : "[3,51]", "previouslyFormattedCitation" : "[3,49]" }, "properties" : { "noteIndex" : 0 }, "schema" : "https://github.com/citation-style-language/schema/raw/master/csl-citation.json" }</w:instrText>
      </w:r>
      <w:r>
        <w:fldChar w:fldCharType="separate"/>
      </w:r>
      <w:r w:rsidR="0023334D" w:rsidRPr="0023334D">
        <w:rPr>
          <w:noProof/>
        </w:rPr>
        <w:t>[3,51]</w:t>
      </w:r>
      <w:r>
        <w:fldChar w:fldCharType="end"/>
      </w:r>
      <w:r>
        <w:t xml:space="preserve">, consistent with the observation that obese individuals have higher energy expenditure than lean subjects </w:t>
      </w:r>
      <w:r w:rsidR="009F47C8">
        <w:fldChar w:fldCharType="begin" w:fldLock="1"/>
      </w:r>
      <w:r w:rsidR="0023334D">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"[3,52\u201354]", "plainTextFormattedCitation" : "[3,52\u201354]", "previouslyFormattedCitation" : "[3,50\u201352]" }, "properties" : { "noteIndex" : 0 }, "schema" : "https://github.com/citation-style-language/schema/raw/master/csl-citation.json" }</w:instrText>
      </w:r>
      <w:r w:rsidR="009F47C8">
        <w:fldChar w:fldCharType="separate"/>
      </w:r>
      <w:r w:rsidR="0023334D" w:rsidRPr="0023334D">
        <w:rPr>
          <w:noProof/>
        </w:rPr>
        <w:t>[3,52–54]</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w:t>
      </w:r>
      <w:commentRangeStart w:id="20"/>
      <w:r w:rsidR="004A2F25">
        <w:t>Recent studies have shown that low carbohydrate (</w:t>
      </w:r>
      <w:r w:rsidR="00B1423F">
        <w:t>and</w:t>
      </w:r>
      <w:r w:rsidR="004A2F25">
        <w:t xml:space="preserve"> high protein) diets are more successful in maintaining weight reductions </w:t>
      </w:r>
      <w:r w:rsidR="004A2F25">
        <w:fldChar w:fldCharType="begin" w:fldLock="1"/>
      </w:r>
      <w:r w:rsidR="0023334D">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"[55]", "plainTextFormattedCitation" : "[55]", "previouslyFormattedCitation" : "[53]" }, "properties" : { "noteIndex" : 0 }, "schema" : "https://github.com/citation-style-language/schema/raw/master/csl-citation.json" }</w:instrText>
      </w:r>
      <w:r w:rsidR="004A2F25">
        <w:fldChar w:fldCharType="separate"/>
      </w:r>
      <w:r w:rsidR="0023334D" w:rsidRPr="0023334D">
        <w:rPr>
          <w:noProof/>
        </w:rPr>
        <w:t>[55]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23334D">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"[56]", "plainTextFormattedCitation" : "[56]", "previouslyFormattedCitation" : "[54]" }, "properties" : { "noteIndex" : 0 }, "schema" : "https://github.com/citation-style-language/schema/raw/master/csl-citation.json" }</w:instrText>
      </w:r>
      <w:r w:rsidR="00A10EEA">
        <w:fldChar w:fldCharType="separate"/>
      </w:r>
      <w:r w:rsidR="0023334D" w:rsidRPr="0023334D">
        <w:rPr>
          <w:noProof/>
        </w:rPr>
        <w:t>[56]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23334D">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"[5,57]", "plainTextFormattedCitation" : "[5,57]", "previouslyFormattedCitation" : "[5,55]" }, "properties" : { "noteIndex" : 0 }, "schema" : "https://github.com/citation-style-language/schema/raw/master/csl-citation.json" }</w:instrText>
      </w:r>
      <w:r w:rsidR="004A2F25">
        <w:fldChar w:fldCharType="separate"/>
      </w:r>
      <w:r w:rsidR="0023334D" w:rsidRPr="0023334D">
        <w:rPr>
          <w:noProof/>
        </w:rPr>
        <w:t>[5,57]</w:t>
      </w:r>
      <w:r w:rsidR="004A2F25">
        <w:fldChar w:fldCharType="end"/>
      </w:r>
      <w:r w:rsidR="004A2F25">
        <w:t>.</w:t>
      </w:r>
      <w:r w:rsidR="007B0A52">
        <w:t xml:space="preserve">  </w:t>
      </w:r>
      <w:commentRangeEnd w:id="20"/>
      <w:r w:rsidR="00AF5598">
        <w:rPr>
          <w:rStyle w:val="CommentReference"/>
        </w:rPr>
        <w:commentReference w:id="20"/>
      </w:r>
      <w:r w:rsidR="00B4027F">
        <w:t xml:space="preserve">This is consistent with the elevated thermogenic effect of protein feeding </w:t>
      </w:r>
      <w:r w:rsidR="00B4027F">
        <w:fldChar w:fldCharType="begin" w:fldLock="1"/>
      </w:r>
      <w:r w:rsidR="0023334D">
        <w:instrText>ADDIN CSL_CITATION { "citationItems" : [ { "id" : "ITEM-1", "itemData" : { "DOI" : "10.1038/sj.ijo.0800810", "ISBN" : "0307-0565; 0307-0565", "ISSN" : "0307-0565", "PMID" : "10193874", "abstract" : "OBJECTIVE: To study the effect of diet composition on diet-induced thermogenesis (DIT) over 24h in a respiration chamber. SUBJECTS: Eight healthy female volunteers (age 27 +/- 3 y; body mass index, BMI 23 +/- 3 kg/m2). DIETS: A high protein and carbohydrate (HP/C) (60:10:30; percentage energy (E%)carbohydrate, fat and protein, respectively) and high fat (HF) (30:60:10 respectively) diet, both isoenergetic, isovolumetric, composed of normal food items and matched for organoleptic properties (taste, smell, appearance). DESIGN: Subjects spent two 36h periods each in a respiration chamber consuming both test diets in random order. Components of 24h energy expenditure (24h EE): sleeping metabolic rate, DIT and activity induced energy expenditure were measured. RESULTS: DIT was higher in all subjects while on the HP/C diet (1295 kJ/d vs 931 kJ/d; 14.6% vs 10.5% of energy intake; P &lt; 0.02). There was no significant difference in other components or total 24h EE, although there was a trend towards higher EE on the HP/C diet. CONCLUSION: A high protein and carbohydrate diet induces a greater thermic response in healthy individuals when compared to a high fat diet.", "author" : [ { "dropping-particle" : "", "family" : "Westerterp", "given" : "", "non-dropping-particle" : "", "parse-names" : false, "suffix" : "" }, { "dropping-particle" : "", "family" : "Wilson", "given" : "", "non-dropping-particle" : "", "parse-names" : false, "suffix" : "" }, { "dropping-particle" : "", "family" : "Rolland", "given" : "", "non-dropping-particle" : "", "parse-names" : false, "suffix" : "" } ], "container-title" : "International journal of obesity and related metabolic disorders : journal of the International Association for the Study of Obesity", "id" : "ITEM-1", "issue" : "3", "issued" : { "date-parts" : [ [ "1999" ] ] }, "page" : "287-292", "title" : "Diet induced thermogenesis measured over 24h in a respiration chamber: effect of diet composition.", "type" : "article-journal", "volume" : "23" }, "uris" : [ "http://www.mendeley.com/documents/?uuid=721f833a-9972-4439-90db-3350e9d2f9c6" ] } ], "mendeley" : { "formattedCitation" : "[58]", "plainTextFormattedCitation" : "[58]", "previouslyFormattedCitation" : "[56]" }, "properties" : { "noteIndex" : 0 }, "schema" : "https://github.com/citation-style-language/schema/raw/master/csl-citation.json" }</w:instrText>
      </w:r>
      <w:r w:rsidR="00B4027F">
        <w:fldChar w:fldCharType="separate"/>
      </w:r>
      <w:r w:rsidR="0023334D" w:rsidRPr="0023334D">
        <w:rPr>
          <w:noProof/>
        </w:rPr>
        <w:t>[58]</w:t>
      </w:r>
      <w:r w:rsidR="00B4027F">
        <w:fldChar w:fldCharType="end"/>
      </w:r>
      <w:r w:rsidR="00B4027F">
        <w:t>. While the mechanisms of protein-intake associated thermogenesis are unknown, these data suggest that mTORC1 in muscle may play a role in this process</w:t>
      </w:r>
      <w:r w:rsidR="00BE33EC">
        <w:t xml:space="preserve"> as </w:t>
      </w:r>
      <w:r w:rsidR="008947CA">
        <w:t xml:space="preserve">elevations in </w:t>
      </w:r>
      <w:r w:rsidR="00BE33EC">
        <w:t xml:space="preserve">amino acids </w:t>
      </w:r>
      <w:r w:rsidR="008947CA">
        <w:t xml:space="preserve">are associated with mTORC1 activation </w:t>
      </w:r>
      <w:r w:rsidR="00BE33EC">
        <w:fldChar w:fldCharType="begin" w:fldLock="1"/>
      </w:r>
      <w:r w:rsidR="00BE33EC">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BE33EC">
        <w:fldChar w:fldCharType="separate"/>
      </w:r>
      <w:r w:rsidR="00BE33EC" w:rsidRPr="00921CEC">
        <w:rPr>
          <w:noProof/>
        </w:rPr>
        <w:t>[26,27]</w:t>
      </w:r>
      <w:r w:rsidR="00BE33EC">
        <w:fldChar w:fldCharType="end"/>
      </w:r>
      <w:r w:rsidR="00B4027F">
        <w:t xml:space="preserve">.  </w:t>
      </w:r>
      <w:r w:rsidR="007B0A52">
        <w:t xml:space="preserve">It is unlikely that brown adipose tissue mediates these effects as there is no increase in brown adipose tissue oxygen consumption in response to HFD </w:t>
      </w:r>
      <w:r w:rsidR="007B0A52">
        <w:fldChar w:fldCharType="begin" w:fldLock="1"/>
      </w:r>
      <w:r w:rsidR="0023334D">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"[59]", "plainTextFormattedCitation" : "[59]", "previouslyFormattedCitation" : "[57]" }, "properties" : { "noteIndex" : 0 }, "schema" : "https://github.com/citation-style-language/schema/raw/master/csl-citation.json" }</w:instrText>
      </w:r>
      <w:r w:rsidR="007B0A52">
        <w:fldChar w:fldCharType="separate"/>
      </w:r>
      <w:r w:rsidR="0023334D" w:rsidRPr="0023334D">
        <w:rPr>
          <w:noProof/>
        </w:rPr>
        <w:t>[59]</w:t>
      </w:r>
      <w:r w:rsidR="007B0A52">
        <w:fldChar w:fldCharType="end"/>
      </w:r>
      <w:r w:rsidR="007B0A52">
        <w:t xml:space="preserve">, nor </w:t>
      </w:r>
      <w:r w:rsidR="000B3C34">
        <w:t>are there increases in</w:t>
      </w:r>
      <w:r w:rsidR="007B0A52">
        <w:t xml:space="preserve"> HFD-induced energy expenditure in </w:t>
      </w:r>
      <w:r w:rsidR="007B0A52">
        <w:rPr>
          <w:i/>
        </w:rPr>
        <w:t>Ucp1</w:t>
      </w:r>
      <w:r w:rsidR="007B0A52">
        <w:t xml:space="preserve"> knockout mice </w:t>
      </w:r>
      <w:r w:rsidR="007B0A52">
        <w:fldChar w:fldCharType="begin" w:fldLock="1"/>
      </w:r>
      <w:r w:rsidR="0023334D">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"[60]", "plainTextFormattedCitation" : "[60]", "previouslyFormattedCitation" : "[58]" }, "properties" : { "noteIndex" : 0 }, "schema" : "https://github.com/citation-style-language/schema/raw/master/csl-citation.json" }</w:instrText>
      </w:r>
      <w:r w:rsidR="007B0A52">
        <w:fldChar w:fldCharType="separate"/>
      </w:r>
      <w:r w:rsidR="0023334D" w:rsidRPr="0023334D">
        <w:rPr>
          <w:noProof/>
        </w:rPr>
        <w:t>[60]</w:t>
      </w:r>
      <w:r w:rsidR="007B0A52">
        <w:fldChar w:fldCharType="end"/>
      </w:r>
      <w:r w:rsidR="007B0A52">
        <w:t>.</w:t>
      </w:r>
      <w:r w:rsidR="00B4027F">
        <w:t xml:space="preserve">  </w:t>
      </w:r>
    </w:p>
    <w:p w14:paraId="20FE2733" w14:textId="77777777" w:rsidR="003F5FAC" w:rsidRDefault="003F5FAC" w:rsidP="007D1A22"/>
    <w:p w14:paraId="1319FE07" w14:textId="123836A0"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23334D">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"[61]", "plainTextFormattedCitation" : "[61]", "previouslyFormattedCitation" : "[59]" }, "properties" : { "noteIndex" : 0 }, "schema" : "https://github.com/citation-style-language/schema/raw/master/csl-citation.json" }</w:instrText>
      </w:r>
      <w:r w:rsidR="00921CEC">
        <w:fldChar w:fldCharType="separate"/>
      </w:r>
      <w:r w:rsidR="0023334D" w:rsidRPr="0023334D">
        <w:rPr>
          <w:noProof/>
        </w:rPr>
        <w:t>[61]</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23334D">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"[62]", "plainTextFormattedCitation" : "[62]", "previouslyFormattedCitation" : "[60]" }, "properties" : { "noteIndex" : 0 }, "schema" : "https://github.com/citation-style-language/schema/raw/master/csl-citation.json" }</w:instrText>
      </w:r>
      <w:r w:rsidR="00B83F46">
        <w:fldChar w:fldCharType="separate"/>
      </w:r>
      <w:r w:rsidR="0023334D" w:rsidRPr="0023334D">
        <w:rPr>
          <w:noProof/>
        </w:rPr>
        <w:t>[62]</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expression of atrogenes</w:t>
      </w:r>
      <w:r w:rsidR="00B457C1">
        <w:t xml:space="preserve"> (data not shown)</w:t>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51329E80" w14:textId="2453014F" w:rsidR="003F5FAC" w:rsidRPr="00B83F46"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23334D">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"[22,63,64]", "plainTextFormattedCitation" : "[22,63,64]", "previouslyFormattedCitation" : "[22,61,62]" }, "properties" : { "noteIndex" : 0 }, "schema" : "https://github.com/citation-style-language/schema/raw/master/csl-citation.json" }</w:instrText>
      </w:r>
      <w:r w:rsidR="002638F5">
        <w:fldChar w:fldCharType="separate"/>
      </w:r>
      <w:r w:rsidR="0023334D" w:rsidRPr="0023334D">
        <w:rPr>
          <w:noProof/>
        </w:rPr>
        <w:t>[22,63,64]</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23334D">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"[65]", "plainTextFormattedCitation" : "[65]", "previouslyFormattedCitation" : "[63]" }, "properties" : { "noteIndex" : 0 }, "schema" : "https://github.com/citation-style-language/schema/raw/master/csl-citation.json" }</w:instrText>
      </w:r>
      <w:r w:rsidR="00CD1EC4">
        <w:fldChar w:fldCharType="separate"/>
      </w:r>
      <w:r w:rsidR="0023334D" w:rsidRPr="0023334D">
        <w:rPr>
          <w:noProof/>
        </w:rPr>
        <w:t>[65]</w:t>
      </w:r>
      <w:r w:rsidR="00CD1EC4">
        <w:fldChar w:fldCharType="end"/>
      </w:r>
      <w:r w:rsidR="00CD1EC4">
        <w:t xml:space="preserve"> and with the observation that elevated free fatty acids can promote mitochondrial biogenesis </w:t>
      </w:r>
      <w:r w:rsidR="00CD1EC4">
        <w:fldChar w:fldCharType="begin" w:fldLock="1"/>
      </w:r>
      <w:r w:rsidR="0023334D">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"[66]", "plainTextFormattedCitation" : "[66]", "previouslyFormattedCitation" : "[64]" }, "properties" : { "noteIndex" : 0 }, "schema" : "https://github.com/citation-style-language/schema/raw/master/csl-citation.json" }</w:instrText>
      </w:r>
      <w:r w:rsidR="00CD1EC4">
        <w:fldChar w:fldCharType="separate"/>
      </w:r>
      <w:r w:rsidR="0023334D" w:rsidRPr="0023334D">
        <w:rPr>
          <w:noProof/>
        </w:rPr>
        <w:t>[66]</w:t>
      </w:r>
      <w:r w:rsidR="00CD1EC4">
        <w:fldChar w:fldCharType="end"/>
      </w:r>
      <w:r w:rsidR="00CD1EC4">
        <w:t xml:space="preserve">.  </w:t>
      </w:r>
      <w:r w:rsidR="00FD1D50">
        <w:t>Increased nutrient</w:t>
      </w:r>
      <w:r w:rsidR="002613DA">
        <w:t xml:space="preserve"> </w:t>
      </w:r>
      <w:r w:rsidR="00FD1D50">
        <w:t>uptake</w:t>
      </w:r>
      <w:r w:rsidR="002613DA">
        <w:t>, coupled with elevated mitochondria would be lik</w:t>
      </w:r>
      <w:bookmarkStart w:id="21" w:name="_GoBack"/>
      <w:bookmarkEnd w:id="21"/>
      <w:r w:rsidR="002613DA">
        <w:t xml:space="preserve">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"[43,67]", "plainTextFormattedCitation" : "[43,67]", "previouslyFormattedCitation" : "[41,65]" }, "properties" : { "noteIndex" : 0 }, "schema" : "https://github.com/citation-style-language/schema/raw/master/csl-citation.json" }</w:instrText>
      </w:r>
      <w:r w:rsidR="00FD1D50">
        <w:fldChar w:fldCharType="separate"/>
      </w:r>
      <w:r w:rsidR="0023334D" w:rsidRPr="0023334D">
        <w:rPr>
          <w:noProof/>
        </w:rPr>
        <w:t>[43,67]</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"mendeley" : { "formattedCitation" : "[43\u201345]", "plainTextFormattedCitation" : "[43\u201345]", "previouslyFormattedCitation" : "[41\u201343]" }, "properties" : { "noteIndex" : 0 }, "schema" : "https://github.com/citation-style-language/schema/raw/master/csl-citation.json" }</w:instrText>
      </w:r>
      <w:r w:rsidR="00CD1EC4">
        <w:fldChar w:fldCharType="separate"/>
      </w:r>
      <w:r w:rsidR="0023334D" w:rsidRPr="0023334D">
        <w:rPr>
          <w:noProof/>
        </w:rPr>
        <w:t>[43–45]</w:t>
      </w:r>
      <w:r w:rsidR="00CD1EC4">
        <w:fldChar w:fldCharType="end"/>
      </w:r>
      <w:r w:rsidR="00412036">
        <w:t xml:space="preserve"> and prevention when it is overexpressed </w:t>
      </w:r>
      <w:r w:rsidR="00412036">
        <w:fldChar w:fldCharType="begin" w:fldLock="1"/>
      </w:r>
      <w:r w:rsidR="0023334D">
        <w:instrText>ADDIN CSL_CITATION { "citationItems" : [ { "id" : "ITEM-1",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"ITEM-1", "issued" : { "date-parts" : [ [ "2015", "12" ] ] }, "page" : "270-5", "title" : "Sarcolipin is a novel regulator of muscle metabolism and obesity.", "type" : "article-journal", "volume" : "102" }, "uris" : [ "http://www.mendeley.com/documents/?uuid=dbecfda7-956f-4340-8ccc-055b2f9a16c5" ] } ], "mendeley" : { "formattedCitation" : "[46]", "plainTextFormattedCitation" : "[46]", "previouslyFormattedCitation" : "[44]" }, "properties" : { "noteIndex" : 0 }, "schema" : "https://github.com/citation-style-language/schema/raw/master/csl-citation.json" }</w:instrText>
      </w:r>
      <w:r w:rsidR="00412036">
        <w:fldChar w:fldCharType="separate"/>
      </w:r>
      <w:r w:rsidR="0023334D" w:rsidRPr="0023334D">
        <w:rPr>
          <w:noProof/>
        </w:rPr>
        <w:t>[46]</w:t>
      </w:r>
      <w:r w:rsidR="00412036">
        <w:fldChar w:fldCharType="end"/>
      </w:r>
      <w:r w:rsidR="00CD1EC4">
        <w:t xml:space="preserve">. </w:t>
      </w:r>
      <w:commentRangeStart w:id="22"/>
      <w:r w:rsidR="00CD1EC4">
        <w:t>As</w:t>
      </w:r>
      <w:commentRangeEnd w:id="22"/>
      <w:r w:rsidR="00804E7C">
        <w:rPr>
          <w:rStyle w:val="CommentReference"/>
        </w:rPr>
        <w:commentReference w:id="22"/>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T</w:t>
      </w:r>
      <w:r w:rsidR="00F311C5">
        <w:t>hese findings support the hypothesis that activation of mTORC1</w:t>
      </w:r>
      <w:r w:rsidR="00A04704">
        <w:t xml:space="preserve"> or its downstream tar</w:t>
      </w:r>
      <w:r w:rsidR="00F60DC7">
        <w:t>gets</w:t>
      </w:r>
      <w:r w:rsidR="00FA15D0">
        <w:t xml:space="preserve">, specifically </w:t>
      </w:r>
      <w:r w:rsidR="00F311C5">
        <w:t>in mu</w:t>
      </w:r>
      <w:r w:rsidR="00F60DC7">
        <w:t xml:space="preserve">scle tissue may </w:t>
      </w:r>
      <w:r w:rsidR="0045183A">
        <w:t xml:space="preserve">play a role in </w:t>
      </w:r>
      <w:r w:rsidR="00A04704">
        <w:t>nutrient-dependent thermogenesis and there</w:t>
      </w:r>
      <w:r w:rsidR="0045183A">
        <w:t>for</w:t>
      </w:r>
      <w:r w:rsidR="00A04704">
        <w:t>e may</w:t>
      </w:r>
      <w:r w:rsidR="0045183A">
        <w:t xml:space="preserve">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23"/>
      <w:r w:rsidR="001E0A5E">
        <w:t xml:space="preserve">XXXX </w:t>
      </w:r>
      <w:commentRangeEnd w:id="23"/>
      <w:r w:rsidR="00E22913">
        <w:rPr>
          <w:rStyle w:val="CommentReference"/>
        </w:rPr>
        <w:commentReference w:id="23"/>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70FC90FE" w14:textId="275BF542" w:rsidR="0023334D" w:rsidRPr="0023334D" w:rsidRDefault="00871236" w:rsidP="0023334D">
      <w:pPr>
        <w:widowControl w:val="0"/>
        <w:autoSpaceDE w:val="0"/>
        <w:autoSpaceDN w:val="0"/>
        <w:adjustRightInd w:val="0"/>
        <w:spacing w:before="100" w:after="100"/>
        <w:ind w:left="640" w:hanging="640"/>
        <w:rPr>
          <w:rFonts w:ascii="Garamond" w:eastAsia="Times New Roman"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23334D" w:rsidRPr="0023334D">
        <w:rPr>
          <w:rFonts w:ascii="Garamond" w:eastAsia="Times New Roman" w:hAnsi="Garamond" w:cs="Times New Roman"/>
          <w:noProof/>
        </w:rPr>
        <w:t>[1]</w:t>
      </w:r>
      <w:r w:rsidR="0023334D" w:rsidRPr="0023334D">
        <w:rPr>
          <w:rFonts w:ascii="Garamond" w:eastAsia="Times New Roman" w:hAnsi="Garamond" w:cs="Times New Roman"/>
          <w:noProof/>
        </w:rPr>
        <w:tab/>
        <w:t>World Health Organization., 2013. Obesity and Overweight. http://www.who.int/mediacentre/factsheets/fs311/en/.</w:t>
      </w:r>
    </w:p>
    <w:p w14:paraId="245355E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w:t>
      </w:r>
      <w:r w:rsidRPr="0023334D">
        <w:rPr>
          <w:rFonts w:ascii="Garamond" w:eastAsia="Times New Roman" w:hAnsi="Garamond" w:cs="Times New Roman"/>
          <w:noProof/>
        </w:rPr>
        <w:tab/>
        <w:t>Leibel, R.L., Hirsch, J., 1984. Diminished energy requirements in reduced-obese patients. Metabolism 33(2): 164–70, Doi: 10.1016/0026-0495(84)90130-6.</w:t>
      </w:r>
    </w:p>
    <w:p w14:paraId="2C13AC6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w:t>
      </w:r>
      <w:r w:rsidRPr="0023334D">
        <w:rPr>
          <w:rFonts w:ascii="Garamond" w:eastAsia="Times New Roman" w:hAnsi="Garamond" w:cs="Times New Roman"/>
          <w:noProof/>
        </w:rPr>
        <w:tab/>
        <w:t>Leibel, R.L., Rosenbaum, M., Hirsch, J., 1995. Changes in energy expenditure resulting from altered body weight. The New England Journal of Medicine 332(10): 621–8, Doi: 10.1056/NEJM199503093321001.</w:t>
      </w:r>
    </w:p>
    <w:p w14:paraId="09C8CBD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w:t>
      </w:r>
      <w:r w:rsidRPr="0023334D">
        <w:rPr>
          <w:rFonts w:ascii="Garamond" w:eastAsia="Times New Roman"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740152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w:t>
      </w:r>
      <w:r w:rsidRPr="0023334D">
        <w:rPr>
          <w:rFonts w:ascii="Garamond" w:eastAsia="Times New Roman" w:hAnsi="Garamond" w:cs="Times New Roman"/>
          <w:noProof/>
        </w:rPr>
        <w:tab/>
        <w:t>Bray, G.A., Smith, S.R., de Jonge, L., Xie, H., Rood, J., Martin, C.K., et al., 2012. Effect of dietary protein content on weight gain, energy expenditure, and body composition during overeating: a randomized controlled trial.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307(1): 47–55, Doi: 10.1001/jama.2011.1918.</w:t>
      </w:r>
    </w:p>
    <w:p w14:paraId="707929A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w:t>
      </w:r>
      <w:r w:rsidRPr="0023334D">
        <w:rPr>
          <w:rFonts w:ascii="Garamond" w:eastAsia="Times New Roman" w:hAnsi="Garamond" w:cs="Times New Roman"/>
          <w:noProof/>
        </w:rPr>
        <w:tab/>
        <w:t>Ebbeling, C.B., Swain, J.F., Feldman, H. a., Wong, W.W., Hachey, D.L., Garcia-Lago, E., et al., 2012. Effects of dietary composition on energy expenditure during weight-loss maintenance.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307(24): 2627–34, Doi: 10.1001/jama.2012.6607.</w:t>
      </w:r>
    </w:p>
    <w:p w14:paraId="7340B2E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[7]</w:t>
      </w:r>
      <w:r w:rsidRPr="0023334D">
        <w:rPr>
          <w:rFonts w:ascii="Garamond" w:eastAsia="Times New Roman" w:hAnsi="Garamond" w:cs="Times New Roman"/>
          <w:noProof/>
        </w:rPr>
        <w:tab/>
        <w:t>Efeyan, A., Comb, W.C., Sabatini, D.M., 2015. Nutrient-sensing mechanisms and pathways. Nature 517(7534): 302–10, Doi: 10.1038/nature14190.</w:t>
      </w:r>
    </w:p>
    <w:p w14:paraId="141B444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[8]</w:t>
      </w:r>
      <w:r w:rsidRPr="0023334D">
        <w:rPr>
          <w:rFonts w:ascii="Garamond" w:eastAsia="Times New Roman"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516DF8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[9]</w:t>
      </w:r>
      <w:r w:rsidRPr="0023334D">
        <w:rPr>
          <w:rFonts w:ascii="Garamond" w:eastAsia="Times New Roman" w:hAnsi="Garamond" w:cs="Times New Roman"/>
          <w:noProof/>
        </w:rPr>
        <w:tab/>
        <w:t>Chakrabarti, P., English, T., Shi, J., Smas, C.M., Kandror, K. V., 2010. Mammalian target of rapamycin complex 1 suppresses lipolysis, stimulates lipogenesis, and promotes fat storage. Diabetes 59(4): 775–81, Doi: 10.2337/db09-1602.</w:t>
      </w:r>
    </w:p>
    <w:p w14:paraId="0989734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[10]</w:t>
      </w:r>
      <w:r w:rsidRPr="0023334D">
        <w:rPr>
          <w:rFonts w:ascii="Garamond" w:eastAsia="Times New Roman"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7917C70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[11]</w:t>
      </w:r>
      <w:r w:rsidRPr="0023334D">
        <w:rPr>
          <w:rFonts w:ascii="Garamond" w:eastAsia="Times New Roman" w:hAnsi="Garamond" w:cs="Times New Roman"/>
          <w:noProof/>
        </w:rPr>
        <w:tab/>
        <w:t>Lu, B., Bridges, D., Yang, Y., Fisher, K., Cheng, A., Chang, L., et al., 2014. Metabolic crosstalk: molecular links between glycogen and lipid metabolism in obesity. Diabetes 63(9): 2935–48, Doi: 10.2337/db13-1531.</w:t>
      </w:r>
    </w:p>
    <w:p w14:paraId="203C254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[12]</w:t>
      </w:r>
      <w:r w:rsidRPr="0023334D">
        <w:rPr>
          <w:rFonts w:ascii="Garamond" w:eastAsia="Times New Roman" w:hAnsi="Garamond" w:cs="Times New Roman"/>
          <w:noProof/>
        </w:rPr>
        <w:tab/>
        <w:t>Zhang, H.H., Huang, J., Düvel, K., Boback, B., Wu, S., Squillace, R.M., et al., 2009. Insulin stimulates adipogenesis through the Akt-TSC2-mTORC1 pathway. PloS One 4(7): e6189, Doi: 10.1371/journal.pone.0006189.</w:t>
      </w:r>
    </w:p>
    <w:p w14:paraId="3E6EC97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[13]</w:t>
      </w:r>
      <w:r w:rsidRPr="0023334D">
        <w:rPr>
          <w:rFonts w:ascii="Garamond" w:eastAsia="Times New Roman" w:hAnsi="Garamond" w:cs="Times New Roman"/>
          <w:noProof/>
        </w:rPr>
        <w:tab/>
        <w:t>Hatfield, I., Harvey, I., Yates, E.R., Redd, J.R., Reiter, L.T., Bridges, D., 2015. The role of TORC1 in muscle development in Drosophila. Scientific Reports 5: 9676, Doi: 10.1038/srep09676.</w:t>
      </w:r>
    </w:p>
    <w:p w14:paraId="3B33CEA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[14]</w:t>
      </w:r>
      <w:r w:rsidRPr="0023334D">
        <w:rPr>
          <w:rFonts w:ascii="Garamond" w:eastAsia="Times New Roman" w:hAnsi="Garamond" w:cs="Times New Roman"/>
          <w:noProof/>
        </w:rPr>
        <w:tab/>
        <w:t>Erbay, E., Chen, J., 2001. The mammalian target of rapamycin regulates C2C12 myogenesis via a kinase-independent mechanism. The Journal of Biological Chemistry 276(39): 36079–82, Doi: 10.1074/jbc.C100406200.</w:t>
      </w:r>
    </w:p>
    <w:p w14:paraId="4D8C5A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[15]</w:t>
      </w:r>
      <w:r w:rsidRPr="0023334D">
        <w:rPr>
          <w:rFonts w:ascii="Garamond" w:eastAsia="Times New Roman"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C71103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[16]</w:t>
      </w:r>
      <w:r w:rsidRPr="0023334D">
        <w:rPr>
          <w:rFonts w:ascii="Garamond" w:eastAsia="Times New Roman" w:hAnsi="Garamond" w:cs="Times New Roman"/>
          <w:noProof/>
        </w:rPr>
        <w:tab/>
        <w:t>DeFronzo, R.A., Ferrannini, E., Sato, Y., Felig, P., Wahren, J., 1981. Synergistic interaction between exercise and insulin on peripheral glucose uptake. The Journal of Clinical Investigation 68(6): 1468–74.</w:t>
      </w:r>
    </w:p>
    <w:p w14:paraId="388707E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[17]</w:t>
      </w:r>
      <w:r w:rsidRPr="0023334D">
        <w:rPr>
          <w:rFonts w:ascii="Garamond" w:eastAsia="Times New Roman" w:hAnsi="Garamond" w:cs="Times New Roman"/>
          <w:noProof/>
        </w:rPr>
        <w:tab/>
        <w:t>Rolfe, D.F., Brown, G.C., 1997. Cellular energy utilization and molecular origin of standard metabolic rate in mammals. Physiological Reviews 77(3): 731–58.</w:t>
      </w:r>
    </w:p>
    <w:p w14:paraId="2F48376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[18]</w:t>
      </w:r>
      <w:r w:rsidRPr="0023334D">
        <w:rPr>
          <w:rFonts w:ascii="Garamond" w:eastAsia="Times New Roman" w:hAnsi="Garamond"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0081A97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[19]</w:t>
      </w:r>
      <w:r w:rsidRPr="0023334D">
        <w:rPr>
          <w:rFonts w:ascii="Garamond" w:eastAsia="Times New Roman" w:hAnsi="Garamond"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094EB4D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[20]</w:t>
      </w:r>
      <w:r w:rsidRPr="0023334D">
        <w:rPr>
          <w:rFonts w:ascii="Garamond" w:eastAsia="Times New Roman"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B7C4C9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[21]</w:t>
      </w:r>
      <w:r w:rsidRPr="0023334D">
        <w:rPr>
          <w:rFonts w:ascii="Garamond" w:eastAsia="Times New Roman"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A92E97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[22]</w:t>
      </w:r>
      <w:r w:rsidRPr="0023334D">
        <w:rPr>
          <w:rFonts w:ascii="Garamond" w:eastAsia="Times New Roman"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13BA6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[23]</w:t>
      </w:r>
      <w:r w:rsidRPr="0023334D">
        <w:rPr>
          <w:rFonts w:ascii="Garamond" w:eastAsia="Times New Roman"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CE227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[24]</w:t>
      </w:r>
      <w:r w:rsidRPr="0023334D">
        <w:rPr>
          <w:rFonts w:ascii="Garamond" w:eastAsia="Times New Roman" w:hAnsi="Garamond" w:cs="Times New Roman"/>
          <w:noProof/>
        </w:rPr>
        <w:tab/>
        <w:t>Ramanathan, A., Schreiber, S.L., 2009. Direct control of mitochondrial function by mTOR. Proceedings of the National Academy of Sciences of the United States of America 106(52): 22229–32, Doi: 10.1073/pnas.0912074106.</w:t>
      </w:r>
    </w:p>
    <w:p w14:paraId="0B181AA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[25]</w:t>
      </w:r>
      <w:r w:rsidRPr="0023334D">
        <w:rPr>
          <w:rFonts w:ascii="Garamond" w:eastAsia="Times New Roman"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C2F1D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[26]</w:t>
      </w:r>
      <w:r w:rsidRPr="0023334D">
        <w:rPr>
          <w:rFonts w:ascii="Garamond" w:eastAsia="Times New Roman"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FC4FD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[27]</w:t>
      </w:r>
      <w:r w:rsidRPr="0023334D">
        <w:rPr>
          <w:rFonts w:ascii="Garamond" w:eastAsia="Times New Roman" w:hAnsi="Garamond" w:cs="Times New Roman"/>
          <w:noProof/>
        </w:rPr>
        <w:tab/>
        <w:t>Cuthbertson, D., Smith, K., Babraj, J., Leese, G., Waddell, T., Atherton, P., et al., 2005. Anabolic signaling deficits underlie amino acid resistance of wasting, aging muscle. The FASEB Journal</w:t>
      </w:r>
      <w:r w:rsidRPr="0023334D">
        <w:rPr>
          <w:rFonts w:ascii="Calibri" w:eastAsia="Calibri" w:hAnsi="Calibri" w:cs="Calibri"/>
          <w:noProof/>
        </w:rPr>
        <w:t> </w:t>
      </w:r>
      <w:r w:rsidRPr="0023334D">
        <w:rPr>
          <w:rFonts w:ascii="Garamond" w:eastAsia="Times New Roman" w:hAnsi="Garamond" w:cs="Times New Roman"/>
          <w:noProof/>
        </w:rPr>
        <w:t>: Official Publication of the Federation of American Societies for Experimental Biology 19(3): 422–4, Doi: 10.1096/fj.04-2640fje.</w:t>
      </w:r>
    </w:p>
    <w:p w14:paraId="7346B7F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[28]</w:t>
      </w:r>
      <w:r w:rsidRPr="0023334D">
        <w:rPr>
          <w:rFonts w:ascii="Garamond" w:eastAsia="Times New Roman" w:hAnsi="Garamond" w:cs="Times New Roman"/>
          <w:noProof/>
        </w:rPr>
        <w:tab/>
        <w:t>Tschöp, M.H., Speakman, J.R., Arch, J.R.S., Auwerx, J., Brüning, J.C., Chan, L., et al., 2011. A guide to analysis of mouse energy metabolism. Nature Methods 9(1): 57–63, Doi: 10.1038/nmeth.1806.</w:t>
      </w:r>
    </w:p>
    <w:p w14:paraId="7B0D42A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[29]</w:t>
      </w:r>
      <w:r w:rsidRPr="0023334D">
        <w:rPr>
          <w:rFonts w:ascii="Garamond" w:eastAsia="Times New Roman"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46C296C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[30]</w:t>
      </w:r>
      <w:r w:rsidRPr="0023334D">
        <w:rPr>
          <w:rFonts w:ascii="Garamond" w:eastAsia="Times New Roman"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321EF3E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[31]</w:t>
      </w:r>
      <w:r w:rsidRPr="0023334D">
        <w:rPr>
          <w:rFonts w:ascii="Garamond" w:eastAsia="Times New Roman" w:hAnsi="Garamond" w:cs="Times New Roman"/>
          <w:noProof/>
        </w:rPr>
        <w:tab/>
        <w:t>R Core Team., 2013. R: A Language and Environment for Statistical Computing.</w:t>
      </w:r>
    </w:p>
    <w:p w14:paraId="687F09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[32]</w:t>
      </w:r>
      <w:r w:rsidRPr="0023334D">
        <w:rPr>
          <w:rFonts w:ascii="Garamond" w:eastAsia="Times New Roman" w:hAnsi="Garamond" w:cs="Times New Roman"/>
          <w:noProof/>
        </w:rPr>
        <w:tab/>
        <w:t>Bates, D., Mächler, M., Bolker, B., Walker, S., 2014. Fitting Linear Mixed-Effects Models using lme4. ArXiv 1406.5823: 1–51.</w:t>
      </w:r>
    </w:p>
    <w:p w14:paraId="6CA242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[33]</w:t>
      </w:r>
      <w:r w:rsidRPr="0023334D">
        <w:rPr>
          <w:rFonts w:ascii="Garamond" w:eastAsia="Times New Roman" w:hAnsi="Garamond" w:cs="Times New Roman"/>
          <w:noProof/>
        </w:rPr>
        <w:tab/>
        <w:t>Benjamini, Y., Hochberg, Y., 1995. Controlling the False Discovery Rate: A Practical and Powerful Approach to Multiple Testing. Journal of the Royal Statistical Society. Series B 57(1): 289–300.</w:t>
      </w:r>
    </w:p>
    <w:p w14:paraId="27E6CB7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[34]</w:t>
      </w:r>
      <w:r w:rsidRPr="0023334D">
        <w:rPr>
          <w:rFonts w:ascii="Garamond" w:eastAsia="Times New Roman" w:hAnsi="Garamond"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5C184B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[35]</w:t>
      </w:r>
      <w:r w:rsidRPr="0023334D">
        <w:rPr>
          <w:rFonts w:ascii="Garamond" w:eastAsia="Times New Roman" w:hAnsi="Garamond"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2B0DB63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[36]</w:t>
      </w:r>
      <w:r w:rsidRPr="0023334D">
        <w:rPr>
          <w:rFonts w:ascii="Garamond" w:eastAsia="Times New Roman" w:hAnsi="Garamond" w:cs="Times New Roman"/>
          <w:noProof/>
        </w:rPr>
        <w:tab/>
        <w:t>Printen, J.A., Brady, M.J., Saltiel, A.R., 1997. PTG, a protein phosphatase 1-binding protein with a role in glycogen metabolism. Science 275(5305): 1475–8.</w:t>
      </w:r>
    </w:p>
    <w:p w14:paraId="481455B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[37]</w:t>
      </w:r>
      <w:r w:rsidRPr="0023334D">
        <w:rPr>
          <w:rFonts w:ascii="Garamond" w:eastAsia="Times New Roman" w:hAnsi="Garamond" w:cs="Times New Roman"/>
          <w:noProof/>
        </w:rPr>
        <w:tab/>
        <w:t>Um, S.H., D’Alessio, D., Thomas, G., 2006. Nutrient overload, insulin resistance, and ribosomal protein S6 kinase 1, S6K1. Cell Metabolism 3(6): 393–402, Doi: 10.1016/j.cmet.2006.05.003.</w:t>
      </w:r>
    </w:p>
    <w:p w14:paraId="4F2A13D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[38]</w:t>
      </w:r>
      <w:r w:rsidRPr="0023334D">
        <w:rPr>
          <w:rFonts w:ascii="Garamond" w:eastAsia="Times New Roman" w:hAnsi="Garamond" w:cs="Times New Roman"/>
          <w:noProof/>
        </w:rPr>
        <w:tab/>
        <w:t>Tremblay, F., Gagnon, A., Veilleux, A., Sorisky, A., Marette, A., 2005. Activation of the mammalian target of rapamycin pathway acutely inhibits insulin signaling to Akt and glucose transport in 3T3-L1 and human adipocytes. Endocrinology 146(3): 1328–37, Doi: 10.1210/en.2004-0777.</w:t>
      </w:r>
    </w:p>
    <w:p w14:paraId="1C490E2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[39]</w:t>
      </w:r>
      <w:r w:rsidRPr="0023334D">
        <w:rPr>
          <w:rFonts w:ascii="Garamond" w:eastAsia="Times New Roman"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39B1CF1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[40]</w:t>
      </w:r>
      <w:r w:rsidRPr="0023334D">
        <w:rPr>
          <w:rFonts w:ascii="Garamond" w:eastAsia="Times New Roman" w:hAnsi="Garamond" w:cs="Times New Roman"/>
          <w:noProof/>
        </w:rPr>
        <w:tab/>
        <w:t>Düvel, K., Yecies, J.L., Menon, S., Raman, P., Lipovsky, A.I., Souza, A.L., et al., 2010. Activation of a Metabolic Gene Regulatory Network Downstream of mTOR Complex 1. Molecular Cell 39(2): 171–83, Doi: 10.1016/j.molcel.2010.06.022.</w:t>
      </w:r>
    </w:p>
    <w:p w14:paraId="7562205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[41]</w:t>
      </w:r>
      <w:r w:rsidRPr="0023334D">
        <w:rPr>
          <w:rFonts w:ascii="Garamond" w:eastAsia="Times New Roman"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507F569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[42]</w:t>
      </w:r>
      <w:r w:rsidRPr="0023334D">
        <w:rPr>
          <w:rFonts w:ascii="Garamond" w:eastAsia="Times New Roman"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4028AB8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[43]</w:t>
      </w:r>
      <w:r w:rsidRPr="0023334D">
        <w:rPr>
          <w:rFonts w:ascii="Garamond" w:eastAsia="Times New Roman" w:hAnsi="Garamond" w:cs="Times New Roman"/>
          <w:noProof/>
        </w:rPr>
        <w:tab/>
        <w:t>Bal, N.C., Maurya, S.K., Sopariwala, D.H., Sahoo, S.K., Gupta, S.C., Shaikh, S.A., et al., 2012. Sarcolipin is a newly identified regulator of muscle-based thermogenesis in mammals. Nature Medicine 18(10): 1575–9, Doi: 10.1038/nm.2897.</w:t>
      </w:r>
    </w:p>
    <w:p w14:paraId="734A26D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[44]</w:t>
      </w:r>
      <w:r w:rsidRPr="0023334D">
        <w:rPr>
          <w:rFonts w:ascii="Garamond" w:eastAsia="Times New Roman"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7EC2335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[45]</w:t>
      </w:r>
      <w:r w:rsidRPr="0023334D">
        <w:rPr>
          <w:rFonts w:ascii="Garamond" w:eastAsia="Times New Roman"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7B398ED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[46]</w:t>
      </w:r>
      <w:r w:rsidRPr="0023334D">
        <w:rPr>
          <w:rFonts w:ascii="Garamond" w:eastAsia="Times New Roman" w:hAnsi="Garamond" w:cs="Times New Roman"/>
          <w:noProof/>
        </w:rPr>
        <w:tab/>
        <w:t>Maurya, S.K., Periasamy, M., 2015. Sarcolipin is a novel regulator of muscle metabolism and obesity. Pharmacological Research 102: 270–5, Doi: 10.1016/j.phrs.2015.10.020.</w:t>
      </w:r>
    </w:p>
    <w:p w14:paraId="6A28B08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[47]</w:t>
      </w:r>
      <w:r w:rsidRPr="0023334D">
        <w:rPr>
          <w:rFonts w:ascii="Garamond" w:eastAsia="Times New Roman"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36092BB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[48]</w:t>
      </w:r>
      <w:r w:rsidRPr="0023334D">
        <w:rPr>
          <w:rFonts w:ascii="Garamond" w:eastAsia="Times New Roman"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18DE20C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[49]</w:t>
      </w:r>
      <w:r w:rsidRPr="0023334D">
        <w:rPr>
          <w:rFonts w:ascii="Garamond" w:eastAsia="Times New Roman"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1C9C7FA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[50]</w:t>
      </w:r>
      <w:r w:rsidRPr="0023334D">
        <w:rPr>
          <w:rFonts w:ascii="Garamond" w:eastAsia="Times New Roman"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3ADB2D0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[51]</w:t>
      </w:r>
      <w:r w:rsidRPr="0023334D">
        <w:rPr>
          <w:rFonts w:ascii="Garamond" w:eastAsia="Times New Roman" w:hAnsi="Garamond" w:cs="Times New Roman"/>
          <w:noProof/>
        </w:rPr>
        <w:tab/>
        <w:t>Acheson, K.J., Schutz, Y., Bessard, T., Anantharaman, K., Flatt, J.P., Jequier, E., 1988. Glycoprotein storage capacity and de novo lipogenesis during massive carbohydrate overfeeding in man. American Journal of Clinical Nutrition 48(2): 240–7.</w:t>
      </w:r>
    </w:p>
    <w:p w14:paraId="055C025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[52]</w:t>
      </w:r>
      <w:r w:rsidRPr="0023334D">
        <w:rPr>
          <w:rFonts w:ascii="Garamond" w:eastAsia="Times New Roman" w:hAnsi="Garamond" w:cs="Times New Roman"/>
          <w:noProof/>
        </w:rPr>
        <w:tab/>
        <w:t>Ravussin, E., Burnand, B., Schutz, Y., Jequier, E., 1982. Twenty-four-hour energy expenditure and resting metabolic rate in obese, moderately obese, and control subjects. American Journal of Clinical Nutrition 35(3): 566–73.</w:t>
      </w:r>
    </w:p>
    <w:p w14:paraId="35D2D3C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[53]</w:t>
      </w:r>
      <w:r w:rsidRPr="0023334D">
        <w:rPr>
          <w:rFonts w:ascii="Garamond" w:eastAsia="Times New Roman" w:hAnsi="Garamond"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7412F2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[54]</w:t>
      </w:r>
      <w:r w:rsidRPr="0023334D">
        <w:rPr>
          <w:rFonts w:ascii="Garamond" w:eastAsia="Times New Roman" w:hAnsi="Garamond" w:cs="Times New Roman"/>
          <w:noProof/>
        </w:rPr>
        <w:tab/>
        <w:t>DeLany, J.P., Kelley, D.E., Hames, K.C., Jakicic, J.M., Goodpaster, B.H., 2013. High energy expenditure masks low physical activity in obesity. International Journal of Obesity (2005) 37(7): 1006–11, Doi: 10.1038/ijo.2012.172.</w:t>
      </w:r>
    </w:p>
    <w:p w14:paraId="15E7381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[55]</w:t>
      </w:r>
      <w:r w:rsidRPr="0023334D">
        <w:rPr>
          <w:rFonts w:ascii="Garamond" w:eastAsia="Times New Roman" w:hAnsi="Garamond" w:cs="Times New Roman"/>
          <w:noProof/>
        </w:rPr>
        <w:tab/>
        <w:t>Foster, G.D., Wyatt, H.R., Hill, J.O., Mcguckin, B.G., Brill, C., Mohammed, B.S., et al., 2003. A randomized trial of a low-carbohydrate diet for obesity. The New England Journal of Medicine 348(21): 2082–90, Doi: 10.1056/NEJMoa022207.</w:t>
      </w:r>
    </w:p>
    <w:p w14:paraId="626081F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[56]</w:t>
      </w:r>
      <w:r w:rsidRPr="0023334D">
        <w:rPr>
          <w:rFonts w:ascii="Garamond" w:eastAsia="Times New Roman" w:hAnsi="Garamond"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2B67650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[57]</w:t>
      </w:r>
      <w:r w:rsidRPr="0023334D">
        <w:rPr>
          <w:rFonts w:ascii="Garamond" w:eastAsia="Times New Roman" w:hAnsi="Garamond"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389BBE7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[58]</w:t>
      </w:r>
      <w:r w:rsidRPr="0023334D">
        <w:rPr>
          <w:rFonts w:ascii="Garamond" w:eastAsia="Times New Roman" w:hAnsi="Garamond" w:cs="Times New Roman"/>
          <w:noProof/>
        </w:rPr>
        <w:tab/>
        <w:t>Westerterp., Wilson., Rolland., 1999. Diet induced thermogenesis measured over 24h in a respiration chamber: effect of diet composition. International Journal of Obesity and Related Metabolic Disorders</w:t>
      </w:r>
      <w:r w:rsidRPr="0023334D">
        <w:rPr>
          <w:rFonts w:ascii="Calibri" w:eastAsia="Calibri" w:hAnsi="Calibri" w:cs="Calibri"/>
          <w:noProof/>
        </w:rPr>
        <w:t> </w:t>
      </w:r>
      <w:r w:rsidRPr="0023334D">
        <w:rPr>
          <w:rFonts w:ascii="Garamond" w:eastAsia="Times New Roman" w:hAnsi="Garamond" w:cs="Times New Roman"/>
          <w:noProof/>
        </w:rPr>
        <w:t>: Journal of the International Association for the Study of Obesity 23(3): 287–92, Doi: 10.1038/sj.ijo.0800810.</w:t>
      </w:r>
    </w:p>
    <w:p w14:paraId="49E7D8C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[59]</w:t>
      </w:r>
      <w:r w:rsidRPr="0023334D">
        <w:rPr>
          <w:rFonts w:ascii="Garamond" w:eastAsia="Times New Roman" w:hAnsi="Garamond"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5E73ADB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[60]</w:t>
      </w:r>
      <w:r w:rsidRPr="0023334D">
        <w:rPr>
          <w:rFonts w:ascii="Garamond" w:eastAsia="Times New Roman" w:hAnsi="Garamond"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16DD4A5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[61]</w:t>
      </w:r>
      <w:r w:rsidRPr="0023334D">
        <w:rPr>
          <w:rFonts w:ascii="Garamond" w:eastAsia="Times New Roman" w:hAnsi="Garamond" w:cs="Times New Roman"/>
          <w:noProof/>
        </w:rPr>
        <w:tab/>
        <w:t>Halton, T.L., Hu, F.B., 2004. The effects of high protein diets on thermogenesis, satiety and weight loss: a critical review. Journal of the American College of Nutrition 23(5): 373–85, Doi: 10.1080/07315724.2004.10719381.</w:t>
      </w:r>
    </w:p>
    <w:p w14:paraId="427A7A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[62]</w:t>
      </w:r>
      <w:r w:rsidRPr="0023334D">
        <w:rPr>
          <w:rFonts w:ascii="Garamond" w:eastAsia="Times New Roman" w:hAnsi="Garamond"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6FB37FE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[63]</w:t>
      </w:r>
      <w:r w:rsidRPr="0023334D">
        <w:rPr>
          <w:rFonts w:ascii="Garamond" w:eastAsia="Times New Roman"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43E417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[64]</w:t>
      </w:r>
      <w:r w:rsidRPr="0023334D">
        <w:rPr>
          <w:rFonts w:ascii="Garamond" w:eastAsia="Times New Roman" w:hAnsi="Garamond" w:cs="Times New Roman"/>
          <w:noProof/>
        </w:rPr>
        <w:tab/>
        <w:t>Kim, K.H., Jeong, Y.T., Oh, H., Kim, S.H., Cho, J.M., Kim, Y.-N., et al., 2012. Autophagy deficiency leads to protection from obesity and insulin resistance by inducing Fgf21 as a mitokine. Nature Medicine, Doi: 10.1038/nm.3014.</w:t>
      </w:r>
    </w:p>
    <w:p w14:paraId="7361706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[65]</w:t>
      </w:r>
      <w:r w:rsidRPr="0023334D">
        <w:rPr>
          <w:rFonts w:ascii="Garamond" w:eastAsia="Times New Roman"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C211B6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[66]</w:t>
      </w:r>
      <w:r w:rsidRPr="0023334D">
        <w:rPr>
          <w:rFonts w:ascii="Garamond" w:eastAsia="Times New Roman"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1D24C9BC" w14:textId="77777777" w:rsidR="0023334D" w:rsidRPr="0023334D" w:rsidRDefault="0023334D" w:rsidP="0023334D">
      <w:pPr>
        <w:widowControl w:val="0"/>
        <w:autoSpaceDE w:val="0"/>
        <w:autoSpaceDN w:val="0"/>
        <w:adjustRightInd w:val="0"/>
        <w:spacing w:before="100" w:after="100"/>
        <w:ind w:left="640" w:hanging="640"/>
        <w:rPr>
          <w:rFonts w:ascii="Garamond" w:hAnsi="Garamond"/>
          <w:noProof/>
        </w:rPr>
      </w:pPr>
      <w:r w:rsidRPr="0023334D">
        <w:rPr>
          <w:rFonts w:ascii="Garamond" w:eastAsia="Times New Roman" w:hAnsi="Garamond" w:cs="Times New Roman"/>
          <w:noProof/>
        </w:rPr>
        <w:t>[67]</w:t>
      </w:r>
      <w:r w:rsidRPr="0023334D">
        <w:rPr>
          <w:rFonts w:ascii="Garamond" w:eastAsia="Times New Roman"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1F65F291" w:rsidR="00871236" w:rsidRPr="005149B5" w:rsidRDefault="00871236" w:rsidP="0023334D">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Muthu Periasamy</w:t>
      </w:r>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Markus Ruegg</w:t>
      </w:r>
    </w:p>
    <w:p w14:paraId="74C5ACF2" w14:textId="77777777" w:rsidR="00620D72" w:rsidRDefault="00620D72">
      <w:pPr>
        <w:pStyle w:val="CommentText"/>
      </w:pPr>
    </w:p>
  </w:comment>
  <w:comment w:id="1"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2"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3"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4"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5"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6"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7" w:author="Dave Bridges" w:date="2016-06-09T17:16:00Z" w:initials="DB">
    <w:p w14:paraId="614455D1" w14:textId="486F254D" w:rsidR="00BA3BA0" w:rsidRDefault="00BA3BA0">
      <w:pPr>
        <w:pStyle w:val="CommentText"/>
      </w:pPr>
      <w:r>
        <w:rPr>
          <w:rStyle w:val="CommentReference"/>
        </w:rPr>
        <w:annotationRef/>
      </w:r>
      <w:r>
        <w:t>Quynh please write</w:t>
      </w:r>
    </w:p>
  </w:comment>
  <w:comment w:id="8" w:author="Dave Bridges" w:date="2016-06-09T17:16:00Z" w:initials="DB">
    <w:p w14:paraId="55D27F74" w14:textId="7BAE1ABA" w:rsidR="00BA3BA0" w:rsidRDefault="00BA3BA0">
      <w:pPr>
        <w:pStyle w:val="CommentText"/>
      </w:pPr>
      <w:r>
        <w:rPr>
          <w:rStyle w:val="CommentReference"/>
        </w:rPr>
        <w:annotationRef/>
      </w:r>
      <w:r>
        <w:t>Erin please write</w:t>
      </w:r>
    </w:p>
  </w:comment>
  <w:comment w:id="9"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0"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11"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12" w:author="Dave Bridges" w:date="2015-08-03T08:05:00Z" w:initials="DB">
    <w:p w14:paraId="73DF81C3" w14:textId="0694CCD8" w:rsidR="002613DA" w:rsidRDefault="002613DA">
      <w:pPr>
        <w:pStyle w:val="CommentText"/>
      </w:pPr>
      <w:r>
        <w:rPr>
          <w:rStyle w:val="CommentReference"/>
        </w:rPr>
        <w:annotationRef/>
      </w:r>
      <w:r>
        <w:t>Get this data</w:t>
      </w:r>
    </w:p>
  </w:comment>
  <w:comment w:id="13" w:author="Dave Bridges" w:date="2016-06-08T16:35:00Z" w:initials="DB">
    <w:p w14:paraId="5A8DF493" w14:textId="6D1DF89A" w:rsidR="007756BC" w:rsidRDefault="007756BC">
      <w:pPr>
        <w:pStyle w:val="CommentText"/>
      </w:pPr>
      <w:r>
        <w:rPr>
          <w:rStyle w:val="CommentReference"/>
        </w:rPr>
        <w:annotationRef/>
      </w:r>
      <w:r>
        <w:t>Need to analyse calorimetry studies,</w:t>
      </w:r>
    </w:p>
  </w:comment>
  <w:comment w:id="14"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5" w:author="Dave Bridges" w:date="2016-06-08T16:22:00Z" w:initials="DB">
    <w:p w14:paraId="29B16BFB" w14:textId="0E49EB60" w:rsidR="00E7425C" w:rsidRDefault="00E7425C">
      <w:pPr>
        <w:pStyle w:val="CommentText"/>
      </w:pPr>
      <w:r>
        <w:rPr>
          <w:rStyle w:val="CommentReference"/>
        </w:rPr>
        <w:annotationRef/>
      </w:r>
      <w:r>
        <w:t>Effect size, p-value</w:t>
      </w:r>
    </w:p>
  </w:comment>
  <w:comment w:id="16" w:author="Dave Bridges" w:date="2016-06-08T16:22:00Z" w:initials="DB">
    <w:p w14:paraId="44D777E6" w14:textId="0DC29426" w:rsidR="00E7425C" w:rsidRDefault="00E7425C">
      <w:pPr>
        <w:pStyle w:val="CommentText"/>
      </w:pPr>
      <w:r>
        <w:rPr>
          <w:rStyle w:val="CommentReference"/>
        </w:rPr>
        <w:annotationRef/>
      </w:r>
      <w:r>
        <w:t>Effect size/p-value</w:t>
      </w:r>
    </w:p>
  </w:comment>
  <w:comment w:id="17" w:author="Dave Bridges" w:date="2016-06-08T16:23:00Z" w:initials="DB">
    <w:p w14:paraId="7CBA2348" w14:textId="499E844B" w:rsidR="00E7425C" w:rsidRDefault="00E7425C">
      <w:pPr>
        <w:pStyle w:val="CommentText"/>
      </w:pPr>
      <w:r>
        <w:rPr>
          <w:rStyle w:val="CommentReference"/>
        </w:rPr>
        <w:annotationRef/>
      </w:r>
      <w:r>
        <w:t>Effect size/p-value</w:t>
      </w:r>
    </w:p>
  </w:comment>
  <w:comment w:id="18" w:author="Dave Bridges" w:date="2016-06-21T09:31:00Z" w:initials="DB">
    <w:p w14:paraId="5132E99F" w14:textId="471BA852" w:rsidR="006374B4" w:rsidRDefault="006374B4">
      <w:pPr>
        <w:pStyle w:val="CommentText"/>
      </w:pPr>
      <w:r>
        <w:rPr>
          <w:rStyle w:val="CommentReference"/>
        </w:rPr>
        <w:annotationRef/>
      </w:r>
      <w:r>
        <w:t>Could mention potentially compensatory increases in Stim1 and decreases in Ryr1 and several plasma membrane Ca  TRP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9"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20" w:author="Dave Bridges" w:date="2016-06-09T17:14:00Z" w:initials="DB">
    <w:p w14:paraId="766E22E0" w14:textId="6DA49486" w:rsidR="00AF5598" w:rsidRDefault="00AF5598">
      <w:pPr>
        <w:pStyle w:val="CommentText"/>
      </w:pPr>
      <w:r>
        <w:rPr>
          <w:rStyle w:val="CommentReference"/>
        </w:rPr>
        <w:annotationRef/>
      </w:r>
      <w:r>
        <w:t>May need to remove this, if focus isn’t on protein</w:t>
      </w:r>
    </w:p>
  </w:comment>
  <w:comment w:id="22" w:author="Dave Bridges" w:date="2016-06-21T10:02:00Z" w:initials="DB">
    <w:p w14:paraId="19B78ED3" w14:textId="732F190D" w:rsidR="00804E7C" w:rsidRPr="00804E7C" w:rsidRDefault="00804E7C" w:rsidP="00804E7C">
      <w:pPr>
        <w:pStyle w:val="CommentText"/>
      </w:pPr>
      <w:r>
        <w:rPr>
          <w:rStyle w:val="CommentReference"/>
        </w:rPr>
        <w:annotationRef/>
      </w:r>
      <w:r>
        <w:t>May want to incorporate some ideas from this paper on the other pathophysiologies of disrupted Ca homeostasis (UPR etc):</w:t>
      </w:r>
      <w:r>
        <w:br/>
      </w:r>
      <w:r>
        <w:br/>
      </w:r>
      <w:r w:rsidRPr="00804E7C">
        <w:t>Arruda, A.P., Hotamisligil, G.S., 2015. Calcium homeostasis and organelle function in the pathogenesis of obesity and diabetes. Cell Metabolism 22(3): 381–97, Doi: 10.1016/j.cmet.2015.06.010.</w:t>
      </w:r>
    </w:p>
    <w:p w14:paraId="3E1143CE" w14:textId="6FA7C2A5" w:rsidR="00804E7C" w:rsidRDefault="00804E7C">
      <w:pPr>
        <w:pStyle w:val="CommentText"/>
      </w:pPr>
    </w:p>
  </w:comment>
  <w:comment w:id="23"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805DF2D" w15:done="0"/>
  <w15:commentEx w15:paraId="76D50CC8" w15:done="0"/>
  <w15:commentEx w15:paraId="73DF81C3" w15:done="0"/>
  <w15:commentEx w15:paraId="5A8DF493" w15:done="0"/>
  <w15:commentEx w15:paraId="3F054A2A" w15:done="0"/>
  <w15:commentEx w15:paraId="29B16BFB" w15:done="0"/>
  <w15:commentEx w15:paraId="44D777E6" w15:done="0"/>
  <w15:commentEx w15:paraId="7CBA2348" w15:done="0"/>
  <w15:commentEx w15:paraId="5132E99F" w15:done="0"/>
  <w15:commentEx w15:paraId="6DC4FAE4" w15:done="0"/>
  <w15:commentEx w15:paraId="766E22E0" w15:done="0"/>
  <w15:commentEx w15:paraId="3E1143CE"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692DA" w14:textId="77777777" w:rsidR="00750372" w:rsidRDefault="00750372" w:rsidP="00907F04">
      <w:r>
        <w:separator/>
      </w:r>
    </w:p>
  </w:endnote>
  <w:endnote w:type="continuationSeparator" w:id="0">
    <w:p w14:paraId="3F6BF7AB" w14:textId="77777777" w:rsidR="00750372" w:rsidRDefault="00750372"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0372">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A5EDB" w14:textId="77777777" w:rsidR="00750372" w:rsidRDefault="00750372" w:rsidP="00907F04">
      <w:r>
        <w:separator/>
      </w:r>
    </w:p>
  </w:footnote>
  <w:footnote w:type="continuationSeparator" w:id="0">
    <w:p w14:paraId="436B28F2" w14:textId="77777777" w:rsidR="00750372" w:rsidRDefault="00750372"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11E04"/>
    <w:rsid w:val="00112FF8"/>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A7B4B"/>
    <w:rsid w:val="002B4B3F"/>
    <w:rsid w:val="002B4C32"/>
    <w:rsid w:val="002C7364"/>
    <w:rsid w:val="002D3D11"/>
    <w:rsid w:val="002D65EF"/>
    <w:rsid w:val="002D7887"/>
    <w:rsid w:val="002E25A9"/>
    <w:rsid w:val="002E45D2"/>
    <w:rsid w:val="00303444"/>
    <w:rsid w:val="0032099B"/>
    <w:rsid w:val="00331B56"/>
    <w:rsid w:val="00331F69"/>
    <w:rsid w:val="00334230"/>
    <w:rsid w:val="0033583C"/>
    <w:rsid w:val="003406C3"/>
    <w:rsid w:val="003407C9"/>
    <w:rsid w:val="00344094"/>
    <w:rsid w:val="00353984"/>
    <w:rsid w:val="003669B1"/>
    <w:rsid w:val="00373D35"/>
    <w:rsid w:val="0038762E"/>
    <w:rsid w:val="0039397E"/>
    <w:rsid w:val="00395526"/>
    <w:rsid w:val="0039667E"/>
    <w:rsid w:val="00396BD8"/>
    <w:rsid w:val="003A0720"/>
    <w:rsid w:val="003B6C80"/>
    <w:rsid w:val="003D55EC"/>
    <w:rsid w:val="003E7617"/>
    <w:rsid w:val="003F5BD8"/>
    <w:rsid w:val="003F5FAC"/>
    <w:rsid w:val="003F6A53"/>
    <w:rsid w:val="00403E87"/>
    <w:rsid w:val="00412036"/>
    <w:rsid w:val="00426050"/>
    <w:rsid w:val="00427FDD"/>
    <w:rsid w:val="004344F0"/>
    <w:rsid w:val="00445957"/>
    <w:rsid w:val="0045067A"/>
    <w:rsid w:val="00451202"/>
    <w:rsid w:val="0045120B"/>
    <w:rsid w:val="0045183A"/>
    <w:rsid w:val="004555BE"/>
    <w:rsid w:val="0046122A"/>
    <w:rsid w:val="004905D8"/>
    <w:rsid w:val="00496EF3"/>
    <w:rsid w:val="004A2F25"/>
    <w:rsid w:val="004A33CD"/>
    <w:rsid w:val="004B4BBE"/>
    <w:rsid w:val="004C18FC"/>
    <w:rsid w:val="004C281E"/>
    <w:rsid w:val="004C5CD7"/>
    <w:rsid w:val="004C6C48"/>
    <w:rsid w:val="004D0DD4"/>
    <w:rsid w:val="004D4201"/>
    <w:rsid w:val="004D440C"/>
    <w:rsid w:val="004D7062"/>
    <w:rsid w:val="004F062C"/>
    <w:rsid w:val="004F7AD9"/>
    <w:rsid w:val="005008B3"/>
    <w:rsid w:val="00502679"/>
    <w:rsid w:val="00502BBA"/>
    <w:rsid w:val="00504B90"/>
    <w:rsid w:val="0050751B"/>
    <w:rsid w:val="005149B5"/>
    <w:rsid w:val="005169CA"/>
    <w:rsid w:val="0052183D"/>
    <w:rsid w:val="00526B0E"/>
    <w:rsid w:val="00531AD6"/>
    <w:rsid w:val="00573A9D"/>
    <w:rsid w:val="00574315"/>
    <w:rsid w:val="005838B0"/>
    <w:rsid w:val="00583F7C"/>
    <w:rsid w:val="005858D1"/>
    <w:rsid w:val="005F1E8E"/>
    <w:rsid w:val="00620D72"/>
    <w:rsid w:val="00620F42"/>
    <w:rsid w:val="006374B4"/>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1EED"/>
    <w:rsid w:val="00736644"/>
    <w:rsid w:val="00750372"/>
    <w:rsid w:val="00762EF3"/>
    <w:rsid w:val="007756BC"/>
    <w:rsid w:val="00794576"/>
    <w:rsid w:val="007B0A52"/>
    <w:rsid w:val="007B624A"/>
    <w:rsid w:val="007B7AEB"/>
    <w:rsid w:val="007C0FAF"/>
    <w:rsid w:val="007C4F6A"/>
    <w:rsid w:val="007D199B"/>
    <w:rsid w:val="007D1A22"/>
    <w:rsid w:val="007D4121"/>
    <w:rsid w:val="007E574F"/>
    <w:rsid w:val="007F46DE"/>
    <w:rsid w:val="00802891"/>
    <w:rsid w:val="0080402E"/>
    <w:rsid w:val="00804E7C"/>
    <w:rsid w:val="00815FB0"/>
    <w:rsid w:val="00823A14"/>
    <w:rsid w:val="00841CC6"/>
    <w:rsid w:val="00842DEC"/>
    <w:rsid w:val="008437EE"/>
    <w:rsid w:val="008545F6"/>
    <w:rsid w:val="0086281F"/>
    <w:rsid w:val="00864774"/>
    <w:rsid w:val="00864B68"/>
    <w:rsid w:val="00871236"/>
    <w:rsid w:val="00881C69"/>
    <w:rsid w:val="00882B61"/>
    <w:rsid w:val="008947CA"/>
    <w:rsid w:val="008A11B9"/>
    <w:rsid w:val="008A506B"/>
    <w:rsid w:val="008B795B"/>
    <w:rsid w:val="008C44ED"/>
    <w:rsid w:val="008E02A2"/>
    <w:rsid w:val="008E07CF"/>
    <w:rsid w:val="009010AA"/>
    <w:rsid w:val="00901963"/>
    <w:rsid w:val="00907F04"/>
    <w:rsid w:val="00910E93"/>
    <w:rsid w:val="00921CEC"/>
    <w:rsid w:val="009234CA"/>
    <w:rsid w:val="00926840"/>
    <w:rsid w:val="00931A46"/>
    <w:rsid w:val="00940644"/>
    <w:rsid w:val="00944379"/>
    <w:rsid w:val="009452DB"/>
    <w:rsid w:val="00972512"/>
    <w:rsid w:val="00974B1E"/>
    <w:rsid w:val="00980BD7"/>
    <w:rsid w:val="00991A54"/>
    <w:rsid w:val="00996376"/>
    <w:rsid w:val="009B110D"/>
    <w:rsid w:val="009D0FFE"/>
    <w:rsid w:val="009D1EBE"/>
    <w:rsid w:val="009F47C8"/>
    <w:rsid w:val="00A01F29"/>
    <w:rsid w:val="00A04704"/>
    <w:rsid w:val="00A04A3A"/>
    <w:rsid w:val="00A078F6"/>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AF5598"/>
    <w:rsid w:val="00B10A19"/>
    <w:rsid w:val="00B1423F"/>
    <w:rsid w:val="00B20F63"/>
    <w:rsid w:val="00B3409A"/>
    <w:rsid w:val="00B4027F"/>
    <w:rsid w:val="00B4522B"/>
    <w:rsid w:val="00B457C1"/>
    <w:rsid w:val="00B77490"/>
    <w:rsid w:val="00B80ABE"/>
    <w:rsid w:val="00B83F46"/>
    <w:rsid w:val="00B90CD2"/>
    <w:rsid w:val="00B91EDD"/>
    <w:rsid w:val="00B96350"/>
    <w:rsid w:val="00BA3BA0"/>
    <w:rsid w:val="00BC2B3A"/>
    <w:rsid w:val="00BE33EC"/>
    <w:rsid w:val="00BF2F76"/>
    <w:rsid w:val="00C10DEF"/>
    <w:rsid w:val="00C13E13"/>
    <w:rsid w:val="00C4123A"/>
    <w:rsid w:val="00C50D02"/>
    <w:rsid w:val="00C6712D"/>
    <w:rsid w:val="00C868B8"/>
    <w:rsid w:val="00C913F9"/>
    <w:rsid w:val="00CA664B"/>
    <w:rsid w:val="00CB219E"/>
    <w:rsid w:val="00CD1EC4"/>
    <w:rsid w:val="00CE61CD"/>
    <w:rsid w:val="00CE66CE"/>
    <w:rsid w:val="00CE7E88"/>
    <w:rsid w:val="00CF2D53"/>
    <w:rsid w:val="00D011BE"/>
    <w:rsid w:val="00D04DA3"/>
    <w:rsid w:val="00D05FF7"/>
    <w:rsid w:val="00D07027"/>
    <w:rsid w:val="00D07952"/>
    <w:rsid w:val="00D2057A"/>
    <w:rsid w:val="00D300E1"/>
    <w:rsid w:val="00D45DD4"/>
    <w:rsid w:val="00D515A5"/>
    <w:rsid w:val="00D52992"/>
    <w:rsid w:val="00D5799A"/>
    <w:rsid w:val="00D75864"/>
    <w:rsid w:val="00D8601B"/>
    <w:rsid w:val="00D863F7"/>
    <w:rsid w:val="00D95C50"/>
    <w:rsid w:val="00DA21D3"/>
    <w:rsid w:val="00DD2A58"/>
    <w:rsid w:val="00DD3F13"/>
    <w:rsid w:val="00DE3A03"/>
    <w:rsid w:val="00E00396"/>
    <w:rsid w:val="00E01C7B"/>
    <w:rsid w:val="00E11C5F"/>
    <w:rsid w:val="00E22913"/>
    <w:rsid w:val="00E2598A"/>
    <w:rsid w:val="00E26D9D"/>
    <w:rsid w:val="00E32EF3"/>
    <w:rsid w:val="00E35E47"/>
    <w:rsid w:val="00E447C3"/>
    <w:rsid w:val="00E522BC"/>
    <w:rsid w:val="00E55F38"/>
    <w:rsid w:val="00E7425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75ACE"/>
    <w:rsid w:val="00F811D4"/>
    <w:rsid w:val="00F82FCB"/>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15</Pages>
  <Words>53240</Words>
  <Characters>303471</Characters>
  <Application>Microsoft Macintosh Word</Application>
  <DocSecurity>0</DocSecurity>
  <Lines>2528</Lines>
  <Paragraphs>711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Muscle mTORC1 Activation Causes Reduced Adiposity in Mice </vt:lpstr>
      <vt:lpstr>Abstract</vt:lpstr>
      <vt:lpstr>Introduction</vt:lpstr>
      <vt:lpstr>Methods and Materials</vt:lpstr>
      <vt:lpstr>    Animal Husbandry</vt:lpstr>
      <vt:lpstr>    Body Composition and Calorimetry</vt:lpstr>
      <vt:lpstr>    Western Blotting</vt:lpstr>
    </vt:vector>
  </TitlesOfParts>
  <Company>UT-HSC</Company>
  <LinksUpToDate>false</LinksUpToDate>
  <CharactersWithSpaces>356000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218</cp:revision>
  <cp:lastPrinted>2016-06-09T20:59:00Z</cp:lastPrinted>
  <dcterms:created xsi:type="dcterms:W3CDTF">2015-07-01T15:40:00Z</dcterms:created>
  <dcterms:modified xsi:type="dcterms:W3CDTF">2016-06-21T14:02:00Z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