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604CB365"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constituent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5169FC4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16237958"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
      <w:commentRangeStart w:id="4"/>
      <w:r w:rsidR="00B80ABE" w:rsidRPr="004C0A6E">
        <w:rPr>
          <w:rFonts w:asciiTheme="minorHAnsi" w:hAnsiTheme="minorHAnsi"/>
        </w:rPr>
        <w:t>Harlan Teklad</w:t>
      </w:r>
      <w:commentRangeEnd w:id="3"/>
      <w:r w:rsidR="00B80ABE" w:rsidRPr="004C0A6E">
        <w:rPr>
          <w:rStyle w:val="CommentReference"/>
          <w:rFonts w:asciiTheme="minorHAnsi" w:hAnsiTheme="minorHAnsi"/>
        </w:rPr>
        <w:commentReference w:id="3"/>
      </w:r>
      <w:commentRangeEnd w:id="4"/>
      <w:r w:rsidR="00414DD7">
        <w:rPr>
          <w:rFonts w:asciiTheme="minorHAnsi" w:hAnsiTheme="minorHAnsi"/>
        </w:rPr>
        <w:t xml:space="preserve"> (catalog # 7912)</w:t>
      </w:r>
      <w:r w:rsidR="00415CEB">
        <w:rPr>
          <w:rStyle w:val="CommentReference"/>
          <w:rFonts w:asciiTheme="minorHAnsi" w:hAnsiTheme="minorHAnsi" w:cstheme="minorBidi"/>
        </w:rPr>
        <w:commentReference w:id="4"/>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C07393">
        <w:rPr>
          <w:rFonts w:asciiTheme="minorHAnsi" w:hAnsiTheme="minorHAnsi"/>
        </w:rPr>
        <w:t>Feeding of t</w:t>
      </w:r>
      <w:r w:rsidR="003669B1" w:rsidRPr="004C0A6E">
        <w:rPr>
          <w:rFonts w:asciiTheme="minorHAnsi" w:hAnsiTheme="minorHAnsi"/>
        </w:rPr>
        <w:t>his diet started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FVB-Tg(</w:t>
      </w:r>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floxed allele, and either</w:t>
      </w:r>
      <w:r w:rsidR="00972512" w:rsidRPr="00B17BC0">
        <w:rPr>
          <w:rFonts w:asciiTheme="minorHAnsi" w:hAnsiTheme="minorHAnsi"/>
          <w:bCs/>
        </w:rPr>
        <w:t xml:space="preserve"> had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EchoMRI (Echo MRI1100, Houston, TX) </w:t>
      </w:r>
      <w:r w:rsidR="007276B1" w:rsidRPr="00B17BC0">
        <w:rPr>
          <w:rFonts w:asciiTheme="minorHAnsi" w:hAnsiTheme="minorHAnsi"/>
        </w:rPr>
        <w:lastRenderedPageBreak/>
        <w:t>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ollowing a 6 hr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r w:rsidR="00FF3C23" w:rsidRPr="00B17BC0">
        <w:rPr>
          <w:rFonts w:asciiTheme="minorHAnsi" w:hAnsiTheme="minorHAnsi"/>
        </w:rPr>
        <w:t>LifeScan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20EDA9B8"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ins w:id="5" w:author="Dave Bridges" w:date="2019-05-20T08:06:00Z">
        <w:r w:rsidR="00635817">
          <w:rPr>
            <w:rFonts w:asciiTheme="minorHAnsi" w:hAnsiTheme="minorHAnsi"/>
          </w:rPr>
          <w:t xml:space="preserve">Ambulatory activity was calculated as the sum of x and y axis beam breaks.  </w:t>
        </w:r>
      </w:ins>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Oxymax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mM Tris pH 7.4, 0.25% sodium deoxycholate, 1% NP40, 150 mM sodium choride, 1 mM EDTA, 100 </w:t>
      </w:r>
      <w:r w:rsidR="006F5D2C" w:rsidRPr="00EE6832">
        <w:rPr>
          <w:rFonts w:asciiTheme="minorHAnsi" w:hAnsiTheme="minorHAnsi"/>
        </w:rPr>
        <w:t>μ</w:t>
      </w:r>
      <w:r w:rsidR="00C50D02" w:rsidRPr="00EE6832">
        <w:rPr>
          <w:rFonts w:asciiTheme="minorHAnsi" w:hAnsiTheme="minorHAnsi"/>
        </w:rPr>
        <w:t>M sodium vanadate, 5mM sodium fluoride, 10 mM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mM HEPES, pH 7.4, 150 mM sodium chloride, 10% glycerol, 10% triton X-100 and 1X protease inhibitors) </w:t>
      </w:r>
      <w:r w:rsidRPr="00EE6832">
        <w:rPr>
          <w:rFonts w:asciiTheme="minorHAnsi" w:hAnsiTheme="minorHAnsi"/>
        </w:rPr>
        <w:t>by mechanical disruption in a Qialyser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 xml:space="preserve">Primary </w:t>
      </w:r>
      <w:commentRangeStart w:id="6"/>
      <w:r w:rsidR="000B0032">
        <w:rPr>
          <w:rFonts w:asciiTheme="minorHAnsi" w:hAnsiTheme="minorHAnsi"/>
        </w:rPr>
        <w:t>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7"/>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7"/>
      <w:r w:rsidR="000B0032">
        <w:rPr>
          <w:rStyle w:val="CommentReference"/>
          <w:rFonts w:asciiTheme="minorHAnsi" w:hAnsiTheme="minorHAnsi" w:cstheme="minorBidi"/>
        </w:rPr>
        <w:commentReference w:id="7"/>
      </w:r>
      <w:r w:rsidR="002D65EF" w:rsidRPr="00EE6832">
        <w:rPr>
          <w:rFonts w:asciiTheme="minorHAnsi" w:hAnsiTheme="minorHAnsi"/>
        </w:rPr>
        <w:t xml:space="preserve">.  </w:t>
      </w:r>
      <w:commentRangeEnd w:id="6"/>
      <w:r w:rsidR="00A269C3" w:rsidRPr="00EE6832">
        <w:rPr>
          <w:rStyle w:val="CommentReference"/>
          <w:rFonts w:asciiTheme="minorHAnsi" w:hAnsiTheme="minorHAnsi"/>
        </w:rPr>
        <w:commentReference w:id="6"/>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LiCor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77BC88E6"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μg) was enriched for Poly A RNA using </w:t>
      </w:r>
      <w:r w:rsidR="005208D2" w:rsidRPr="00ED672B">
        <w:rPr>
          <w:rFonts w:asciiTheme="minorHAnsi" w:eastAsiaTheme="minorEastAsia" w:hAnsiTheme="minorHAnsi" w:cstheme="minorBidi"/>
          <w:b w:val="0"/>
          <w:bCs w:val="0"/>
          <w:color w:val="auto"/>
          <w:sz w:val="24"/>
          <w:szCs w:val="24"/>
        </w:rPr>
        <w:t xml:space="preserve">an </w:t>
      </w:r>
      <w:r w:rsidRPr="00ED672B">
        <w:rPr>
          <w:rFonts w:asciiTheme="minorHAnsi" w:eastAsiaTheme="minorEastAsia" w:hAnsiTheme="minorHAnsi" w:cstheme="minorBidi"/>
          <w:b w:val="0"/>
          <w:bCs w:val="0"/>
          <w:color w:val="auto"/>
          <w:sz w:val="24"/>
          <w:szCs w:val="24"/>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colorspace data.  Counts tables were generated using HTSeq version 0.5.4p5 </w:t>
      </w:r>
      <w:r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8"/>
      <w:r w:rsidR="00F346A2" w:rsidRPr="00ED672B">
        <w:rPr>
          <w:rFonts w:asciiTheme="minorHAnsi" w:eastAsiaTheme="minorEastAsia" w:hAnsiTheme="minorHAnsi" w:cstheme="minorBidi"/>
          <w:b w:val="0"/>
          <w:bCs w:val="0"/>
          <w:color w:val="auto"/>
          <w:sz w:val="24"/>
          <w:szCs w:val="24"/>
        </w:rPr>
        <w:t>XXXX</w:t>
      </w:r>
      <w:commentRangeEnd w:id="8"/>
      <w:r w:rsidR="00F346A2" w:rsidRPr="00ED672B">
        <w:rPr>
          <w:rStyle w:val="CommentReference"/>
          <w:rFonts w:asciiTheme="minorHAnsi" w:eastAsiaTheme="minorEastAsia" w:hAnsiTheme="minorHAnsi" w:cstheme="minorBidi"/>
          <w:b w:val="0"/>
          <w:bCs w:val="0"/>
          <w:color w:val="auto"/>
        </w:rPr>
        <w:commentReference w:id="8"/>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Biocarta, </w:t>
      </w:r>
      <w:r w:rsidR="00631986" w:rsidRPr="00ED672B">
        <w:rPr>
          <w:rFonts w:asciiTheme="minorHAnsi" w:eastAsiaTheme="minorEastAsia" w:hAnsiTheme="minorHAnsi" w:cstheme="minorBidi"/>
          <w:b w:val="0"/>
          <w:bCs w:val="0"/>
          <w:color w:val="auto"/>
          <w:sz w:val="24"/>
          <w:szCs w:val="24"/>
        </w:rPr>
        <w:t xml:space="preserve">Reactome, </w:t>
      </w:r>
      <w:r w:rsidR="00B421EE" w:rsidRPr="00ED672B">
        <w:rPr>
          <w:rFonts w:asciiTheme="minorHAnsi" w:eastAsiaTheme="minorEastAsia" w:hAnsiTheme="minorHAnsi" w:cstheme="minorBidi"/>
          <w:b w:val="0"/>
          <w:bCs w:val="0"/>
          <w:color w:val="auto"/>
          <w:sz w:val="24"/>
          <w:szCs w:val="24"/>
        </w:rPr>
        <w:t xml:space="preserve">TRANSFAC and CGP provided as part of MSigDB v6.2 </w:t>
      </w:r>
      <w:r w:rsidR="00B421EE"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204C8C">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550C6EB4"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7B329A3" w:rsidR="00EE7DA9" w:rsidRPr="008F623B" w:rsidRDefault="00F0463F" w:rsidP="00EF624B">
      <w:pPr>
        <w:jc w:val="both"/>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a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A5D7EE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1E,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683365F1"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gain.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ins w:id="9" w:author="Dave Bridges" w:date="2019-05-20T08:48:00Z">
        <w:r w:rsidR="00ED50EC">
          <w:rPr>
            <w:rFonts w:asciiTheme="minorHAnsi" w:hAnsiTheme="minorHAnsi"/>
          </w:rPr>
          <w:t>ac</w:t>
        </w:r>
      </w:ins>
      <w:ins w:id="10" w:author="Dave Bridges" w:date="2019-05-20T08:49:00Z">
        <w:r w:rsidR="009A7EF2">
          <w:rPr>
            <w:rFonts w:asciiTheme="minorHAnsi" w:hAnsiTheme="minorHAnsi"/>
          </w:rPr>
          <w:t>c</w:t>
        </w:r>
      </w:ins>
      <w:ins w:id="11" w:author="Dave Bridges" w:date="2019-05-20T08:48:00Z">
        <w:r w:rsidR="00ED50EC">
          <w:rPr>
            <w:rFonts w:asciiTheme="minorHAnsi" w:hAnsiTheme="minorHAnsi"/>
          </w:rPr>
          <w:t xml:space="preserve">ross both sexes </w:t>
        </w:r>
      </w:ins>
      <w:r w:rsidR="00A2077A" w:rsidRPr="00DA16D7">
        <w:rPr>
          <w:rFonts w:asciiTheme="minorHAnsi" w:hAnsiTheme="minorHAnsi"/>
        </w:rPr>
        <w:t xml:space="preserve">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xml:space="preserve">, </w:t>
      </w:r>
      <w:commentRangeStart w:id="12"/>
      <w:r w:rsidR="00135321" w:rsidRPr="00DA16D7">
        <w:rPr>
          <w:rFonts w:asciiTheme="minorHAnsi" w:hAnsiTheme="minorHAnsi"/>
        </w:rPr>
        <w:t>p=0.941</w:t>
      </w:r>
      <w:commentRangeEnd w:id="12"/>
      <w:r w:rsidR="00EE1508">
        <w:rPr>
          <w:rStyle w:val="CommentReference"/>
          <w:rFonts w:asciiTheme="minorHAnsi" w:hAnsiTheme="minorHAnsi" w:cstheme="minorBidi"/>
        </w:rPr>
        <w:commentReference w:id="12"/>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Pr>
          <w:rFonts w:asciiTheme="minorHAnsi" w:hAnsiTheme="minorHAns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EF624B">
      <w:pPr>
        <w:jc w:val="both"/>
        <w:rPr>
          <w:rFonts w:asciiTheme="minorHAnsi" w:hAnsiTheme="minorHAnsi"/>
        </w:rPr>
      </w:pPr>
    </w:p>
    <w:p w14:paraId="3BD73669" w14:textId="6E7FCA2C"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lipodystrophic,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58D2F81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w:t>
      </w:r>
      <w:r w:rsidR="00834945" w:rsidRPr="00DA16D7">
        <w:rPr>
          <w:rFonts w:asciiTheme="minorHAnsi" w:hAnsiTheme="minorHAnsi"/>
        </w:rPr>
        <w:lastRenderedPageBreak/>
        <w:t>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(Figure 4E)</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0A965130" w14:textId="408606D8" w:rsidR="006946FD" w:rsidRPr="00DA16D7" w:rsidRDefault="006946FD" w:rsidP="006946FD">
      <w:pPr>
        <w:pStyle w:val="Heading2"/>
        <w:jc w:val="both"/>
        <w:rPr>
          <w:rFonts w:asciiTheme="minorHAnsi" w:hAnsiTheme="minorHAnsi"/>
        </w:rPr>
      </w:pPr>
      <w:r>
        <w:rPr>
          <w:rFonts w:asciiTheme="minorHAnsi" w:hAnsiTheme="minorHAnsi"/>
        </w:rPr>
        <w:t>Constituent mTORC1 Activation Increases the Oxidative Profile of Skeletal Muscle</w:t>
      </w:r>
      <w:r w:rsidR="00827301">
        <w:rPr>
          <w:rFonts w:asciiTheme="minorHAnsi" w:hAnsiTheme="minorHAnsi"/>
        </w:rPr>
        <w:t xml:space="preserve"> </w:t>
      </w:r>
    </w:p>
    <w:p w14:paraId="6DBD8E86" w14:textId="188F0513"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Pvalb,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543033F0"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39828E3"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0C7C78">
        <w:rPr>
          <w:rFonts w:ascii="Cambria Math" w:hAnsi="Cambria Math" w:cs="Cambria Math"/>
        </w:rPr>
        <w:instrText>∼</w:instrText>
      </w:r>
      <w:r w:rsidR="000C7C78">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0C7C78">
        <w:rPr>
          <w:rFonts w:ascii="Cambria Math" w:hAnsi="Cambria Math" w:cs="Cambria Math"/>
        </w:rPr>
        <w:instrText>∼</w:instrText>
      </w:r>
      <w:r w:rsidR="000C7C78">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[60,61]</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C. elegans</w:t>
      </w:r>
      <w:r w:rsidR="001D06A0" w:rsidRPr="00C2256A">
        <w:rPr>
          <w:rFonts w:asciiTheme="minorHAnsi" w:hAnsiTheme="minorHAnsi"/>
        </w:rPr>
        <w:t xml:space="preserve"> </w:t>
      </w:r>
      <w:r w:rsidR="001D06A0">
        <w:rPr>
          <w:rFonts w:asciiTheme="minorHAnsi" w:hAnsiTheme="minorHAnsi"/>
        </w:rPr>
        <w:fldChar w:fldCharType="begin" w:fldLock="1"/>
      </w:r>
      <w:r w:rsidR="000C7C78">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[62,63]</w:t>
      </w:r>
      <w:r w:rsidR="001D06A0">
        <w:rPr>
          <w:rFonts w:asciiTheme="minorHAnsi" w:hAnsiTheme="minorHAnsi"/>
        </w:rPr>
        <w:fldChar w:fldCharType="end"/>
      </w:r>
      <w:r w:rsidR="003572E1">
        <w:rPr>
          <w:rFonts w:asciiTheme="minorHAnsi" w:hAnsiTheme="minorHAnsi"/>
        </w:rPr>
        <w:t xml:space="preserve"> and mice</w:t>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[64,65]</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[65–71]</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0C7C78">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001D06A0" w:rsidRPr="00C2256A">
        <w:rPr>
          <w:rFonts w:asciiTheme="minorHAnsi" w:hAnsiTheme="minorHAnsi"/>
        </w:rPr>
        <w:fldChar w:fldCharType="separate"/>
      </w:r>
      <w:r w:rsidR="00204C8C" w:rsidRPr="00204C8C">
        <w:rPr>
          <w:rFonts w:asciiTheme="minorHAnsi" w:hAnsiTheme="minorHAnsi"/>
          <w:noProof/>
        </w:rPr>
        <w:t>[72–74]</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0C7C78">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[75]</w:t>
      </w:r>
      <w:r w:rsidR="001D06A0">
        <w:rPr>
          <w:rFonts w:asciiTheme="minorHAnsi" w:hAnsiTheme="minorHAnsi"/>
        </w:rPr>
        <w:fldChar w:fldCharType="end"/>
      </w:r>
      <w:r w:rsidR="001D06A0" w:rsidRPr="00C2256A">
        <w:rPr>
          <w:rFonts w:asciiTheme="minorHAnsi" w:hAnsiTheme="minorHAnsi"/>
        </w:rPr>
        <w:t xml:space="preserve">, supporting a role for </w:t>
      </w:r>
      <w:r w:rsidR="001D06A0" w:rsidRPr="00C2256A">
        <w:rPr>
          <w:rFonts w:asciiTheme="minorHAnsi" w:hAnsiTheme="minorHAnsi"/>
        </w:rPr>
        <w:lastRenderedPageBreak/>
        <w:t>decreased mTOR signaling in human longevity</w:t>
      </w:r>
      <w:r w:rsidR="001D06A0">
        <w:rPr>
          <w:rFonts w:asciiTheme="minorHAnsi" w:hAnsiTheme="minorHAnsi"/>
        </w:rPr>
        <w:t xml:space="preserve">, whereas in rats, inhibition of mTORC1 via rapalog treatment ameliorates age-related sarcopenia </w:t>
      </w:r>
      <w:r w:rsidR="001D06A0">
        <w:rPr>
          <w:rFonts w:asciiTheme="minorHAnsi" w:hAnsiTheme="minorHAnsi"/>
        </w:rPr>
        <w:fldChar w:fldCharType="begin" w:fldLock="1"/>
      </w:r>
      <w:r w:rsidR="000C7C78">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sidR="001D06A0">
        <w:rPr>
          <w:rFonts w:asciiTheme="minorHAnsi" w:hAnsiTheme="minorHAnsi"/>
        </w:rPr>
        <w:fldChar w:fldCharType="separate"/>
      </w:r>
      <w:r w:rsidR="00204C8C" w:rsidRPr="00204C8C">
        <w:rPr>
          <w:rFonts w:asciiTheme="minorHAnsi" w:hAnsiTheme="minorHAnsi"/>
          <w:noProof/>
        </w:rPr>
        <w:t>[76]</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579A75FA"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608EE0BB"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658E957"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lastRenderedPageBreak/>
        <w:t>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E98AB0D"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226C3EA7"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614DCA88" w:rsidR="003745B1" w:rsidRPr="000D7DED" w:rsidRDefault="00F81C56" w:rsidP="00EF624B">
      <w:pPr>
        <w:jc w:val="both"/>
        <w:rPr>
          <w:rFonts w:asciiTheme="minorHAnsi" w:hAnsiTheme="minorHAnsi"/>
        </w:rPr>
      </w:pPr>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BAT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t>
      </w:r>
      <w:r w:rsidR="005601B4">
        <w:rPr>
          <w:rFonts w:asciiTheme="minorHAnsi" w:hAnsiTheme="minorHAnsi"/>
        </w:rPr>
        <w:lastRenderedPageBreak/>
        <w:t>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3"/>
      <w:r w:rsidR="001E0A5E" w:rsidRPr="00160141">
        <w:rPr>
          <w:rFonts w:asciiTheme="minorHAnsi" w:hAnsiTheme="minorHAnsi"/>
        </w:rPr>
        <w:t xml:space="preserve">XXXX </w:t>
      </w:r>
      <w:commentRangeEnd w:id="13"/>
      <w:r w:rsidR="00E22913" w:rsidRPr="00160141">
        <w:rPr>
          <w:rStyle w:val="CommentReference"/>
          <w:rFonts w:asciiTheme="minorHAnsi" w:hAnsiTheme="minorHAnsi"/>
        </w:rPr>
        <w:commentReference w:id="13"/>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w:t>
      </w:r>
      <w:r w:rsidRPr="000C7C78">
        <w:rPr>
          <w:rFonts w:ascii="Garamond" w:hAnsi="Garamond"/>
          <w:noProof/>
        </w:rPr>
        <w:tab/>
        <w:t>Leibel, R.L., Hirsch, J., 1984. 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 xml:space="preserve">Sumithran, P., Prendergast, L.A., Delbridge, E., Purcell, K., Shulkes, A., Kriketos, A., </w:t>
      </w:r>
      <w:r w:rsidRPr="000C7C78">
        <w:rPr>
          <w:rFonts w:ascii="Garamond" w:hAnsi="Garamond"/>
          <w:noProof/>
        </w:rPr>
        <w:lastRenderedPageBreak/>
        <w:t>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w:t>
      </w:r>
      <w:r w:rsidRPr="000C7C78">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[20]</w:t>
      </w:r>
      <w:r w:rsidRPr="000C7C78">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[21]</w:t>
      </w:r>
      <w:r w:rsidRPr="000C7C78">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 xml:space="preserve">Gale, C.R., Martyn, C.N., Cooper, C., Sayer, A.A., 2007. Grip strength, body </w:t>
      </w:r>
      <w:r w:rsidRPr="000C7C78">
        <w:rPr>
          <w:rFonts w:ascii="Garamond" w:hAnsi="Garamond"/>
          <w:noProof/>
        </w:rPr>
        <w:lastRenderedPageBreak/>
        <w:t>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[38]</w:t>
      </w:r>
      <w:r w:rsidRPr="000C7C78">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[46]</w:t>
      </w:r>
      <w:r w:rsidRPr="000C7C78">
        <w:rPr>
          <w:rFonts w:ascii="Garamond" w:hAnsi="Garamond"/>
          <w:noProof/>
        </w:rPr>
        <w:tab/>
        <w:t>Bates, D.M., Mächler, M., Bolker, B., Walker, S., 2014. 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0C7C78">
        <w:rPr>
          <w:rFonts w:ascii="Garamond" w:hAnsi="Garamond"/>
          <w:noProof/>
        </w:rPr>
        <w:lastRenderedPageBreak/>
        <w:t>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[72]</w:t>
      </w:r>
      <w:r w:rsidRPr="000C7C78">
        <w:rPr>
          <w:rFonts w:ascii="Garamond" w:hAnsi="Garamond"/>
          <w:noProof/>
        </w:rPr>
        <w:tab/>
        <w:t>Giannakou, M.E., Goss, M., Jünger, M.A., Hafen, E., Leevers, S.J., Partridge, L., 2004. Long-lived Drosophila with overexpressed dFOXO in adult fat body. Science 305(5682): 361, Doi: 10.1126/science.1098219.</w:t>
      </w:r>
    </w:p>
    <w:p w14:paraId="20AB62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[73]</w:t>
      </w:r>
      <w:r w:rsidRPr="000C7C78">
        <w:rPr>
          <w:rFonts w:ascii="Garamond" w:hAnsi="Garamond"/>
          <w:noProof/>
        </w:rPr>
        <w:tab/>
        <w:t>Hwangbo, D.S., Gershman, B., Tu, M.-P., Palmer, M., Tatar, M., 2004. Drosophila dFOXO controls lifespan and regulates insulin signalling in brain and fat body. 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[74]</w:t>
      </w:r>
      <w:r w:rsidRPr="000C7C78">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[78]</w:t>
      </w:r>
      <w:r w:rsidRPr="000C7C78">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 xml:space="preserve">Graber, T.G., Fry, C.S., Brightwell, C.R., Moro, T., Maroto, R., Bhattari, N., et al., 2019. Skeletal Muscle Specific Knockout of DEP-like domain-containing 5 Increases mTORC1 Signaling, Muscle Cell Hypertrophy, and Mitochondrial Respiration. </w:t>
      </w:r>
      <w:r w:rsidRPr="000C7C78">
        <w:rPr>
          <w:rFonts w:ascii="Garamond" w:hAnsi="Garamond"/>
          <w:noProof/>
        </w:rPr>
        <w:lastRenderedPageBreak/>
        <w:t>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bookmarkStart w:id="14" w:name="_GoBack"/>
      <w:bookmarkEnd w:id="14"/>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standard chow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66E6EE7"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Supplementary Figure 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CC7AB4E" w14:textId="77777777" w:rsidR="00A34A4F" w:rsidRPr="0055077F" w:rsidRDefault="00A34A4F" w:rsidP="00110665">
      <w:pPr>
        <w:spacing w:before="200"/>
        <w:jc w:val="both"/>
        <w:rPr>
          <w:rFonts w:asciiTheme="minorHAnsi" w:hAnsiTheme="minorHAnsi"/>
        </w:rPr>
      </w:pPr>
    </w:p>
    <w:p w14:paraId="3C0AE787" w14:textId="5440931C"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0224BF" w:rsidRDefault="000224BF">
      <w:pPr>
        <w:pStyle w:val="CommentText"/>
      </w:pPr>
      <w:r>
        <w:rPr>
          <w:rStyle w:val="CommentReference"/>
        </w:rPr>
        <w:annotationRef/>
      </w:r>
      <w:r>
        <w:t>Potential reviewers:</w:t>
      </w:r>
      <w:r>
        <w:br/>
        <w:t>Leslie Kozak</w:t>
      </w:r>
    </w:p>
    <w:p w14:paraId="655AA1B3" w14:textId="7C7988D3" w:rsidR="000224BF" w:rsidRDefault="000224BF">
      <w:pPr>
        <w:pStyle w:val="CommentText"/>
      </w:pPr>
      <w:r>
        <w:t>Muthu Periasamy</w:t>
      </w:r>
    </w:p>
    <w:p w14:paraId="7A21C46D" w14:textId="03637713" w:rsidR="000224BF" w:rsidRDefault="000224BF">
      <w:pPr>
        <w:pStyle w:val="CommentText"/>
      </w:pPr>
      <w:r>
        <w:t>David Guertin</w:t>
      </w:r>
    </w:p>
    <w:p w14:paraId="5D82F0F9" w14:textId="1CD36490" w:rsidR="000224BF" w:rsidRDefault="000224BF">
      <w:pPr>
        <w:pStyle w:val="CommentText"/>
      </w:pPr>
      <w:r>
        <w:t>Michael Hall</w:t>
      </w:r>
    </w:p>
    <w:p w14:paraId="19DBB59F" w14:textId="5E88A870" w:rsidR="000224BF" w:rsidRDefault="000224BF">
      <w:pPr>
        <w:pStyle w:val="CommentText"/>
      </w:pPr>
      <w:r>
        <w:t>Markus Ruegg</w:t>
      </w:r>
    </w:p>
    <w:p w14:paraId="74C5ACF2" w14:textId="77777777" w:rsidR="000224BF" w:rsidRDefault="000224BF">
      <w:pPr>
        <w:pStyle w:val="CommentText"/>
      </w:pPr>
    </w:p>
  </w:comment>
  <w:comment w:id="1"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2"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3" w:author="Dave Bridges" w:date="2015-09-11T08:32:00Z" w:initials="DB">
    <w:p w14:paraId="780C7A5B" w14:textId="4D228BDB" w:rsidR="000224BF" w:rsidRDefault="000224BF">
      <w:pPr>
        <w:pStyle w:val="CommentText"/>
      </w:pPr>
      <w:r>
        <w:rPr>
          <w:rStyle w:val="CommentReference"/>
        </w:rPr>
        <w:annotationRef/>
      </w:r>
      <w:r>
        <w:t>JeAnna can you find out the stock number for the normal chow diets</w:t>
      </w:r>
    </w:p>
    <w:p w14:paraId="31DF44DF" w14:textId="77777777" w:rsidR="000224BF" w:rsidRDefault="000224BF">
      <w:pPr>
        <w:pStyle w:val="CommentText"/>
      </w:pPr>
    </w:p>
  </w:comment>
  <w:comment w:id="4"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FYI, Envigo (Teklad #7912) is the standard mouse diet used at UTHSC.</w:t>
      </w:r>
    </w:p>
    <w:p w14:paraId="75E1C03B" w14:textId="709885BA" w:rsidR="000224BF" w:rsidRDefault="000224BF">
      <w:pPr>
        <w:pStyle w:val="CommentText"/>
      </w:pPr>
    </w:p>
  </w:comment>
  <w:comment w:id="7"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6" w:author="Dave Bridges" w:date="2019-03-04T10:18:00Z" w:initials="DB">
    <w:p w14:paraId="695813AD" w14:textId="7FD12BA0" w:rsidR="000224BF" w:rsidRDefault="000224BF">
      <w:pPr>
        <w:pStyle w:val="CommentText"/>
      </w:pPr>
      <w:r>
        <w:rPr>
          <w:rStyle w:val="CommentReference"/>
        </w:rPr>
        <w:annotationRef/>
      </w:r>
      <w:r>
        <w:t>Update with antibodies and RRIDs</w:t>
      </w:r>
    </w:p>
  </w:comment>
  <w:comment w:id="8" w:author="Dave Bridges" w:date="2019-03-04T10:30:00Z" w:initials="DB">
    <w:p w14:paraId="1B8ECEAF" w14:textId="460A86D2" w:rsidR="000224BF" w:rsidRDefault="000224BF">
      <w:pPr>
        <w:pStyle w:val="CommentText"/>
      </w:pPr>
      <w:r>
        <w:rPr>
          <w:rStyle w:val="CommentReference"/>
        </w:rPr>
        <w:annotationRef/>
      </w:r>
      <w:r>
        <w:t>Quynh please add the accession number for this study</w:t>
      </w:r>
    </w:p>
  </w:comment>
  <w:comment w:id="12" w:author="Stephenson, Erin" w:date="2019-05-19T11:58:00Z" w:initials="SE">
    <w:p w14:paraId="3654CDD8" w14:textId="74A2BA62" w:rsidR="00EE1508" w:rsidRDefault="00EE1508">
      <w:pPr>
        <w:pStyle w:val="CommentText"/>
      </w:pPr>
      <w:r>
        <w:rPr>
          <w:rStyle w:val="CommentReference"/>
        </w:rPr>
        <w:annotationRef/>
      </w:r>
      <w:r>
        <w:t>Is this p-val for an analysis that includes both male and female data? Or is this just the male data? It’s not clear.</w:t>
      </w:r>
      <w:r w:rsidR="00511504">
        <w:t xml:space="preserve"> Probably worth us clarifying in the text.</w:t>
      </w:r>
    </w:p>
  </w:comment>
  <w:comment w:id="13"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1DF44DF" w15:done="0"/>
  <w15:commentEx w15:paraId="75E1C03B" w15:paraIdParent="31DF44DF" w15:done="0"/>
  <w15:commentEx w15:paraId="339F5EF6" w15:done="0"/>
  <w15:commentEx w15:paraId="695813AD" w15:done="0"/>
  <w15:commentEx w15:paraId="1B8ECEAF" w15:done="0"/>
  <w15:commentEx w15:paraId="3654CDD8"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1DF44DF" w16cid:durableId="2088251F"/>
  <w16cid:commentId w16cid:paraId="75E1C03B" w16cid:durableId="20882520"/>
  <w16cid:commentId w16cid:paraId="339F5EF6" w16cid:durableId="208CDE19"/>
  <w16cid:commentId w16cid:paraId="695813AD" w16cid:durableId="20277A04"/>
  <w16cid:commentId w16cid:paraId="1B8ECEAF" w16cid:durableId="20277CB8"/>
  <w16cid:commentId w16cid:paraId="3654CDD8" w16cid:durableId="208CDE1C"/>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26BB6" w14:textId="77777777" w:rsidR="00687369" w:rsidRDefault="00687369" w:rsidP="00907F04">
      <w:r>
        <w:separator/>
      </w:r>
    </w:p>
  </w:endnote>
  <w:endnote w:type="continuationSeparator" w:id="0">
    <w:p w14:paraId="5E80CF99" w14:textId="77777777" w:rsidR="00687369" w:rsidRDefault="00687369"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9F2CE" w14:textId="77777777" w:rsidR="00687369" w:rsidRDefault="00687369" w:rsidP="00907F04">
      <w:r>
        <w:separator/>
      </w:r>
    </w:p>
  </w:footnote>
  <w:footnote w:type="continuationSeparator" w:id="0">
    <w:p w14:paraId="26C6DBE2" w14:textId="77777777" w:rsidR="00687369" w:rsidRDefault="00687369"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1775"/>
    <w:rsid w:val="001925FF"/>
    <w:rsid w:val="00193754"/>
    <w:rsid w:val="00194ECE"/>
    <w:rsid w:val="001963ED"/>
    <w:rsid w:val="00197D3F"/>
    <w:rsid w:val="001A1ACE"/>
    <w:rsid w:val="001A3C4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5E0D"/>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C8C"/>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7088"/>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8C2"/>
    <w:rsid w:val="006F6A8D"/>
    <w:rsid w:val="006F76FF"/>
    <w:rsid w:val="006F77FE"/>
    <w:rsid w:val="00700562"/>
    <w:rsid w:val="0070476E"/>
    <w:rsid w:val="00706666"/>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540B"/>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37DCF"/>
    <w:rsid w:val="00841897"/>
    <w:rsid w:val="00841CC6"/>
    <w:rsid w:val="00842D6C"/>
    <w:rsid w:val="00842DEC"/>
    <w:rsid w:val="008437EE"/>
    <w:rsid w:val="0085280E"/>
    <w:rsid w:val="00853CF1"/>
    <w:rsid w:val="008545F6"/>
    <w:rsid w:val="00855284"/>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3A6"/>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4702"/>
    <w:rsid w:val="009B5A9F"/>
    <w:rsid w:val="009B5ED5"/>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4B61"/>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4801"/>
    <w:rsid w:val="00F951B7"/>
    <w:rsid w:val="00F95BF3"/>
    <w:rsid w:val="00F95FEE"/>
    <w:rsid w:val="00F97AA9"/>
    <w:rsid w:val="00FA15D0"/>
    <w:rsid w:val="00FA495A"/>
    <w:rsid w:val="00FA5CC0"/>
    <w:rsid w:val="00FB05B2"/>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1B0C"/>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8FCFB-FD8E-DD46-88A6-B0D1F8E7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6163</TotalTime>
  <Pages>20</Pages>
  <Words>65467</Words>
  <Characters>373168</Characters>
  <Application>Microsoft Office Word</Application>
  <DocSecurity>0</DocSecurity>
  <Lines>3109</Lines>
  <Paragraphs>875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983</cp:revision>
  <cp:lastPrinted>2019-03-04T18:31:00Z</cp:lastPrinted>
  <dcterms:created xsi:type="dcterms:W3CDTF">2015-07-01T16:40:00Z</dcterms:created>
  <dcterms:modified xsi:type="dcterms:W3CDTF">2019-05-20T12:52:00Z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