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C785E08"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0B87859D"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 xml:space="preserve">Insulin Tolerance </w:t>
      </w:r>
      <w:bookmarkStart w:id="0" w:name="_GoBack"/>
      <w:r w:rsidR="00540EBE" w:rsidRPr="00D71F75">
        <w:rPr>
          <w:rFonts w:ascii="Arial" w:hAnsi="Arial" w:cs="Arial"/>
          <w:color w:val="000000" w:themeColor="text1"/>
          <w:sz w:val="22"/>
          <w:szCs w:val="22"/>
        </w:rPr>
        <w:t>Test</w:t>
      </w:r>
      <w:bookmarkEnd w:id="0"/>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3A1665BC"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2EB231C5"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t>
      </w:r>
      <w:proofErr w:type="gramStart"/>
      <w:r w:rsidRPr="0052352B">
        <w:rPr>
          <w:rFonts w:ascii="Arial" w:hAnsi="Arial" w:cs="Arial"/>
          <w:color w:val="000000" w:themeColor="text1"/>
          <w:sz w:val="22"/>
          <w:szCs w:val="22"/>
        </w:rPr>
        <w:t xml:space="preserve">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2</w:t>
      </w:r>
      <w:proofErr w:type="gramEnd"/>
      <w:r w:rsidR="004470DC" w:rsidRPr="0052352B">
        <w:rPr>
          <w:rFonts w:ascii="Arial" w:hAnsi="Arial" w:cs="Arial"/>
          <w:color w:val="000000" w:themeColor="text1"/>
          <w:sz w:val="22"/>
          <w:szCs w:val="22"/>
        </w:rPr>
        <w:t xml:space="preserve">-deoxyglucose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04B43" w:rsidRPr="0052352B">
        <w:rPr>
          <w:rFonts w:ascii="Arial" w:hAnsi="Arial" w:cs="Arial"/>
          <w:color w:val="000000" w:themeColor="text1"/>
          <w:sz w:val="22"/>
          <w:szCs w:val="22"/>
        </w:rPr>
        <w:lastRenderedPageBreak/>
        <w:t>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w:t>
      </w:r>
      <w:r w:rsidR="00A3201B" w:rsidRPr="0052352B">
        <w:rPr>
          <w:rFonts w:ascii="Arial" w:hAnsi="Arial" w:cs="Arial"/>
          <w:color w:val="000000" w:themeColor="text1"/>
          <w:sz w:val="22"/>
          <w:szCs w:val="22"/>
        </w:rPr>
        <w:lastRenderedPageBreak/>
        <w:t xml:space="preserve">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lastRenderedPageBreak/>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w:t>
      </w:r>
      <w:r w:rsidR="00862AC5" w:rsidRPr="0052352B">
        <w:rPr>
          <w:rFonts w:ascii="Arial" w:hAnsi="Arial" w:cs="Arial"/>
          <w:color w:val="000000" w:themeColor="text1"/>
          <w:sz w:val="22"/>
          <w:szCs w:val="22"/>
        </w:rPr>
        <w:lastRenderedPageBreak/>
        <w:t xml:space="preserve">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 xml:space="preserve">Stephenson, E.J., Ragauskas, A., Jaligama, S., Redd, J.R., Parvathareddy, J., Peloquin, </w:t>
      </w:r>
      <w:r w:rsidRPr="00772807">
        <w:rPr>
          <w:rFonts w:ascii="Arial" w:hAnsi="Arial" w:cs="Arial"/>
          <w:noProof/>
          <w:color w:val="000000" w:themeColor="text1"/>
          <w:sz w:val="22"/>
          <w:szCs w:val="22"/>
        </w:rPr>
        <w:lastRenderedPageBreak/>
        <w:t>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 xml:space="preserve">Subramanian, A., Tamayo, P., Mootha, V.K., Mukherjee, S., Ebert, B.L., Gillette, M.A., et al., </w:t>
      </w:r>
      <w:r w:rsidRPr="00772807">
        <w:rPr>
          <w:rFonts w:ascii="Arial" w:hAnsi="Arial" w:cs="Arial"/>
          <w:noProof/>
          <w:color w:val="000000" w:themeColor="text1"/>
          <w:sz w:val="22"/>
          <w:szCs w:val="22"/>
        </w:rPr>
        <w:lastRenderedPageBreak/>
        <w:t>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 xml:space="preserve">Rowland, L.A., Maurya, S.K., Bal, N.C., Kozak, L., Periasamy, M., 2016. Sarcolipin and uncoupling protein 1 play distinct roles in diet-induced thermogenesis and do not compensate for </w:t>
      </w:r>
      <w:r w:rsidRPr="00772807">
        <w:rPr>
          <w:rFonts w:ascii="Arial" w:hAnsi="Arial" w:cs="Arial"/>
          <w:noProof/>
          <w:color w:val="000000" w:themeColor="text1"/>
          <w:sz w:val="22"/>
          <w:szCs w:val="22"/>
        </w:rPr>
        <w:lastRenderedPageBreak/>
        <w:t>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 xml:space="preserve">Graber, T.G., Fry, C.S., Brightwell, C.R., Moro, T., Maroto, R., Bhattari, N., et al., 2019. Skeletal Muscle Specific Knockout of DEP-like domain-containing 5 Increases mTORC1 </w:t>
      </w:r>
      <w:r w:rsidRPr="00772807">
        <w:rPr>
          <w:rFonts w:ascii="Arial" w:hAnsi="Arial" w:cs="Arial"/>
          <w:noProof/>
          <w:color w:val="000000" w:themeColor="text1"/>
          <w:sz w:val="22"/>
          <w:szCs w:val="22"/>
        </w:rPr>
        <w:lastRenderedPageBreak/>
        <w:t>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 xml:space="preserve">Castro-Sepúlveda, M., Tevy, M.F., Jaimovich, E., Campos, C.A., Eisner, V., Figueroa, R., et al., 2018. Muscle function decline and mitochondria changes in middle age precede sarcopenia in </w:t>
      </w:r>
      <w:r w:rsidRPr="00772807">
        <w:rPr>
          <w:rFonts w:ascii="Arial" w:hAnsi="Arial" w:cs="Arial"/>
          <w:noProof/>
          <w:color w:val="000000" w:themeColor="text1"/>
          <w:sz w:val="22"/>
          <w:szCs w:val="22"/>
        </w:rPr>
        <w:lastRenderedPageBreak/>
        <w:t>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 xml:space="preserve">Hwangbo, D.S., Gershman, B., Tu, M.-P., Palmer, M., Tatar, M., 2004. Drosophila dFOXO controls lifespan and regulates insulin signalling in brain and fat body. Nature 429(6991): 562–6, </w:t>
      </w:r>
      <w:r w:rsidRPr="00772807">
        <w:rPr>
          <w:rFonts w:ascii="Arial" w:hAnsi="Arial" w:cs="Arial"/>
          <w:noProof/>
          <w:color w:val="000000" w:themeColor="text1"/>
          <w:sz w:val="22"/>
          <w:szCs w:val="22"/>
        </w:rPr>
        <w:lastRenderedPageBreak/>
        <w:t>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EACDE" w14:textId="77777777" w:rsidR="003D4C5A" w:rsidRDefault="003D4C5A" w:rsidP="00907F04">
      <w:r>
        <w:separator/>
      </w:r>
    </w:p>
  </w:endnote>
  <w:endnote w:type="continuationSeparator" w:id="0">
    <w:p w14:paraId="46DECCBC" w14:textId="77777777" w:rsidR="003D4C5A" w:rsidRDefault="003D4C5A" w:rsidP="00907F04">
      <w:r>
        <w:continuationSeparator/>
      </w:r>
    </w:p>
  </w:endnote>
  <w:endnote w:type="continuationNotice" w:id="1">
    <w:p w14:paraId="64E33055" w14:textId="77777777" w:rsidR="003D4C5A" w:rsidRDefault="003D4C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7A61" w14:textId="77777777" w:rsidR="003D4C5A" w:rsidRDefault="003D4C5A" w:rsidP="00907F04">
      <w:r>
        <w:separator/>
      </w:r>
    </w:p>
  </w:footnote>
  <w:footnote w:type="continuationSeparator" w:id="0">
    <w:p w14:paraId="779D57E2" w14:textId="77777777" w:rsidR="003D4C5A" w:rsidRDefault="003D4C5A" w:rsidP="00907F04">
      <w:r>
        <w:continuationSeparator/>
      </w:r>
    </w:p>
  </w:footnote>
  <w:footnote w:type="continuationNotice" w:id="1">
    <w:p w14:paraId="6C6FFBBC" w14:textId="77777777" w:rsidR="003D4C5A" w:rsidRDefault="003D4C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5ED7A-6D05-1B45-8B68-ADA279E5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27</Pages>
  <Words>64593</Words>
  <Characters>368186</Characters>
  <Application>Microsoft Office Word</Application>
  <DocSecurity>0</DocSecurity>
  <Lines>3068</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41</cp:revision>
  <cp:lastPrinted>2019-03-04T18:31:00Z</cp:lastPrinted>
  <dcterms:created xsi:type="dcterms:W3CDTF">2019-07-24T22:24:00Z</dcterms:created>
  <dcterms:modified xsi:type="dcterms:W3CDTF">2019-07-30T00:03:00Z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