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Default="00245445" w:rsidP="007B624A">
      <w:pPr>
        <w:pStyle w:val="Heading1"/>
      </w:pPr>
      <w:commentRangeStart w:id="0"/>
      <w:r>
        <w:t xml:space="preserve">Muscle mTORC1 Activation Causes </w:t>
      </w:r>
      <w:r w:rsidR="000740D6">
        <w:t xml:space="preserve">Increased Energy Expenditure and Reduced </w:t>
      </w:r>
      <w:r w:rsidR="0064581C">
        <w:t xml:space="preserve">Longevity </w:t>
      </w:r>
      <w:r w:rsidR="00B91EDD">
        <w:t>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7A7627FE" w:rsidR="00E32EF3" w:rsidRPr="00E32EF3" w:rsidRDefault="00E32EF3" w:rsidP="00E32EF3">
      <w:r>
        <w:t xml:space="preserve">Erin </w:t>
      </w:r>
      <w:r w:rsidR="00736644">
        <w:t xml:space="preserve">J. </w:t>
      </w:r>
      <w:r>
        <w:t xml:space="preserve">Stephenson, </w:t>
      </w:r>
      <w:proofErr w:type="spellStart"/>
      <w:r w:rsidR="00496EF3">
        <w:t>JeAnna</w:t>
      </w:r>
      <w:proofErr w:type="spellEnd"/>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proofErr w:type="spellStart"/>
      <w:r w:rsidR="00762918">
        <w:t>Binbin</w:t>
      </w:r>
      <w:proofErr w:type="spellEnd"/>
      <w:r w:rsidR="00762918">
        <w:t xml:space="preserve"> Lu, </w:t>
      </w:r>
      <w:r w:rsidR="00496EF3">
        <w:t xml:space="preserve">Matthew J. </w:t>
      </w:r>
      <w:proofErr w:type="spellStart"/>
      <w:r w:rsidR="00496EF3">
        <w:t>Peloquin</w:t>
      </w:r>
      <w:proofErr w:type="spellEnd"/>
      <w:r w:rsidR="00496EF3">
        <w:t xml:space="preserve">, </w:t>
      </w:r>
      <w:r w:rsidR="00A81C56">
        <w:t xml:space="preserve">Innocence Harvey, </w:t>
      </w:r>
      <w:r w:rsidR="00FD5D91">
        <w:t xml:space="preserve">Molly </w:t>
      </w:r>
      <w:r w:rsidR="00853CF1">
        <w:t xml:space="preserve">C. </w:t>
      </w:r>
      <w:proofErr w:type="spellStart"/>
      <w:r w:rsidR="00853CF1">
        <w:t>Mulcahy</w:t>
      </w:r>
      <w:proofErr w:type="spellEnd"/>
      <w:r w:rsidR="00FD5D91">
        <w:t xml:space="preserve">, </w:t>
      </w:r>
      <w:r w:rsidR="0050751B">
        <w:t xml:space="preserve">Kaleigh Fisher, </w:t>
      </w:r>
      <w:r w:rsidR="00D863F7">
        <w:t xml:space="preserve">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commentRangeStart w:id="2"/>
      <w:r>
        <w:t>Abstract</w:t>
      </w:r>
      <w:commentRangeEnd w:id="2"/>
      <w:r w:rsidR="003A2798">
        <w:rPr>
          <w:rStyle w:val="CommentReference"/>
          <w:rFonts w:asciiTheme="minorHAnsi" w:eastAsiaTheme="minorEastAsia" w:hAnsiTheme="minorHAnsi" w:cstheme="minorBidi"/>
          <w:b w:val="0"/>
          <w:bCs w:val="0"/>
          <w:color w:val="auto"/>
        </w:rPr>
        <w:commentReference w:id="2"/>
      </w:r>
    </w:p>
    <w:p w14:paraId="42A16D24" w14:textId="77777777" w:rsidR="007B624A" w:rsidRDefault="007B624A" w:rsidP="007B624A">
      <w:pPr>
        <w:pStyle w:val="Heading1"/>
      </w:pPr>
      <w:r>
        <w:t>Introduction</w:t>
      </w:r>
    </w:p>
    <w:p w14:paraId="53C3577F" w14:textId="77777777" w:rsidR="004D4201" w:rsidRDefault="004D4201" w:rsidP="004D4201"/>
    <w:p w14:paraId="0F4F6248" w14:textId="3F656F5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5D91688"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73F920E4" w:rsidR="004E21CF" w:rsidRDefault="004E21CF" w:rsidP="004D4201">
      <w:r>
        <w:t xml:space="preserve">Several studies have implicated mTORC1 inhibition as a mechanism of organismal lifespan extension in yeast, worms and mammals </w:t>
      </w:r>
      <w:r>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3"/>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4E21CF">
        <w:rPr>
          <w:noProof/>
        </w:rPr>
        <w:t>[19–24]</w:t>
      </w:r>
      <w:r w:rsidRPr="00CB1C98">
        <w:fldChar w:fldCharType="end"/>
      </w:r>
      <w:commentRangeEnd w:id="3"/>
      <w:r>
        <w:rPr>
          <w:rStyle w:val="CommentReference"/>
        </w:rPr>
        <w:commentReference w:id="3"/>
      </w:r>
      <w:r>
        <w:t xml:space="preserve">.  Furthermore, </w:t>
      </w:r>
      <w:commentRangeStart w:id="4"/>
      <w:r>
        <w:t xml:space="preserve">mTORC1 </w:t>
      </w:r>
      <w:commentRangeEnd w:id="4"/>
      <w:r>
        <w:rPr>
          <w:rStyle w:val="CommentReference"/>
        </w:rPr>
        <w:commentReference w:id="4"/>
      </w:r>
      <w:r>
        <w:t>regulates several important, aging related processes in muscle; including oxidative stress, the unfolded protein response, autophagy and lipid metabolism</w:t>
      </w:r>
      <w:r w:rsidR="00841897">
        <w:t xml:space="preserve"> </w:t>
      </w:r>
      <w:r>
        <w:fldChar w:fldCharType="begin" w:fldLock="1"/>
      </w:r>
      <w:r w:rsidR="001B5133">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369BDEA2"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1B5133">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5"/>
      <w:r w:rsidR="00B80ABE">
        <w:t xml:space="preserve">Harlan </w:t>
      </w:r>
      <w:proofErr w:type="spellStart"/>
      <w:r w:rsidR="00B80ABE">
        <w:t>Teklad</w:t>
      </w:r>
      <w:commentRangeEnd w:id="5"/>
      <w:proofErr w:type="spellEnd"/>
      <w:r w:rsidR="00B80ABE">
        <w:rPr>
          <w:rStyle w:val="CommentReference"/>
        </w:rPr>
        <w:commentReference w:id="5"/>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6"/>
      <w:r w:rsidR="00AC7808">
        <w:t>D1492</w:t>
      </w:r>
      <w:commentRangeEnd w:id="6"/>
      <w:r w:rsidR="00AC7808">
        <w:rPr>
          <w:rStyle w:val="CommentReference"/>
        </w:rPr>
        <w:commentReference w:id="6"/>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4D6699F7"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proofErr w:type="gramStart"/>
      <w:r w:rsidRPr="00996376">
        <w:rPr>
          <w:bCs/>
          <w:vertAlign w:val="superscript"/>
        </w:rPr>
        <w:t>+</w:t>
      </w:r>
      <w:r>
        <w:rPr>
          <w:bCs/>
        </w:rPr>
        <w:t>)or</w:t>
      </w:r>
      <w:proofErr w:type="gramEnd"/>
      <w:r>
        <w:rPr>
          <w:bCs/>
        </w:rPr>
        <w:t xml:space="preserve">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742D7BB5" w14:textId="0FEFCCF0" w:rsidR="00365FE9" w:rsidRDefault="00365FE9" w:rsidP="00996376">
      <w:pPr>
        <w:rPr>
          <w:bCs/>
        </w:rPr>
      </w:pPr>
    </w:p>
    <w:p w14:paraId="7D95C22A" w14:textId="441D4E96" w:rsidR="00365FE9" w:rsidRDefault="00365FE9" w:rsidP="00365FE9">
      <w:pPr>
        <w:pStyle w:val="Heading2"/>
      </w:pPr>
      <w:r>
        <w:t xml:space="preserve">Insulin Tolerance </w:t>
      </w:r>
      <w:commentRangeStart w:id="7"/>
      <w:r>
        <w:t>Test</w:t>
      </w:r>
      <w:commentRangeEnd w:id="7"/>
      <w:r>
        <w:rPr>
          <w:rStyle w:val="CommentReference"/>
          <w:rFonts w:asciiTheme="minorHAnsi" w:eastAsiaTheme="minorEastAsia" w:hAnsiTheme="minorHAnsi" w:cstheme="minorBidi"/>
          <w:b w:val="0"/>
          <w:bCs w:val="0"/>
          <w:color w:val="auto"/>
        </w:rPr>
        <w:commentReference w:id="7"/>
      </w:r>
    </w:p>
    <w:p w14:paraId="07AE51A5" w14:textId="697A8855" w:rsidR="00365FE9" w:rsidRDefault="00365FE9" w:rsidP="00365FE9"/>
    <w:p w14:paraId="305CD7B9" w14:textId="77777777" w:rsidR="00365FE9" w:rsidRPr="00365FE9" w:rsidRDefault="00365FE9" w:rsidP="00365FE9"/>
    <w:p w14:paraId="6C4B3B25" w14:textId="335CBC3D" w:rsidR="0039667E" w:rsidRDefault="00B3409A" w:rsidP="0039667E">
      <w:pPr>
        <w:pStyle w:val="Heading2"/>
      </w:pPr>
      <w:r>
        <w:t>Body Composition</w:t>
      </w:r>
      <w:r w:rsidR="00E55F38">
        <w:t xml:space="preserve"> and Calorimetry</w:t>
      </w:r>
    </w:p>
    <w:p w14:paraId="609ADDB8" w14:textId="3031AA05" w:rsidR="00502BBA" w:rsidRDefault="0039667E" w:rsidP="0052183D">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w:t>
      </w:r>
      <w:proofErr w:type="gramStart"/>
      <w:r w:rsidR="00583F7C">
        <w:rPr>
          <w:bCs/>
        </w:rPr>
        <w:t>left and righ</w:t>
      </w:r>
      <w:r w:rsidR="000C5F3E">
        <w:rPr>
          <w:bCs/>
        </w:rPr>
        <w:t>t hand</w:t>
      </w:r>
      <w:proofErr w:type="gramEnd"/>
      <w:r w:rsidR="000C5F3E">
        <w:rPr>
          <w:bCs/>
        </w:rPr>
        <w:t xml:space="preserve"> side tissue and combined as total weights</w:t>
      </w:r>
      <w:r w:rsidR="001B5133">
        <w:rPr>
          <w:bCs/>
        </w:rPr>
        <w:t>.</w:t>
      </w:r>
      <w:r w:rsidR="001B5133">
        <w:t xml:space="preserve">  </w:t>
      </w:r>
      <w:r w:rsidR="0052183D">
        <w:t xml:space="preserve">For </w:t>
      </w:r>
      <w:r w:rsidR="00D86AFE">
        <w:t xml:space="preserve">calorimetry </w:t>
      </w:r>
      <w:r w:rsidR="0052183D">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8"/>
      <w:r w:rsidR="00502BBA">
        <w:t xml:space="preserve">vehicle </w:t>
      </w:r>
      <w:commentRangeEnd w:id="8"/>
      <w:r w:rsidR="00502BBA">
        <w:rPr>
          <w:rStyle w:val="CommentReference"/>
        </w:rPr>
        <w:commentReference w:id="8"/>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lastRenderedPageBreak/>
        <w:t>Western Blotting</w:t>
      </w:r>
    </w:p>
    <w:p w14:paraId="64FBDD7B" w14:textId="1705FA05" w:rsidR="0045067A" w:rsidRDefault="0045067A" w:rsidP="0052183D">
      <w:r>
        <w:t>Protein lysates were generated in RIPA buffer</w:t>
      </w:r>
      <w:r w:rsidR="00C50D02">
        <w:t xml:space="preserve"> (50 </w:t>
      </w:r>
      <w:proofErr w:type="spellStart"/>
      <w:r w:rsidR="00C50D02">
        <w:t>mM</w:t>
      </w:r>
      <w:proofErr w:type="spellEnd"/>
      <w:r w:rsidR="00C50D02">
        <w:t xml:space="preserve"> Tris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Proteins were separated by SDS-PAGE and blotted with antibodies described in the figure legends.  </w:t>
      </w:r>
      <w:commentRangeStart w:id="9"/>
      <w:r>
        <w:t>Antibodies</w:t>
      </w:r>
      <w:r w:rsidR="002D65EF">
        <w:t xml:space="preserve"> used in this study were</w:t>
      </w:r>
      <w:r>
        <w:t xml:space="preserve"> raised against </w:t>
      </w:r>
      <w:r w:rsidR="00723E82">
        <w:t xml:space="preserve">pS6 (pSer236/236, Cell Signaling #2211), S6 (Cell Signaling #2317), </w:t>
      </w:r>
      <w:r w:rsidR="009365EA">
        <w:t>GAPDH and Sarcolipin</w:t>
      </w:r>
      <w:r w:rsidR="002D65EF">
        <w:t xml:space="preserve">.  </w:t>
      </w:r>
      <w:commentRangeEnd w:id="9"/>
      <w:r w:rsidR="00A269C3">
        <w:rPr>
          <w:rStyle w:val="CommentReference"/>
        </w:rPr>
        <w:commentReference w:id="9"/>
      </w:r>
      <w:r w:rsidR="002D65EF">
        <w:t xml:space="preserve">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5B4A182B" w14:textId="77777777" w:rsidR="00F82FCB" w:rsidRDefault="00F82FCB" w:rsidP="00C868B8"/>
    <w:p w14:paraId="1B6BE666" w14:textId="49B1FB80" w:rsidR="00F82FCB" w:rsidRDefault="00F82FCB" w:rsidP="00F82FCB">
      <w:pPr>
        <w:pStyle w:val="Heading2"/>
      </w:pPr>
      <w:r>
        <w:t>RNA</w:t>
      </w:r>
      <w:r w:rsidR="00863DEF">
        <w:t xml:space="preserve"> S</w:t>
      </w:r>
      <w:r>
        <w:t>eq</w:t>
      </w:r>
      <w:r w:rsidR="00863DEF">
        <w:t>uencing</w:t>
      </w:r>
      <w:r>
        <w:t xml:space="preserve"> Analysis</w:t>
      </w:r>
      <w:r w:rsidR="00863DEF">
        <w:t xml:space="preserve"> and Bioinformatics</w:t>
      </w:r>
    </w:p>
    <w:p w14:paraId="7BC1C3E2" w14:textId="1320508E" w:rsidR="00A269C3" w:rsidRPr="007151C0" w:rsidRDefault="00A269C3" w:rsidP="00F82FCB">
      <w:pPr>
        <w:pStyle w:val="Heading2"/>
        <w:rPr>
          <w:rFonts w:asciiTheme="minorHAnsi" w:eastAsiaTheme="minorEastAsia" w:hAnsiTheme="minorHAnsi" w:cstheme="minorBidi"/>
          <w:b w:val="0"/>
          <w:bCs w:val="0"/>
          <w:color w:val="auto"/>
          <w:sz w:val="24"/>
          <w:szCs w:val="24"/>
        </w:rPr>
      </w:pPr>
      <w:r w:rsidRPr="00A269C3">
        <w:rPr>
          <w:rFonts w:asciiTheme="minorHAnsi" w:eastAsiaTheme="minorEastAsia" w:hAnsiTheme="minorHAnsi" w:cstheme="minorBidi"/>
          <w:b w:val="0"/>
          <w:bCs w:val="0"/>
          <w:color w:val="auto"/>
          <w:sz w:val="24"/>
          <w:szCs w:val="24"/>
        </w:rPr>
        <w:t>Total RNA</w:t>
      </w:r>
      <w:r>
        <w:rPr>
          <w:rFonts w:asciiTheme="minorHAnsi" w:eastAsiaTheme="minorEastAsia" w:hAnsiTheme="minorHAnsi" w:cstheme="minorBidi"/>
          <w:b w:val="0"/>
          <w:bCs w:val="0"/>
          <w:color w:val="auto"/>
          <w:sz w:val="24"/>
          <w:szCs w:val="24"/>
        </w:rPr>
        <w:t xml:space="preserve"> was purified using </w:t>
      </w:r>
      <w:r w:rsidR="005208D2">
        <w:rPr>
          <w:rFonts w:asciiTheme="minorHAnsi" w:eastAsiaTheme="minorEastAsia" w:hAnsiTheme="minorHAnsi" w:cstheme="minorBidi"/>
          <w:b w:val="0"/>
          <w:bCs w:val="0"/>
          <w:color w:val="auto"/>
          <w:sz w:val="24"/>
          <w:szCs w:val="24"/>
        </w:rPr>
        <w:t xml:space="preserve">a Pure Link RNA mini kit from </w:t>
      </w:r>
      <w:r>
        <w:rPr>
          <w:rFonts w:asciiTheme="minorHAnsi" w:eastAsiaTheme="minorEastAsia" w:hAnsiTheme="minorHAnsi" w:cstheme="minorBidi"/>
          <w:b w:val="0"/>
          <w:bCs w:val="0"/>
          <w:color w:val="auto"/>
          <w:sz w:val="24"/>
          <w:szCs w:val="24"/>
        </w:rPr>
        <w:t xml:space="preserve">Life Technologies and then analyzed using an </w:t>
      </w:r>
      <w:proofErr w:type="spellStart"/>
      <w:r>
        <w:rPr>
          <w:rFonts w:asciiTheme="minorHAnsi" w:eastAsiaTheme="minorEastAsia" w:hAnsiTheme="minorHAnsi" w:cstheme="minorBidi"/>
          <w:b w:val="0"/>
          <w:bCs w:val="0"/>
          <w:color w:val="auto"/>
          <w:sz w:val="24"/>
          <w:szCs w:val="24"/>
        </w:rPr>
        <w:t>Agielent</w:t>
      </w:r>
      <w:proofErr w:type="spellEnd"/>
      <w:r>
        <w:rPr>
          <w:rFonts w:asciiTheme="minorHAnsi" w:eastAsiaTheme="minorEastAsia" w:hAnsiTheme="minorHAnsi" w:cstheme="minorBidi"/>
          <w:b w:val="0"/>
          <w:bCs w:val="0"/>
          <w:color w:val="auto"/>
          <w:sz w:val="24"/>
          <w:szCs w:val="24"/>
        </w:rPr>
        <w:t xml:space="preserve"> Bioanalyzer DNA High </w:t>
      </w:r>
      <w:r w:rsidR="00F346A2">
        <w:rPr>
          <w:rFonts w:asciiTheme="minorHAnsi" w:eastAsiaTheme="minorEastAsia" w:hAnsiTheme="minorHAnsi" w:cstheme="minorBidi"/>
          <w:b w:val="0"/>
          <w:bCs w:val="0"/>
          <w:color w:val="auto"/>
          <w:sz w:val="24"/>
          <w:szCs w:val="24"/>
        </w:rPr>
        <w:t>Sensitivity</w:t>
      </w:r>
      <w:r>
        <w:rPr>
          <w:rFonts w:asciiTheme="minorHAnsi" w:eastAsiaTheme="minorEastAsia" w:hAnsiTheme="minorHAnsi" w:cstheme="minorBidi"/>
          <w:b w:val="0"/>
          <w:bCs w:val="0"/>
          <w:color w:val="auto"/>
          <w:sz w:val="24"/>
          <w:szCs w:val="24"/>
        </w:rPr>
        <w:t xml:space="preserve"> kit.  All samples had </w:t>
      </w:r>
      <w:proofErr w:type="gramStart"/>
      <w:r>
        <w:rPr>
          <w:rFonts w:asciiTheme="minorHAnsi" w:eastAsiaTheme="minorEastAsia" w:hAnsiTheme="minorHAnsi" w:cstheme="minorBidi"/>
          <w:b w:val="0"/>
          <w:bCs w:val="0"/>
          <w:color w:val="auto"/>
          <w:sz w:val="24"/>
          <w:szCs w:val="24"/>
        </w:rPr>
        <w:t>a</w:t>
      </w:r>
      <w:proofErr w:type="gramEnd"/>
      <w:r>
        <w:rPr>
          <w:rFonts w:asciiTheme="minorHAnsi" w:eastAsiaTheme="minorEastAsia" w:hAnsiTheme="minorHAnsi" w:cstheme="minorBidi"/>
          <w:b w:val="0"/>
          <w:bCs w:val="0"/>
          <w:color w:val="auto"/>
          <w:sz w:val="24"/>
          <w:szCs w:val="24"/>
        </w:rPr>
        <w:t xml:space="preserve"> RNA Integrity number &gt;7.9.  The RNA</w:t>
      </w:r>
      <w:r w:rsidRPr="00A269C3">
        <w:rPr>
          <w:rFonts w:asciiTheme="minorHAnsi" w:eastAsiaTheme="minorEastAsia" w:hAnsiTheme="minorHAnsi" w:cstheme="minorBidi"/>
          <w:b w:val="0"/>
          <w:bCs w:val="0"/>
          <w:color w:val="auto"/>
          <w:sz w:val="24"/>
          <w:szCs w:val="24"/>
        </w:rPr>
        <w:t xml:space="preserve"> (1 </w:t>
      </w:r>
      <w:proofErr w:type="spellStart"/>
      <w:r w:rsidRPr="00A269C3">
        <w:rPr>
          <w:rFonts w:asciiTheme="minorHAnsi" w:eastAsiaTheme="minorEastAsia" w:hAnsiTheme="minorHAnsi" w:cstheme="minorBidi"/>
          <w:b w:val="0"/>
          <w:bCs w:val="0"/>
          <w:color w:val="auto"/>
          <w:sz w:val="24"/>
          <w:szCs w:val="24"/>
        </w:rPr>
        <w:t>μg</w:t>
      </w:r>
      <w:proofErr w:type="spellEnd"/>
      <w:r w:rsidRPr="00A269C3">
        <w:rPr>
          <w:rFonts w:asciiTheme="minorHAnsi" w:eastAsiaTheme="minorEastAsia" w:hAnsiTheme="minorHAnsi" w:cstheme="minorBidi"/>
          <w:b w:val="0"/>
          <w:bCs w:val="0"/>
          <w:color w:val="auto"/>
          <w:sz w:val="24"/>
          <w:szCs w:val="24"/>
        </w:rPr>
        <w:t xml:space="preserve">) was enriched for Poly </w:t>
      </w:r>
      <w:proofErr w:type="gramStart"/>
      <w:r w:rsidRPr="00A269C3">
        <w:rPr>
          <w:rFonts w:asciiTheme="minorHAnsi" w:eastAsiaTheme="minorEastAsia" w:hAnsiTheme="minorHAnsi" w:cstheme="minorBidi"/>
          <w:b w:val="0"/>
          <w:bCs w:val="0"/>
          <w:color w:val="auto"/>
          <w:sz w:val="24"/>
          <w:szCs w:val="24"/>
        </w:rPr>
        <w:t>A</w:t>
      </w:r>
      <w:proofErr w:type="gramEnd"/>
      <w:r w:rsidRPr="00A269C3">
        <w:rPr>
          <w:rFonts w:asciiTheme="minorHAnsi" w:eastAsiaTheme="minorEastAsia" w:hAnsiTheme="minorHAnsi" w:cstheme="minorBidi"/>
          <w:b w:val="0"/>
          <w:bCs w:val="0"/>
          <w:color w:val="auto"/>
          <w:sz w:val="24"/>
          <w:szCs w:val="24"/>
        </w:rPr>
        <w:t xml:space="preserve"> RNA using </w:t>
      </w:r>
      <w:r w:rsidR="005208D2">
        <w:rPr>
          <w:rFonts w:asciiTheme="minorHAnsi" w:eastAsiaTheme="minorEastAsia" w:hAnsiTheme="minorHAnsi" w:cstheme="minorBidi"/>
          <w:b w:val="0"/>
          <w:bCs w:val="0"/>
          <w:color w:val="auto"/>
          <w:sz w:val="24"/>
          <w:szCs w:val="24"/>
        </w:rPr>
        <w:t xml:space="preserve">an </w:t>
      </w:r>
      <w:proofErr w:type="spellStart"/>
      <w:r w:rsidRPr="00A269C3">
        <w:rPr>
          <w:rFonts w:asciiTheme="minorHAnsi" w:eastAsiaTheme="minorEastAsia" w:hAnsiTheme="minorHAnsi" w:cstheme="minorBidi"/>
          <w:b w:val="0"/>
          <w:bCs w:val="0"/>
          <w:color w:val="auto"/>
          <w:sz w:val="24"/>
          <w:szCs w:val="24"/>
        </w:rPr>
        <w:t>Ambion</w:t>
      </w:r>
      <w:proofErr w:type="spellEnd"/>
      <w:r w:rsidRPr="00A269C3">
        <w:rPr>
          <w:rFonts w:asciiTheme="minorHAnsi" w:eastAsiaTheme="minorEastAsia" w:hAnsiTheme="minorHAnsi" w:cstheme="minorBidi"/>
          <w:b w:val="0"/>
          <w:bCs w:val="0"/>
          <w:color w:val="auto"/>
          <w:sz w:val="24"/>
          <w:szCs w:val="24"/>
        </w:rPr>
        <w:t xml:space="preserve"> </w:t>
      </w:r>
      <w:proofErr w:type="spellStart"/>
      <w:r w:rsidRPr="00A269C3">
        <w:rPr>
          <w:rFonts w:asciiTheme="minorHAnsi" w:eastAsiaTheme="minorEastAsia" w:hAnsiTheme="minorHAnsi" w:cstheme="minorBidi"/>
          <w:b w:val="0"/>
          <w:bCs w:val="0"/>
          <w:color w:val="auto"/>
          <w:sz w:val="24"/>
          <w:szCs w:val="24"/>
        </w:rPr>
        <w:t>Dynabeads</w:t>
      </w:r>
      <w:proofErr w:type="spellEnd"/>
      <w:r w:rsidRPr="00A269C3">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A269C3">
        <w:rPr>
          <w:rFonts w:asciiTheme="minorHAnsi" w:eastAsiaTheme="minorEastAsia" w:hAnsiTheme="minorHAnsi" w:cstheme="minorBidi"/>
          <w:b w:val="0"/>
          <w:bCs w:val="0"/>
          <w:color w:val="auto"/>
          <w:sz w:val="24"/>
          <w:szCs w:val="24"/>
        </w:rPr>
        <w:t>RNAseq</w:t>
      </w:r>
      <w:proofErr w:type="spellEnd"/>
      <w:r w:rsidRPr="00A269C3">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w:t>
      </w:r>
      <w:r>
        <w:rPr>
          <w:rFonts w:asciiTheme="minorHAnsi" w:eastAsiaTheme="minorEastAsia" w:hAnsiTheme="minorHAnsi" w:cstheme="minorBidi"/>
          <w:b w:val="0"/>
          <w:bCs w:val="0"/>
          <w:color w:val="auto"/>
          <w:sz w:val="24"/>
          <w:szCs w:val="24"/>
        </w:rPr>
        <w:t xml:space="preserve">  Alignments were made to the mouse genome GRCm38.75 using </w:t>
      </w:r>
      <w:proofErr w:type="spellStart"/>
      <w:r>
        <w:rPr>
          <w:rFonts w:asciiTheme="minorHAnsi" w:eastAsiaTheme="minorEastAsia" w:hAnsiTheme="minorHAnsi" w:cstheme="minorBidi"/>
          <w:b w:val="0"/>
          <w:bCs w:val="0"/>
          <w:color w:val="auto"/>
          <w:sz w:val="24"/>
          <w:szCs w:val="24"/>
        </w:rPr>
        <w:t>Tophat</w:t>
      </w:r>
      <w:proofErr w:type="spellEnd"/>
      <w:r>
        <w:rPr>
          <w:rFonts w:asciiTheme="minorHAnsi" w:eastAsiaTheme="minorEastAsia" w:hAnsiTheme="minorHAnsi" w:cstheme="minorBidi"/>
          <w:b w:val="0"/>
          <w:bCs w:val="0"/>
          <w:color w:val="auto"/>
          <w:sz w:val="24"/>
          <w:szCs w:val="24"/>
        </w:rPr>
        <w:t xml:space="preserve"> 2.0.10 </w:t>
      </w:r>
      <w:r>
        <w:rPr>
          <w:rFonts w:asciiTheme="minorHAnsi" w:eastAsiaTheme="minorEastAsia" w:hAnsiTheme="minorHAnsi" w:cstheme="minorBidi"/>
          <w:b w:val="0"/>
          <w:bCs w:val="0"/>
          <w:color w:val="auto"/>
          <w:sz w:val="24"/>
          <w:szCs w:val="24"/>
        </w:rPr>
        <w:fldChar w:fldCharType="begin" w:fldLock="1"/>
      </w:r>
      <w:r>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[40]"},"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[40]</w:t>
      </w:r>
      <w:r>
        <w:rPr>
          <w:rFonts w:asciiTheme="minorHAnsi" w:eastAsiaTheme="minorEastAsia" w:hAnsiTheme="minorHAnsi" w:cstheme="minorBidi"/>
          <w:b w:val="0"/>
          <w:bCs w:val="0"/>
          <w:color w:val="auto"/>
          <w:sz w:val="24"/>
          <w:szCs w:val="24"/>
        </w:rPr>
        <w:fldChar w:fldCharType="end"/>
      </w:r>
      <w:r>
        <w:rPr>
          <w:rFonts w:asciiTheme="minorHAnsi" w:eastAsiaTheme="minorEastAsia" w:hAnsiTheme="minorHAnsi" w:cstheme="minorBidi"/>
          <w:b w:val="0"/>
          <w:bCs w:val="0"/>
          <w:color w:val="auto"/>
          <w:sz w:val="24"/>
          <w:szCs w:val="24"/>
        </w:rPr>
        <w:t xml:space="preserve"> and Bowtie 1.0.0 </w:t>
      </w:r>
      <w:r>
        <w:rPr>
          <w:rFonts w:asciiTheme="minorHAnsi" w:eastAsiaTheme="minorEastAsia" w:hAnsiTheme="minorHAnsi" w:cstheme="minorBidi"/>
          <w:b w:val="0"/>
          <w:bCs w:val="0"/>
          <w:color w:val="auto"/>
          <w:sz w:val="24"/>
          <w:szCs w:val="24"/>
        </w:rPr>
        <w:fldChar w:fldCharType="begin" w:fldLock="1"/>
      </w:r>
      <w:r>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[41]","plainTextFormattedCitation":"[41]","previouslyFormattedCitation":"[41]"},"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[41]</w:t>
      </w:r>
      <w:r>
        <w:rPr>
          <w:rFonts w:asciiTheme="minorHAnsi" w:eastAsiaTheme="minorEastAsia" w:hAnsiTheme="minorHAnsi" w:cstheme="minorBidi"/>
          <w:b w:val="0"/>
          <w:bCs w:val="0"/>
          <w:color w:val="auto"/>
          <w:sz w:val="24"/>
          <w:szCs w:val="24"/>
        </w:rPr>
        <w:fldChar w:fldCharType="end"/>
      </w:r>
      <w:r w:rsidR="0087402B">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to incorporate </w:t>
      </w:r>
      <w:proofErr w:type="spellStart"/>
      <w:r>
        <w:rPr>
          <w:rFonts w:asciiTheme="minorHAnsi" w:eastAsiaTheme="minorEastAsia" w:hAnsiTheme="minorHAnsi" w:cstheme="minorBidi"/>
          <w:b w:val="0"/>
          <w:bCs w:val="0"/>
          <w:color w:val="auto"/>
          <w:sz w:val="24"/>
          <w:szCs w:val="24"/>
        </w:rPr>
        <w:t>colorspace</w:t>
      </w:r>
      <w:proofErr w:type="spellEnd"/>
      <w:r>
        <w:rPr>
          <w:rFonts w:asciiTheme="minorHAnsi" w:eastAsiaTheme="minorEastAsia" w:hAnsiTheme="minorHAnsi" w:cstheme="minorBidi"/>
          <w:b w:val="0"/>
          <w:bCs w:val="0"/>
          <w:color w:val="auto"/>
          <w:sz w:val="24"/>
          <w:szCs w:val="24"/>
        </w:rPr>
        <w:t xml:space="preserve"> data.  Counts tables were generated using </w:t>
      </w:r>
      <w:proofErr w:type="spellStart"/>
      <w:r>
        <w:rPr>
          <w:rFonts w:asciiTheme="minorHAnsi" w:eastAsiaTheme="minorEastAsia" w:hAnsiTheme="minorHAnsi" w:cstheme="minorBidi"/>
          <w:b w:val="0"/>
          <w:bCs w:val="0"/>
          <w:color w:val="auto"/>
          <w:sz w:val="24"/>
          <w:szCs w:val="24"/>
        </w:rPr>
        <w:t>HTSeq</w:t>
      </w:r>
      <w:proofErr w:type="spellEnd"/>
      <w:r>
        <w:rPr>
          <w:rFonts w:asciiTheme="minorHAnsi" w:eastAsiaTheme="minorEastAsia" w:hAnsiTheme="minorHAnsi" w:cstheme="minorBidi"/>
          <w:b w:val="0"/>
          <w:bCs w:val="0"/>
          <w:color w:val="auto"/>
          <w:sz w:val="24"/>
          <w:szCs w:val="24"/>
        </w:rPr>
        <w:t xml:space="preserve"> version 0.5.4p5 </w:t>
      </w:r>
      <w:r>
        <w:rPr>
          <w:rFonts w:asciiTheme="minorHAnsi" w:eastAsiaTheme="minorEastAsia" w:hAnsiTheme="minorHAnsi" w:cstheme="minorBidi"/>
          <w:b w:val="0"/>
          <w:bCs w:val="0"/>
          <w:color w:val="auto"/>
          <w:sz w:val="24"/>
          <w:szCs w:val="24"/>
        </w:rPr>
        <w:fldChar w:fldCharType="begin" w:fldLock="1"/>
      </w:r>
      <w:r w:rsidR="00F346A2">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[42]","plainTextFormattedCitation":"[42]","previouslyFormattedCitation":"[42]"},"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[42]</w:t>
      </w:r>
      <w:r>
        <w:rPr>
          <w:rFonts w:asciiTheme="minorHAnsi" w:eastAsiaTheme="minorEastAsia" w:hAnsiTheme="minorHAnsi" w:cstheme="minorBidi"/>
          <w:b w:val="0"/>
          <w:bCs w:val="0"/>
          <w:color w:val="auto"/>
          <w:sz w:val="24"/>
          <w:szCs w:val="24"/>
        </w:rPr>
        <w:fldChar w:fldCharType="end"/>
      </w:r>
      <w:r>
        <w:rPr>
          <w:rFonts w:asciiTheme="minorHAnsi" w:eastAsiaTheme="minorEastAsia" w:hAnsiTheme="minorHAnsi" w:cstheme="minorBidi"/>
          <w:b w:val="0"/>
          <w:bCs w:val="0"/>
          <w:color w:val="auto"/>
          <w:sz w:val="24"/>
          <w:szCs w:val="24"/>
        </w:rPr>
        <w:t>.  Differential expression analyses were performed using DESeq</w:t>
      </w:r>
      <w:r w:rsidR="00F346A2">
        <w:rPr>
          <w:rFonts w:asciiTheme="minorHAnsi" w:eastAsiaTheme="minorEastAsia" w:hAnsiTheme="minorHAnsi" w:cstheme="minorBidi"/>
          <w:b w:val="0"/>
          <w:bCs w:val="0"/>
          <w:color w:val="auto"/>
          <w:sz w:val="24"/>
          <w:szCs w:val="24"/>
        </w:rPr>
        <w:t xml:space="preserve">2 version 1.20.0 </w:t>
      </w:r>
      <w:r w:rsidR="00F346A2">
        <w:rPr>
          <w:rFonts w:asciiTheme="minorHAnsi" w:eastAsiaTheme="minorEastAsia" w:hAnsiTheme="minorHAnsi" w:cstheme="minorBidi"/>
          <w:b w:val="0"/>
          <w:bCs w:val="0"/>
          <w:color w:val="auto"/>
          <w:sz w:val="24"/>
          <w:szCs w:val="24"/>
        </w:rPr>
        <w:fldChar w:fldCharType="begin" w:fldLock="1"/>
      </w:r>
      <w:r w:rsidR="00B421EE">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[43]","plainTextFormattedCitation":"[43]","previouslyFormattedCitation":"[43]"},"properties":{"noteIndex":0},"schema":"https://github.com/citation-style-language/schema/raw/master/csl-citation.json"}</w:instrText>
      </w:r>
      <w:r w:rsidR="00F346A2">
        <w:rPr>
          <w:rFonts w:asciiTheme="minorHAnsi" w:eastAsiaTheme="minorEastAsia" w:hAnsiTheme="minorHAnsi" w:cstheme="minorBidi"/>
          <w:b w:val="0"/>
          <w:bCs w:val="0"/>
          <w:color w:val="auto"/>
          <w:sz w:val="24"/>
          <w:szCs w:val="24"/>
        </w:rPr>
        <w:fldChar w:fldCharType="separate"/>
      </w:r>
      <w:r w:rsidR="00F346A2" w:rsidRPr="00F346A2">
        <w:rPr>
          <w:rFonts w:asciiTheme="minorHAnsi" w:eastAsiaTheme="minorEastAsia" w:hAnsiTheme="minorHAnsi" w:cstheme="minorBidi"/>
          <w:b w:val="0"/>
          <w:bCs w:val="0"/>
          <w:noProof/>
          <w:color w:val="auto"/>
          <w:sz w:val="24"/>
          <w:szCs w:val="24"/>
        </w:rPr>
        <w:t>[43]</w:t>
      </w:r>
      <w:r w:rsidR="00F346A2">
        <w:rPr>
          <w:rFonts w:asciiTheme="minorHAnsi" w:eastAsiaTheme="minorEastAsia" w:hAnsiTheme="minorHAnsi" w:cstheme="minorBidi"/>
          <w:b w:val="0"/>
          <w:bCs w:val="0"/>
          <w:color w:val="auto"/>
          <w:sz w:val="24"/>
          <w:szCs w:val="24"/>
        </w:rPr>
        <w:fldChar w:fldCharType="end"/>
      </w:r>
      <w:r w:rsidR="00F346A2">
        <w:rPr>
          <w:rFonts w:asciiTheme="minorHAnsi" w:eastAsiaTheme="minorEastAsia" w:hAnsiTheme="minorHAnsi" w:cstheme="minorBidi"/>
          <w:b w:val="0"/>
          <w:bCs w:val="0"/>
          <w:color w:val="auto"/>
          <w:sz w:val="24"/>
          <w:szCs w:val="24"/>
        </w:rPr>
        <w:t xml:space="preserve">.  All results are presented in Supplementary </w:t>
      </w:r>
      <w:r w:rsidR="003B3167">
        <w:rPr>
          <w:rFonts w:asciiTheme="minorHAnsi" w:eastAsiaTheme="minorEastAsia" w:hAnsiTheme="minorHAnsi" w:cstheme="minorBidi"/>
          <w:b w:val="0"/>
          <w:bCs w:val="0"/>
          <w:color w:val="auto"/>
          <w:sz w:val="24"/>
          <w:szCs w:val="24"/>
        </w:rPr>
        <w:t>Table</w:t>
      </w:r>
      <w:r w:rsidR="00F346A2">
        <w:rPr>
          <w:rFonts w:asciiTheme="minorHAnsi" w:eastAsiaTheme="minorEastAsia" w:hAnsiTheme="minorHAnsi" w:cstheme="minorBidi"/>
          <w:b w:val="0"/>
          <w:bCs w:val="0"/>
          <w:color w:val="auto"/>
          <w:sz w:val="24"/>
          <w:szCs w:val="24"/>
        </w:rPr>
        <w:t xml:space="preserve"> 1, and </w:t>
      </w:r>
      <w:r w:rsidR="005208D2">
        <w:rPr>
          <w:rFonts w:asciiTheme="minorHAnsi" w:eastAsiaTheme="minorEastAsia" w:hAnsiTheme="minorHAnsi" w:cstheme="minorBidi"/>
          <w:b w:val="0"/>
          <w:bCs w:val="0"/>
          <w:color w:val="auto"/>
          <w:sz w:val="24"/>
          <w:szCs w:val="24"/>
        </w:rPr>
        <w:t>deposited</w:t>
      </w:r>
      <w:r w:rsidR="00F346A2">
        <w:rPr>
          <w:rFonts w:asciiTheme="minorHAnsi" w:eastAsiaTheme="minorEastAsia" w:hAnsiTheme="minorHAnsi" w:cstheme="minorBidi"/>
          <w:b w:val="0"/>
          <w:bCs w:val="0"/>
          <w:color w:val="auto"/>
          <w:sz w:val="24"/>
          <w:szCs w:val="24"/>
        </w:rPr>
        <w:t xml:space="preserve"> into the Gene Expression Omnibus as </w:t>
      </w:r>
      <w:commentRangeStart w:id="10"/>
      <w:r w:rsidR="00F346A2">
        <w:rPr>
          <w:rFonts w:asciiTheme="minorHAnsi" w:eastAsiaTheme="minorEastAsia" w:hAnsiTheme="minorHAnsi" w:cstheme="minorBidi"/>
          <w:b w:val="0"/>
          <w:bCs w:val="0"/>
          <w:color w:val="auto"/>
          <w:sz w:val="24"/>
          <w:szCs w:val="24"/>
        </w:rPr>
        <w:t>XXXX</w:t>
      </w:r>
      <w:commentRangeEnd w:id="10"/>
      <w:r w:rsidR="00F346A2">
        <w:rPr>
          <w:rStyle w:val="CommentReference"/>
          <w:rFonts w:asciiTheme="minorHAnsi" w:eastAsiaTheme="minorEastAsia" w:hAnsiTheme="minorHAnsi" w:cstheme="minorBidi"/>
          <w:b w:val="0"/>
          <w:bCs w:val="0"/>
          <w:color w:val="auto"/>
        </w:rPr>
        <w:commentReference w:id="10"/>
      </w:r>
      <w:r w:rsidR="00F346A2">
        <w:rPr>
          <w:rFonts w:asciiTheme="minorHAnsi" w:eastAsiaTheme="minorEastAsia" w:hAnsiTheme="minorHAnsi" w:cstheme="minorBidi"/>
          <w:b w:val="0"/>
          <w:bCs w:val="0"/>
          <w:color w:val="auto"/>
          <w:sz w:val="24"/>
          <w:szCs w:val="24"/>
        </w:rPr>
        <w:t>.</w:t>
      </w:r>
      <w:r w:rsidR="00800F89">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Pr>
          <w:rFonts w:asciiTheme="minorHAnsi" w:eastAsiaTheme="minorEastAsia" w:hAnsiTheme="minorHAnsi" w:cstheme="minorBidi"/>
          <w:b w:val="0"/>
          <w:bCs w:val="0"/>
          <w:color w:val="auto"/>
          <w:sz w:val="24"/>
          <w:szCs w:val="24"/>
        </w:rPr>
        <w:t>Biocarta</w:t>
      </w:r>
      <w:proofErr w:type="spellEnd"/>
      <w:r w:rsidR="00B421EE">
        <w:rPr>
          <w:rFonts w:asciiTheme="minorHAnsi" w:eastAsiaTheme="minorEastAsia" w:hAnsiTheme="minorHAnsi" w:cstheme="minorBidi"/>
          <w:b w:val="0"/>
          <w:bCs w:val="0"/>
          <w:color w:val="auto"/>
          <w:sz w:val="24"/>
          <w:szCs w:val="24"/>
        </w:rPr>
        <w:t xml:space="preserve">, </w:t>
      </w:r>
      <w:proofErr w:type="spellStart"/>
      <w:r w:rsidR="00631986">
        <w:rPr>
          <w:rFonts w:asciiTheme="minorHAnsi" w:eastAsiaTheme="minorEastAsia" w:hAnsiTheme="minorHAnsi" w:cstheme="minorBidi"/>
          <w:b w:val="0"/>
          <w:bCs w:val="0"/>
          <w:color w:val="auto"/>
          <w:sz w:val="24"/>
          <w:szCs w:val="24"/>
        </w:rPr>
        <w:t>Reactome</w:t>
      </w:r>
      <w:proofErr w:type="spellEnd"/>
      <w:r w:rsidR="00631986">
        <w:rPr>
          <w:rFonts w:asciiTheme="minorHAnsi" w:eastAsiaTheme="minorEastAsia" w:hAnsiTheme="minorHAnsi" w:cstheme="minorBidi"/>
          <w:b w:val="0"/>
          <w:bCs w:val="0"/>
          <w:color w:val="auto"/>
          <w:sz w:val="24"/>
          <w:szCs w:val="24"/>
        </w:rPr>
        <w:t xml:space="preserve">, </w:t>
      </w:r>
      <w:r w:rsidR="00B421EE">
        <w:rPr>
          <w:rFonts w:asciiTheme="minorHAnsi" w:eastAsiaTheme="minorEastAsia" w:hAnsiTheme="minorHAnsi" w:cstheme="minorBidi"/>
          <w:b w:val="0"/>
          <w:bCs w:val="0"/>
          <w:color w:val="auto"/>
          <w:sz w:val="24"/>
          <w:szCs w:val="24"/>
        </w:rPr>
        <w:t xml:space="preserve">TRANSFAC and CGP provided as part of </w:t>
      </w:r>
      <w:proofErr w:type="spellStart"/>
      <w:r w:rsidR="00B421EE">
        <w:rPr>
          <w:rFonts w:asciiTheme="minorHAnsi" w:eastAsiaTheme="minorEastAsia" w:hAnsiTheme="minorHAnsi" w:cstheme="minorBidi"/>
          <w:b w:val="0"/>
          <w:bCs w:val="0"/>
          <w:color w:val="auto"/>
          <w:sz w:val="24"/>
          <w:szCs w:val="24"/>
        </w:rPr>
        <w:t>MSigDB</w:t>
      </w:r>
      <w:proofErr w:type="spellEnd"/>
      <w:r w:rsidR="00B421EE">
        <w:rPr>
          <w:rFonts w:asciiTheme="minorHAnsi" w:eastAsiaTheme="minorEastAsia" w:hAnsiTheme="minorHAnsi" w:cstheme="minorBidi"/>
          <w:b w:val="0"/>
          <w:bCs w:val="0"/>
          <w:color w:val="auto"/>
          <w:sz w:val="24"/>
          <w:szCs w:val="24"/>
        </w:rPr>
        <w:t xml:space="preserve"> v6.2 </w:t>
      </w:r>
      <w:r w:rsidR="00B421EE">
        <w:rPr>
          <w:rFonts w:asciiTheme="minorHAnsi" w:eastAsiaTheme="minorEastAsia" w:hAnsiTheme="minorHAnsi" w:cstheme="minorBidi"/>
          <w:b w:val="0"/>
          <w:bCs w:val="0"/>
          <w:color w:val="auto"/>
          <w:sz w:val="24"/>
          <w:szCs w:val="24"/>
        </w:rPr>
        <w:fldChar w:fldCharType="begin" w:fldLock="1"/>
      </w:r>
      <w:r w:rsidR="00B421EE">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[44,45]","plainTextFormattedCitation":"[44,45]","previouslyFormattedCitation":"[44,45]"},"properties":{"noteIndex":0},"schema":"https://github.com/citation-style-language/schema/raw/master/csl-citation.json"}</w:instrText>
      </w:r>
      <w:r w:rsidR="00B421EE">
        <w:rPr>
          <w:rFonts w:asciiTheme="minorHAnsi" w:eastAsiaTheme="minorEastAsia" w:hAnsiTheme="minorHAnsi" w:cstheme="minorBidi"/>
          <w:b w:val="0"/>
          <w:bCs w:val="0"/>
          <w:color w:val="auto"/>
          <w:sz w:val="24"/>
          <w:szCs w:val="24"/>
        </w:rPr>
        <w:fldChar w:fldCharType="separate"/>
      </w:r>
      <w:r w:rsidR="00B421EE" w:rsidRPr="00B421EE">
        <w:rPr>
          <w:rFonts w:asciiTheme="minorHAnsi" w:eastAsiaTheme="minorEastAsia" w:hAnsiTheme="minorHAnsi" w:cstheme="minorBidi"/>
          <w:b w:val="0"/>
          <w:bCs w:val="0"/>
          <w:noProof/>
          <w:color w:val="auto"/>
          <w:sz w:val="24"/>
          <w:szCs w:val="24"/>
        </w:rPr>
        <w:t>[44,45]</w:t>
      </w:r>
      <w:r w:rsidR="00B421EE">
        <w:rPr>
          <w:rFonts w:asciiTheme="minorHAnsi" w:eastAsiaTheme="minorEastAsia" w:hAnsiTheme="minorHAnsi" w:cstheme="minorBidi"/>
          <w:b w:val="0"/>
          <w:bCs w:val="0"/>
          <w:color w:val="auto"/>
          <w:sz w:val="24"/>
          <w:szCs w:val="24"/>
        </w:rPr>
        <w:fldChar w:fldCharType="end"/>
      </w:r>
      <w:r w:rsidR="00B421EE">
        <w:rPr>
          <w:rFonts w:asciiTheme="minorHAnsi" w:eastAsiaTheme="minorEastAsia" w:hAnsiTheme="minorHAnsi" w:cstheme="minorBidi"/>
          <w:b w:val="0"/>
          <w:bCs w:val="0"/>
          <w:color w:val="auto"/>
          <w:sz w:val="24"/>
          <w:szCs w:val="24"/>
        </w:rPr>
        <w:t xml:space="preserve">.  </w:t>
      </w:r>
      <w:r w:rsidR="00CB360B">
        <w:rPr>
          <w:rFonts w:asciiTheme="minorHAnsi" w:eastAsiaTheme="minorEastAsia" w:hAnsiTheme="minorHAnsi" w:cstheme="minorBidi"/>
          <w:b w:val="0"/>
          <w:bCs w:val="0"/>
          <w:color w:val="auto"/>
          <w:sz w:val="24"/>
          <w:szCs w:val="24"/>
        </w:rPr>
        <w:t>All pathways that met significance at an adjusted p-value of 0.25 are</w:t>
      </w:r>
      <w:r w:rsidR="00B421EE">
        <w:rPr>
          <w:rFonts w:asciiTheme="minorHAnsi" w:eastAsiaTheme="minorEastAsia" w:hAnsiTheme="minorHAnsi" w:cstheme="minorBidi"/>
          <w:b w:val="0"/>
          <w:bCs w:val="0"/>
          <w:color w:val="auto"/>
          <w:sz w:val="24"/>
          <w:szCs w:val="24"/>
        </w:rPr>
        <w:t xml:space="preserve"> presented in Supplementary Table 2.</w:t>
      </w:r>
      <w:r w:rsidR="00512B02">
        <w:rPr>
          <w:rFonts w:asciiTheme="minorHAnsi" w:eastAsiaTheme="minorEastAsia" w:hAnsiTheme="minorHAnsi" w:cstheme="minorBidi"/>
          <w:b w:val="0"/>
          <w:bCs w:val="0"/>
          <w:color w:val="auto"/>
          <w:sz w:val="24"/>
          <w:szCs w:val="24"/>
        </w:rPr>
        <w:t xml:space="preserve">  For comparison </w:t>
      </w:r>
      <w:r w:rsidR="007151C0">
        <w:rPr>
          <w:rFonts w:asciiTheme="minorHAnsi" w:eastAsiaTheme="minorEastAsia" w:hAnsiTheme="minorHAnsi" w:cstheme="minorBidi"/>
          <w:b w:val="0"/>
          <w:bCs w:val="0"/>
          <w:color w:val="auto"/>
          <w:sz w:val="24"/>
          <w:szCs w:val="24"/>
        </w:rPr>
        <w:t xml:space="preserve">of differentially expressed genes we re-analyzed just the </w:t>
      </w:r>
      <w:r w:rsidR="007151C0">
        <w:rPr>
          <w:rFonts w:asciiTheme="minorHAnsi" w:eastAsiaTheme="minorEastAsia" w:hAnsiTheme="minorHAnsi" w:cstheme="minorBidi"/>
          <w:b w:val="0"/>
          <w:bCs w:val="0"/>
          <w:i/>
          <w:color w:val="auto"/>
          <w:sz w:val="24"/>
          <w:szCs w:val="24"/>
        </w:rPr>
        <w:t>Tsc2</w:t>
      </w:r>
      <w:r w:rsidR="007151C0">
        <w:rPr>
          <w:rFonts w:asciiTheme="minorHAnsi" w:eastAsiaTheme="minorEastAsia" w:hAnsiTheme="minorHAnsi" w:cstheme="minorBidi"/>
          <w:b w:val="0"/>
          <w:bCs w:val="0"/>
          <w:color w:val="auto"/>
          <w:sz w:val="24"/>
          <w:szCs w:val="24"/>
        </w:rPr>
        <w:t xml:space="preserve"> knockout MEFs from </w:t>
      </w:r>
      <w:r w:rsidR="007151C0" w:rsidRPr="007151C0">
        <w:rPr>
          <w:rFonts w:asciiTheme="minorHAnsi" w:eastAsiaTheme="minorEastAsia" w:hAnsiTheme="minorHAnsi" w:cstheme="minorBidi"/>
          <w:b w:val="0"/>
          <w:bCs w:val="0"/>
          <w:color w:val="auto"/>
          <w:sz w:val="24"/>
          <w:szCs w:val="24"/>
        </w:rPr>
        <w:t>GSE21755</w:t>
      </w:r>
      <w:r w:rsidR="007151C0">
        <w:rPr>
          <w:rFonts w:asciiTheme="minorHAnsi" w:eastAsiaTheme="minorEastAsia" w:hAnsiTheme="minorHAnsi" w:cstheme="minorBidi"/>
          <w:b w:val="0"/>
          <w:bCs w:val="0"/>
          <w:color w:val="auto"/>
          <w:sz w:val="24"/>
          <w:szCs w:val="24"/>
        </w:rPr>
        <w:t xml:space="preserve"> </w:t>
      </w:r>
      <w:r w:rsidR="007151C0">
        <w:rPr>
          <w:rFonts w:asciiTheme="minorHAnsi" w:eastAsiaTheme="minorEastAsia" w:hAnsiTheme="minorHAnsi" w:cstheme="minorBidi"/>
          <w:b w:val="0"/>
          <w:bCs w:val="0"/>
          <w:color w:val="auto"/>
          <w:sz w:val="24"/>
          <w:szCs w:val="24"/>
        </w:rPr>
        <w:fldChar w:fldCharType="begin" w:fldLock="1"/>
      </w:r>
      <w:r w:rsidR="007151C0">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operties":{"noteIndex":0},"schema":"https://github.com/citation-style-language/schema/raw/master/csl-citation.json"}</w:instrText>
      </w:r>
      <w:r w:rsidR="007151C0">
        <w:rPr>
          <w:rFonts w:asciiTheme="minorHAnsi" w:eastAsiaTheme="minorEastAsia" w:hAnsiTheme="minorHAnsi" w:cstheme="minorBidi"/>
          <w:b w:val="0"/>
          <w:bCs w:val="0"/>
          <w:color w:val="auto"/>
          <w:sz w:val="24"/>
          <w:szCs w:val="24"/>
        </w:rPr>
        <w:fldChar w:fldCharType="separate"/>
      </w:r>
      <w:r w:rsidR="007151C0" w:rsidRPr="007151C0">
        <w:rPr>
          <w:rFonts w:asciiTheme="minorHAnsi" w:eastAsiaTheme="minorEastAsia" w:hAnsiTheme="minorHAnsi" w:cstheme="minorBidi"/>
          <w:b w:val="0"/>
          <w:bCs w:val="0"/>
          <w:noProof/>
          <w:color w:val="auto"/>
          <w:sz w:val="24"/>
          <w:szCs w:val="24"/>
        </w:rPr>
        <w:t>[46]</w:t>
      </w:r>
      <w:r w:rsidR="007151C0">
        <w:rPr>
          <w:rFonts w:asciiTheme="minorHAnsi" w:eastAsiaTheme="minorEastAsia" w:hAnsiTheme="minorHAnsi" w:cstheme="minorBidi"/>
          <w:b w:val="0"/>
          <w:bCs w:val="0"/>
          <w:color w:val="auto"/>
          <w:sz w:val="24"/>
          <w:szCs w:val="24"/>
        </w:rPr>
        <w:fldChar w:fldCharType="end"/>
      </w:r>
      <w:r w:rsidR="007151C0">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07CDC315" w:rsidR="00F82FCB" w:rsidRPr="00A269C3" w:rsidRDefault="00F82FCB" w:rsidP="00F82FCB">
      <w:pPr>
        <w:pStyle w:val="Heading2"/>
        <w:rPr>
          <w:rFonts w:asciiTheme="minorHAnsi" w:eastAsiaTheme="minorEastAsia" w:hAnsiTheme="minorHAnsi" w:cstheme="minorBidi"/>
          <w:b w:val="0"/>
          <w:bCs w:val="0"/>
          <w:color w:val="auto"/>
          <w:sz w:val="24"/>
          <w:szCs w:val="24"/>
        </w:rPr>
      </w:pPr>
      <w:commentRangeStart w:id="11"/>
      <w:r>
        <w:t>NADH Staining of Muscle Sections</w:t>
      </w:r>
      <w:commentRangeEnd w:id="11"/>
      <w:r w:rsidR="00BA3BA0">
        <w:rPr>
          <w:rStyle w:val="CommentReference"/>
          <w:rFonts w:asciiTheme="minorHAnsi" w:eastAsiaTheme="minorEastAsia" w:hAnsiTheme="minorHAnsi" w:cstheme="minorBidi"/>
          <w:b w:val="0"/>
          <w:bCs w:val="0"/>
          <w:color w:val="auto"/>
        </w:rPr>
        <w:commentReference w:id="11"/>
      </w:r>
    </w:p>
    <w:p w14:paraId="25428308" w14:textId="03A99F67" w:rsidR="00AE30D5" w:rsidRDefault="00AE30D5" w:rsidP="00AE30D5">
      <w:pPr>
        <w:pStyle w:val="Heading2"/>
      </w:pPr>
      <w:r>
        <w:t>Statistical Analyses</w:t>
      </w:r>
    </w:p>
    <w:p w14:paraId="08382C47" w14:textId="00374A03" w:rsidR="00396BD8" w:rsidRPr="00396BD8" w:rsidRDefault="00D52992" w:rsidP="00396BD8">
      <w:r>
        <w:t>All statistical ana</w:t>
      </w:r>
      <w:r w:rsidR="00AC53AD">
        <w:t>lyses were performed using the R</w:t>
      </w:r>
      <w:r>
        <w:t xml:space="preserve">, version 3.2.2 </w:t>
      </w:r>
      <w:r>
        <w:fldChar w:fldCharType="begin" w:fldLock="1"/>
      </w:r>
      <w:r w:rsidR="007151C0">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[47]","plainTextFormattedCitation":"[47]","previouslyFormattedCitation":"[46]"},"properties":{"noteIndex":0},"schema":"https://github.com/citation-style-language/schema/raw/master/csl-citation.json"}</w:instrText>
      </w:r>
      <w:r>
        <w:fldChar w:fldCharType="separate"/>
      </w:r>
      <w:r w:rsidR="007151C0" w:rsidRPr="007151C0">
        <w:rPr>
          <w:noProof/>
        </w:rPr>
        <w:t>[47]</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7151C0">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[48]","plainTextFormattedCitation":"[48]","previouslyFormattedCitation":"[47]"},"properties":{"noteIndex":0},"schema":"https://github.com/citation-style-language/schema/raw/master/csl-citation.json"}</w:instrText>
      </w:r>
      <w:r>
        <w:fldChar w:fldCharType="separate"/>
      </w:r>
      <w:r w:rsidR="007151C0" w:rsidRPr="007151C0">
        <w:rPr>
          <w:noProof/>
        </w:rPr>
        <w:t>[48]</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w:t>
      </w:r>
      <w:r w:rsidR="00466D21">
        <w:t xml:space="preserve"> </w:t>
      </w:r>
      <w:r>
        <w:t xml:space="preserve">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For survival analyses and Cox proportional hazard tests, the survival package was used (version 2.38-3)</w:t>
      </w:r>
      <w:r w:rsidR="004E21CF">
        <w:fldChar w:fldCharType="begin" w:fldLock="1"/>
      </w:r>
      <w:r w:rsidR="007151C0">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[49,50]","plainTextFormattedCitation":"[49,50]","previouslyFormattedCitation":"[48,49]"},"properties":{"noteIndex":0},"schema":"https://github.com/citation-style-language/schema/raw/master/csl-citation.json"}</w:instrText>
      </w:r>
      <w:r w:rsidR="004E21CF">
        <w:fldChar w:fldCharType="separate"/>
      </w:r>
      <w:r w:rsidR="007151C0" w:rsidRPr="007151C0">
        <w:rPr>
          <w:noProof/>
        </w:rPr>
        <w:t>[49,50]</w:t>
      </w:r>
      <w:r w:rsidR="004E21CF">
        <w:fldChar w:fldCharType="end"/>
      </w:r>
      <w:r w:rsidR="004E21CF">
        <w:t xml:space="preserve">.  </w:t>
      </w:r>
      <w:r w:rsidR="009D4913">
        <w:t xml:space="preserve">We tested the assumptions of proportional hazards (with </w:t>
      </w:r>
      <w:proofErr w:type="spellStart"/>
      <w:r w:rsidR="009D4913">
        <w:t>Shoenfeld</w:t>
      </w:r>
      <w:proofErr w:type="spellEnd"/>
      <w:r w:rsidR="009D4913">
        <w:t xml:space="preserve"> residuals) and found no significant deviation from this assumption (p=0.875).  </w:t>
      </w:r>
      <w:r w:rsidR="007C4F6A">
        <w:t xml:space="preserve">Based on these, appropriate </w:t>
      </w:r>
      <w:r w:rsidR="007C4F6A">
        <w:lastRenderedPageBreak/>
        <w:t xml:space="preserve">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7151C0">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[51]","plainTextFormattedCitation":"[51]","previouslyFormattedCitation":"[50]"},"properties":{"noteIndex":0},"schema":"https://github.com/citation-style-language/schema/raw/master/csl-citation.json"}</w:instrText>
      </w:r>
      <w:r w:rsidR="00D05FF7">
        <w:fldChar w:fldCharType="separate"/>
      </w:r>
      <w:r w:rsidR="007151C0" w:rsidRPr="007151C0">
        <w:rPr>
          <w:noProof/>
        </w:rPr>
        <w:t>[51]</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t>Results</w:t>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4B13904A" w:rsidR="00EE7DA9" w:rsidRDefault="00F0463F" w:rsidP="00EE7DA9">
      <w:r>
        <w:t xml:space="preserve">Both short term overfeeding and chronic obesity result in increased energy expenditure.  To test whether mTORC1 plays a role in </w:t>
      </w:r>
      <w:r w:rsidR="00353984">
        <w:t xml:space="preserve">the short-term responses to </w:t>
      </w:r>
      <w:r w:rsidR="001B5133">
        <w:t>obesogenic</w:t>
      </w:r>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 xml:space="preserve">B, </w:t>
      </w:r>
      <w:r w:rsidR="00DC1E3E">
        <w:t>the switch to HFD</w:t>
      </w:r>
      <w:r w:rsidR="00395526">
        <w:t xml:space="preserve"> caused a</w:t>
      </w:r>
      <w:r w:rsidR="00D92193">
        <w:t xml:space="preserve"> 7.8%</w:t>
      </w:r>
      <w:r w:rsidR="00395526">
        <w:t xml:space="preserve"> increase in energy expenditure in the vehicle</w:t>
      </w:r>
      <w:r w:rsidR="00502BBA">
        <w:t xml:space="preserve"> injected</w:t>
      </w:r>
      <w:r w:rsidR="00395526">
        <w:t xml:space="preserve"> </w:t>
      </w:r>
      <w:r w:rsidR="00D92193">
        <w:t>in the dark phase and a 6.8% increase in the light phase</w:t>
      </w:r>
      <w:r w:rsidR="00395526">
        <w:t xml:space="preserve">.  </w:t>
      </w:r>
      <w:r w:rsidR="00D92193">
        <w:t>For the animals injected with rapamycin, there was no increase</w:t>
      </w:r>
      <w:r w:rsidR="00DD3A40">
        <w:t xml:space="preserve"> in energy expenditure</w:t>
      </w:r>
      <w:r w:rsidR="00D92193">
        <w:t xml:space="preserve"> </w:t>
      </w:r>
      <w:r w:rsidR="00697482">
        <w:t>within</w:t>
      </w:r>
      <w:r w:rsidR="00DD3A40">
        <w:t xml:space="preserve"> the HFD phase, when compared to vehicle treated mice (p=1.24 x 10</w:t>
      </w:r>
      <w:r w:rsidR="00DD3A40">
        <w:rPr>
          <w:vertAlign w:val="superscript"/>
        </w:rPr>
        <w:t>-5</w:t>
      </w:r>
      <w:r w:rsidR="00DD3A40">
        <w:t>).  These effects on energy expenditure</w:t>
      </w:r>
      <w:r w:rsidR="00395526">
        <w:t xml:space="preserve"> </w:t>
      </w:r>
      <w:r w:rsidR="00DD3A40">
        <w:t>were</w:t>
      </w:r>
      <w:r w:rsidR="00395526">
        <w:t xml:space="preserve"> not associated with differences in physical activity </w:t>
      </w:r>
      <w:r w:rsidR="0087648E">
        <w:t>(Figure 1</w:t>
      </w:r>
      <w:r w:rsidR="00F00E78">
        <w:t>C</w:t>
      </w:r>
      <w:r w:rsidR="00395526">
        <w:t>).</w:t>
      </w:r>
      <w:r w:rsidR="0017194A">
        <w:t xml:space="preserve">  These data </w:t>
      </w:r>
      <w:r w:rsidR="004D7062">
        <w:t>support the hypothesis</w:t>
      </w:r>
      <w:r w:rsidR="0017194A">
        <w:t xml:space="preserve"> that mTORC1 is required for the increase in energy expenditure in response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3080AEB0"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proofErr w:type="spellStart"/>
      <w:r>
        <w:rPr>
          <w:i/>
        </w:rPr>
        <w:t>Ckmm-Cre</w:t>
      </w:r>
      <w:proofErr w:type="spellEnd"/>
      <w:r>
        <w:t xml:space="preserve"> driven</w:t>
      </w:r>
      <w:r w:rsidR="00F07541">
        <w:t xml:space="preserve"> </w:t>
      </w:r>
      <w:r>
        <w:rPr>
          <w:i/>
        </w:rPr>
        <w:t>Tsc1</w:t>
      </w:r>
      <w:r>
        <w:t xml:space="preserve"> knockout</w:t>
      </w:r>
      <w:r w:rsidR="00F07541">
        <w:t xml:space="preserve"> mice</w:t>
      </w:r>
      <w:r>
        <w:t>.</w:t>
      </w:r>
      <w:r w:rsidR="00F07541">
        <w:t xml:space="preserve">   </w:t>
      </w:r>
      <w:r>
        <w:t xml:space="preserve">Consistent with prior reports </w:t>
      </w:r>
      <w:r w:rsidR="001B5133">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rsidR="001B5133">
        <w:fldChar w:fldCharType="separate"/>
      </w:r>
      <w:r w:rsidR="001B5133" w:rsidRPr="001B5133">
        <w:rPr>
          <w:noProof/>
        </w:rPr>
        <w:t>[31]</w:t>
      </w:r>
      <w:r w:rsidR="001B5133">
        <w:fldChar w:fldCharType="end"/>
      </w:r>
      <w:r w:rsidR="001B5133">
        <w:t xml:space="preserve"> </w:t>
      </w:r>
      <w:r>
        <w:t xml:space="preserve">we observed a </w:t>
      </w:r>
      <w:r w:rsidR="00DC6626">
        <w:t>an</w:t>
      </w:r>
      <w:r>
        <w:t xml:space="preserve"> elevation in energy expenditure in muscle specific </w:t>
      </w:r>
      <w:r>
        <w:rPr>
          <w:i/>
        </w:rPr>
        <w:t>Tsc1</w:t>
      </w:r>
      <w:r>
        <w:t xml:space="preserve"> knockout mouse (Figure 1</w:t>
      </w:r>
      <w:r w:rsidR="007F73C7">
        <w:t>D</w:t>
      </w:r>
      <w:r w:rsidR="00DC6626">
        <w:t>, p&lt;1 x 10</w:t>
      </w:r>
      <w:r w:rsidR="00DC6626">
        <w:rPr>
          <w:vertAlign w:val="superscript"/>
        </w:rPr>
        <w:t>6</w:t>
      </w:r>
      <w:r>
        <w:t>)</w:t>
      </w:r>
      <w:r w:rsidR="00DC6626">
        <w:t xml:space="preserve">.  This increase in thermogenesis was more apparent during the active dark phase (17% </w:t>
      </w:r>
      <w:proofErr w:type="spellStart"/>
      <w:r w:rsidR="00DC6626">
        <w:t>increased</w:t>
      </w:r>
      <w:proofErr w:type="spellEnd"/>
      <w:r w:rsidR="00DC6626">
        <w:t xml:space="preserve"> in males, 7.5% </w:t>
      </w:r>
      <w:proofErr w:type="spellStart"/>
      <w:r w:rsidR="00DC6626">
        <w:t>increased</w:t>
      </w:r>
      <w:proofErr w:type="spellEnd"/>
      <w:r w:rsidR="00DC6626">
        <w:t xml:space="preserve"> in female knockout mice).</w:t>
      </w:r>
      <w:r>
        <w:t xml:space="preserve"> </w:t>
      </w:r>
      <w:r w:rsidR="00DC6626">
        <w:t xml:space="preserve">  There </w:t>
      </w:r>
      <w:r w:rsidR="007F73C7">
        <w:t>were</w:t>
      </w:r>
      <w:r w:rsidR="00DC6626">
        <w:t xml:space="preserve"> </w:t>
      </w:r>
      <w:r>
        <w:t xml:space="preserve">no </w:t>
      </w:r>
      <w:r w:rsidR="00FB180A">
        <w:t>significant</w:t>
      </w:r>
      <w:r>
        <w:t xml:space="preserve"> differences in physical activity during</w:t>
      </w:r>
      <w:r w:rsidR="00106DC4">
        <w:t xml:space="preserve"> the</w:t>
      </w:r>
      <w:r>
        <w:t xml:space="preserve"> monitoring</w:t>
      </w:r>
      <w:r w:rsidR="00106DC4">
        <w:t xml:space="preserve"> period</w:t>
      </w:r>
      <w:r w:rsidR="00472BDC">
        <w:t xml:space="preserve"> (Figure 1</w:t>
      </w:r>
      <w:r w:rsidR="007F73C7">
        <w:t>E</w:t>
      </w:r>
      <w:r w:rsidR="00472BDC">
        <w:softHyphen/>
      </w:r>
      <w:r w:rsidR="00472BDC">
        <w:softHyphen/>
      </w:r>
      <w:r w:rsidR="00472BDC">
        <w:softHyphen/>
      </w:r>
      <w:r w:rsidR="00472BDC">
        <w:softHyphen/>
      </w:r>
      <w:r>
        <w:t>)</w:t>
      </w:r>
      <w:r w:rsidR="007F73C7">
        <w:t xml:space="preserve">.  In terms of the respiratory exchange ratio (Figure 1F) while the male wild-type and knockout mice were very similar, female muscle </w:t>
      </w:r>
      <w:r w:rsidR="007F73C7">
        <w:rPr>
          <w:i/>
        </w:rPr>
        <w:t>Tsc1</w:t>
      </w:r>
      <w:r w:rsidR="007F73C7">
        <w:t xml:space="preserve"> knockout mice had more lipid utilization at night, but more carbohydrate utilization during the day, potentially indicating</w:t>
      </w:r>
      <w:r w:rsidR="00F704E4">
        <w:t xml:space="preserve"> sex-dependent</w:t>
      </w:r>
      <w:r w:rsidR="007F73C7">
        <w:t xml:space="preserve"> increased metabolic flexibility</w:t>
      </w:r>
      <w:r>
        <w:t>.  These data are consistent with a physiological role of mTORC1 in moderating organismal energy expenditure.</w:t>
      </w:r>
      <w:r w:rsidR="00C64A2D">
        <w:t xml:space="preserve">  We next evaluated food intake in these animals on both NCD and HFD diets.  As shown in </w:t>
      </w:r>
      <w:commentRangeStart w:id="12"/>
      <w:r w:rsidR="00C64A2D">
        <w:t>Figure 1E</w:t>
      </w:r>
      <w:commentRangeEnd w:id="12"/>
      <w:r w:rsidR="00C64A2D">
        <w:rPr>
          <w:rStyle w:val="CommentReference"/>
        </w:rPr>
        <w:commentReference w:id="12"/>
      </w:r>
      <w:r w:rsidR="00C64A2D">
        <w:t xml:space="preserve">, while the HFD animals ingested more calories, there was no </w:t>
      </w:r>
      <w:r w:rsidR="003B35C6">
        <w:t xml:space="preserve">significant </w:t>
      </w:r>
      <w:r w:rsidR="00C64A2D">
        <w:t xml:space="preserve">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lastRenderedPageBreak/>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30942FAC"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composition of </w:t>
      </w:r>
      <w:r w:rsidR="002F1BC5">
        <w:t>male</w:t>
      </w:r>
      <w:r w:rsidR="0087648E">
        <w:t xml:space="preserve"> muscle </w:t>
      </w:r>
      <w:r w:rsidR="0087648E">
        <w:rPr>
          <w:i/>
        </w:rPr>
        <w:t xml:space="preserve">Tsc1 </w:t>
      </w:r>
      <w:r w:rsidR="0087648E">
        <w:t xml:space="preserve">knockout animals over the course of </w:t>
      </w:r>
      <w:r w:rsidR="00F007AD">
        <w:t>7</w:t>
      </w:r>
      <w:r w:rsidR="0087648E">
        <w:t xml:space="preserve"> months on a normal chow diet.  </w:t>
      </w:r>
      <w:r w:rsidR="00F007AD">
        <w:t>As animals aged the wild-type mice accreted more fat mass, but we observed</w:t>
      </w:r>
      <w:r w:rsidR="0087648E">
        <w:t xml:space="preserve"> a striking</w:t>
      </w:r>
      <w:r w:rsidR="00770A53">
        <w:t xml:space="preserve"> 84</w:t>
      </w:r>
      <w:r w:rsidR="00DE6A31">
        <w:t>% reduction</w:t>
      </w:r>
      <w:r w:rsidR="0087648E">
        <w:t xml:space="preserve"> </w:t>
      </w:r>
      <w:r w:rsidR="00770A53">
        <w:t>in</w:t>
      </w:r>
      <w:r w:rsidR="0087648E">
        <w:t xml:space="preserve"> fat mass </w:t>
      </w:r>
      <w:r w:rsidR="00770A53">
        <w:t xml:space="preserve">gains </w:t>
      </w:r>
      <w:r w:rsidR="00F007AD">
        <w:t>in the knockout animals</w:t>
      </w:r>
      <w:r w:rsidR="00DE6A31">
        <w:t xml:space="preserve"> as they aged</w:t>
      </w:r>
      <w:r w:rsidR="00B04B43">
        <w:t xml:space="preserve"> (Figures 2</w:t>
      </w:r>
      <w:r w:rsidR="00472BDC">
        <w:t>A</w:t>
      </w:r>
      <w:r w:rsidR="00DE6A31">
        <w:t>, p=1.7 x 10</w:t>
      </w:r>
      <w:r w:rsidR="00DE6A31">
        <w:rPr>
          <w:vertAlign w:val="superscript"/>
        </w:rPr>
        <w:t>-10</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fldChar w:fldCharType="begin" w:fldLock="1"/>
      </w:r>
      <w:r w:rsidR="007151C0">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[31,52]","plainTextFormattedCitation":"[31,52]","previouslyFormattedCitation":"[31,51]"},"properties":{"noteIndex":0},"schema":"https://github.com/citation-style-language/schema/raw/master/csl-citation.json"}</w:instrText>
      </w:r>
      <w:r>
        <w:fldChar w:fldCharType="separate"/>
      </w:r>
      <w:r w:rsidR="007151C0" w:rsidRPr="007151C0">
        <w:rPr>
          <w:noProof/>
        </w:rPr>
        <w:t>[31,52]</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404B3E">
        <w:t>, p=0.743 at endpoint</w:t>
      </w:r>
      <w:r w:rsidR="00472BDC">
        <w:t>)</w:t>
      </w:r>
      <w:r w:rsidR="0087648E">
        <w:t xml:space="preserve">.  To determine any adipose depot-specific changes, we measured the weights of fat pads from wild-type and </w:t>
      </w:r>
      <w:r w:rsidR="0087648E">
        <w:rPr>
          <w:i/>
        </w:rPr>
        <w:t>Tsc1</w:t>
      </w:r>
      <w:r w:rsidR="0087648E">
        <w:t xml:space="preserve"> knockout mice, and found that both subcutaneous and ep</w:t>
      </w:r>
      <w:r w:rsidR="004369E3">
        <w:t>i</w:t>
      </w:r>
      <w:r w:rsidR="0087648E">
        <w:t>didymal fat pads were reduced in size</w:t>
      </w:r>
      <w:r w:rsidR="00B04B43">
        <w:t xml:space="preserve"> (</w:t>
      </w:r>
      <w:r w:rsidR="004B4AFF">
        <w:t>79</w:t>
      </w:r>
      <w:r w:rsidR="0038168E">
        <w:t>%</w:t>
      </w:r>
      <w:r w:rsidR="0022606C">
        <w:t xml:space="preserve"> and </w:t>
      </w:r>
      <w:r w:rsidR="0038168E">
        <w:t>7</w:t>
      </w:r>
      <w:r w:rsidR="004B4AFF">
        <w:t>6</w:t>
      </w:r>
      <w:r w:rsidR="0038168E">
        <w:t>% respectively,</w:t>
      </w:r>
      <w:r w:rsidR="00482AEB">
        <w:t xml:space="preserve"> each p&lt;</w:t>
      </w:r>
      <w:r w:rsidR="004B4AFF">
        <w:t>0.0001</w:t>
      </w:r>
      <w:r w:rsidR="00EE675F">
        <w:t xml:space="preserve">; </w:t>
      </w:r>
      <w:r w:rsidR="00B04B43">
        <w:t>Figure 2</w:t>
      </w:r>
      <w:r w:rsidR="009D095F">
        <w:t>C</w:t>
      </w:r>
      <w:r w:rsidR="0087648E">
        <w:t>).</w:t>
      </w:r>
    </w:p>
    <w:p w14:paraId="3AF0DF1B" w14:textId="77777777" w:rsidR="0087648E" w:rsidRDefault="0087648E" w:rsidP="0087648E"/>
    <w:p w14:paraId="7690800A" w14:textId="77777777" w:rsidR="007A6E04"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knockout mice were resistant to w</w:t>
      </w:r>
      <w:r w:rsidR="001B6F0D">
        <w:t xml:space="preserve">eight gain on high fat diet.  </w:t>
      </w:r>
      <w:r>
        <w:t>The majority of this difference was in fat mass</w:t>
      </w:r>
      <w:r w:rsidR="0038153C">
        <w:t xml:space="preserve"> which was reduced 60% in males and 58% in females by the end of the study</w:t>
      </w:r>
      <w:r w:rsidR="00140E42">
        <w:t xml:space="preserve"> (</w:t>
      </w:r>
      <w:r w:rsidR="00B04B43">
        <w:t>Figure 3</w:t>
      </w:r>
      <w:r w:rsidR="003C3B52">
        <w:t>A</w:t>
      </w:r>
      <w:r w:rsidR="004F3112">
        <w:t>, p</w:t>
      </w:r>
      <w:r w:rsidR="007E387B">
        <w:t xml:space="preserve"> &lt; </w:t>
      </w:r>
      <w:r w:rsidR="004F3112">
        <w:t>1</w:t>
      </w:r>
      <w:r w:rsidR="00B355DD">
        <w:t>.0 x10</w:t>
      </w:r>
      <w:r w:rsidR="00B355DD">
        <w:rPr>
          <w:vertAlign w:val="superscript"/>
        </w:rPr>
        <w:t>-</w:t>
      </w:r>
      <w:r w:rsidR="007E387B">
        <w:rPr>
          <w:vertAlign w:val="superscript"/>
        </w:rPr>
        <w:t>6</w:t>
      </w:r>
      <w:r w:rsidR="007E387B">
        <w:t xml:space="preserve"> for each)</w:t>
      </w:r>
      <w:r w:rsidR="00887CEF">
        <w:t xml:space="preserve">.  In terms of lean mass, </w:t>
      </w:r>
      <w:r w:rsidR="00135321">
        <w:t xml:space="preserve">there were no significant differences with the knockout </w:t>
      </w:r>
      <w:r w:rsidR="00B04B43">
        <w:t>(Figure 3</w:t>
      </w:r>
      <w:r w:rsidR="003C3B52">
        <w:t>B</w:t>
      </w:r>
      <w:r w:rsidR="00135321">
        <w:t>, p=0.941</w:t>
      </w:r>
      <w:r>
        <w:t>)</w:t>
      </w:r>
      <w:r w:rsidR="00F72D7F">
        <w:t>, though as expected female lean mass was lower</w:t>
      </w:r>
      <w:r w:rsidR="003C3B52">
        <w:t xml:space="preserve"> than that of male mice</w:t>
      </w:r>
      <w:r w:rsidR="00F72D7F">
        <w:t>.</w:t>
      </w:r>
      <w:r>
        <w:t xml:space="preserve">  Upon sacrifice, fat pads were excised from these animals, and consistent with the body composition determinations, we observed a </w:t>
      </w:r>
      <w:r w:rsidR="00E11990">
        <w:t>75-80</w:t>
      </w:r>
      <w:r>
        <w:t>% reduction in perigonadal and inguinal fat pad mass for both males and females (all p&lt;</w:t>
      </w:r>
      <w:r w:rsidR="00E11990">
        <w:t>0.001</w:t>
      </w:r>
      <w:r w:rsidR="009454E4">
        <w:t>; Figure 3C</w:t>
      </w:r>
      <w:r>
        <w:t xml:space="preserve">).  </w:t>
      </w:r>
    </w:p>
    <w:p w14:paraId="5B53D118" w14:textId="77777777" w:rsidR="007A6E04" w:rsidRDefault="007A6E04" w:rsidP="0087648E"/>
    <w:p w14:paraId="15BC992A" w14:textId="391C451B" w:rsidR="00B04B43" w:rsidRDefault="009454E4" w:rsidP="0087648E">
      <w:r>
        <w:t xml:space="preserve">To test whether </w:t>
      </w:r>
      <w:r w:rsidR="009E23FE">
        <w:t>the reductions in fat mass</w:t>
      </w:r>
      <w:r>
        <w:t xml:space="preserve"> </w:t>
      </w:r>
      <w:r w:rsidR="009E23FE">
        <w:t>were</w:t>
      </w:r>
      <w:r>
        <w:t xml:space="preserve"> the result of </w:t>
      </w:r>
      <w:r w:rsidR="00A22BB0">
        <w:t>aberrant</w:t>
      </w:r>
      <w:r>
        <w:t xml:space="preserve"> fat accumulation in non-adipose tissue</w:t>
      </w:r>
      <w:r w:rsidR="009E23FE">
        <w:t xml:space="preserve">, or a form of lipodystrophy </w:t>
      </w:r>
      <w:r>
        <w:t xml:space="preserve">we performed insulin tolerance tests.  </w:t>
      </w:r>
      <w:r w:rsidR="00A22BB0">
        <w:t>As shown in Figure 3D, both</w:t>
      </w:r>
      <w:r w:rsidR="009F1160">
        <w:t xml:space="preserve"> male and female knockout mice were more insulin sensitive after </w:t>
      </w:r>
      <w:commentRangeStart w:id="13"/>
      <w:r w:rsidR="009F1160">
        <w:t xml:space="preserve">HFD treatment, </w:t>
      </w:r>
      <w:commentRangeEnd w:id="13"/>
      <w:r w:rsidR="00A22BB0">
        <w:rPr>
          <w:rStyle w:val="CommentReference"/>
        </w:rPr>
        <w:commentReference w:id="13"/>
      </w:r>
      <w:r w:rsidR="009F1160">
        <w:t>consistent with the hypothesis that the lower adiposity results in improved insulin sensitivity.</w:t>
      </w:r>
      <w:r w:rsidR="0087648E">
        <w:t xml:space="preserve">  These data support the hypothesis that muscle </w:t>
      </w:r>
      <w:r w:rsidR="0087648E">
        <w:rPr>
          <w:i/>
        </w:rPr>
        <w:t xml:space="preserve">Tsc1I </w:t>
      </w:r>
      <w:r w:rsidR="0087648E">
        <w:t xml:space="preserve">knockout prevents adipose tissue expansion during a high fat diet, </w:t>
      </w:r>
      <w:r w:rsidR="00EC0891">
        <w:t>and is consistent with elevated energy expenditure.</w:t>
      </w:r>
      <w:r w:rsidR="0087648E">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29E3C283"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w:t>
      </w:r>
      <w:r w:rsidR="006E719C">
        <w:t>W</w:t>
      </w:r>
      <w:r>
        <w:t xml:space="preserve">e identified </w:t>
      </w:r>
      <w:r w:rsidR="00496562">
        <w:t>4403</w:t>
      </w:r>
      <w:r>
        <w:t xml:space="preserve"> significantly differentially expressed genes in these animals, including </w:t>
      </w:r>
      <w:r w:rsidR="00496562">
        <w:t>2464</w:t>
      </w:r>
      <w:r>
        <w:t xml:space="preserve"> upregulated genes and </w:t>
      </w:r>
      <w:r w:rsidR="00496562">
        <w:t>1939</w:t>
      </w:r>
      <w:r>
        <w:t xml:space="preserve"> downregulated genes (see Supplementary Table 1</w:t>
      </w:r>
      <w:r w:rsidR="00834945">
        <w:t xml:space="preserve"> for complete list</w:t>
      </w:r>
      <w:r>
        <w:t xml:space="preserve">).  To gain some insights into the pathways and networks associated with these genes, we performed </w:t>
      </w:r>
      <w:r w:rsidR="00C21535">
        <w:t xml:space="preserve">gene-set enrichment analyses </w:t>
      </w:r>
      <w:r>
        <w:t>on this dataset</w:t>
      </w:r>
      <w:r w:rsidR="003F5B88">
        <w:t>, finding 674 differentially regulated gene sets</w:t>
      </w:r>
      <w:r w:rsidR="00DB5881">
        <w:t xml:space="preserve"> (see Supplementary Table 2)</w:t>
      </w:r>
      <w:r>
        <w:t xml:space="preserve">. </w:t>
      </w:r>
      <w:r w:rsidR="00DB5881">
        <w:t xml:space="preserve">Among the significantly enriched gene sets </w:t>
      </w:r>
      <w:r w:rsidR="00863DEF">
        <w:t xml:space="preserve">were </w:t>
      </w:r>
      <w:r>
        <w:t xml:space="preserve">genes regulated by </w:t>
      </w:r>
      <w:r w:rsidRPr="004D440C">
        <w:rPr>
          <w:i/>
        </w:rPr>
        <w:t>Tsc2</w:t>
      </w:r>
      <w:r>
        <w:t xml:space="preserve"> deletion in MEFs and by treatment with rapamycin </w:t>
      </w:r>
      <w:r>
        <w:fldChar w:fldCharType="begin" w:fldLock="1"/>
      </w:r>
      <w:r w:rsidR="007151C0">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[46,53]","plainTextFormattedCitation":"[46,53]","previouslyFormattedCitation":"[52,53]"},"properties":{"noteIndex":0},"schema":"https://github.com/citation-style-language/schema/raw/master/csl-citation.json"}</w:instrText>
      </w:r>
      <w:r>
        <w:fldChar w:fldCharType="separate"/>
      </w:r>
      <w:r w:rsidR="007151C0" w:rsidRPr="007151C0">
        <w:rPr>
          <w:noProof/>
        </w:rPr>
        <w:t>[46,53]</w:t>
      </w:r>
      <w:r>
        <w:fldChar w:fldCharType="end"/>
      </w:r>
      <w:r w:rsidR="007E574F">
        <w:t xml:space="preserve">, indicating there are a core set of mTORC1 dependent genes in many tissue types.  </w:t>
      </w:r>
      <w:r w:rsidR="00CC1398">
        <w:t>Consistent with this, we</w:t>
      </w:r>
      <w:r w:rsidR="007E574F">
        <w:t xml:space="preserve"> found that 58% of the </w:t>
      </w:r>
      <w:r w:rsidR="007E574F">
        <w:lastRenderedPageBreak/>
        <w:t xml:space="preserve">differentially expressed genes in our muscles overlapped with </w:t>
      </w:r>
      <w:r w:rsidR="00C00B6F">
        <w:t xml:space="preserve">previously published </w:t>
      </w:r>
      <w:r w:rsidR="007E574F">
        <w:t xml:space="preserve">differentially expressed genes in </w:t>
      </w:r>
      <w:r w:rsidR="007E574F">
        <w:rPr>
          <w:i/>
        </w:rPr>
        <w:t>Tsc2</w:t>
      </w:r>
      <w:r w:rsidR="007E574F">
        <w:t xml:space="preserve"> knockout MEFs </w:t>
      </w:r>
      <w:r w:rsidR="007E574F">
        <w:fldChar w:fldCharType="begin" w:fldLock="1"/>
      </w:r>
      <w:r w:rsidR="007151C0">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[53]"},"properties":{"noteIndex":0},"schema":"https://github.com/citation-style-language/schema/raw/master/csl-citation.json"}</w:instrText>
      </w:r>
      <w:r w:rsidR="007E574F">
        <w:fldChar w:fldCharType="separate"/>
      </w:r>
      <w:r w:rsidR="007151C0" w:rsidRPr="007151C0">
        <w:rPr>
          <w:noProof/>
        </w:rPr>
        <w:t>[46]</w:t>
      </w:r>
      <w:r w:rsidR="007E574F">
        <w:fldChar w:fldCharType="end"/>
      </w:r>
      <w:r>
        <w:t>.</w:t>
      </w:r>
      <w:r w:rsidR="007E574F" w:rsidRPr="007E574F">
        <w:t xml:space="preserve"> </w:t>
      </w:r>
      <w:r w:rsidR="00C00B6F">
        <w:t>W</w:t>
      </w:r>
      <w:r w:rsidR="007E574F">
        <w:t xml:space="preserve">e identified several gene sets that were upregulated including IGF1 targets in MCF-7 cells </w:t>
      </w:r>
      <w:r w:rsidR="007E574F">
        <w:fldChar w:fldCharType="begin" w:fldLock="1"/>
      </w:r>
      <w:r w:rsidR="00B421EE">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[54]","plainTextFormattedCitation":"[54]","previouslyFormattedCitation":"[54]"},"properties":{"noteIndex":0},"schema":"https://github.com/citation-style-language/schema/raw/master/csl-citation.json"}</w:instrText>
      </w:r>
      <w:r w:rsidR="007E574F">
        <w:fldChar w:fldCharType="separate"/>
      </w:r>
      <w:r w:rsidR="00B421EE" w:rsidRPr="00B421EE">
        <w:rPr>
          <w:noProof/>
        </w:rPr>
        <w:t>[54]</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0A6497">
        <w:t>4</w:t>
      </w:r>
      <w:r w:rsidR="006E719C">
        <w:t>A</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0A6497">
        <w:t>4</w:t>
      </w:r>
      <w:r w:rsidR="006E719C">
        <w:t>B</w:t>
      </w:r>
      <w:r w:rsidR="00B04B43">
        <w:t>).</w:t>
      </w:r>
    </w:p>
    <w:p w14:paraId="59D0B110" w14:textId="77777777" w:rsidR="00F82FCB" w:rsidRDefault="00F82FCB" w:rsidP="003669B1"/>
    <w:p w14:paraId="7AA0CBBF" w14:textId="1E9C010D" w:rsidR="00F82FCB"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776D93">
        <w:t>4C</w:t>
      </w:r>
      <w:r w:rsidR="00F82FCB">
        <w:t xml:space="preserve">).   Consistent with this and previous studies on </w:t>
      </w:r>
      <w:r w:rsidR="00F82FCB" w:rsidRPr="00F82FCB">
        <w:rPr>
          <w:i/>
        </w:rPr>
        <w:t>Tsc1</w:t>
      </w:r>
      <w:r w:rsidR="00F82FCB">
        <w:t xml:space="preserve"> knockout muscles we observed substantially more NADH staining of cryopreserved muscle sections (Figure </w:t>
      </w:r>
      <w:r w:rsidR="00396722">
        <w:t>4D</w:t>
      </w:r>
      <w:r w:rsidR="00F82FCB">
        <w:t>).</w:t>
      </w:r>
      <w:r w:rsidR="004905D8">
        <w:t xml:space="preserve">  </w:t>
      </w:r>
      <w:r w:rsidR="003F7532">
        <w:t xml:space="preserve">In terms of the </w:t>
      </w:r>
      <w:r w:rsidR="00654F70">
        <w:t xml:space="preserve">molecular </w:t>
      </w:r>
      <w:r w:rsidR="003F7532">
        <w:t xml:space="preserve">source of </w:t>
      </w:r>
      <w:r w:rsidR="00311779">
        <w:t>thermogenesis</w:t>
      </w:r>
      <w:r w:rsidR="00412036">
        <w:t>,</w:t>
      </w:r>
      <w:r w:rsidR="006374B4">
        <w:t xml:space="preserve"> </w:t>
      </w:r>
      <w:r w:rsidR="00412036">
        <w:t>we</w:t>
      </w:r>
      <w:r w:rsidR="004905D8">
        <w:t xml:space="preserve"> </w:t>
      </w:r>
      <w:r w:rsidR="00311779">
        <w:t xml:space="preserve">first evaluated the expression of the uncoupling proteins UCP1-3 and noted no significant elevations in these transcripts (not shown).  However, we </w:t>
      </w:r>
      <w:r w:rsidR="004905D8">
        <w:t xml:space="preserve">noted that there were dramatic increases in the ER </w:t>
      </w:r>
      <w:proofErr w:type="spellStart"/>
      <w:r w:rsidR="004905D8">
        <w:t>Calcuim</w:t>
      </w:r>
      <w:proofErr w:type="spellEnd"/>
      <w:r w:rsidR="004905D8">
        <w:t xml:space="preserve"> pump SERCA2 (encoded by </w:t>
      </w:r>
      <w:r w:rsidR="004905D8">
        <w:rPr>
          <w:i/>
        </w:rPr>
        <w:t>Atp2a2</w:t>
      </w:r>
      <w:r w:rsidR="00396722">
        <w:t>, see Figure 4C</w:t>
      </w:r>
      <w:r w:rsidR="004905D8">
        <w:t>), and its un</w:t>
      </w:r>
      <w:r w:rsidR="00C64A2D">
        <w:t>-</w:t>
      </w:r>
      <w:r w:rsidR="004905D8">
        <w:t xml:space="preserve">coupler Sarcolipin (encoded by </w:t>
      </w:r>
      <w:proofErr w:type="spellStart"/>
      <w:r w:rsidR="004905D8" w:rsidRPr="004905D8">
        <w:rPr>
          <w:i/>
        </w:rPr>
        <w:t>Sln</w:t>
      </w:r>
      <w:proofErr w:type="spellEnd"/>
      <w:r w:rsidR="00B04B43">
        <w:t xml:space="preserve">; Figure </w:t>
      </w:r>
      <w:r w:rsidR="00044765">
        <w:t>4E</w:t>
      </w:r>
      <w:r w:rsidR="004905D8">
        <w:t xml:space="preserve">).  </w:t>
      </w:r>
      <w:r w:rsidR="00412036">
        <w:t xml:space="preserve">Sarcolipin has been reported to play a role in muscle-specific thermogenesis </w:t>
      </w:r>
      <w:r w:rsidR="00412036">
        <w:fldChar w:fldCharType="begin" w:fldLock="1"/>
      </w:r>
      <w:r w:rsidR="00B421EE">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B421EE">
        <w:rPr>
          <w:rFonts w:ascii="Cambria Math" w:hAnsi="Cambria Math" w:cs="Cambria Math"/>
        </w:rPr>
        <w:instrText>∼</w:instrText>
      </w:r>
      <w:r w:rsidR="00B421EE">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[55–58]","plainTextFormattedCitation":"[55–58]","previouslyFormattedCitation":"[55–58]"},"properties":{"noteIndex":0},"schema":"https://github.com/citation-style-language/schema/raw/master/csl-citation.json"}</w:instrText>
      </w:r>
      <w:r w:rsidR="00412036">
        <w:fldChar w:fldCharType="separate"/>
      </w:r>
      <w:r w:rsidR="00B421EE" w:rsidRPr="00B421EE">
        <w:rPr>
          <w:noProof/>
        </w:rPr>
        <w:t>[55–58]</w:t>
      </w:r>
      <w:r w:rsidR="00412036">
        <w:fldChar w:fldCharType="end"/>
      </w:r>
      <w:r w:rsidR="00412036">
        <w:t xml:space="preserve">. </w:t>
      </w:r>
      <w:r w:rsidR="004905D8">
        <w:t xml:space="preserve">To </w:t>
      </w:r>
      <w:r w:rsidR="00412036">
        <w:t>evaluate Sarcolipin protein levels</w:t>
      </w:r>
      <w:r w:rsidR="004905D8">
        <w:t xml:space="preserve">, we performed western blotting </w:t>
      </w:r>
      <w:r w:rsidR="00917778">
        <w:t>on</w:t>
      </w:r>
      <w:r w:rsidR="004905D8">
        <w:t xml:space="preserve"> these lysates </w:t>
      </w:r>
      <w:r w:rsidR="00917778">
        <w:t xml:space="preserve">and found a </w:t>
      </w:r>
      <w:proofErr w:type="gramStart"/>
      <w:r w:rsidR="00917778">
        <w:t>4.1 fold</w:t>
      </w:r>
      <w:proofErr w:type="gramEnd"/>
      <w:r w:rsidR="00917778">
        <w:t xml:space="preserve"> increase in Sarcolipin protein</w:t>
      </w:r>
      <w:r w:rsidR="00B04B43">
        <w:t xml:space="preserve"> (</w:t>
      </w:r>
      <w:r w:rsidR="00917778">
        <w:t>p</w:t>
      </w:r>
      <w:r w:rsidR="00224477">
        <w:t>=4.5 x 10</w:t>
      </w:r>
      <w:r w:rsidR="00224477">
        <w:rPr>
          <w:vertAlign w:val="superscript"/>
        </w:rPr>
        <w:t>-6</w:t>
      </w:r>
      <w:r w:rsidR="00224477">
        <w:t xml:space="preserve">; </w:t>
      </w:r>
      <w:r w:rsidR="00B04B43">
        <w:t xml:space="preserve">Figure </w:t>
      </w:r>
      <w:r w:rsidR="00AF076F">
        <w:t>4F</w:t>
      </w:r>
      <w:r w:rsidR="00934670">
        <w:t>, pS6 is shown as a positive control</w:t>
      </w:r>
      <w:r w:rsidR="00B04B43">
        <w:t>)</w:t>
      </w:r>
      <w:r w:rsidR="004905D8">
        <w:t xml:space="preserve">.  We therefore propose that the increased oxidative </w:t>
      </w:r>
      <w:r w:rsidR="00BF2F76">
        <w:t>activity</w:t>
      </w:r>
      <w:r w:rsidR="004905D8">
        <w:t xml:space="preserve"> in these muscles may be related to increased futile cycling of ATP by uncoupled SERCA2 at the ER.</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t>Micu2</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w:t>
      </w:r>
      <w:r w:rsidR="00311779">
        <w:t>Table 1</w:t>
      </w:r>
      <w:r w:rsidR="00784182">
        <w:t xml:space="preserve">).  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lastRenderedPageBreak/>
        <w:t>D</w:t>
      </w:r>
      <w:r w:rsidR="007B624A">
        <w:t>iscussion</w:t>
      </w:r>
    </w:p>
    <w:p w14:paraId="0CDEB5A7" w14:textId="77777777" w:rsidR="00A922D2" w:rsidRDefault="00A922D2" w:rsidP="00A922D2"/>
    <w:p w14:paraId="6320D5D1" w14:textId="09319138" w:rsidR="00D86AFE" w:rsidRPr="008437EE" w:rsidRDefault="00D86AFE" w:rsidP="00A922D2">
      <w:r>
        <w:t>Skeletal muscle is an extremely important organ for</w:t>
      </w:r>
      <w:r w:rsidR="005F1335">
        <w:t xml:space="preserve"> both energy balance and</w:t>
      </w:r>
      <w:r>
        <w:t xml:space="preserve">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7151C0">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[59,60]","plainTextFormattedCitation":"[59,60]","previouslyFormattedCitation":"[63,64]"},"properties":{"noteIndex":0},"schema":"https://github.com/citation-style-language/schema/raw/master/csl-citation.json"}</w:instrText>
      </w:r>
      <w:r>
        <w:fldChar w:fldCharType="separate"/>
      </w:r>
      <w:r w:rsidR="007151C0" w:rsidRPr="007151C0">
        <w:rPr>
          <w:noProof/>
        </w:rPr>
        <w:t>[59,60]</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7151C0">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[60–66]","plainTextFormattedCitation":"[60–66]","previouslyFormattedCitation":"[64–70]"},"properties":{"noteIndex":0},"schema":"https://github.com/citation-style-language/schema/raw/master/csl-citation.json"}</w:instrText>
      </w:r>
      <w:r w:rsidRPr="00CB1C98">
        <w:fldChar w:fldCharType="separate"/>
      </w:r>
      <w:r w:rsidR="007151C0" w:rsidRPr="007151C0">
        <w:rPr>
          <w:noProof/>
        </w:rPr>
        <w:t>[60–66]</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7151C0">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[67–69]","plainTextFormattedCitation":"[67–69]","previouslyFormattedCitation":"[71–73]"},"properties":{"noteIndex":0},"schema":"https://github.com/citation-style-language/schema/raw/master/csl-citation.json"}</w:instrText>
      </w:r>
      <w:r w:rsidRPr="00CB1C98">
        <w:fldChar w:fldCharType="separate"/>
      </w:r>
      <w:r w:rsidR="007151C0" w:rsidRPr="007151C0">
        <w:rPr>
          <w:noProof/>
        </w:rPr>
        <w:t>[67–69]</w:t>
      </w:r>
      <w:r w:rsidRPr="00CB1C98">
        <w:fldChar w:fldCharType="end"/>
      </w:r>
      <w:r>
        <w:t xml:space="preserve">. </w:t>
      </w:r>
    </w:p>
    <w:p w14:paraId="41D0AC97" w14:textId="77777777" w:rsidR="007D1A22" w:rsidRDefault="007D1A22" w:rsidP="007D1A22"/>
    <w:p w14:paraId="7EB87ED1" w14:textId="25B4FC71"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7151C0">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[70,71]","plainTextFormattedCitation":"[70,71]","previouslyFormattedCitation":"[74,75]"},"properties":{"noteIndex":0},"schema":"https://github.com/citation-style-language/schema/raw/master/csl-citation.json"}</w:instrText>
      </w:r>
      <w:r>
        <w:fldChar w:fldCharType="separate"/>
      </w:r>
      <w:r w:rsidR="007151C0" w:rsidRPr="007151C0">
        <w:rPr>
          <w:noProof/>
        </w:rPr>
        <w:t>[70,71]</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Furthermore</w:t>
      </w:r>
      <w:r w:rsidR="004D5084">
        <w:t>,</w:t>
      </w:r>
      <w:r w:rsidR="009162BF">
        <w:t xml:space="preserve"> findings that mTORC1 is 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7151C0">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[27,72,73]","plainTextFormattedCitation":"[27,72,73]","previouslyFormattedCitation":"[27,76,77]"},"properties":{"noteIndex":0},"schema":"https://github.com/citation-style-language/schema/raw/master/csl-citation.json"}</w:instrText>
      </w:r>
      <w:r w:rsidR="00CE7860">
        <w:fldChar w:fldCharType="separate"/>
      </w:r>
      <w:r w:rsidR="007151C0" w:rsidRPr="007151C0">
        <w:rPr>
          <w:noProof/>
        </w:rPr>
        <w:t>[27,72,73]</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65FBC1BD"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7151C0">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[31,74,75]","plainTextFormattedCitation":"[31,74,75]","previouslyFormattedCitation":"[31,78,79]"},"properties":{"noteIndex":0},"schema":"https://github.com/citation-style-language/schema/raw/master/csl-citation.json"}</w:instrText>
      </w:r>
      <w:r w:rsidR="002638F5">
        <w:fldChar w:fldCharType="separate"/>
      </w:r>
      <w:r w:rsidR="007151C0" w:rsidRPr="007151C0">
        <w:rPr>
          <w:noProof/>
        </w:rPr>
        <w:t>[31,74,75]</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r w:rsidR="00FB6EEE">
        <w:t>obesogenic</w:t>
      </w:r>
      <w:r w:rsidR="00CD1EC4">
        <w:t xml:space="preserve"> effects of muscle specific </w:t>
      </w:r>
      <w:r w:rsidR="00CD1EC4">
        <w:rPr>
          <w:i/>
        </w:rPr>
        <w:t>Cd36</w:t>
      </w:r>
      <w:r w:rsidR="00CD1EC4">
        <w:t xml:space="preserve"> overexpression </w:t>
      </w:r>
      <w:r w:rsidR="00CD1EC4">
        <w:fldChar w:fldCharType="begin" w:fldLock="1"/>
      </w:r>
      <w:r w:rsidR="007151C0">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[76]","plainTextFormattedCitation":"[76]","previouslyFormattedCitation":"[80]"},"properties":{"noteIndex":0},"schema":"https://github.com/citation-style-language/schema/raw/master/csl-citation.json"}</w:instrText>
      </w:r>
      <w:r w:rsidR="00CD1EC4">
        <w:fldChar w:fldCharType="separate"/>
      </w:r>
      <w:r w:rsidR="007151C0" w:rsidRPr="007151C0">
        <w:rPr>
          <w:noProof/>
        </w:rPr>
        <w:t>[76]</w:t>
      </w:r>
      <w:r w:rsidR="00CD1EC4">
        <w:fldChar w:fldCharType="end"/>
      </w:r>
      <w:r w:rsidR="00CD1EC4">
        <w:t xml:space="preserve"> and with the observation that elevated free fatty acids can promote mitochondrial biogenesis </w:t>
      </w:r>
      <w:r w:rsidR="00CD1EC4">
        <w:fldChar w:fldCharType="begin" w:fldLock="1"/>
      </w:r>
      <w:r w:rsidR="007151C0">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[77]","plainTextFormattedCitation":"[77]","previouslyFormattedCitation":"[81]"},"properties":{"noteIndex":0},"schema":"https://github.com/citation-style-language/schema/raw/master/csl-citation.json"}</w:instrText>
      </w:r>
      <w:r w:rsidR="00CD1EC4">
        <w:fldChar w:fldCharType="separate"/>
      </w:r>
      <w:r w:rsidR="007151C0" w:rsidRPr="007151C0">
        <w:rPr>
          <w:noProof/>
        </w:rPr>
        <w:t>[77]</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7151C0">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[55,78]","plainTextFormattedCitation":"[55,78]","previouslyFormattedCitation":"[55,82]"},"properties":{"noteIndex":0},"schema":"https://github.com/citation-style-language/schema/raw/master/csl-citation.json"}</w:instrText>
      </w:r>
      <w:r w:rsidR="00FD1D50">
        <w:fldChar w:fldCharType="separate"/>
      </w:r>
      <w:r w:rsidR="007151C0" w:rsidRPr="007151C0">
        <w:rPr>
          <w:noProof/>
        </w:rPr>
        <w:t>[55,78]</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B421EE">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[55–57]","plainTextFormattedCitation":"[55–57]","previouslyFormattedCitation":"[55–57]"},"properties":{"noteIndex":0},"schema":"https://github.com/citation-style-language/schema/raw/master/csl-citation.json"}</w:instrText>
      </w:r>
      <w:r w:rsidR="00CD1EC4">
        <w:fldChar w:fldCharType="separate"/>
      </w:r>
      <w:r w:rsidR="00B421EE" w:rsidRPr="00B421EE">
        <w:rPr>
          <w:noProof/>
        </w:rPr>
        <w:t>[55–57]</w:t>
      </w:r>
      <w:r w:rsidR="00CD1EC4">
        <w:fldChar w:fldCharType="end"/>
      </w:r>
      <w:r w:rsidR="00412036">
        <w:t xml:space="preserve"> and prevention when it is overexpressed </w:t>
      </w:r>
      <w:r w:rsidR="00412036">
        <w:fldChar w:fldCharType="begin" w:fldLock="1"/>
      </w:r>
      <w:r w:rsidR="00B421EE">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B421EE">
        <w:rPr>
          <w:rFonts w:ascii="Cambria Math" w:hAnsi="Cambria Math" w:cs="Cambria Math"/>
        </w:rPr>
        <w:instrText>∼</w:instrText>
      </w:r>
      <w:r w:rsidR="00B421EE">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instrText>
      </w:r>
      <w:r w:rsidR="00412036">
        <w:fldChar w:fldCharType="separate"/>
      </w:r>
      <w:r w:rsidR="00B421EE" w:rsidRPr="00B421EE">
        <w:rPr>
          <w:noProof/>
        </w:rPr>
        <w:t>[58]</w:t>
      </w:r>
      <w:r w:rsidR="00412036">
        <w:fldChar w:fldCharType="end"/>
      </w:r>
      <w:r w:rsidR="00CD1EC4">
        <w:t xml:space="preserve">. As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lastRenderedPageBreak/>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577A0B00"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14"/>
      <w:r w:rsidR="001E0A5E">
        <w:t xml:space="preserve">XXXX </w:t>
      </w:r>
      <w:commentRangeEnd w:id="14"/>
      <w:r w:rsidR="00E22913">
        <w:rPr>
          <w:rStyle w:val="CommentReference"/>
        </w:rPr>
        <w:commentReference w:id="14"/>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352D83">
        <w:rPr>
          <w:iCs/>
        </w:rPr>
        <w:t>s</w:t>
      </w:r>
      <w:r w:rsidR="00E22913" w:rsidRPr="00E22913">
        <w:rPr>
          <w:iCs/>
        </w:rPr>
        <w:t xml:space="preserve"> DK089503</w:t>
      </w:r>
      <w:r w:rsidR="00352D83">
        <w:rPr>
          <w:iCs/>
        </w:rPr>
        <w:t xml:space="preserve">, DK110768, and </w:t>
      </w:r>
      <w:r w:rsidR="00352D83" w:rsidRPr="00352D83">
        <w:rPr>
          <w:iCs/>
        </w:rPr>
        <w:t>AR069620</w:t>
      </w:r>
      <w:r w:rsidR="00E22913" w:rsidRPr="00E22913">
        <w:rPr>
          <w:iCs/>
        </w:rPr>
        <w:t xml:space="preserve"> </w:t>
      </w:r>
      <w:r w:rsidR="00C913F9">
        <w:rPr>
          <w:iCs/>
        </w:rPr>
        <w:t>to the University of Michigan.</w:t>
      </w:r>
    </w:p>
    <w:p w14:paraId="18186392" w14:textId="022B818B" w:rsidR="007B624A" w:rsidRPr="00E22913" w:rsidRDefault="007B624A" w:rsidP="00A40A23">
      <w:pPr>
        <w:pStyle w:val="Heading1"/>
      </w:pPr>
      <w:r w:rsidRPr="00E22913">
        <w:t>References</w:t>
      </w:r>
    </w:p>
    <w:p w14:paraId="3E0A25B2" w14:textId="769AEC76" w:rsidR="007151C0" w:rsidRPr="007151C0" w:rsidRDefault="00871236" w:rsidP="007151C0">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7151C0" w:rsidRPr="007151C0">
        <w:rPr>
          <w:rFonts w:ascii="Garamond" w:hAnsi="Garamond" w:cs="Times New Roman"/>
          <w:noProof/>
        </w:rPr>
        <w:t>[1]</w:t>
      </w:r>
      <w:r w:rsidR="007151C0" w:rsidRPr="007151C0">
        <w:rPr>
          <w:rFonts w:ascii="Garamond" w:hAnsi="Garamond" w:cs="Times New Roman"/>
          <w:noProof/>
        </w:rPr>
        <w:tab/>
        <w:t>World Health Organization., 2013. Obesity and Overweight. http://www.who.int/mediacentre/factsheets/fs311/en/.</w:t>
      </w:r>
    </w:p>
    <w:p w14:paraId="2654FAA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w:t>
      </w:r>
      <w:r w:rsidRPr="007151C0">
        <w:rPr>
          <w:rFonts w:ascii="Garamond" w:hAnsi="Garamond" w:cs="Times New Roman"/>
          <w:noProof/>
        </w:rPr>
        <w:tab/>
        <w:t>Leibel, R.L., Hirsch, J., 1984. Diminished energy requirements in reduced-obese patients. Metabolism 33(2): 164–70, Doi: 10.1016/0026-0495(84)90130-6.</w:t>
      </w:r>
    </w:p>
    <w:p w14:paraId="25209C1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w:t>
      </w:r>
      <w:r w:rsidRPr="007151C0">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6F117D9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w:t>
      </w:r>
      <w:r w:rsidRPr="007151C0">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0D0B01A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w:t>
      </w:r>
      <w:r w:rsidRPr="007151C0">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7A4A9BA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w:t>
      </w:r>
      <w:r w:rsidRPr="007151C0">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1B428D3F"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w:t>
      </w:r>
      <w:r w:rsidRPr="007151C0">
        <w:rPr>
          <w:rFonts w:ascii="Garamond" w:hAnsi="Garamond" w:cs="Times New Roman"/>
          <w:noProof/>
        </w:rPr>
        <w:tab/>
        <w:t>Efeyan, A., Comb, W.C., Sabatini, D.M., 2015. Nutrient-sensing mechanisms and pathways. Nature 517(7534): 302–10, Doi: 10.1038/nature14190.</w:t>
      </w:r>
    </w:p>
    <w:p w14:paraId="63315E43"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[8]</w:t>
      </w:r>
      <w:r w:rsidRPr="007151C0">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77FA08E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[9]</w:t>
      </w:r>
      <w:r w:rsidRPr="007151C0">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4E347A95"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lastRenderedPageBreak/>
        <w:t>[10]</w:t>
      </w:r>
      <w:r w:rsidRPr="007151C0">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4E4F78ED"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[11]</w:t>
      </w:r>
      <w:r w:rsidRPr="007151C0">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59DEEAE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[12]</w:t>
      </w:r>
      <w:r w:rsidRPr="007151C0">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57E73CD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[13]</w:t>
      </w:r>
      <w:r w:rsidRPr="007151C0">
        <w:rPr>
          <w:rFonts w:ascii="Garamond" w:hAnsi="Garamond" w:cs="Times New Roman"/>
          <w:noProof/>
        </w:rPr>
        <w:tab/>
        <w:t>Hatfield, I., Harvey, I., Yates, E.R., Redd, J.R., Reiter, L.T., Bridges, D., 2015. The role of TORC1 in muscle development in Drosophila. Scientific Reports 5: 9676, Doi: 10.1038/srep09676.</w:t>
      </w:r>
    </w:p>
    <w:p w14:paraId="5D170862"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[14]</w:t>
      </w:r>
      <w:r w:rsidRPr="007151C0">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57A97B7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[15]</w:t>
      </w:r>
      <w:r w:rsidRPr="007151C0">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1BF2FC65"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[16]</w:t>
      </w:r>
      <w:r w:rsidRPr="007151C0">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53C978F2"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[17]</w:t>
      </w:r>
      <w:r w:rsidRPr="007151C0">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7331B5FA"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[18]</w:t>
      </w:r>
      <w:r w:rsidRPr="007151C0">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551F1E65"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[19]</w:t>
      </w:r>
      <w:r w:rsidRPr="007151C0">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25DDFC2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[20]</w:t>
      </w:r>
      <w:r w:rsidRPr="007151C0">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501F60D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[21]</w:t>
      </w:r>
      <w:r w:rsidRPr="007151C0">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5ED34843"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[22]</w:t>
      </w:r>
      <w:r w:rsidRPr="007151C0">
        <w:rPr>
          <w:rFonts w:ascii="Garamond" w:hAnsi="Garamond" w:cs="Times New Roman"/>
          <w:noProof/>
        </w:rPr>
        <w:tab/>
        <w:t>Gale, C.R., Martyn, C.N., Cooper, C., Sayer, A.A., 2007. Grip strength, body composition, and mortality. International Journal of Epidemiology 36(1): 228–35, Doi: 10.1093/ije/dyl224.</w:t>
      </w:r>
    </w:p>
    <w:p w14:paraId="6A880D9A"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[23]</w:t>
      </w:r>
      <w:r w:rsidRPr="007151C0">
        <w:rPr>
          <w:rFonts w:ascii="Garamond" w:hAnsi="Garamond" w:cs="Times New Roman"/>
          <w:noProof/>
        </w:rPr>
        <w:tab/>
        <w:t xml:space="preserve">Rantanen, T., Volpato, S., Ferrucci, L., Heikkinen, E., Fried, L.P., Guralnik, J.M., </w:t>
      </w:r>
      <w:r w:rsidRPr="007151C0">
        <w:rPr>
          <w:rFonts w:ascii="Garamond" w:hAnsi="Garamond" w:cs="Times New Roman"/>
          <w:noProof/>
        </w:rPr>
        <w:lastRenderedPageBreak/>
        <w:t>2003. Handgrip strength and cause-specific and total mortality in older disabled women: exploring the mechanism. Journal of the American Geriatrics Society 51(5): 636–41, Doi: 10.1034/j.1600-0579.2003.00207.x.</w:t>
      </w:r>
    </w:p>
    <w:p w14:paraId="007EAFE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[24]</w:t>
      </w:r>
      <w:r w:rsidRPr="007151C0">
        <w:rPr>
          <w:rFonts w:ascii="Garamond" w:hAnsi="Garamond" w:cs="Times New Roman"/>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172FEEE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[25]</w:t>
      </w:r>
      <w:r w:rsidRPr="007151C0">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24ED5C5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[26]</w:t>
      </w:r>
      <w:r w:rsidRPr="007151C0">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40FCC9C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[27]</w:t>
      </w:r>
      <w:r w:rsidRPr="007151C0">
        <w:rPr>
          <w:rFonts w:ascii="Garamond" w:hAnsi="Garamond" w:cs="Times New Roman"/>
          <w:noProof/>
        </w:rPr>
        <w:tab/>
        <w:t>Laplante, M., Sabatini, D.M., 2010. mTORC1 activates SREBP-1c and uncouples lipogenesis from gluconeogenesis. Proceedings of the National Academy of Sciences of the United States of America 107(8): 3281–2, Doi: 10.1073/pnas.1000323107.</w:t>
      </w:r>
    </w:p>
    <w:p w14:paraId="3CD536F6"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[28]</w:t>
      </w:r>
      <w:r w:rsidRPr="007151C0">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5AAA59ED"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[29]</w:t>
      </w:r>
      <w:r w:rsidRPr="007151C0">
        <w:rPr>
          <w:rFonts w:ascii="Garamond" w:hAnsi="Garamond" w:cs="Times New Roman"/>
          <w:noProof/>
        </w:rPr>
        <w:tab/>
        <w:t>Rolfe, D.F., Brown, G.C., 1997. Cellular energy utilization and molecular origin of standard metabolic rate in mammals. Physiological Reviews 77(3): 731–58.</w:t>
      </w:r>
    </w:p>
    <w:p w14:paraId="5448BBC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[30]</w:t>
      </w:r>
      <w:r w:rsidRPr="007151C0">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0558A39A"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[31]</w:t>
      </w:r>
      <w:r w:rsidRPr="007151C0">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34890A6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[32]</w:t>
      </w:r>
      <w:r w:rsidRPr="007151C0">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0861323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[33]</w:t>
      </w:r>
      <w:r w:rsidRPr="007151C0">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13D03A2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[34]</w:t>
      </w:r>
      <w:r w:rsidRPr="007151C0">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3654B42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[35]</w:t>
      </w:r>
      <w:r w:rsidRPr="007151C0">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6A9013E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lastRenderedPageBreak/>
        <w:t>[36]</w:t>
      </w:r>
      <w:r w:rsidRPr="007151C0">
        <w:rPr>
          <w:rFonts w:ascii="Garamond" w:hAnsi="Garamond" w:cs="Times New Roman"/>
          <w:noProof/>
        </w:rPr>
        <w:tab/>
        <w:t>Cuthbertson, D., Smith, K., Babraj, J., Leese, G., Waddell, T., Atherton, P., et al., 2005. Anabolic signaling deficits underlie amino acid resistance of wasting, aging muscle. The FASEB Journal</w:t>
      </w:r>
      <w:r w:rsidRPr="007151C0">
        <w:rPr>
          <w:rFonts w:ascii="Times New Roman" w:hAnsi="Times New Roman" w:cs="Times New Roman"/>
          <w:noProof/>
        </w:rPr>
        <w:t> </w:t>
      </w:r>
      <w:r w:rsidRPr="007151C0">
        <w:rPr>
          <w:rFonts w:ascii="Garamond" w:hAnsi="Garamond" w:cs="Times New Roman"/>
          <w:noProof/>
        </w:rPr>
        <w:t>: Official Publication of the Federation of American Societies for Experimental Biology 19(3): 422–4, Doi: 10.1096/fj.04-2640fje.</w:t>
      </w:r>
    </w:p>
    <w:p w14:paraId="3458A005"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[37]</w:t>
      </w:r>
      <w:r w:rsidRPr="007151C0">
        <w:rPr>
          <w:rFonts w:ascii="Garamond" w:hAnsi="Garamond" w:cs="Times New Roman"/>
          <w:noProof/>
        </w:rPr>
        <w:tab/>
        <w:t>Tschöp, M.H., Speakman, J.R., Arch, J.R.S., Auwerx, J., Brüning, J.C.C., Chan, L., et al., 2011. A guide to analysis of mouse energy metabolism. Nature Methods 9(1): 57–63, Doi: 10.1038/nmeth.1806.</w:t>
      </w:r>
    </w:p>
    <w:p w14:paraId="46FFB981"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[38]</w:t>
      </w:r>
      <w:r w:rsidRPr="007151C0">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5B7C73F6"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[39]</w:t>
      </w:r>
      <w:r w:rsidRPr="007151C0">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5079860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[40]</w:t>
      </w:r>
      <w:r w:rsidRPr="007151C0">
        <w:rPr>
          <w:rFonts w:ascii="Garamond" w:hAnsi="Garamond" w:cs="Times New Roman"/>
          <w:noProof/>
        </w:rPr>
        <w:tab/>
        <w:t>Kim, D., Pertea, G., Trapnell, C., Pimentel, H., Kelley, R., Salzberg, S.L., 2013. TopHat2: accurate alignment of transcriptomes in the presence of insertions, deletions and gene fusions. Genome Biology 14(4): R36, Doi: 10.1186/gb-2013-14-4-r36.</w:t>
      </w:r>
    </w:p>
    <w:p w14:paraId="61167B7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[41]</w:t>
      </w:r>
      <w:r w:rsidRPr="007151C0">
        <w:rPr>
          <w:rFonts w:ascii="Garamond" w:hAnsi="Garamond" w:cs="Times New Roman"/>
          <w:noProof/>
        </w:rPr>
        <w:tab/>
        <w:t>Langmead, B., Trapnell, C., Pop, M., Salzberg, S.L., 2009. Ultrafast and memory-efficient alignment of short DNA sequences to the human genome. Genome Biology 10(3): R25, Doi: 10.1186/gb-2009-10-3-r25.</w:t>
      </w:r>
    </w:p>
    <w:p w14:paraId="368BCA1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[42]</w:t>
      </w:r>
      <w:r w:rsidRPr="007151C0">
        <w:rPr>
          <w:rFonts w:ascii="Garamond" w:hAnsi="Garamond" w:cs="Times New Roman"/>
          <w:noProof/>
        </w:rPr>
        <w:tab/>
        <w:t>Anders, S., Pyl, P.T., Huber, W., 2015. HTSeq-A Python framework to work with high-throughput sequencing data. Bioinformatics 31(2): 166–9, Doi: 10.1093/bioinformatics/btu638.</w:t>
      </w:r>
    </w:p>
    <w:p w14:paraId="2BD5AFB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[43]</w:t>
      </w:r>
      <w:r w:rsidRPr="007151C0">
        <w:rPr>
          <w:rFonts w:ascii="Garamond" w:hAnsi="Garamond" w:cs="Times New Roman"/>
          <w:noProof/>
        </w:rPr>
        <w:tab/>
        <w:t>Love, M.I., Huber, W., Anders, S., 2014. Moderated estimation of fold change and dispersion for RNA-seq data with DESeq2. Genome Biology 15(12): 550, Doi: 10.1186/s13059-014-0550-8.</w:t>
      </w:r>
    </w:p>
    <w:p w14:paraId="3FC3295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[44]</w:t>
      </w:r>
      <w:r w:rsidRPr="007151C0">
        <w:rPr>
          <w:rFonts w:ascii="Garamond" w:hAnsi="Garamond" w:cs="Times New Roman"/>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3D15E65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[45]</w:t>
      </w:r>
      <w:r w:rsidRPr="007151C0">
        <w:rPr>
          <w:rFonts w:ascii="Garamond" w:hAnsi="Garamond" w:cs="Times New Roman"/>
          <w:noProof/>
        </w:rPr>
        <w:tab/>
        <w:t>Liberzon, A., Subramanian, A., Pinchback, R., Thorvaldsdóttir, H., Tamayo, P., Mesirov, J.P., 2011. Molecular signatures database (MSigDB) 3.0. Bioinformatics 27(12): 1739–40, Doi: 10.1093/bioinformatics/btr260.</w:t>
      </w:r>
    </w:p>
    <w:p w14:paraId="0C327B7D"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[46]</w:t>
      </w:r>
      <w:r w:rsidRPr="007151C0">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07B822C3"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[47]</w:t>
      </w:r>
      <w:r w:rsidRPr="007151C0">
        <w:rPr>
          <w:rFonts w:ascii="Garamond" w:hAnsi="Garamond" w:cs="Times New Roman"/>
          <w:noProof/>
        </w:rPr>
        <w:tab/>
        <w:t>R Core Team., 2013. R: A Language and Environment for Statistical Computing.</w:t>
      </w:r>
    </w:p>
    <w:p w14:paraId="3E1A36B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[48]</w:t>
      </w:r>
      <w:r w:rsidRPr="007151C0">
        <w:rPr>
          <w:rFonts w:ascii="Garamond" w:hAnsi="Garamond" w:cs="Times New Roman"/>
          <w:noProof/>
        </w:rPr>
        <w:tab/>
        <w:t>Bates, D.M., Mächler, M., Bolker, B., Walker, S., 2014. Fitting Linear Mixed-Effects Models using lme4. ArXiv 1406.5823: 1–51.</w:t>
      </w:r>
    </w:p>
    <w:p w14:paraId="0EB27E0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[49]</w:t>
      </w:r>
      <w:r w:rsidRPr="007151C0">
        <w:rPr>
          <w:rFonts w:ascii="Garamond" w:hAnsi="Garamond" w:cs="Times New Roman"/>
          <w:noProof/>
        </w:rPr>
        <w:tab/>
        <w:t>Therneau, T.M., Grambsch, P.M., 2000. Modeling Survival Data: Extending the Cox Model. New York, NY: Springer New York.</w:t>
      </w:r>
    </w:p>
    <w:p w14:paraId="70988636"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lastRenderedPageBreak/>
        <w:t>[50]</w:t>
      </w:r>
      <w:r w:rsidRPr="007151C0">
        <w:rPr>
          <w:rFonts w:ascii="Garamond" w:hAnsi="Garamond" w:cs="Times New Roman"/>
          <w:noProof/>
        </w:rPr>
        <w:tab/>
        <w:t>Therneau, T., 2012. A Package for Survival Analysis in S. R package version. Survival.</w:t>
      </w:r>
    </w:p>
    <w:p w14:paraId="2661B902"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[51]</w:t>
      </w:r>
      <w:r w:rsidRPr="007151C0">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0E03511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[52]</w:t>
      </w:r>
      <w:r w:rsidRPr="007151C0">
        <w:rPr>
          <w:rFonts w:ascii="Garamond"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304A2D7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[53]</w:t>
      </w:r>
      <w:r w:rsidRPr="007151C0">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8BE960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[54]</w:t>
      </w:r>
      <w:r w:rsidRPr="007151C0">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328E710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[55]</w:t>
      </w:r>
      <w:r w:rsidRPr="007151C0">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1D939F6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[56]</w:t>
      </w:r>
      <w:r w:rsidRPr="007151C0">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43579F5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[57]</w:t>
      </w:r>
      <w:r w:rsidRPr="007151C0">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1388B3C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[58]</w:t>
      </w:r>
      <w:r w:rsidRPr="007151C0">
        <w:rPr>
          <w:rFonts w:ascii="Garamond" w:hAnsi="Garamond" w:cs="Times New Roman"/>
          <w:noProof/>
        </w:rPr>
        <w:tab/>
        <w:t>Maurya, S.K., Periasamy, M., 2015. Sarcolipin is a novel regulator of muscle metabolism and obesity. Pharmacological Research 102: 270–5, Doi: 10.1016/j.phrs.2015.10.020.</w:t>
      </w:r>
    </w:p>
    <w:p w14:paraId="7E65DE1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[59]</w:t>
      </w:r>
      <w:r w:rsidRPr="007151C0">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250506E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[60]</w:t>
      </w:r>
      <w:r w:rsidRPr="007151C0">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4CE74FF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[61]</w:t>
      </w:r>
      <w:r w:rsidRPr="007151C0">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60F4AF51"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[62]</w:t>
      </w:r>
      <w:r w:rsidRPr="007151C0">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25F6B3C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[63]</w:t>
      </w:r>
      <w:r w:rsidRPr="007151C0">
        <w:rPr>
          <w:rFonts w:ascii="Garamond" w:hAnsi="Garamond" w:cs="Times New Roman"/>
          <w:noProof/>
        </w:rPr>
        <w:tab/>
        <w:t xml:space="preserve">Anselmi, C.V., Malovini, A., Roncarati, R., Novelli, V., Villa, F., Condorelli, G., et al., 2009. Association of the FOXO3A locus with extreme longevity in a southern Italian </w:t>
      </w:r>
      <w:r w:rsidRPr="007151C0">
        <w:rPr>
          <w:rFonts w:ascii="Garamond" w:hAnsi="Garamond" w:cs="Times New Roman"/>
          <w:noProof/>
        </w:rPr>
        <w:lastRenderedPageBreak/>
        <w:t>centenarian study. Rejuvenation Research 12(2): 95–104, Doi: 10.1089/rej.2008.0827.</w:t>
      </w:r>
    </w:p>
    <w:p w14:paraId="045BD51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[64]</w:t>
      </w:r>
      <w:r w:rsidRPr="007151C0">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520A167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[65]</w:t>
      </w:r>
      <w:r w:rsidRPr="007151C0">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680BAD0A"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[66]</w:t>
      </w:r>
      <w:r w:rsidRPr="007151C0">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22FA371F"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[67]</w:t>
      </w:r>
      <w:r w:rsidRPr="007151C0">
        <w:rPr>
          <w:rFonts w:ascii="Garamond" w:hAnsi="Garamond" w:cs="Times New Roman"/>
          <w:noProof/>
        </w:rPr>
        <w:tab/>
        <w:t>Giannakou, M.E., Goss, M., Jünger, M.A., Hafen, E., Leevers, S.J., Partridge, L., 2004. Long-lived Drosophila with overexpressed dFOXO in adult fat body. Science 305(5682): 361, Doi: 10.1126/science.1098219.</w:t>
      </w:r>
    </w:p>
    <w:p w14:paraId="7421559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[68]</w:t>
      </w:r>
      <w:r w:rsidRPr="007151C0">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3DDE281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[69]</w:t>
      </w:r>
      <w:r w:rsidRPr="007151C0">
        <w:rPr>
          <w:rFonts w:ascii="Garamond" w:hAnsi="Garamond" w:cs="Times New Roman"/>
          <w:noProof/>
        </w:rPr>
        <w:tab/>
        <w:t>Milan, G., Romanello, V., Pescatore, F., Armani, A., Paik, J.-H., Frasson, L., et al., 2015. Regulation of autophagy and the ubiquitin-proteasome system by the FoxO transcriptional network during muscle atrophy. Nature Communications 6: 6670, Doi: 10.1038/ncomms7670.</w:t>
      </w:r>
    </w:p>
    <w:p w14:paraId="0EB52C9D"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[70]</w:t>
      </w:r>
      <w:r w:rsidRPr="007151C0">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577D3B3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[71]</w:t>
      </w:r>
      <w:r w:rsidRPr="007151C0">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7A56291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[72]</w:t>
      </w:r>
      <w:r w:rsidRPr="007151C0">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56741FD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[73]</w:t>
      </w:r>
      <w:r w:rsidRPr="007151C0">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3FF660EF"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[74]</w:t>
      </w:r>
      <w:r w:rsidRPr="007151C0">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69F184E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[75]</w:t>
      </w:r>
      <w:r w:rsidRPr="007151C0">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71841763"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[76]</w:t>
      </w:r>
      <w:r w:rsidRPr="007151C0">
        <w:rPr>
          <w:rFonts w:ascii="Garamond" w:hAnsi="Garamond" w:cs="Times New Roman"/>
          <w:noProof/>
        </w:rPr>
        <w:tab/>
        <w:t>Ibrahimi, A., Bonen, A., Blinn, W.D., Hajri, T., Li, X., Zhong, K., et al., 1999. Muscle-</w:t>
      </w:r>
      <w:r w:rsidRPr="007151C0">
        <w:rPr>
          <w:rFonts w:ascii="Garamond" w:hAnsi="Garamond" w:cs="Times New Roman"/>
          <w:noProof/>
        </w:rPr>
        <w:lastRenderedPageBreak/>
        <w:t>specific overexpression of FAT/CD36 enhances fatty acid oxidation by contracting muscle, reduces plasma triglycerides and fatty acids, and increases plasma glucose and insulin. Journal of Biological Chemistry 274(38): 26761–6, Doi: 10.1074/jbc.274.38.26761.</w:t>
      </w:r>
    </w:p>
    <w:p w14:paraId="738214C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[77]</w:t>
      </w:r>
      <w:r w:rsidRPr="007151C0">
        <w:rPr>
          <w:rFonts w:ascii="Garamond"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6063A14E" w14:textId="77777777" w:rsidR="007151C0" w:rsidRPr="007151C0" w:rsidRDefault="007151C0" w:rsidP="007151C0">
      <w:pPr>
        <w:widowControl w:val="0"/>
        <w:autoSpaceDE w:val="0"/>
        <w:autoSpaceDN w:val="0"/>
        <w:adjustRightInd w:val="0"/>
        <w:spacing w:before="100" w:after="100"/>
        <w:ind w:left="640" w:hanging="640"/>
        <w:rPr>
          <w:rFonts w:ascii="Garamond" w:hAnsi="Garamond"/>
          <w:noProof/>
        </w:rPr>
      </w:pPr>
      <w:r w:rsidRPr="007151C0">
        <w:rPr>
          <w:rFonts w:ascii="Garamond" w:hAnsi="Garamond" w:cs="Times New Roman"/>
          <w:noProof/>
        </w:rPr>
        <w:t>[78]</w:t>
      </w:r>
      <w:r w:rsidRPr="007151C0">
        <w:rPr>
          <w:rFonts w:ascii="Garamond"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06444CA6" w:rsidR="00871236" w:rsidRPr="005149B5" w:rsidRDefault="00871236" w:rsidP="007151C0">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73BD3E90" w:rsidR="003E7617" w:rsidRPr="001632AB" w:rsidRDefault="003E7617" w:rsidP="003E7617">
      <w:commentRangeStart w:id="15"/>
      <w:r w:rsidRPr="00C10DEF">
        <w:rPr>
          <w:b/>
        </w:rPr>
        <w:t xml:space="preserve">Figure 1: </w:t>
      </w:r>
      <w:r w:rsidR="006D6803">
        <w:rPr>
          <w:b/>
        </w:rPr>
        <w:t xml:space="preserve">mTORC1 </w:t>
      </w:r>
      <w:r w:rsidR="00F200DF">
        <w:rPr>
          <w:b/>
        </w:rPr>
        <w:t>regulates energy expenditure.</w:t>
      </w:r>
      <w:commentRangeEnd w:id="15"/>
      <w:r w:rsidR="008F7204">
        <w:rPr>
          <w:rStyle w:val="CommentReference"/>
        </w:rPr>
        <w:commentReference w:id="15"/>
      </w:r>
      <w:r w:rsidR="001632AB">
        <w:rPr>
          <w:b/>
        </w:rPr>
        <w:t xml:space="preserve">  </w:t>
      </w:r>
      <w:r w:rsidR="001632AB">
        <w:t xml:space="preserve">A) Schematic of rapamycin/high fat diet experiments, with effects on B) energy expenditure and C) ambulatory activity.  Muscle </w:t>
      </w:r>
      <w:r w:rsidR="001632AB">
        <w:rPr>
          <w:i/>
        </w:rPr>
        <w:t>Tsc1</w:t>
      </w:r>
      <w:r w:rsidR="001632AB">
        <w:t xml:space="preserve"> knockout at 70 days of age mice are evaluated by indirect calorimetry for heat production (D), ambulatory activity (E), respiratory exchange ratio (F).  G) </w:t>
      </w:r>
      <w:commentRangeStart w:id="16"/>
      <w:r w:rsidR="001632AB">
        <w:t xml:space="preserve">Food intake for mice on </w:t>
      </w:r>
      <w:proofErr w:type="gramStart"/>
      <w:r w:rsidR="001632AB">
        <w:t>a</w:t>
      </w:r>
      <w:proofErr w:type="gramEnd"/>
      <w:r w:rsidR="001632AB">
        <w:t xml:space="preserve"> NCD or HFD.</w:t>
      </w:r>
      <w:commentRangeEnd w:id="16"/>
      <w:r w:rsidR="001632AB">
        <w:rPr>
          <w:rStyle w:val="CommentReference"/>
        </w:rPr>
        <w:commentReference w:id="16"/>
      </w:r>
    </w:p>
    <w:p w14:paraId="41AFEE05" w14:textId="77777777" w:rsidR="000711BE" w:rsidRDefault="000711BE" w:rsidP="003E7617"/>
    <w:p w14:paraId="77F02DE0" w14:textId="7B79C4B1" w:rsidR="00DB6758" w:rsidRPr="007C4F6A" w:rsidRDefault="003E7617" w:rsidP="00DB6758">
      <w:r w:rsidRPr="00C10DEF">
        <w:rPr>
          <w:b/>
        </w:rPr>
        <w:t xml:space="preserve">Figure 2: </w:t>
      </w:r>
      <w:r w:rsidR="00DB6758">
        <w:rPr>
          <w:b/>
        </w:rPr>
        <w:t>Reduced age-associated weight gain in muscle</w:t>
      </w:r>
      <w:r w:rsidR="00776A6D">
        <w:rPr>
          <w:b/>
        </w:rPr>
        <w:t xml:space="preserve"> </w:t>
      </w:r>
      <w:r w:rsidR="00776A6D">
        <w:rPr>
          <w:b/>
          <w:i/>
        </w:rPr>
        <w:t>Tsc1</w:t>
      </w:r>
      <w:r w:rsidR="00776A6D">
        <w:rPr>
          <w:b/>
        </w:rPr>
        <w:t xml:space="preserve"> knockout mice</w:t>
      </w:r>
      <w:r w:rsidR="00DF797E">
        <w:rPr>
          <w:b/>
        </w:rPr>
        <w:t xml:space="preserve">.  </w:t>
      </w:r>
      <w:r w:rsidR="00DB6758">
        <w:t>A</w:t>
      </w:r>
      <w:r w:rsidR="00DF797E">
        <w:t xml:space="preserve">) Fat and </w:t>
      </w:r>
      <w:r w:rsidR="00DB6758">
        <w:t>B</w:t>
      </w:r>
      <w:r w:rsidR="00DF797E">
        <w:t xml:space="preserve">) Fat-Free mass of </w:t>
      </w:r>
      <w:r w:rsidR="00DB6758">
        <w:t xml:space="preserve">male </w:t>
      </w:r>
      <w:r w:rsidR="00DF797E">
        <w:t xml:space="preserve">animals </w:t>
      </w:r>
      <w:r w:rsidR="00DB6758">
        <w:t>from birth followed for 28 weeks.  C) Inguinal and gonadal fat pad weights</w:t>
      </w:r>
      <w:r w:rsidR="00B509CA">
        <w:t>.</w:t>
      </w:r>
      <w:r w:rsidR="00DB6758">
        <w:t xml:space="preserve">  Statistical significance (n=7 and 25) is denoted by asterisks which indicate p&lt;0.05 based on</w:t>
      </w:r>
      <w:r w:rsidR="0029157D">
        <w:t xml:space="preserve"> a</w:t>
      </w:r>
      <w:r w:rsidR="00DB6758">
        <w:t xml:space="preserve"> </w:t>
      </w:r>
      <w:r w:rsidR="00DB6758">
        <w:rPr>
          <w:rFonts w:ascii="Cambria" w:hAnsi="Cambria"/>
        </w:rPr>
        <w:t>χ</w:t>
      </w:r>
      <w:r w:rsidR="00DB6758" w:rsidRPr="000711BE">
        <w:rPr>
          <w:vertAlign w:val="superscript"/>
        </w:rPr>
        <w:t>2</w:t>
      </w:r>
      <w:r w:rsidR="00DB6758">
        <w:rPr>
          <w:vertAlign w:val="superscript"/>
        </w:rPr>
        <w:t xml:space="preserve"> </w:t>
      </w:r>
      <w:r w:rsidR="00DB6758">
        <w:t xml:space="preserve">test (A) or </w:t>
      </w:r>
      <w:r w:rsidR="004744F3">
        <w:t>Mann-Whitney</w:t>
      </w:r>
      <w:r w:rsidR="00DB6758">
        <w:t xml:space="preserve"> test (C</w:t>
      </w:r>
      <w:r w:rsidR="004744F3">
        <w:t>, due to lack of normality</w:t>
      </w:r>
      <w:r w:rsidR="00DB6758">
        <w:t>).</w:t>
      </w:r>
    </w:p>
    <w:p w14:paraId="005623F2" w14:textId="61963AB1" w:rsidR="0045067A" w:rsidRPr="00DF797E" w:rsidRDefault="0045067A" w:rsidP="003E7617"/>
    <w:p w14:paraId="18A68E2A" w14:textId="77777777" w:rsidR="00C10DEF" w:rsidRPr="00C10DEF" w:rsidRDefault="00C10DEF" w:rsidP="003E7617">
      <w:pPr>
        <w:rPr>
          <w:b/>
        </w:rPr>
      </w:pPr>
    </w:p>
    <w:p w14:paraId="67DA0AA0" w14:textId="442A8E04" w:rsidR="005008B3" w:rsidRPr="00BC2B3A" w:rsidRDefault="005008B3" w:rsidP="003E7617">
      <w:r w:rsidRPr="00C10DEF">
        <w:rPr>
          <w:b/>
        </w:rPr>
        <w:t xml:space="preserve">Figure 3: </w:t>
      </w:r>
      <w:r w:rsidR="005B6033">
        <w:rPr>
          <w:b/>
        </w:rPr>
        <w:t xml:space="preserve">Muscle </w:t>
      </w:r>
      <w:r w:rsidR="005B6033" w:rsidRPr="005B6033">
        <w:rPr>
          <w:b/>
          <w:i/>
        </w:rPr>
        <w:t>Tsc1</w:t>
      </w:r>
      <w:r w:rsidR="005B6033">
        <w:rPr>
          <w:b/>
        </w:rPr>
        <w:t xml:space="preserve"> Knockout mice are resistant to diet-induced obesity and insulin resistance. </w:t>
      </w:r>
      <w:r w:rsidR="005B6033">
        <w:t>C) Fat pad weights at sacrifice.</w:t>
      </w:r>
      <w:r w:rsidR="00901963">
        <w:t xml:space="preserve">  Statistical significance (p&lt;0.05, n=5/7) was determined via a </w:t>
      </w:r>
      <w:r w:rsidR="005B6033">
        <w:t xml:space="preserve">Welch’s </w:t>
      </w:r>
      <w:r w:rsidR="005B6033">
        <w:rPr>
          <w:i/>
        </w:rPr>
        <w:t>t</w:t>
      </w:r>
      <w:r w:rsidR="00901963">
        <w:t xml:space="preserve"> </w:t>
      </w:r>
      <w:proofErr w:type="gramStart"/>
      <w:r w:rsidR="00901963">
        <w:t xml:space="preserve">test </w:t>
      </w:r>
      <w:r w:rsidR="005B6033">
        <w:t xml:space="preserve"> (</w:t>
      </w:r>
      <w:proofErr w:type="gramEnd"/>
      <w:r w:rsidR="005B6033">
        <w:t xml:space="preserve">C, males), a Mann-Whitney </w:t>
      </w:r>
      <w:r w:rsidR="00901963">
        <w:t>(C</w:t>
      </w:r>
      <w:r w:rsidR="005B6033">
        <w:t>, females, due to lack of normality).</w:t>
      </w:r>
    </w:p>
    <w:p w14:paraId="78490DD6" w14:textId="1867AE88" w:rsidR="00B4522B" w:rsidRDefault="00B4522B" w:rsidP="003E7617"/>
    <w:p w14:paraId="5C9F6721" w14:textId="74F596C5" w:rsidR="006821D8" w:rsidRDefault="006821D8" w:rsidP="003E7617">
      <w:r w:rsidRPr="007307B3">
        <w:rPr>
          <w:b/>
        </w:rPr>
        <w:t xml:space="preserve">Figure 4: Transcriptional </w:t>
      </w:r>
      <w:r w:rsidR="005F6EBE">
        <w:rPr>
          <w:b/>
        </w:rPr>
        <w:t xml:space="preserve">and structural </w:t>
      </w:r>
      <w:r w:rsidRPr="007307B3">
        <w:rPr>
          <w:b/>
        </w:rPr>
        <w:t xml:space="preserve">changes </w:t>
      </w:r>
      <w:r w:rsidR="007307B3" w:rsidRPr="007307B3">
        <w:rPr>
          <w:b/>
        </w:rPr>
        <w:t xml:space="preserve">in </w:t>
      </w:r>
      <w:r w:rsidR="007307B3" w:rsidRPr="007307B3">
        <w:rPr>
          <w:b/>
          <w:i/>
        </w:rPr>
        <w:t xml:space="preserve">Tsc1 </w:t>
      </w:r>
      <w:r w:rsidR="007307B3" w:rsidRPr="007307B3">
        <w:rPr>
          <w:b/>
        </w:rPr>
        <w:t>knockout muscles.</w:t>
      </w:r>
      <w:r w:rsidR="007307B3">
        <w:rPr>
          <w:b/>
        </w:rPr>
        <w:t xml:space="preserve">  </w:t>
      </w:r>
      <w:r w:rsidR="007307B3">
        <w:t>A</w:t>
      </w:r>
      <w:r w:rsidR="005F6EBE">
        <w:t xml:space="preserve">) Expression of A) Amino Acid Transporters B) Fatty Acid Transporters from </w:t>
      </w:r>
      <w:proofErr w:type="spellStart"/>
      <w:r w:rsidR="005F6EBE">
        <w:t>RNAseq</w:t>
      </w:r>
      <w:proofErr w:type="spellEnd"/>
      <w:r w:rsidR="005F6EBE">
        <w:t xml:space="preserve">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Default="005F6EBE" w:rsidP="003E7617"/>
    <w:p w14:paraId="7F483492" w14:textId="379C8F3F" w:rsidR="00B558A8" w:rsidRPr="00B558A8" w:rsidRDefault="00B558A8" w:rsidP="003E7617">
      <w:pPr>
        <w:rPr>
          <w:b/>
        </w:rPr>
      </w:pPr>
      <w:r w:rsidRPr="00B558A8">
        <w:rPr>
          <w:b/>
        </w:rPr>
        <w:t xml:space="preserve">Figure 5: Survival curve of male muscle </w:t>
      </w:r>
      <w:r w:rsidRPr="00B558A8">
        <w:rPr>
          <w:b/>
          <w:i/>
        </w:rPr>
        <w:t>Tsc1</w:t>
      </w:r>
      <w:r w:rsidRPr="00B558A8">
        <w:rPr>
          <w:b/>
        </w:rPr>
        <w:t xml:space="preserve"> knockout mice on a normal chow diet.</w:t>
      </w:r>
      <w:r>
        <w:rPr>
          <w:b/>
        </w:rPr>
        <w:t xml:space="preserve">  </w:t>
      </w:r>
      <w:r w:rsidRPr="00B558A8">
        <w:t>Dotted lines indicate age at which 50% of animals died.</w:t>
      </w:r>
    </w:p>
    <w:p w14:paraId="204F8236" w14:textId="77777777" w:rsidR="005F6EBE" w:rsidRPr="007307B3" w:rsidRDefault="005F6EBE"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28FAD026" w:rsidR="00A01F29" w:rsidRDefault="00A01F29" w:rsidP="003E7617">
      <w:r w:rsidRPr="00A01F29">
        <w:rPr>
          <w:b/>
        </w:rPr>
        <w:t xml:space="preserve">Supplementary Table 1: Gene expression differences in muscle </w:t>
      </w:r>
      <w:r w:rsidRPr="00A01F29">
        <w:rPr>
          <w:b/>
          <w:i/>
        </w:rPr>
        <w:t xml:space="preserve">Tsc1 </w:t>
      </w:r>
      <w:r w:rsidRPr="00A01F29">
        <w:rPr>
          <w:b/>
        </w:rPr>
        <w:t xml:space="preserve">knockout quadriceps.  </w:t>
      </w:r>
      <w:r w:rsidR="00406E98">
        <w:t>Full results of differential expression analysis.</w:t>
      </w:r>
    </w:p>
    <w:p w14:paraId="39100E02" w14:textId="37F63227" w:rsidR="00406E98" w:rsidRDefault="00406E98" w:rsidP="003E7617"/>
    <w:p w14:paraId="3C0AE787" w14:textId="5440931C" w:rsidR="00406E98" w:rsidRDefault="00406E98" w:rsidP="00406E98">
      <w:r w:rsidRPr="00A01F29">
        <w:rPr>
          <w:b/>
        </w:rPr>
        <w:t xml:space="preserve">Supplementary Table </w:t>
      </w:r>
      <w:r>
        <w:rPr>
          <w:b/>
        </w:rPr>
        <w:t>2</w:t>
      </w:r>
      <w:r w:rsidRPr="00A01F29">
        <w:rPr>
          <w:b/>
        </w:rPr>
        <w:t xml:space="preserve">: </w:t>
      </w:r>
      <w:r>
        <w:rPr>
          <w:b/>
        </w:rPr>
        <w:t xml:space="preserve">Gene set enrichment analysis of </w:t>
      </w:r>
      <w:r>
        <w:rPr>
          <w:b/>
          <w:i/>
        </w:rPr>
        <w:t>Tsc1</w:t>
      </w:r>
      <w:r>
        <w:rPr>
          <w:b/>
        </w:rPr>
        <w:t xml:space="preserve"> knockout quadriceps</w:t>
      </w:r>
      <w:r w:rsidRPr="00A01F29">
        <w:rPr>
          <w:b/>
        </w:rPr>
        <w:t xml:space="preserve">.  </w:t>
      </w:r>
      <w:r>
        <w:t xml:space="preserve">All pathways that met an adjusted p-value of 0.25 are </w:t>
      </w:r>
      <w:r w:rsidR="001174FB">
        <w:t>shown.  NES (net enrichment score) indicates pathway effect size with positive numbers indicating positive enrichment of this gene set in these data.  Gene details are the genes which drove this positive or negative association.</w:t>
      </w:r>
      <w:r w:rsidR="00D4462C">
        <w:t xml:space="preserve">  Both nominal (NOM) and FDR adjusted (FDR) p/q values are shown.</w:t>
      </w:r>
    </w:p>
    <w:p w14:paraId="7AEECA52" w14:textId="77777777" w:rsidR="00406E98" w:rsidRPr="00406E98" w:rsidRDefault="00406E98" w:rsidP="003E7617"/>
    <w:sectPr w:rsidR="00406E98" w:rsidRPr="00406E98"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 xml:space="preserve">Muthu </w:t>
      </w:r>
      <w:proofErr w:type="spellStart"/>
      <w:r>
        <w:t>Periasamy</w:t>
      </w:r>
      <w:proofErr w:type="spellEnd"/>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 xml:space="preserve">Markus </w:t>
      </w:r>
      <w:proofErr w:type="spellStart"/>
      <w:r>
        <w:t>Ruegg</w:t>
      </w:r>
      <w:proofErr w:type="spellEnd"/>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9-03-04T14:11:00Z" w:initials="DB">
    <w:p w14:paraId="70A1AC74" w14:textId="6440C48B" w:rsidR="003A2798" w:rsidRDefault="003A2798">
      <w:pPr>
        <w:pStyle w:val="CommentText"/>
      </w:pPr>
      <w:r>
        <w:rPr>
          <w:rStyle w:val="CommentReference"/>
        </w:rPr>
        <w:annotationRef/>
      </w:r>
      <w:r>
        <w:t>EJS can you write this</w:t>
      </w:r>
    </w:p>
  </w:comment>
  <w:comment w:id="3"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4" w:author="Dave Bridges" w:date="2018-01-04T14:48:00Z" w:initials="DB">
    <w:p w14:paraId="38B28BF5" w14:textId="77777777" w:rsidR="004E21CF" w:rsidRDefault="004E21CF"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5" w:author="Dave Bridges" w:date="2015-09-11T08:32:00Z" w:initials="DB">
    <w:p w14:paraId="780C7A5B" w14:textId="4D228BDB" w:rsidR="002613DA" w:rsidRDefault="002613DA">
      <w:pPr>
        <w:pStyle w:val="CommentText"/>
      </w:pPr>
      <w:r>
        <w:rPr>
          <w:rStyle w:val="CommentReference"/>
        </w:rPr>
        <w:annotationRef/>
      </w:r>
      <w:proofErr w:type="spellStart"/>
      <w:r>
        <w:t>JeAnna</w:t>
      </w:r>
      <w:proofErr w:type="spellEnd"/>
      <w:r>
        <w:t xml:space="preserve"> can you find out the stock number for the normal chow diets</w:t>
      </w:r>
    </w:p>
  </w:comment>
  <w:comment w:id="6"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7" w:author="Dave Bridges" w:date="2019-03-01T12:49:00Z" w:initials="DB">
    <w:p w14:paraId="1CCD1F8A" w14:textId="6AE1A8C0" w:rsidR="00365FE9" w:rsidRDefault="00365FE9">
      <w:pPr>
        <w:pStyle w:val="CommentText"/>
      </w:pPr>
      <w:r>
        <w:rPr>
          <w:rStyle w:val="CommentReference"/>
        </w:rPr>
        <w:annotationRef/>
      </w:r>
      <w:r>
        <w:t>Erin please write this section for the ITT’s on the HFD mice (what ages, what does of insulin, how long were they fasted).</w:t>
      </w:r>
    </w:p>
  </w:comment>
  <w:comment w:id="8"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w:t>
      </w:r>
      <w:proofErr w:type="gramStart"/>
      <w:r>
        <w:t>CLAMS</w:t>
      </w:r>
      <w:proofErr w:type="gramEnd"/>
      <w:r>
        <w:t xml:space="preserve"> experiment</w:t>
      </w:r>
    </w:p>
  </w:comment>
  <w:comment w:id="9" w:author="Dave Bridges" w:date="2019-03-04T10:18:00Z" w:initials="DB">
    <w:p w14:paraId="695813AD" w14:textId="7FD12BA0" w:rsidR="00A269C3" w:rsidRDefault="00A269C3">
      <w:pPr>
        <w:pStyle w:val="CommentText"/>
      </w:pPr>
      <w:r>
        <w:rPr>
          <w:rStyle w:val="CommentReference"/>
        </w:rPr>
        <w:annotationRef/>
      </w:r>
      <w:r>
        <w:t>Update with antibodies and RRIDs</w:t>
      </w:r>
    </w:p>
  </w:comment>
  <w:comment w:id="10" w:author="Dave Bridges" w:date="2019-03-04T10:30:00Z" w:initials="DB">
    <w:p w14:paraId="1B8ECEAF" w14:textId="460A86D2" w:rsidR="00F346A2" w:rsidRDefault="00F346A2">
      <w:pPr>
        <w:pStyle w:val="CommentText"/>
      </w:pPr>
      <w:r>
        <w:rPr>
          <w:rStyle w:val="CommentReference"/>
        </w:rPr>
        <w:annotationRef/>
      </w:r>
      <w:r>
        <w:t>Quynh please add the accession number for this study</w:t>
      </w:r>
    </w:p>
  </w:comment>
  <w:comment w:id="11" w:author="Dave Bridges" w:date="2016-06-09T17:16:00Z" w:initials="DB">
    <w:p w14:paraId="55D27F74" w14:textId="311898B7" w:rsidR="00BA3BA0" w:rsidRDefault="00BA3BA0">
      <w:pPr>
        <w:pStyle w:val="CommentText"/>
      </w:pPr>
      <w:r>
        <w:rPr>
          <w:rStyle w:val="CommentReference"/>
        </w:rPr>
        <w:annotationRef/>
      </w:r>
      <w:r w:rsidR="005F6EBE">
        <w:t>EJS please write</w:t>
      </w:r>
    </w:p>
  </w:comment>
  <w:comment w:id="12" w:author="Dave Bridges" w:date="2019-01-30T09:37:00Z" w:initials="DB">
    <w:p w14:paraId="243B2BC8" w14:textId="52B3E612" w:rsidR="00C64A2D" w:rsidRDefault="00C64A2D">
      <w:pPr>
        <w:pStyle w:val="CommentText"/>
      </w:pPr>
      <w:r>
        <w:rPr>
          <w:rStyle w:val="CommentReference"/>
        </w:rPr>
        <w:annotationRef/>
      </w:r>
      <w:r w:rsidR="005F6EBE">
        <w:t>Update</w:t>
      </w:r>
      <w:r>
        <w:t xml:space="preserve"> this figure</w:t>
      </w:r>
    </w:p>
  </w:comment>
  <w:comment w:id="13" w:author="Dave Bridges" w:date="2019-03-01T14:56:00Z" w:initials="DB">
    <w:p w14:paraId="4DD8205B" w14:textId="5D77B1D9" w:rsidR="00A22BB0" w:rsidRDefault="00A22BB0">
      <w:pPr>
        <w:pStyle w:val="CommentText"/>
      </w:pPr>
      <w:r>
        <w:rPr>
          <w:rStyle w:val="CommentReference"/>
        </w:rPr>
        <w:annotationRef/>
      </w:r>
      <w:r w:rsidR="005F6EBE">
        <w:t>Calculate effect</w:t>
      </w:r>
      <w:r>
        <w:t xml:space="preserve"> size and p-value</w:t>
      </w:r>
    </w:p>
  </w:comment>
  <w:comment w:id="14" w:author="Dave Bridges" w:date="2015-09-08T08:54:00Z" w:initials="DB">
    <w:p w14:paraId="4C23780D" w14:textId="380AB939" w:rsidR="002613DA" w:rsidRDefault="002613DA">
      <w:pPr>
        <w:pStyle w:val="CommentText"/>
      </w:pPr>
      <w:r>
        <w:rPr>
          <w:rStyle w:val="CommentReference"/>
        </w:rPr>
        <w:annotationRef/>
      </w:r>
      <w:r w:rsidR="005F6EBE">
        <w:t>ARS</w:t>
      </w:r>
      <w:r>
        <w:t>, which grant(s) do you want to use here?</w:t>
      </w:r>
    </w:p>
  </w:comment>
  <w:comment w:id="15" w:author="Dave Bridges" w:date="2019-02-28T14:34:00Z" w:initials="DB">
    <w:p w14:paraId="4673376A" w14:textId="6E675161" w:rsidR="008F7204" w:rsidRDefault="008F7204">
      <w:pPr>
        <w:pStyle w:val="CommentText"/>
      </w:pPr>
      <w:r>
        <w:rPr>
          <w:rStyle w:val="CommentReference"/>
        </w:rPr>
        <w:annotationRef/>
      </w:r>
      <w:r>
        <w:t xml:space="preserve">Need to </w:t>
      </w:r>
      <w:r w:rsidR="001632AB">
        <w:t>add asterisks</w:t>
      </w:r>
    </w:p>
  </w:comment>
  <w:comment w:id="16" w:author="Dave Bridges" w:date="2019-03-04T14:37:00Z" w:initials="DB">
    <w:p w14:paraId="3E15FFEA" w14:textId="12F8A550" w:rsidR="001632AB" w:rsidRDefault="001632AB">
      <w:pPr>
        <w:pStyle w:val="CommentText"/>
      </w:pPr>
      <w:r>
        <w:rPr>
          <w:rStyle w:val="CommentReference"/>
        </w:rPr>
        <w:annotationRef/>
      </w:r>
      <w:r>
        <w:t>Waiting for last two cages</w:t>
      </w:r>
      <w:r w:rsidR="00BA2E17">
        <w:t xml:space="preserve">, will re-graph </w:t>
      </w:r>
      <w:r w:rsidR="00BA2E17">
        <w:t>D-</w:t>
      </w:r>
      <w:r w:rsidR="00545313">
        <w:t>G</w:t>
      </w:r>
      <w:bookmarkStart w:id="17" w:name="_GoBack"/>
      <w:bookmarkEnd w:id="17"/>
      <w:r w:rsidR="00BA2E17">
        <w:t xml:space="preserve"> without backgrounds.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70A1AC74" w15:done="0"/>
  <w15:commentEx w15:paraId="67942093" w15:done="0"/>
  <w15:commentEx w15:paraId="38B28BF5" w15:done="0"/>
  <w15:commentEx w15:paraId="780C7A5B" w15:done="0"/>
  <w15:commentEx w15:paraId="515A300A" w15:done="0"/>
  <w15:commentEx w15:paraId="1CCD1F8A" w15:done="0"/>
  <w15:commentEx w15:paraId="035440B0" w15:done="0"/>
  <w15:commentEx w15:paraId="695813AD" w15:done="0"/>
  <w15:commentEx w15:paraId="1B8ECEAF" w15:done="0"/>
  <w15:commentEx w15:paraId="55D27F74" w15:done="0"/>
  <w15:commentEx w15:paraId="243B2BC8" w15:done="0"/>
  <w15:commentEx w15:paraId="4DD8205B" w15:done="0"/>
  <w15:commentEx w15:paraId="4C23780D" w15:done="0"/>
  <w15:commentEx w15:paraId="4673376A" w15:done="0"/>
  <w15:commentEx w15:paraId="3E15FF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70A1AC74" w16cid:durableId="2027B07B"/>
  <w16cid:commentId w16cid:paraId="67942093" w16cid:durableId="1F1E9873"/>
  <w16cid:commentId w16cid:paraId="38B28BF5" w16cid:durableId="1F1E9874"/>
  <w16cid:commentId w16cid:paraId="780C7A5B" w16cid:durableId="1F1E93D5"/>
  <w16cid:commentId w16cid:paraId="515A300A" w16cid:durableId="1F1E93D6"/>
  <w16cid:commentId w16cid:paraId="1CCD1F8A" w16cid:durableId="2023A8D1"/>
  <w16cid:commentId w16cid:paraId="035440B0" w16cid:durableId="1F1E93D8"/>
  <w16cid:commentId w16cid:paraId="695813AD" w16cid:durableId="20277A04"/>
  <w16cid:commentId w16cid:paraId="1B8ECEAF" w16cid:durableId="20277CB8"/>
  <w16cid:commentId w16cid:paraId="55D27F74" w16cid:durableId="1F1E93DC"/>
  <w16cid:commentId w16cid:paraId="243B2BC8" w16cid:durableId="1FFBEEDB"/>
  <w16cid:commentId w16cid:paraId="4DD8205B" w16cid:durableId="2023C680"/>
  <w16cid:commentId w16cid:paraId="4C23780D" w16cid:durableId="1F1E93EA"/>
  <w16cid:commentId w16cid:paraId="4673376A" w16cid:durableId="20226FEB"/>
  <w16cid:commentId w16cid:paraId="3E15FFEA" w16cid:durableId="2027B6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DBE37" w14:textId="77777777" w:rsidR="0008433C" w:rsidRDefault="0008433C" w:rsidP="00907F04">
      <w:r>
        <w:separator/>
      </w:r>
    </w:p>
  </w:endnote>
  <w:endnote w:type="continuationSeparator" w:id="0">
    <w:p w14:paraId="2BDFDF44" w14:textId="77777777" w:rsidR="0008433C" w:rsidRDefault="0008433C"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5FC8B" w14:textId="77777777" w:rsidR="0008433C" w:rsidRDefault="0008433C" w:rsidP="00907F04">
      <w:r>
        <w:separator/>
      </w:r>
    </w:p>
  </w:footnote>
  <w:footnote w:type="continuationSeparator" w:id="0">
    <w:p w14:paraId="37612636" w14:textId="77777777" w:rsidR="0008433C" w:rsidRDefault="0008433C"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26298"/>
    <w:rsid w:val="00037C8C"/>
    <w:rsid w:val="00040A63"/>
    <w:rsid w:val="00041ED7"/>
    <w:rsid w:val="00044765"/>
    <w:rsid w:val="00053F9A"/>
    <w:rsid w:val="00062D30"/>
    <w:rsid w:val="000654BB"/>
    <w:rsid w:val="0006561D"/>
    <w:rsid w:val="000711BE"/>
    <w:rsid w:val="000740D6"/>
    <w:rsid w:val="000743D3"/>
    <w:rsid w:val="0008433C"/>
    <w:rsid w:val="00085075"/>
    <w:rsid w:val="000850D2"/>
    <w:rsid w:val="00090C3D"/>
    <w:rsid w:val="000A25BD"/>
    <w:rsid w:val="000A6497"/>
    <w:rsid w:val="000B3C34"/>
    <w:rsid w:val="000B72BD"/>
    <w:rsid w:val="000C2BF5"/>
    <w:rsid w:val="000C5F3E"/>
    <w:rsid w:val="000D2A60"/>
    <w:rsid w:val="000E6F5D"/>
    <w:rsid w:val="000F13F0"/>
    <w:rsid w:val="001037A6"/>
    <w:rsid w:val="00105909"/>
    <w:rsid w:val="00106DC4"/>
    <w:rsid w:val="00111E04"/>
    <w:rsid w:val="00112FF8"/>
    <w:rsid w:val="0011510C"/>
    <w:rsid w:val="001174FB"/>
    <w:rsid w:val="00123A01"/>
    <w:rsid w:val="00135321"/>
    <w:rsid w:val="00140E42"/>
    <w:rsid w:val="0014290F"/>
    <w:rsid w:val="001510C9"/>
    <w:rsid w:val="001632AB"/>
    <w:rsid w:val="0017194A"/>
    <w:rsid w:val="001736D0"/>
    <w:rsid w:val="00190F17"/>
    <w:rsid w:val="00194ECE"/>
    <w:rsid w:val="001A6A7C"/>
    <w:rsid w:val="001A6B81"/>
    <w:rsid w:val="001A7E83"/>
    <w:rsid w:val="001B3936"/>
    <w:rsid w:val="001B5133"/>
    <w:rsid w:val="001B6F0D"/>
    <w:rsid w:val="001B7D99"/>
    <w:rsid w:val="001D5E0D"/>
    <w:rsid w:val="001D6E41"/>
    <w:rsid w:val="001E0A5E"/>
    <w:rsid w:val="00200537"/>
    <w:rsid w:val="00200D61"/>
    <w:rsid w:val="00205F41"/>
    <w:rsid w:val="00216640"/>
    <w:rsid w:val="00217BA9"/>
    <w:rsid w:val="00221DBF"/>
    <w:rsid w:val="00224477"/>
    <w:rsid w:val="0022606C"/>
    <w:rsid w:val="00232F5F"/>
    <w:rsid w:val="0023334D"/>
    <w:rsid w:val="00237F34"/>
    <w:rsid w:val="00245445"/>
    <w:rsid w:val="00250F5B"/>
    <w:rsid w:val="00260872"/>
    <w:rsid w:val="002613DA"/>
    <w:rsid w:val="002638F5"/>
    <w:rsid w:val="002648CF"/>
    <w:rsid w:val="00266DA2"/>
    <w:rsid w:val="00270732"/>
    <w:rsid w:val="00275E69"/>
    <w:rsid w:val="0028395B"/>
    <w:rsid w:val="0029157D"/>
    <w:rsid w:val="002A7B4B"/>
    <w:rsid w:val="002B4B3F"/>
    <w:rsid w:val="002B4C32"/>
    <w:rsid w:val="002C7201"/>
    <w:rsid w:val="002C7364"/>
    <w:rsid w:val="002D0FAF"/>
    <w:rsid w:val="002D3D11"/>
    <w:rsid w:val="002D65EF"/>
    <w:rsid w:val="002D7887"/>
    <w:rsid w:val="002D7B1C"/>
    <w:rsid w:val="002E0659"/>
    <w:rsid w:val="002E25A9"/>
    <w:rsid w:val="002E45D2"/>
    <w:rsid w:val="002F1BC5"/>
    <w:rsid w:val="00303444"/>
    <w:rsid w:val="00311779"/>
    <w:rsid w:val="00316486"/>
    <w:rsid w:val="0032099B"/>
    <w:rsid w:val="00325100"/>
    <w:rsid w:val="00331B56"/>
    <w:rsid w:val="00331F69"/>
    <w:rsid w:val="00334230"/>
    <w:rsid w:val="0033583C"/>
    <w:rsid w:val="003406C3"/>
    <w:rsid w:val="003407C9"/>
    <w:rsid w:val="00344094"/>
    <w:rsid w:val="00345E99"/>
    <w:rsid w:val="00352D83"/>
    <w:rsid w:val="00353984"/>
    <w:rsid w:val="00365FE9"/>
    <w:rsid w:val="003669B1"/>
    <w:rsid w:val="00373D35"/>
    <w:rsid w:val="003743AA"/>
    <w:rsid w:val="0038153C"/>
    <w:rsid w:val="0038168E"/>
    <w:rsid w:val="003840F7"/>
    <w:rsid w:val="0038762E"/>
    <w:rsid w:val="0039397E"/>
    <w:rsid w:val="00395526"/>
    <w:rsid w:val="0039667E"/>
    <w:rsid w:val="00396722"/>
    <w:rsid w:val="00396BD8"/>
    <w:rsid w:val="003A0720"/>
    <w:rsid w:val="003A2798"/>
    <w:rsid w:val="003B3167"/>
    <w:rsid w:val="003B35C6"/>
    <w:rsid w:val="003B6C80"/>
    <w:rsid w:val="003C3B52"/>
    <w:rsid w:val="003D55EC"/>
    <w:rsid w:val="003E7617"/>
    <w:rsid w:val="003F5B88"/>
    <w:rsid w:val="003F5BD8"/>
    <w:rsid w:val="003F5FAC"/>
    <w:rsid w:val="003F6A53"/>
    <w:rsid w:val="003F7532"/>
    <w:rsid w:val="00403E87"/>
    <w:rsid w:val="00404B3E"/>
    <w:rsid w:val="00406E98"/>
    <w:rsid w:val="00410785"/>
    <w:rsid w:val="00412036"/>
    <w:rsid w:val="00426050"/>
    <w:rsid w:val="00427FDD"/>
    <w:rsid w:val="004344F0"/>
    <w:rsid w:val="004369E3"/>
    <w:rsid w:val="00445957"/>
    <w:rsid w:val="0045067A"/>
    <w:rsid w:val="00451202"/>
    <w:rsid w:val="0045120B"/>
    <w:rsid w:val="0045183A"/>
    <w:rsid w:val="004555BE"/>
    <w:rsid w:val="0046122A"/>
    <w:rsid w:val="00461ACE"/>
    <w:rsid w:val="00466D21"/>
    <w:rsid w:val="00472BDC"/>
    <w:rsid w:val="004744F3"/>
    <w:rsid w:val="00482AEB"/>
    <w:rsid w:val="004905D8"/>
    <w:rsid w:val="00496562"/>
    <w:rsid w:val="00496EF3"/>
    <w:rsid w:val="004A2F25"/>
    <w:rsid w:val="004A33CD"/>
    <w:rsid w:val="004A7A2F"/>
    <w:rsid w:val="004B4AFF"/>
    <w:rsid w:val="004B4BBE"/>
    <w:rsid w:val="004C18FC"/>
    <w:rsid w:val="004C281E"/>
    <w:rsid w:val="004C5CD7"/>
    <w:rsid w:val="004C6C48"/>
    <w:rsid w:val="004D0DD4"/>
    <w:rsid w:val="004D4201"/>
    <w:rsid w:val="004D440C"/>
    <w:rsid w:val="004D5084"/>
    <w:rsid w:val="004D7062"/>
    <w:rsid w:val="004E21CF"/>
    <w:rsid w:val="004F062C"/>
    <w:rsid w:val="004F3112"/>
    <w:rsid w:val="004F7AD9"/>
    <w:rsid w:val="005008B3"/>
    <w:rsid w:val="00502679"/>
    <w:rsid w:val="00502BBA"/>
    <w:rsid w:val="00504B90"/>
    <w:rsid w:val="0050751B"/>
    <w:rsid w:val="00512B02"/>
    <w:rsid w:val="005149B5"/>
    <w:rsid w:val="005169CA"/>
    <w:rsid w:val="005208D2"/>
    <w:rsid w:val="0052183D"/>
    <w:rsid w:val="00526B0E"/>
    <w:rsid w:val="00531AD6"/>
    <w:rsid w:val="00545313"/>
    <w:rsid w:val="00561996"/>
    <w:rsid w:val="00573A9D"/>
    <w:rsid w:val="00574315"/>
    <w:rsid w:val="005838B0"/>
    <w:rsid w:val="00583F7C"/>
    <w:rsid w:val="005858D1"/>
    <w:rsid w:val="005A04FA"/>
    <w:rsid w:val="005B6033"/>
    <w:rsid w:val="005D5319"/>
    <w:rsid w:val="005F1335"/>
    <w:rsid w:val="005F1E8E"/>
    <w:rsid w:val="005F6EBE"/>
    <w:rsid w:val="005F789C"/>
    <w:rsid w:val="00620D72"/>
    <w:rsid w:val="00620F42"/>
    <w:rsid w:val="00623C92"/>
    <w:rsid w:val="00631986"/>
    <w:rsid w:val="006374B4"/>
    <w:rsid w:val="00643A13"/>
    <w:rsid w:val="0064581C"/>
    <w:rsid w:val="006469A7"/>
    <w:rsid w:val="00652BAC"/>
    <w:rsid w:val="00652E5B"/>
    <w:rsid w:val="00654F70"/>
    <w:rsid w:val="00662B0A"/>
    <w:rsid w:val="006638A2"/>
    <w:rsid w:val="00667E61"/>
    <w:rsid w:val="006740A2"/>
    <w:rsid w:val="006821D8"/>
    <w:rsid w:val="006823FC"/>
    <w:rsid w:val="006847F1"/>
    <w:rsid w:val="00692503"/>
    <w:rsid w:val="00697482"/>
    <w:rsid w:val="006B24A7"/>
    <w:rsid w:val="006B552C"/>
    <w:rsid w:val="006C5190"/>
    <w:rsid w:val="006C7920"/>
    <w:rsid w:val="006D5C06"/>
    <w:rsid w:val="006D6803"/>
    <w:rsid w:val="006D6FB2"/>
    <w:rsid w:val="006E719C"/>
    <w:rsid w:val="006E7ABB"/>
    <w:rsid w:val="006F352E"/>
    <w:rsid w:val="006F51AF"/>
    <w:rsid w:val="006F5D2C"/>
    <w:rsid w:val="00706C80"/>
    <w:rsid w:val="007151C0"/>
    <w:rsid w:val="0072331D"/>
    <w:rsid w:val="00723E82"/>
    <w:rsid w:val="0072553D"/>
    <w:rsid w:val="00730779"/>
    <w:rsid w:val="007307B3"/>
    <w:rsid w:val="00731EED"/>
    <w:rsid w:val="00736644"/>
    <w:rsid w:val="00740A10"/>
    <w:rsid w:val="00750372"/>
    <w:rsid w:val="00762918"/>
    <w:rsid w:val="00762EF3"/>
    <w:rsid w:val="00770A53"/>
    <w:rsid w:val="007756BC"/>
    <w:rsid w:val="00776A6D"/>
    <w:rsid w:val="00776D93"/>
    <w:rsid w:val="00784182"/>
    <w:rsid w:val="00794576"/>
    <w:rsid w:val="00796DC1"/>
    <w:rsid w:val="007A6E04"/>
    <w:rsid w:val="007B0A52"/>
    <w:rsid w:val="007B5953"/>
    <w:rsid w:val="007B624A"/>
    <w:rsid w:val="007B7AEB"/>
    <w:rsid w:val="007C0FAF"/>
    <w:rsid w:val="007C4F6A"/>
    <w:rsid w:val="007D199B"/>
    <w:rsid w:val="007D1A22"/>
    <w:rsid w:val="007D4121"/>
    <w:rsid w:val="007D6682"/>
    <w:rsid w:val="007E30D2"/>
    <w:rsid w:val="007E387B"/>
    <w:rsid w:val="007E574F"/>
    <w:rsid w:val="007F46DE"/>
    <w:rsid w:val="007F72CB"/>
    <w:rsid w:val="007F73C7"/>
    <w:rsid w:val="00800F89"/>
    <w:rsid w:val="00802891"/>
    <w:rsid w:val="0080402E"/>
    <w:rsid w:val="00804E7C"/>
    <w:rsid w:val="00814360"/>
    <w:rsid w:val="00815FB0"/>
    <w:rsid w:val="00823A14"/>
    <w:rsid w:val="00827F3E"/>
    <w:rsid w:val="00834945"/>
    <w:rsid w:val="00841897"/>
    <w:rsid w:val="00841CC6"/>
    <w:rsid w:val="00842DEC"/>
    <w:rsid w:val="008437EE"/>
    <w:rsid w:val="0085280E"/>
    <w:rsid w:val="00853CF1"/>
    <w:rsid w:val="008545F6"/>
    <w:rsid w:val="0086281F"/>
    <w:rsid w:val="00863DEF"/>
    <w:rsid w:val="00863F83"/>
    <w:rsid w:val="00864774"/>
    <w:rsid w:val="00864B68"/>
    <w:rsid w:val="00867669"/>
    <w:rsid w:val="00871236"/>
    <w:rsid w:val="0087402B"/>
    <w:rsid w:val="0087648E"/>
    <w:rsid w:val="00881C69"/>
    <w:rsid w:val="00882B61"/>
    <w:rsid w:val="00887CEF"/>
    <w:rsid w:val="008932E1"/>
    <w:rsid w:val="008947CA"/>
    <w:rsid w:val="008A11B9"/>
    <w:rsid w:val="008A506B"/>
    <w:rsid w:val="008B795B"/>
    <w:rsid w:val="008C44ED"/>
    <w:rsid w:val="008E02A2"/>
    <w:rsid w:val="008E070C"/>
    <w:rsid w:val="008E07CF"/>
    <w:rsid w:val="008F7204"/>
    <w:rsid w:val="009010AA"/>
    <w:rsid w:val="00901963"/>
    <w:rsid w:val="00907F04"/>
    <w:rsid w:val="00910E93"/>
    <w:rsid w:val="009112B4"/>
    <w:rsid w:val="009162BF"/>
    <w:rsid w:val="00917778"/>
    <w:rsid w:val="00921CEC"/>
    <w:rsid w:val="009234CA"/>
    <w:rsid w:val="00926840"/>
    <w:rsid w:val="00931A46"/>
    <w:rsid w:val="00934670"/>
    <w:rsid w:val="009365EA"/>
    <w:rsid w:val="00940644"/>
    <w:rsid w:val="00944379"/>
    <w:rsid w:val="009452DB"/>
    <w:rsid w:val="009454E4"/>
    <w:rsid w:val="00972512"/>
    <w:rsid w:val="00974B1E"/>
    <w:rsid w:val="00980BD7"/>
    <w:rsid w:val="00981CA9"/>
    <w:rsid w:val="009914DA"/>
    <w:rsid w:val="00991A54"/>
    <w:rsid w:val="00996376"/>
    <w:rsid w:val="009A382D"/>
    <w:rsid w:val="009B110D"/>
    <w:rsid w:val="009D095F"/>
    <w:rsid w:val="009D0FFE"/>
    <w:rsid w:val="009D1EBE"/>
    <w:rsid w:val="009D4913"/>
    <w:rsid w:val="009E23FE"/>
    <w:rsid w:val="009F1160"/>
    <w:rsid w:val="009F47C8"/>
    <w:rsid w:val="00A01F29"/>
    <w:rsid w:val="00A04704"/>
    <w:rsid w:val="00A04A3A"/>
    <w:rsid w:val="00A078F6"/>
    <w:rsid w:val="00A10EEA"/>
    <w:rsid w:val="00A15A7B"/>
    <w:rsid w:val="00A205FE"/>
    <w:rsid w:val="00A22BB0"/>
    <w:rsid w:val="00A269C3"/>
    <w:rsid w:val="00A34EF3"/>
    <w:rsid w:val="00A40A23"/>
    <w:rsid w:val="00A526B3"/>
    <w:rsid w:val="00A5785E"/>
    <w:rsid w:val="00A64165"/>
    <w:rsid w:val="00A760EE"/>
    <w:rsid w:val="00A77C1A"/>
    <w:rsid w:val="00A81C56"/>
    <w:rsid w:val="00A82176"/>
    <w:rsid w:val="00A84192"/>
    <w:rsid w:val="00A8581A"/>
    <w:rsid w:val="00A85F86"/>
    <w:rsid w:val="00A86399"/>
    <w:rsid w:val="00A922D2"/>
    <w:rsid w:val="00AB3D88"/>
    <w:rsid w:val="00AC305E"/>
    <w:rsid w:val="00AC53AD"/>
    <w:rsid w:val="00AC73D9"/>
    <w:rsid w:val="00AC7808"/>
    <w:rsid w:val="00AE30D5"/>
    <w:rsid w:val="00AF076F"/>
    <w:rsid w:val="00AF0847"/>
    <w:rsid w:val="00AF5598"/>
    <w:rsid w:val="00B04B43"/>
    <w:rsid w:val="00B10A19"/>
    <w:rsid w:val="00B1423F"/>
    <w:rsid w:val="00B20F63"/>
    <w:rsid w:val="00B2365E"/>
    <w:rsid w:val="00B3409A"/>
    <w:rsid w:val="00B355DD"/>
    <w:rsid w:val="00B4027F"/>
    <w:rsid w:val="00B421EE"/>
    <w:rsid w:val="00B4522B"/>
    <w:rsid w:val="00B457C1"/>
    <w:rsid w:val="00B509CA"/>
    <w:rsid w:val="00B55111"/>
    <w:rsid w:val="00B558A8"/>
    <w:rsid w:val="00B77490"/>
    <w:rsid w:val="00B80ABE"/>
    <w:rsid w:val="00B83F46"/>
    <w:rsid w:val="00B909C6"/>
    <w:rsid w:val="00B90CD2"/>
    <w:rsid w:val="00B91EDD"/>
    <w:rsid w:val="00B96350"/>
    <w:rsid w:val="00BA2E17"/>
    <w:rsid w:val="00BA3BA0"/>
    <w:rsid w:val="00BB1B0B"/>
    <w:rsid w:val="00BB27F2"/>
    <w:rsid w:val="00BC2B30"/>
    <w:rsid w:val="00BC2B3A"/>
    <w:rsid w:val="00BE33EC"/>
    <w:rsid w:val="00BF1208"/>
    <w:rsid w:val="00BF2F76"/>
    <w:rsid w:val="00C00B6F"/>
    <w:rsid w:val="00C10DEF"/>
    <w:rsid w:val="00C13E13"/>
    <w:rsid w:val="00C21535"/>
    <w:rsid w:val="00C4123A"/>
    <w:rsid w:val="00C50D02"/>
    <w:rsid w:val="00C5101F"/>
    <w:rsid w:val="00C64A2D"/>
    <w:rsid w:val="00C6712D"/>
    <w:rsid w:val="00C868B8"/>
    <w:rsid w:val="00C913F9"/>
    <w:rsid w:val="00CA664B"/>
    <w:rsid w:val="00CB219E"/>
    <w:rsid w:val="00CB360B"/>
    <w:rsid w:val="00CC1398"/>
    <w:rsid w:val="00CD0EDE"/>
    <w:rsid w:val="00CD1EC4"/>
    <w:rsid w:val="00CE61CD"/>
    <w:rsid w:val="00CE66CE"/>
    <w:rsid w:val="00CE7860"/>
    <w:rsid w:val="00CE7E88"/>
    <w:rsid w:val="00CF2D53"/>
    <w:rsid w:val="00D011BE"/>
    <w:rsid w:val="00D04DA3"/>
    <w:rsid w:val="00D05FF7"/>
    <w:rsid w:val="00D07027"/>
    <w:rsid w:val="00D07952"/>
    <w:rsid w:val="00D14A5F"/>
    <w:rsid w:val="00D2057A"/>
    <w:rsid w:val="00D300E1"/>
    <w:rsid w:val="00D4462C"/>
    <w:rsid w:val="00D45DD4"/>
    <w:rsid w:val="00D515A5"/>
    <w:rsid w:val="00D52992"/>
    <w:rsid w:val="00D5799A"/>
    <w:rsid w:val="00D75095"/>
    <w:rsid w:val="00D75864"/>
    <w:rsid w:val="00D8601B"/>
    <w:rsid w:val="00D863F7"/>
    <w:rsid w:val="00D86AFE"/>
    <w:rsid w:val="00D92193"/>
    <w:rsid w:val="00D95C50"/>
    <w:rsid w:val="00DA21D3"/>
    <w:rsid w:val="00DB5881"/>
    <w:rsid w:val="00DB6758"/>
    <w:rsid w:val="00DC1E3E"/>
    <w:rsid w:val="00DC211A"/>
    <w:rsid w:val="00DC6626"/>
    <w:rsid w:val="00DD1135"/>
    <w:rsid w:val="00DD2A58"/>
    <w:rsid w:val="00DD3A40"/>
    <w:rsid w:val="00DD3F13"/>
    <w:rsid w:val="00DE3A03"/>
    <w:rsid w:val="00DE6A31"/>
    <w:rsid w:val="00DF797E"/>
    <w:rsid w:val="00E00396"/>
    <w:rsid w:val="00E0148A"/>
    <w:rsid w:val="00E01C7B"/>
    <w:rsid w:val="00E11990"/>
    <w:rsid w:val="00E11C5F"/>
    <w:rsid w:val="00E22913"/>
    <w:rsid w:val="00E2598A"/>
    <w:rsid w:val="00E25A0B"/>
    <w:rsid w:val="00E26D9D"/>
    <w:rsid w:val="00E32EF3"/>
    <w:rsid w:val="00E35E47"/>
    <w:rsid w:val="00E447C3"/>
    <w:rsid w:val="00E451BF"/>
    <w:rsid w:val="00E522BC"/>
    <w:rsid w:val="00E55F38"/>
    <w:rsid w:val="00E5766D"/>
    <w:rsid w:val="00E70F1A"/>
    <w:rsid w:val="00E7425C"/>
    <w:rsid w:val="00E83625"/>
    <w:rsid w:val="00E93970"/>
    <w:rsid w:val="00E97C7F"/>
    <w:rsid w:val="00EA6963"/>
    <w:rsid w:val="00EB4395"/>
    <w:rsid w:val="00EB6CB5"/>
    <w:rsid w:val="00EC0891"/>
    <w:rsid w:val="00EE0421"/>
    <w:rsid w:val="00EE675F"/>
    <w:rsid w:val="00EE7DA9"/>
    <w:rsid w:val="00F007AD"/>
    <w:rsid w:val="00F00E78"/>
    <w:rsid w:val="00F0463F"/>
    <w:rsid w:val="00F07541"/>
    <w:rsid w:val="00F1021D"/>
    <w:rsid w:val="00F10B8B"/>
    <w:rsid w:val="00F200DF"/>
    <w:rsid w:val="00F30796"/>
    <w:rsid w:val="00F311C5"/>
    <w:rsid w:val="00F346A2"/>
    <w:rsid w:val="00F51352"/>
    <w:rsid w:val="00F52887"/>
    <w:rsid w:val="00F57B88"/>
    <w:rsid w:val="00F60DC7"/>
    <w:rsid w:val="00F64D91"/>
    <w:rsid w:val="00F704E4"/>
    <w:rsid w:val="00F70CE4"/>
    <w:rsid w:val="00F72D7F"/>
    <w:rsid w:val="00F75ACE"/>
    <w:rsid w:val="00F80B95"/>
    <w:rsid w:val="00F811D4"/>
    <w:rsid w:val="00F82FCB"/>
    <w:rsid w:val="00F901B5"/>
    <w:rsid w:val="00F94801"/>
    <w:rsid w:val="00F951B7"/>
    <w:rsid w:val="00FA15D0"/>
    <w:rsid w:val="00FB180A"/>
    <w:rsid w:val="00FB6A44"/>
    <w:rsid w:val="00FB6EEE"/>
    <w:rsid w:val="00FC02AD"/>
    <w:rsid w:val="00FD0A14"/>
    <w:rsid w:val="00FD1D50"/>
    <w:rsid w:val="00FD43D2"/>
    <w:rsid w:val="00FD5D91"/>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57CBE-A27B-BC42-B81D-1A58CEE45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15</Pages>
  <Words>48431</Words>
  <Characters>276063</Characters>
  <Application>Microsoft Office Word</Application>
  <DocSecurity>0</DocSecurity>
  <Lines>2300</Lines>
  <Paragraphs>647</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323847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366</cp:revision>
  <cp:lastPrinted>2019-03-04T17:31:00Z</cp:lastPrinted>
  <dcterms:created xsi:type="dcterms:W3CDTF">2015-07-01T15:40:00Z</dcterms:created>
  <dcterms:modified xsi:type="dcterms:W3CDTF">2019-03-04T19:37:00Z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