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00363043">
        <w:rPr>
          <w:rFonts w:asciiTheme="minorHAnsi" w:hAnsiTheme="minorHAnsi"/>
        </w:rPr>
        <w:t xml:space="preserve">Nathan Qi,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rFonts w:asciiTheme="minorHAnsi" w:hAnsiTheme="minorHAnsi"/>
        </w:rPr>
      </w:pPr>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 Memphis, TN; Children’s Foundation Research Institute, Le Bonheur Children’s Hospital, Memphis, TN</w:t>
      </w:r>
    </w:p>
    <w:p w14:paraId="0C31C8C0" w14:textId="27AFF742" w:rsidR="00A2080F" w:rsidRPr="00420169" w:rsidRDefault="00A2080F" w:rsidP="00EF624B">
      <w:pPr>
        <w:jc w:val="both"/>
        <w:rPr>
          <w:rFonts w:asciiTheme="minorHAnsi" w:hAnsiTheme="minorHAnsi"/>
        </w:rPr>
      </w:pPr>
      <w:r>
        <w:rPr>
          <w:rFonts w:asciiTheme="minorHAnsi" w:hAnsiTheme="minorHAnsi"/>
        </w:rPr>
        <w:t>QTT: University of Tennessee Health Science Center, Department of Preventive Medicine, Memphis, TN 381</w:t>
      </w:r>
      <w:r w:rsidR="00475A8C">
        <w:rPr>
          <w:rFonts w:asciiTheme="minorHAnsi" w:hAnsiTheme="minorHAnsi"/>
        </w:rPr>
        <w:t>63</w:t>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17C7A67"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AA71B9">
        <w:rPr>
          <w:rFonts w:asciiTheme="minorHAnsi" w:hAnsiTheme="minorHAnsi"/>
        </w:rPr>
        <w:t xml:space="preserve">While we did not observe systemic insulin resistance in these mice, we detected a striking resistance to diet- and age-induced obesity.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08521490"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r w:rsidR="003B75DD">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022094D0" w:rsidR="00886804" w:rsidRPr="004C0A6E" w:rsidRDefault="004E21CF" w:rsidP="00EF624B">
      <w:pPr>
        <w:jc w:val="both"/>
        <w:rPr>
          <w:rFonts w:asciiTheme="minorHAnsi" w:hAnsiTheme="minorHAnsi"/>
        </w:rPr>
      </w:pPr>
      <w:r w:rsidRPr="004C0A6E">
        <w:rPr>
          <w:rFonts w:asciiTheme="minorHAnsi" w:hAnsiTheme="minorHAnsi"/>
        </w:rPr>
        <w:t>Skeletal muscle is an important tissue for understanding aging</w:t>
      </w:r>
      <w:r w:rsidR="00840134">
        <w:rPr>
          <w:rFonts w:asciiTheme="minorHAnsi" w:hAnsiTheme="minorHAnsi"/>
        </w:rPr>
        <w:t>, insulin sensitivity</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w:t>
      </w:r>
      <w:del w:id="4" w:author="Alan Saltiel" w:date="2019-07-24T13:58:00Z">
        <w:r w:rsidR="00373CA9" w:rsidRPr="004C0A6E" w:rsidDel="00EE7766">
          <w:rPr>
            <w:rFonts w:asciiTheme="minorHAnsi" w:hAnsiTheme="minorHAnsi"/>
          </w:rPr>
          <w:delText>hypothesized</w:delText>
        </w:r>
      </w:del>
      <w:ins w:id="5" w:author="Alan Saltiel" w:date="2019-07-24T13:58:00Z">
        <w:r w:rsidR="00EE7766">
          <w:rPr>
            <w:rFonts w:asciiTheme="minorHAnsi" w:hAnsiTheme="minorHAnsi"/>
          </w:rPr>
          <w:t>show</w:t>
        </w:r>
      </w:ins>
      <w:r w:rsidR="00373CA9" w:rsidRPr="004C0A6E">
        <w:rPr>
          <w:rFonts w:asciiTheme="minorHAnsi" w:hAnsiTheme="minorHAnsi"/>
        </w:rPr>
        <w:t xml:space="preserve">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del w:id="6" w:author="Alan Saltiel" w:date="2019-07-24T13:58:00Z">
        <w:r w:rsidR="00373CA9" w:rsidRPr="004C0A6E" w:rsidDel="00EE7766">
          <w:rPr>
            <w:rFonts w:asciiTheme="minorHAnsi" w:hAnsiTheme="minorHAnsi"/>
          </w:rPr>
          <w:delText xml:space="preserve">would </w:delText>
        </w:r>
      </w:del>
      <w:r w:rsidR="00373CA9" w:rsidRPr="004C0A6E">
        <w:rPr>
          <w:rFonts w:asciiTheme="minorHAnsi" w:hAnsiTheme="minorHAnsi"/>
        </w:rPr>
        <w:t>promote</w:t>
      </w:r>
      <w:ins w:id="7" w:author="Alan Saltiel" w:date="2019-07-24T13:58:00Z">
        <w:r w:rsidR="00EE7766">
          <w:rPr>
            <w:rFonts w:asciiTheme="minorHAnsi" w:hAnsiTheme="minorHAnsi"/>
          </w:rPr>
          <w:t>s</w:t>
        </w:r>
      </w:ins>
      <w:r w:rsidR="00373CA9" w:rsidRPr="004C0A6E">
        <w:rPr>
          <w:rFonts w:asciiTheme="minorHAnsi" w:hAnsiTheme="minorHAnsi"/>
        </w:rPr>
        <w:t xml:space="preserve"> </w:t>
      </w:r>
      <w:del w:id="8" w:author="Alan Saltiel" w:date="2019-07-24T13:58:00Z">
        <w:r w:rsidR="00373CA9" w:rsidRPr="004C0A6E" w:rsidDel="00EE7766">
          <w:rPr>
            <w:rFonts w:asciiTheme="minorHAnsi" w:hAnsiTheme="minorHAnsi"/>
          </w:rPr>
          <w:delText xml:space="preserve">increases </w:delText>
        </w:r>
      </w:del>
      <w:ins w:id="9" w:author="Alan Saltiel" w:date="2019-07-24T13:58:00Z">
        <w:r w:rsidR="00EE7766" w:rsidRPr="004C0A6E">
          <w:rPr>
            <w:rFonts w:asciiTheme="minorHAnsi" w:hAnsiTheme="minorHAnsi"/>
          </w:rPr>
          <w:t>increase</w:t>
        </w:r>
        <w:r w:rsidR="00EE7766">
          <w:rPr>
            <w:rFonts w:asciiTheme="minorHAnsi" w:hAnsiTheme="minorHAnsi"/>
          </w:rPr>
          <w:t>d</w:t>
        </w:r>
        <w:r w:rsidR="00EE7766" w:rsidRPr="004C0A6E">
          <w:rPr>
            <w:rFonts w:asciiTheme="minorHAnsi" w:hAnsiTheme="minorHAnsi"/>
          </w:rPr>
          <w:t xml:space="preserve"> </w:t>
        </w:r>
      </w:ins>
      <w:del w:id="10" w:author="Alan Saltiel" w:date="2019-07-24T13:58:00Z">
        <w:r w:rsidR="00373CA9" w:rsidRPr="004C0A6E" w:rsidDel="00EE7766">
          <w:rPr>
            <w:rFonts w:asciiTheme="minorHAnsi" w:hAnsiTheme="minorHAnsi"/>
          </w:rPr>
          <w:delText xml:space="preserve">in </w:delText>
        </w:r>
      </w:del>
      <w:r w:rsidR="00373CA9" w:rsidRPr="004C0A6E">
        <w:rPr>
          <w:rFonts w:asciiTheme="minorHAnsi" w:hAnsiTheme="minorHAnsi"/>
        </w:rPr>
        <w:t xml:space="preserve">energy expenditure, but </w:t>
      </w:r>
      <w:del w:id="11" w:author="Alan Saltiel" w:date="2019-07-24T13:58:00Z">
        <w:r w:rsidR="00373CA9" w:rsidRPr="004C0A6E" w:rsidDel="00EE7766">
          <w:rPr>
            <w:rFonts w:asciiTheme="minorHAnsi" w:hAnsiTheme="minorHAnsi"/>
          </w:rPr>
          <w:delText xml:space="preserve">would </w:delText>
        </w:r>
      </w:del>
      <w:r w:rsidR="00373CA9" w:rsidRPr="004C0A6E">
        <w:rPr>
          <w:rFonts w:asciiTheme="minorHAnsi" w:hAnsiTheme="minorHAnsi"/>
        </w:rPr>
        <w:t>reduc</w:t>
      </w:r>
      <w:r w:rsidR="00373CA9">
        <w:rPr>
          <w:rFonts w:asciiTheme="minorHAnsi" w:hAnsiTheme="minorHAnsi"/>
        </w:rPr>
        <w:t>e</w:t>
      </w:r>
      <w:ins w:id="12" w:author="Alan Saltiel" w:date="2019-07-24T13:59:00Z">
        <w:r w:rsidR="00EE7766">
          <w:rPr>
            <w:rFonts w:asciiTheme="minorHAnsi" w:hAnsiTheme="minorHAnsi"/>
          </w:rPr>
          <w:t>d</w:t>
        </w:r>
      </w:ins>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318935F8"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r w:rsidR="00A97268">
        <w:rPr>
          <w:rFonts w:asciiTheme="minorHAnsi" w:hAnsiTheme="minorHAnsi"/>
          <w:bCs/>
        </w:rPr>
        <w:t>wild-type</w:t>
      </w:r>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77341CEC"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 xml:space="preserve">The first 6h of </w:t>
      </w:r>
      <w:r w:rsidR="009E2AE4">
        <w:rPr>
          <w:rFonts w:asciiTheme="minorHAnsi" w:hAnsiTheme="minorHAnsi"/>
        </w:rPr>
        <w:t xml:space="preserve">CLAMS </w:t>
      </w:r>
      <w:r w:rsidR="002A7B4B" w:rsidRPr="00420169">
        <w:rPr>
          <w:rFonts w:asciiTheme="minorHAnsi" w:hAnsiTheme="minorHAnsi"/>
        </w:rPr>
        <w:t>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r w:rsidR="00AB48EA">
        <w:rPr>
          <w:rFonts w:asciiTheme="minorHAnsi" w:hAnsiTheme="minorHAnsi"/>
        </w:rPr>
        <w:t xml:space="preserve"> </w:t>
      </w:r>
      <w:r w:rsidR="00AB48EA">
        <w:rPr>
          <w:rFonts w:asciiTheme="minorHAnsi" w:hAnsiTheme="minorHAnsi"/>
        </w:rPr>
        <w:fldChar w:fldCharType="begin" w:fldLock="1"/>
      </w:r>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r w:rsidR="00AB48EA">
        <w:rPr>
          <w:rFonts w:asciiTheme="minorHAnsi" w:hAnsiTheme="minorHAnsi"/>
        </w:rPr>
        <w:fldChar w:fldCharType="end"/>
      </w:r>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r w:rsidR="009E2AE4">
        <w:rPr>
          <w:rFonts w:asciiTheme="minorHAnsi" w:hAnsiTheme="minorHAnsi"/>
        </w:rPr>
        <w:t>occurring</w:t>
      </w:r>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4CA2265E" w:rsidR="00540EBE" w:rsidRDefault="00540EBE" w:rsidP="00540EBE">
      <w:pPr>
        <w:pStyle w:val="Heading2"/>
        <w:jc w:val="both"/>
        <w:rPr>
          <w:rFonts w:asciiTheme="minorHAnsi" w:hAnsiTheme="minorHAnsi"/>
        </w:rPr>
      </w:pPr>
      <w:proofErr w:type="spellStart"/>
      <w:r>
        <w:rPr>
          <w:rFonts w:asciiTheme="minorHAnsi" w:hAnsiTheme="minorHAnsi"/>
        </w:rPr>
        <w:t>Hyperinsulinemic</w:t>
      </w:r>
      <w:proofErr w:type="spellEnd"/>
      <w:r>
        <w:rPr>
          <w:rFonts w:asciiTheme="minorHAnsi" w:hAnsiTheme="minorHAnsi"/>
        </w:rPr>
        <w:t xml:space="preserve"> </w:t>
      </w:r>
      <w:r w:rsidR="009E2AE4">
        <w:rPr>
          <w:rFonts w:asciiTheme="minorHAnsi" w:hAnsiTheme="minorHAnsi"/>
        </w:rPr>
        <w:t>Euglycemic</w:t>
      </w:r>
      <w:r>
        <w:rPr>
          <w:rFonts w:asciiTheme="minorHAnsi" w:hAnsiTheme="minorHAnsi"/>
        </w:rPr>
        <w:t xml:space="preserve"> Clamp</w:t>
      </w:r>
      <w:r w:rsidR="00A84E74">
        <w:rPr>
          <w:rFonts w:asciiTheme="minorHAnsi" w:hAnsiTheme="minorHAnsi"/>
        </w:rPr>
        <w:t xml:space="preserve"> and Tissue 2-Deoxyglucose Uptake</w:t>
      </w:r>
    </w:p>
    <w:p w14:paraId="15DFEC3D" w14:textId="52BF496D" w:rsidR="00540EBE" w:rsidRDefault="00483D6F" w:rsidP="00EF624B">
      <w:pPr>
        <w:jc w:val="both"/>
        <w:rPr>
          <w:rFonts w:asciiTheme="minorHAnsi" w:hAnsiTheme="minorHAnsi"/>
        </w:rPr>
      </w:pPr>
      <w:r w:rsidRPr="009E2AE4">
        <w:rPr>
          <w:rFonts w:asciiTheme="minorHAnsi" w:hAnsiTheme="minorHAnsi"/>
        </w:rPr>
        <w:t xml:space="preserve">Animals were anesthetized </w:t>
      </w:r>
      <w:r w:rsidR="009E2AE4">
        <w:rPr>
          <w:rFonts w:asciiTheme="minorHAnsi" w:hAnsiTheme="minorHAnsi"/>
        </w:rPr>
        <w:t>with</w:t>
      </w:r>
      <w:r w:rsidRPr="009E2AE4">
        <w:rPr>
          <w:rFonts w:asciiTheme="minorHAnsi" w:hAnsiTheme="minorHAnsi"/>
        </w:rPr>
        <w:t xml:space="preserve"> sodium pentobarbital (50−60 mg/kg</w:t>
      </w:r>
      <w:r w:rsidR="009E2AE4">
        <w:rPr>
          <w:rFonts w:asciiTheme="minorHAnsi" w:hAnsiTheme="minorHAnsi"/>
        </w:rPr>
        <w:t>, given intraperitoneally</w:t>
      </w:r>
      <w:r w:rsidRPr="009E2AE4">
        <w:rPr>
          <w:rFonts w:asciiTheme="minorHAnsi" w:hAnsiTheme="minorHAnsi"/>
        </w:rPr>
        <w:t>)</w:t>
      </w:r>
      <w:r w:rsidR="009E2AE4">
        <w:rPr>
          <w:rFonts w:asciiTheme="minorHAnsi" w:hAnsiTheme="minorHAnsi"/>
        </w:rPr>
        <w:t xml:space="preserve"> and i</w:t>
      </w:r>
      <w:r w:rsidRPr="009E2AE4">
        <w:rPr>
          <w:rFonts w:asciiTheme="minorHAnsi" w:hAnsiTheme="minorHAnsi"/>
        </w:rPr>
        <w:t xml:space="preserve">ndwelling catheters were </w:t>
      </w:r>
      <w:r>
        <w:rPr>
          <w:rFonts w:asciiTheme="minorHAnsi" w:hAnsiTheme="minorHAnsi"/>
        </w:rPr>
        <w:t>implanted</w:t>
      </w:r>
      <w:r w:rsidRPr="009E2AE4">
        <w:rPr>
          <w:rFonts w:asciiTheme="minorHAnsi" w:hAnsiTheme="minorHAnsi"/>
        </w:rPr>
        <w:t xml:space="preserve"> into the right jugular vein and the right carotid artery. The catheters were tunneled subcutaneously and exteriorized at the back of the neck via a stainless-steel tubing connector</w:t>
      </w:r>
      <w:r>
        <w:rPr>
          <w:rFonts w:asciiTheme="minorHAnsi" w:hAnsiTheme="minorHAnsi"/>
        </w:rPr>
        <w:t xml:space="preserve"> </w:t>
      </w:r>
      <w:r w:rsidRPr="009E2AE4">
        <w:rPr>
          <w:rFonts w:asciiTheme="minorHAnsi" w:hAnsiTheme="minorHAnsi"/>
        </w:rPr>
        <w:t xml:space="preserve">that was fixed subcutaneously upon closure of the incision. Animals </w:t>
      </w:r>
      <w:r w:rsidR="009E2AE4">
        <w:rPr>
          <w:rFonts w:asciiTheme="minorHAnsi" w:hAnsiTheme="minorHAnsi"/>
        </w:rPr>
        <w:t xml:space="preserve">were allowed to recover and mice </w:t>
      </w:r>
      <w:r w:rsidRPr="009E2AE4">
        <w:rPr>
          <w:rFonts w:asciiTheme="minorHAnsi" w:hAnsiTheme="minorHAnsi"/>
        </w:rPr>
        <w:t xml:space="preserve">with healthy appearance, normal activity, and weight regain to or above 90% of their pre-surgery levels were used for the study. Experiments were carried out in conscious and unrestrained animals using techniques described previously </w:t>
      </w:r>
      <w:r w:rsidRPr="009E2AE4">
        <w:rPr>
          <w:rFonts w:asciiTheme="minorHAnsi" w:hAnsiTheme="minorHAnsi"/>
        </w:rPr>
        <w:fldChar w:fldCharType="begin" w:fldLock="1"/>
      </w:r>
      <w:r>
        <w:rPr>
          <w:rFonts w:asciiTheme="minorHAnsi" w:hAnsiTheme="minorHAnsi"/>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9E2AE4">
        <w:rPr>
          <w:rFonts w:asciiTheme="minorHAnsi" w:hAnsiTheme="minorHAnsi"/>
        </w:rPr>
        <w:fldChar w:fldCharType="separate"/>
      </w:r>
      <w:r w:rsidRPr="00483D6F">
        <w:rPr>
          <w:rFonts w:asciiTheme="minorHAnsi" w:hAnsiTheme="minorHAnsi"/>
          <w:noProof/>
        </w:rPr>
        <w:t>[39–42]</w:t>
      </w:r>
      <w:r w:rsidRPr="009E2AE4">
        <w:rPr>
          <w:rFonts w:asciiTheme="minorHAnsi" w:hAnsiTheme="minorHAnsi"/>
        </w:rPr>
        <w:fldChar w:fldCharType="end"/>
      </w:r>
      <w:r w:rsidRPr="009E2AE4">
        <w:rPr>
          <w:rFonts w:asciiTheme="minorHAnsi" w:hAnsiTheme="minorHAnsi"/>
        </w:rPr>
        <w:t xml:space="preserve">. </w:t>
      </w:r>
      <w:r>
        <w:rPr>
          <w:rFonts w:asciiTheme="minorHAnsi" w:hAnsiTheme="minorHAnsi"/>
        </w:rPr>
        <w:t>The</w:t>
      </w:r>
      <w:r w:rsidRPr="009E2AE4">
        <w:rPr>
          <w:rFonts w:asciiTheme="minorHAnsi" w:hAnsiTheme="minorHAnsi"/>
        </w:rPr>
        <w:t xml:space="preserve"> primed (1.0 </w:t>
      </w:r>
      <w:r w:rsidRPr="005D22D9">
        <w:rPr>
          <w:rFonts w:asciiTheme="minorHAnsi" w:hAnsiTheme="minorHAnsi"/>
        </w:rPr>
        <w:t>µ</w:t>
      </w:r>
      <w:r w:rsidRPr="009E2AE4">
        <w:rPr>
          <w:rFonts w:asciiTheme="minorHAnsi" w:hAnsiTheme="minorHAnsi"/>
        </w:rPr>
        <w:t>Ci)-continuous infusion (0.05 </w:t>
      </w:r>
      <w:r w:rsidRPr="005D22D9">
        <w:rPr>
          <w:rFonts w:asciiTheme="minorHAnsi" w:hAnsiTheme="minorHAnsi"/>
        </w:rPr>
        <w:t>µ</w:t>
      </w:r>
      <w:r w:rsidRPr="009E2AE4">
        <w:rPr>
          <w:rFonts w:asciiTheme="minorHAnsi" w:hAnsiTheme="minorHAnsi"/>
        </w:rPr>
        <w:t>Ci/min and increased to 0.1 µCi/min at t = 0) of [3-</w:t>
      </w:r>
      <w:r w:rsidRPr="009E2AE4">
        <w:rPr>
          <w:rFonts w:asciiTheme="minorHAnsi" w:hAnsiTheme="minorHAnsi"/>
          <w:vertAlign w:val="superscript"/>
        </w:rPr>
        <w:t>3</w:t>
      </w:r>
      <w:r w:rsidRPr="009E2AE4">
        <w:rPr>
          <w:rFonts w:asciiTheme="minorHAnsi" w:hAnsiTheme="minorHAnsi"/>
        </w:rPr>
        <w:t xml:space="preserve">H] glucose (50 µCi/ml in saline) was started at t = -120min. After a </w:t>
      </w:r>
      <w:r>
        <w:rPr>
          <w:rFonts w:asciiTheme="minorHAnsi" w:hAnsiTheme="minorHAnsi"/>
        </w:rPr>
        <w:t xml:space="preserve">5-6 </w:t>
      </w:r>
      <w:r w:rsidRPr="009E2AE4">
        <w:rPr>
          <w:rFonts w:asciiTheme="minorHAnsi" w:hAnsiTheme="minorHAnsi"/>
        </w:rPr>
        <w:t xml:space="preserve">hour fast, the insulin clamp was initiated at t = 0, with a prime-continuous infusion (40 </w:t>
      </w:r>
      <w:proofErr w:type="spellStart"/>
      <w:r w:rsidRPr="009E2AE4">
        <w:rPr>
          <w:rFonts w:asciiTheme="minorHAnsi" w:hAnsiTheme="minorHAnsi"/>
        </w:rPr>
        <w:t>mU</w:t>
      </w:r>
      <w:proofErr w:type="spellEnd"/>
      <w:r w:rsidRPr="009E2AE4">
        <w:rPr>
          <w:rFonts w:asciiTheme="minorHAnsi" w:hAnsiTheme="minorHAnsi"/>
        </w:rPr>
        <w:t xml:space="preserve">/kg bolus, followed by </w:t>
      </w:r>
      <w:r>
        <w:rPr>
          <w:rFonts w:asciiTheme="minorHAnsi" w:hAnsiTheme="minorHAnsi"/>
        </w:rPr>
        <w:t>2.5</w:t>
      </w:r>
      <w:r w:rsidRPr="009E2AE4">
        <w:rPr>
          <w:rFonts w:asciiTheme="minorHAnsi" w:hAnsiTheme="minorHAnsi"/>
        </w:rPr>
        <w:t xml:space="preserve"> </w:t>
      </w:r>
      <w:proofErr w:type="spellStart"/>
      <w:r w:rsidRPr="009E2AE4">
        <w:rPr>
          <w:rFonts w:asciiTheme="minorHAnsi" w:hAnsiTheme="minorHAnsi"/>
        </w:rPr>
        <w:t>mU</w:t>
      </w:r>
      <w:proofErr w:type="spellEnd"/>
      <w:r w:rsidRPr="009E2AE4">
        <w:rPr>
          <w:rFonts w:asciiTheme="minorHAnsi" w:hAnsiTheme="minorHAnsi"/>
        </w:rPr>
        <w:t>/kg/min) of human insulin (Novo Nordisk). Euglycemia (120~130 mg/</w:t>
      </w:r>
      <w:proofErr w:type="spellStart"/>
      <w:r w:rsidRPr="009E2AE4">
        <w:rPr>
          <w:rFonts w:asciiTheme="minorHAnsi" w:hAnsiTheme="minorHAnsi"/>
        </w:rPr>
        <w:t>dL</w:t>
      </w:r>
      <w:proofErr w:type="spellEnd"/>
      <w:r w:rsidRPr="009E2AE4">
        <w:rPr>
          <w:rFonts w:asciiTheme="minorHAnsi" w:hAnsiTheme="minorHAnsi"/>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9E2AE4">
        <w:rPr>
          <w:rFonts w:asciiTheme="minorHAnsi" w:hAnsiTheme="minorHAnsi"/>
          <w:vertAlign w:val="superscript"/>
        </w:rPr>
        <w:t>14</w:t>
      </w:r>
      <w:r w:rsidRPr="009E2AE4">
        <w:rPr>
          <w:rFonts w:asciiTheme="minorHAnsi" w:hAnsiTheme="minorHAnsi"/>
        </w:rPr>
        <w:t>C]-2-deoxyglucose ([</w:t>
      </w:r>
      <w:r w:rsidRPr="009E2AE4">
        <w:rPr>
          <w:rFonts w:asciiTheme="minorHAnsi" w:hAnsiTheme="minorHAnsi"/>
          <w:vertAlign w:val="superscript"/>
        </w:rPr>
        <w:t>14</w:t>
      </w:r>
      <w:r w:rsidRPr="009E2AE4">
        <w:rPr>
          <w:rFonts w:asciiTheme="minorHAnsi" w:hAnsiTheme="minorHAnsi"/>
        </w:rPr>
        <w:t>C]2DG; PerkinElmer) (10 µCi) was given at t = 120 min. Blood samples were taken at 2, 5, 10, 15, and 25 min after the injection for determination of plasma [</w:t>
      </w:r>
      <w:r w:rsidRPr="009E2AE4">
        <w:rPr>
          <w:rFonts w:asciiTheme="minorHAnsi" w:hAnsiTheme="minorHAnsi"/>
          <w:vertAlign w:val="superscript"/>
        </w:rPr>
        <w:t>14</w:t>
      </w:r>
      <w:r w:rsidRPr="009E2AE4">
        <w:rPr>
          <w:rFonts w:asciiTheme="minorHAnsi" w:hAnsiTheme="minorHAnsi"/>
        </w:rPr>
        <w:t>C]2DG radioactivity. At the end of the experiment, animals were anesthetized with an intravenous injection of sodium pentobarbital and tissues were collected and immediately frozen in liquid nitrogen for later analysis of tissue [1-</w:t>
      </w:r>
      <w:r w:rsidRPr="009E2AE4">
        <w:rPr>
          <w:rFonts w:asciiTheme="minorHAnsi" w:hAnsiTheme="minorHAnsi"/>
          <w:vertAlign w:val="superscript"/>
        </w:rPr>
        <w:t>14</w:t>
      </w:r>
      <w:r w:rsidRPr="009E2AE4">
        <w:rPr>
          <w:rFonts w:asciiTheme="minorHAnsi" w:hAnsiTheme="minorHAnsi"/>
        </w:rPr>
        <w:t>C]-2-deoxyglucose phosphate ([</w:t>
      </w:r>
      <w:r w:rsidRPr="009E2AE4">
        <w:rPr>
          <w:rFonts w:asciiTheme="minorHAnsi" w:hAnsiTheme="minorHAnsi"/>
          <w:vertAlign w:val="superscript"/>
        </w:rPr>
        <w:t>14</w:t>
      </w:r>
      <w:r w:rsidRPr="009E2AE4">
        <w:rPr>
          <w:rFonts w:asciiTheme="minorHAnsi" w:hAnsiTheme="minorHAnsi"/>
        </w:rPr>
        <w:t xml:space="preserve">C]2DGP) radioactivity. Blood glucose was measured using an Accu-Chek glucometer (Roche, Germany). Plasma insulin was measured using the </w:t>
      </w:r>
      <w:proofErr w:type="spellStart"/>
      <w:r w:rsidRPr="009E2AE4">
        <w:rPr>
          <w:rFonts w:asciiTheme="minorHAnsi" w:hAnsiTheme="minorHAnsi"/>
        </w:rPr>
        <w:t>Linco</w:t>
      </w:r>
      <w:proofErr w:type="spellEnd"/>
      <w:r w:rsidRPr="009E2AE4">
        <w:rPr>
          <w:rFonts w:asciiTheme="minorHAnsi" w:hAnsiTheme="minorHAnsi"/>
        </w:rPr>
        <w:t xml:space="preserve"> rat/mouse </w:t>
      </w:r>
      <w:r w:rsidRPr="009E2AE4">
        <w:rPr>
          <w:rFonts w:asciiTheme="minorHAnsi" w:hAnsiTheme="minorHAnsi"/>
        </w:rPr>
        <w:lastRenderedPageBreak/>
        <w:t>insulin ELISA kits.  For determination of plasma radioactivity of [3-</w:t>
      </w:r>
      <w:r w:rsidRPr="009E2AE4">
        <w:rPr>
          <w:rFonts w:asciiTheme="minorHAnsi" w:hAnsiTheme="minorHAnsi"/>
          <w:vertAlign w:val="superscript"/>
        </w:rPr>
        <w:t>3</w:t>
      </w:r>
      <w:proofErr w:type="gramStart"/>
      <w:r w:rsidRPr="009E2AE4">
        <w:rPr>
          <w:rFonts w:asciiTheme="minorHAnsi" w:hAnsiTheme="minorHAnsi"/>
        </w:rPr>
        <w:t>H]glucose</w:t>
      </w:r>
      <w:proofErr w:type="gramEnd"/>
      <w:r w:rsidRPr="009E2AE4">
        <w:rPr>
          <w:rFonts w:asciiTheme="minorHAnsi" w:hAnsiTheme="minorHAnsi"/>
        </w:rPr>
        <w:t xml:space="preserve"> and [1-</w:t>
      </w:r>
      <w:r w:rsidRPr="009E2AE4">
        <w:rPr>
          <w:rFonts w:asciiTheme="minorHAnsi" w:hAnsiTheme="minorHAnsi"/>
          <w:vertAlign w:val="superscript"/>
        </w:rPr>
        <w:t>14</w:t>
      </w:r>
      <w:r w:rsidRPr="009E2AE4">
        <w:rPr>
          <w:rFonts w:asciiTheme="minorHAnsi" w:hAnsiTheme="minorHAnsi"/>
        </w:rPr>
        <w:t>C]2DG, plasma samples were deproteinized with ZnSO</w:t>
      </w:r>
      <w:r w:rsidRPr="009E2AE4">
        <w:rPr>
          <w:rFonts w:asciiTheme="minorHAnsi" w:hAnsiTheme="minorHAnsi"/>
          <w:vertAlign w:val="subscript"/>
        </w:rPr>
        <w:t>4</w:t>
      </w:r>
      <w:r w:rsidRPr="009E2AE4">
        <w:rPr>
          <w:rFonts w:asciiTheme="minorHAnsi" w:hAnsiTheme="minorHAnsi"/>
        </w:rPr>
        <w:t> and Ba(OH)</w:t>
      </w:r>
      <w:r w:rsidRPr="009E2AE4">
        <w:rPr>
          <w:rFonts w:asciiTheme="minorHAnsi" w:hAnsiTheme="minorHAnsi"/>
          <w:vertAlign w:val="subscript"/>
        </w:rPr>
        <w:t>2</w:t>
      </w:r>
      <w:r w:rsidRPr="009E2AE4">
        <w:rPr>
          <w:rFonts w:asciiTheme="minorHAnsi" w:hAnsiTheme="minorHAnsi"/>
        </w:rPr>
        <w:t xml:space="preserve"> and counted using a Liquid Scintillation Counter (Beckman Coulter LS6500 Multi-purpose Scintillation Counter). Glucose turnover rate, hepatic glucose production and tissue glucose uptake were calculated as described elsewhere </w:t>
      </w:r>
      <w:r w:rsidRPr="009E2AE4">
        <w:rPr>
          <w:rFonts w:asciiTheme="minorHAnsi" w:hAnsiTheme="minorHAnsi"/>
        </w:rPr>
        <w:fldChar w:fldCharType="begin" w:fldLock="1"/>
      </w:r>
      <w:r>
        <w:rPr>
          <w:rFonts w:asciiTheme="minorHAnsi" w:hAnsiTheme="minorHAnsi"/>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9E2AE4">
        <w:rPr>
          <w:rFonts w:asciiTheme="minorHAnsi" w:hAnsiTheme="minorHAnsi"/>
        </w:rPr>
        <w:fldChar w:fldCharType="separate"/>
      </w:r>
      <w:r w:rsidRPr="00483D6F">
        <w:rPr>
          <w:rFonts w:asciiTheme="minorHAnsi" w:hAnsiTheme="minorHAnsi"/>
          <w:noProof/>
        </w:rPr>
        <w:t>[40,41,43]</w:t>
      </w:r>
      <w:r w:rsidRPr="009E2AE4">
        <w:rPr>
          <w:rFonts w:asciiTheme="minorHAnsi" w:hAnsiTheme="minorHAnsi"/>
        </w:rPr>
        <w:fldChar w:fldCharType="end"/>
      </w:r>
      <w:r w:rsidRPr="009E2AE4">
        <w:rPr>
          <w:rFonts w:asciiTheme="minorHAnsi" w:hAnsiTheme="minorHAnsi"/>
        </w:rPr>
        <w:t>.</w:t>
      </w: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5D1E08E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w:t>
      </w:r>
      <w:r w:rsidR="009E2AE4">
        <w:rPr>
          <w:rFonts w:asciiTheme="minorHAnsi" w:hAnsiTheme="minorHAnsi"/>
        </w:rPr>
        <w:t xml:space="preserve">sterile </w:t>
      </w:r>
      <w:r>
        <w:rPr>
          <w:rFonts w:asciiTheme="minorHAnsi" w:hAnsiTheme="minorHAnsi"/>
        </w:rPr>
        <w:t>PBS</w:t>
      </w:r>
      <w:r w:rsidRPr="00B17BC0">
        <w:rPr>
          <w:rFonts w:asciiTheme="minorHAnsi" w:hAnsiTheme="minorHAnsi"/>
        </w:rPr>
        <w:t xml:space="preserve">. Blood glucose </w:t>
      </w:r>
      <w:r w:rsidR="009E2AE4">
        <w:rPr>
          <w:rFonts w:asciiTheme="minorHAnsi" w:hAnsiTheme="minorHAnsi"/>
        </w:rPr>
        <w:t xml:space="preserve">concentrations </w:t>
      </w:r>
      <w:r w:rsidRPr="00B17BC0">
        <w:rPr>
          <w:rFonts w:asciiTheme="minorHAnsi" w:hAnsiTheme="minorHAnsi"/>
        </w:rPr>
        <w:t>w</w:t>
      </w:r>
      <w:r w:rsidR="009E2AE4">
        <w:rPr>
          <w:rFonts w:asciiTheme="minorHAnsi" w:hAnsiTheme="minorHAnsi"/>
        </w:rPr>
        <w:t>ere</w:t>
      </w:r>
      <w:r w:rsidRPr="00B17BC0">
        <w:rPr>
          <w:rFonts w:asciiTheme="minorHAnsi" w:hAnsiTheme="minorHAnsi"/>
        </w:rPr>
        <w:t xml:space="preserve"> </w:t>
      </w:r>
      <w:r w:rsidR="009E2AE4">
        <w:rPr>
          <w:rFonts w:asciiTheme="minorHAnsi" w:hAnsiTheme="minorHAnsi"/>
        </w:rPr>
        <w:t xml:space="preserve">measured every 15 min </w:t>
      </w:r>
      <w:r w:rsidRPr="00B17BC0">
        <w:rPr>
          <w:rFonts w:asciiTheme="minorHAnsi" w:hAnsiTheme="minorHAnsi"/>
        </w:rPr>
        <w:t>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4B1CDF23"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[44]</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[45]</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to 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475DF6">
        <w:rPr>
          <w:rFonts w:asciiTheme="minorHAnsi" w:hAnsiTheme="minorHAnsi" w:cstheme="minorBidi"/>
        </w:rPr>
        <w:fldChar w:fldCharType="separate"/>
      </w:r>
      <w:r w:rsidR="00483D6F" w:rsidRPr="00483D6F">
        <w:rPr>
          <w:rFonts w:asciiTheme="minorHAnsi" w:hAnsiTheme="minorHAnsi" w:cstheme="minorBidi"/>
          <w:noProof/>
        </w:rPr>
        <w:t>[46]</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475DF6">
        <w:rPr>
          <w:rFonts w:asciiTheme="minorHAnsi" w:hAnsiTheme="minorHAnsi" w:cstheme="minorBidi"/>
        </w:rPr>
        <w:fldChar w:fldCharType="separate"/>
      </w:r>
      <w:r w:rsidR="00483D6F" w:rsidRPr="00483D6F">
        <w:rPr>
          <w:rFonts w:asciiTheme="minorHAnsi" w:hAnsiTheme="minorHAnsi" w:cstheme="minorBidi"/>
          <w:noProof/>
        </w:rPr>
        <w:t>[47]</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475DF6">
        <w:rPr>
          <w:rFonts w:asciiTheme="minorHAnsi" w:hAnsiTheme="minorHAnsi" w:cstheme="minorBidi"/>
        </w:rPr>
        <w:fldChar w:fldCharType="separate"/>
      </w:r>
      <w:r w:rsidR="00483D6F" w:rsidRPr="00483D6F">
        <w:rPr>
          <w:rFonts w:asciiTheme="minorHAnsi" w:hAnsiTheme="minorHAnsi" w:cstheme="minorBidi"/>
          <w:noProof/>
        </w:rPr>
        <w:t>[48,49]</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475DF6">
        <w:rPr>
          <w:rFonts w:asciiTheme="minorHAnsi" w:hAnsiTheme="minorHAnsi" w:cstheme="minorBidi"/>
        </w:rPr>
        <w:fldChar w:fldCharType="separate"/>
      </w:r>
      <w:r w:rsidR="00483D6F" w:rsidRPr="00483D6F">
        <w:rPr>
          <w:rFonts w:asciiTheme="minorHAnsi" w:hAnsiTheme="minorHAnsi" w:cstheme="minorBidi"/>
          <w:noProof/>
        </w:rPr>
        <w:t>[50]</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w:t>
      </w:r>
      <w:proofErr w:type="spellStart"/>
      <w:r w:rsidRPr="00EE6832">
        <w:rPr>
          <w:rFonts w:asciiTheme="minorHAnsi" w:hAnsiTheme="minorHAnsi"/>
        </w:rPr>
        <w:t>mM</w:t>
      </w:r>
      <w:proofErr w:type="spellEnd"/>
      <w:r w:rsidRPr="00EE6832">
        <w:rPr>
          <w:rFonts w:asciiTheme="minorHAnsi" w:hAnsiTheme="minorHAnsi"/>
        </w:rPr>
        <w:t xml:space="preserve"> Tris pH 7.4, 0.25% sodium deoxycholate, 1% NP40, 150 </w:t>
      </w:r>
      <w:proofErr w:type="spellStart"/>
      <w:r w:rsidRPr="00EE6832">
        <w:rPr>
          <w:rFonts w:asciiTheme="minorHAnsi" w:hAnsiTheme="minorHAnsi"/>
        </w:rPr>
        <w:t>mM</w:t>
      </w:r>
      <w:proofErr w:type="spellEnd"/>
      <w:r w:rsidRPr="00EE6832">
        <w:rPr>
          <w:rFonts w:asciiTheme="minorHAnsi" w:hAnsiTheme="minorHAnsi"/>
        </w:rPr>
        <w:t xml:space="preserve"> sodium </w:t>
      </w:r>
      <w:proofErr w:type="spellStart"/>
      <w:r w:rsidRPr="00EE6832">
        <w:rPr>
          <w:rFonts w:asciiTheme="minorHAnsi" w:hAnsiTheme="minorHAnsi"/>
        </w:rPr>
        <w:t>choride</w:t>
      </w:r>
      <w:proofErr w:type="spellEnd"/>
      <w:r w:rsidRPr="00EE6832">
        <w:rPr>
          <w:rFonts w:asciiTheme="minorHAnsi" w:hAnsiTheme="minorHAnsi"/>
        </w:rPr>
        <w:t xml:space="preserve">, 1 </w:t>
      </w:r>
      <w:proofErr w:type="spellStart"/>
      <w:r w:rsidRPr="00EE6832">
        <w:rPr>
          <w:rFonts w:asciiTheme="minorHAnsi" w:hAnsiTheme="minorHAnsi"/>
        </w:rPr>
        <w:t>mM</w:t>
      </w:r>
      <w:proofErr w:type="spellEnd"/>
      <w:r w:rsidRPr="00EE6832">
        <w:rPr>
          <w:rFonts w:asciiTheme="minorHAnsi" w:hAnsiTheme="minorHAnsi"/>
        </w:rPr>
        <w:t xml:space="preserve">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w:t>
      </w:r>
      <w:proofErr w:type="spellStart"/>
      <w:r w:rsidRPr="00EE6832">
        <w:rPr>
          <w:rFonts w:asciiTheme="minorHAnsi" w:hAnsiTheme="minorHAnsi"/>
        </w:rPr>
        <w:t>mM</w:t>
      </w:r>
      <w:proofErr w:type="spellEnd"/>
      <w:r w:rsidRPr="00EE6832">
        <w:rPr>
          <w:rFonts w:asciiTheme="minorHAnsi" w:hAnsiTheme="minorHAnsi"/>
        </w:rPr>
        <w:t xml:space="preserve"> sodium pyrophosphate and 1X protease inhibitors) or HTNG buffer (50 </w:t>
      </w:r>
      <w:proofErr w:type="spellStart"/>
      <w:r w:rsidRPr="00EE6832">
        <w:rPr>
          <w:rFonts w:asciiTheme="minorHAnsi" w:hAnsiTheme="minorHAnsi"/>
        </w:rPr>
        <w:t>mM</w:t>
      </w:r>
      <w:proofErr w:type="spellEnd"/>
      <w:r w:rsidRPr="00EE6832">
        <w:rPr>
          <w:rFonts w:asciiTheme="minorHAnsi" w:hAnsiTheme="minorHAnsi"/>
        </w:rPr>
        <w:t xml:space="preserve"> HEPES, pH 7.4, 150 </w:t>
      </w:r>
      <w:proofErr w:type="spellStart"/>
      <w:r w:rsidRPr="00EE6832">
        <w:rPr>
          <w:rFonts w:asciiTheme="minorHAnsi" w:hAnsiTheme="minorHAnsi"/>
        </w:rPr>
        <w:t>mM</w:t>
      </w:r>
      <w:proofErr w:type="spellEnd"/>
      <w:r w:rsidRPr="00EE6832">
        <w:rPr>
          <w:rFonts w:asciiTheme="minorHAnsi" w:hAnsiTheme="minorHAnsi"/>
        </w:rPr>
        <w:t xml:space="preserve">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13"/>
      <w:r w:rsidRPr="00651EF5">
        <w:rPr>
          <w:rFonts w:asciiTheme="minorHAnsi" w:hAnsiTheme="minorHAnsi"/>
          <w:highlight w:val="yellow"/>
        </w:rPr>
        <w:t>(#)</w:t>
      </w:r>
      <w:commentRangeEnd w:id="13"/>
      <w:r w:rsidRPr="00651EF5">
        <w:rPr>
          <w:rStyle w:val="CommentReference"/>
          <w:rFonts w:asciiTheme="minorHAnsi" w:hAnsiTheme="minorHAnsi" w:cstheme="minorBidi"/>
          <w:highlight w:val="yellow"/>
        </w:rPr>
        <w:commentReference w:id="13"/>
      </w:r>
      <w:r w:rsidRPr="00EE6832">
        <w:rPr>
          <w:rFonts w:asciiTheme="minorHAnsi" w:hAnsiTheme="minorHAnsi"/>
        </w:rPr>
        <w:t xml:space="preserve">.  </w:t>
      </w:r>
      <w:r>
        <w:rPr>
          <w:rFonts w:asciiTheme="minorHAnsi" w:hAnsiTheme="minorHAnsi"/>
        </w:rPr>
        <w:t xml:space="preserve">Near infra-red secondary antibodies raised against rabbit </w:t>
      </w:r>
      <w:r>
        <w:rPr>
          <w:rFonts w:asciiTheme="minorHAnsi" w:hAnsiTheme="minorHAnsi"/>
        </w:rPr>
        <w:lastRenderedPageBreak/>
        <w:t xml:space="preserve">(Alexa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072D7E9"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[51]</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83D6F">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[52]</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AB48EA">
        <w:rPr>
          <w:rFonts w:asciiTheme="minorHAnsi" w:hAnsiTheme="minorHAnsi"/>
        </w:rPr>
        <w:t xml:space="preserve">, </w:t>
      </w:r>
      <w:r w:rsidR="004E21CF" w:rsidRPr="00EE6832">
        <w:rPr>
          <w:rFonts w:asciiTheme="minorHAnsi" w:hAnsiTheme="minorHAnsi"/>
        </w:rPr>
        <w:fldChar w:fldCharType="begin" w:fldLock="1"/>
      </w:r>
      <w:r w:rsidR="00483D6F">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EE6832">
        <w:rPr>
          <w:rFonts w:asciiTheme="minorHAnsi" w:hAnsiTheme="minorHAnsi"/>
        </w:rPr>
        <w:fldChar w:fldCharType="separate"/>
      </w:r>
      <w:r w:rsidR="00483D6F" w:rsidRPr="00483D6F">
        <w:rPr>
          <w:rFonts w:asciiTheme="minorHAnsi" w:hAnsiTheme="minorHAnsi"/>
          <w:noProof/>
        </w:rPr>
        <w:t>[53,54]</w:t>
      </w:r>
      <w:r w:rsidR="004E21CF" w:rsidRPr="00EE6832">
        <w:rPr>
          <w:rFonts w:asciiTheme="minorHAnsi" w:hAnsiTheme="minorHAnsi"/>
        </w:rPr>
        <w:fldChar w:fldCharType="end"/>
      </w:r>
      <w:r w:rsidR="00AB48EA">
        <w:rPr>
          <w:rFonts w:asciiTheme="minorHAnsi" w:hAnsiTheme="minorHAnsi"/>
        </w:rPr>
        <w:t>)</w:t>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EE6832">
        <w:rPr>
          <w:rFonts w:asciiTheme="minorHAnsi" w:hAnsiTheme="minorHAnsi"/>
        </w:rPr>
        <w:fldChar w:fldCharType="separate"/>
      </w:r>
      <w:r w:rsidR="00483D6F" w:rsidRPr="00483D6F">
        <w:rPr>
          <w:rFonts w:asciiTheme="minorHAnsi" w:hAnsiTheme="minorHAnsi"/>
          <w:noProof/>
        </w:rPr>
        <w:t>[55]</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4E4199D2" w:rsidR="00EE7DA9" w:rsidRPr="008F623B" w:rsidRDefault="00F0463F" w:rsidP="00EF624B">
      <w:pPr>
        <w:jc w:val="both"/>
        <w:rPr>
          <w:rFonts w:asciiTheme="minorHAnsi" w:hAnsiTheme="minorHAnsi"/>
        </w:rPr>
      </w:pPr>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 xml:space="preserve">in response to </w:t>
      </w:r>
      <w:r w:rsidR="00BD5001">
        <w:rPr>
          <w:rFonts w:asciiTheme="minorHAnsi" w:hAnsiTheme="minorHAnsi"/>
        </w:rPr>
        <w:t xml:space="preserve">acute </w:t>
      </w:r>
      <w:r w:rsidR="0017194A" w:rsidRPr="008F623B">
        <w:rPr>
          <w:rFonts w:asciiTheme="minorHAnsi" w:hAnsiTheme="minorHAnsi"/>
        </w:rPr>
        <w:t>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lastRenderedPageBreak/>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B991D30"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5C6482" w:rsidRPr="00BD5001">
        <w:rPr>
          <w:rFonts w:asciiTheme="minorHAnsi" w:hAnsiTheme="minorHAnsi"/>
          <w:vertAlign w:val="superscript"/>
        </w:rPr>
        <w:t>-</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del w:id="14" w:author="Alan Saltiel" w:date="2019-07-24T14:01:00Z">
        <w:r w:rsidR="005C6482" w:rsidDel="00E36AE7">
          <w:rPr>
            <w:rFonts w:asciiTheme="minorHAnsi" w:hAnsiTheme="minorHAnsi"/>
          </w:rPr>
          <w:delText xml:space="preserve">Despite </w:delText>
        </w:r>
      </w:del>
      <w:ins w:id="15" w:author="Alan Saltiel" w:date="2019-07-24T14:01:00Z">
        <w:r w:rsidR="00E36AE7">
          <w:rPr>
            <w:rFonts w:asciiTheme="minorHAnsi" w:hAnsiTheme="minorHAnsi"/>
          </w:rPr>
          <w:t xml:space="preserve">Although </w:t>
        </w:r>
      </w:ins>
      <w:r w:rsidR="005C6482">
        <w:rPr>
          <w:rFonts w:asciiTheme="minorHAnsi" w:hAnsiTheme="minorHAnsi"/>
        </w:rPr>
        <w:t xml:space="preserve">the greatest energy expenditure differences primarily </w:t>
      </w:r>
      <w:del w:id="16" w:author="Alan Saltiel" w:date="2019-07-24T14:01:00Z">
        <w:r w:rsidR="005C6482" w:rsidDel="00E36AE7">
          <w:rPr>
            <w:rFonts w:asciiTheme="minorHAnsi" w:hAnsiTheme="minorHAnsi"/>
          </w:rPr>
          <w:delText xml:space="preserve">occurring </w:delText>
        </w:r>
      </w:del>
      <w:ins w:id="17" w:author="Alan Saltiel" w:date="2019-07-24T14:01:00Z">
        <w:r w:rsidR="00E36AE7">
          <w:rPr>
            <w:rFonts w:asciiTheme="minorHAnsi" w:hAnsiTheme="minorHAnsi"/>
          </w:rPr>
          <w:t xml:space="preserve">occurred </w:t>
        </w:r>
      </w:ins>
      <w:r w:rsidR="005C6482">
        <w:rPr>
          <w:rFonts w:asciiTheme="minorHAnsi" w:hAnsiTheme="minorHAnsi"/>
        </w:rPr>
        <w:t>during the active phase, we did not observe any</w:t>
      </w:r>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8638B8">
        <w:rPr>
          <w:rFonts w:asciiTheme="minorHAnsi" w:hAnsiTheme="minorHAnsi"/>
        </w:rPr>
        <w:t xml:space="preserve">.  </w:t>
      </w:r>
      <w:del w:id="18" w:author="Alan Saltiel" w:date="2019-07-24T14:01:00Z">
        <w:r w:rsidR="008638B8" w:rsidDel="00E36AE7">
          <w:rPr>
            <w:rFonts w:asciiTheme="minorHAnsi" w:hAnsiTheme="minorHAnsi"/>
          </w:rPr>
          <w:delText xml:space="preserve">In terms of substrate preference, </w:delText>
        </w:r>
        <w:r w:rsidR="00643371" w:rsidDel="00E36AE7">
          <w:rPr>
            <w:rFonts w:asciiTheme="minorHAnsi" w:hAnsiTheme="minorHAnsi"/>
          </w:rPr>
          <w:delText xml:space="preserve"> </w:delText>
        </w:r>
      </w:del>
      <w:ins w:id="19" w:author="Alan Saltiel" w:date="2019-07-24T14:01:00Z">
        <w:r w:rsidR="00E36AE7">
          <w:rPr>
            <w:rFonts w:asciiTheme="minorHAnsi" w:hAnsiTheme="minorHAnsi"/>
          </w:rPr>
          <w:t>W</w:t>
        </w:r>
      </w:ins>
      <w:del w:id="20" w:author="Alan Saltiel" w:date="2019-07-24T14:01:00Z">
        <w:r w:rsidR="008638B8" w:rsidDel="00E36AE7">
          <w:rPr>
            <w:rFonts w:asciiTheme="minorHAnsi" w:hAnsiTheme="minorHAnsi"/>
          </w:rPr>
          <w:delText>w</w:delText>
        </w:r>
      </w:del>
      <w:r w:rsidR="008638B8">
        <w:rPr>
          <w:rFonts w:asciiTheme="minorHAnsi" w:hAnsiTheme="minorHAnsi"/>
        </w:rPr>
        <w:t>hile there</w:t>
      </w:r>
      <w:r w:rsidR="00B44CBD" w:rsidRPr="00DD4690">
        <w:rPr>
          <w:rFonts w:asciiTheme="minorHAnsi" w:hAnsiTheme="minorHAnsi"/>
        </w:rPr>
        <w:t xml:space="preserv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8638B8">
        <w:rPr>
          <w:rFonts w:asciiTheme="minorHAnsi" w:hAnsiTheme="minorHAnsi"/>
        </w:rPr>
        <w:t xml:space="preserve">a </w:t>
      </w:r>
      <w:r w:rsidR="002470AA" w:rsidRPr="00DD4690">
        <w:rPr>
          <w:rFonts w:asciiTheme="minorHAnsi" w:hAnsiTheme="minorHAnsi"/>
        </w:rPr>
        <w:t>lower</w:t>
      </w:r>
      <w:r w:rsidR="00B44CBD" w:rsidRPr="00DD4690">
        <w:rPr>
          <w:rFonts w:asciiTheme="minorHAnsi" w:hAnsiTheme="minorHAnsi"/>
        </w:rPr>
        <w:t xml:space="preserve"> </w:t>
      </w:r>
      <w:r w:rsidR="008638B8">
        <w:rPr>
          <w:rFonts w:asciiTheme="minorHAnsi" w:hAnsiTheme="minorHAnsi"/>
        </w:rPr>
        <w:t>RER</w:t>
      </w:r>
      <w:r w:rsidR="008638B8" w:rsidRPr="00DD4690">
        <w:rPr>
          <w:rFonts w:asciiTheme="minorHAnsi" w:hAnsiTheme="minorHAnsi"/>
        </w:rPr>
        <w:t xml:space="preserve"> </w:t>
      </w:r>
      <w:r w:rsidR="00B44CBD" w:rsidRPr="00DD4690">
        <w:rPr>
          <w:rFonts w:asciiTheme="minorHAnsi" w:hAnsiTheme="minorHAnsi"/>
        </w:rPr>
        <w:t>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8638B8">
        <w:rPr>
          <w:rFonts w:asciiTheme="minorHAnsi" w:hAnsiTheme="minorHAnsi"/>
        </w:rPr>
        <w:t xml:space="preserve"> while </w:t>
      </w:r>
      <w:r w:rsidR="00BD5001">
        <w:rPr>
          <w:rFonts w:asciiTheme="minorHAnsi" w:hAnsiTheme="minorHAnsi"/>
        </w:rPr>
        <w:t>active</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w:t>
      </w:r>
      <w:r w:rsidR="008638B8">
        <w:rPr>
          <w:rFonts w:asciiTheme="minorHAnsi" w:hAnsiTheme="minorHAnsi"/>
        </w:rPr>
        <w:t xml:space="preserve">a </w:t>
      </w:r>
      <w:r w:rsidR="00B44CBD" w:rsidRPr="00DD4690">
        <w:rPr>
          <w:rFonts w:asciiTheme="minorHAnsi" w:hAnsiTheme="minorHAnsi"/>
        </w:rPr>
        <w:t xml:space="preserve">higher </w:t>
      </w:r>
      <w:r w:rsidR="00350EC3">
        <w:rPr>
          <w:rFonts w:asciiTheme="minorHAnsi" w:hAnsiTheme="minorHAnsi"/>
        </w:rPr>
        <w:t>RER</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w:t>
      </w:r>
      <w:r w:rsidR="008638B8">
        <w:rPr>
          <w:rFonts w:asciiTheme="minorHAnsi" w:hAnsiTheme="minorHAnsi"/>
        </w:rPr>
        <w:t xml:space="preserve"> while </w:t>
      </w:r>
      <w:r w:rsidR="00BD5001">
        <w:rPr>
          <w:rFonts w:asciiTheme="minorHAnsi" w:hAnsiTheme="minorHAnsi"/>
        </w:rPr>
        <w:t>resting</w:t>
      </w:r>
      <w:r w:rsidR="00B44CBD" w:rsidRPr="00DD4690">
        <w:rPr>
          <w:rFonts w:asciiTheme="minorHAnsi" w:hAnsiTheme="minorHAnsi"/>
        </w:rPr>
        <w:t xml:space="preserve">)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F704E4" w:rsidRPr="00DD4690">
        <w:rPr>
          <w:rFonts w:asciiTheme="minorHAnsi" w:hAnsiTheme="minorHAnsi"/>
        </w:rPr>
        <w:t>sex</w:t>
      </w:r>
      <w:r w:rsidR="00552951" w:rsidRPr="00DD4690">
        <w:rPr>
          <w:rFonts w:asciiTheme="minorHAnsi" w:hAnsiTheme="minorHAnsi"/>
        </w:rPr>
        <w:t>ua</w:t>
      </w:r>
      <w:r w:rsidR="00BD5001">
        <w:rPr>
          <w:rFonts w:asciiTheme="minorHAnsi" w:hAnsiTheme="minorHAnsi"/>
        </w:rPr>
        <w:t>l</w:t>
      </w:r>
      <w:r w:rsidR="00552951" w:rsidRPr="00DD4690">
        <w:rPr>
          <w:rFonts w:asciiTheme="minorHAnsi" w:hAnsiTheme="minorHAnsi"/>
        </w:rPr>
        <w:t xml:space="preserve"> </w:t>
      </w:r>
      <w:r w:rsidR="0073198A">
        <w:rPr>
          <w:rFonts w:asciiTheme="minorHAnsi" w:hAnsiTheme="minorHAnsi"/>
        </w:rPr>
        <w:t xml:space="preserve">dimorphism </w:t>
      </w:r>
      <w:r w:rsidR="00BD5001">
        <w:rPr>
          <w:rFonts w:asciiTheme="minorHAnsi" w:hAnsiTheme="minorHAnsi"/>
        </w:rPr>
        <w:t>in</w:t>
      </w:r>
      <w:r w:rsidR="0073198A">
        <w:rPr>
          <w:rFonts w:asciiTheme="minorHAnsi" w:hAnsiTheme="minorHAnsi"/>
        </w:rPr>
        <w:t xml:space="preserve"> how</w:t>
      </w:r>
      <w:r w:rsidR="0073198A" w:rsidRPr="00DD4690">
        <w:rPr>
          <w:rFonts w:asciiTheme="minorHAnsi" w:hAnsiTheme="minorHAnsi"/>
        </w:rPr>
        <w:t xml:space="preserve"> </w:t>
      </w:r>
      <w:r w:rsidR="0073198A">
        <w:rPr>
          <w:rFonts w:asciiTheme="minorHAnsi" w:hAnsiTheme="minorHAnsi"/>
        </w:rPr>
        <w:t>muscle</w:t>
      </w:r>
      <w:r w:rsidR="0073198A" w:rsidRPr="00DD4690">
        <w:rPr>
          <w:rFonts w:asciiTheme="minorHAnsi" w:hAnsiTheme="minorHAnsi"/>
        </w:rPr>
        <w:t xml:space="preserve"> </w:t>
      </w:r>
      <w:r w:rsidR="002C4DA5" w:rsidRPr="00DD4690">
        <w:rPr>
          <w:rFonts w:asciiTheme="minorHAnsi" w:hAnsiTheme="minorHAnsi"/>
        </w:rPr>
        <w:t>mTORC1 signaling</w:t>
      </w:r>
      <w:r w:rsidR="00552951" w:rsidRPr="00DD4690">
        <w:rPr>
          <w:rFonts w:asciiTheme="minorHAnsi" w:hAnsiTheme="minorHAnsi"/>
        </w:rPr>
        <w:t xml:space="preserve"> </w:t>
      </w:r>
      <w:r w:rsidR="0073198A">
        <w:rPr>
          <w:rFonts w:asciiTheme="minorHAnsi" w:hAnsiTheme="minorHAnsi"/>
        </w:rPr>
        <w:t>affects</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714D8A9E"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finding that mTORC1 activation in skeletal muscle caused elevated energy expenditure in the absence of increased 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w:t>
      </w:r>
      <w:r w:rsidR="007B6981">
        <w:rPr>
          <w:rFonts w:asciiTheme="minorHAnsi" w:hAnsiTheme="minorHAnsi"/>
        </w:rPr>
        <w:t xml:space="preserve">weights (Figure 2A) and </w:t>
      </w:r>
      <w:r w:rsidR="0087648E" w:rsidRPr="00DA16D7">
        <w:rPr>
          <w:rFonts w:asciiTheme="minorHAnsi" w:hAnsiTheme="minorHAnsi"/>
        </w:rPr>
        <w:t xml:space="preserve">composition </w:t>
      </w:r>
      <w:r w:rsidR="007B6981">
        <w:rPr>
          <w:rFonts w:asciiTheme="minorHAnsi" w:hAnsiTheme="minorHAnsi"/>
        </w:rPr>
        <w:t xml:space="preserve">(Figure 2B-C) </w:t>
      </w:r>
      <w:r w:rsidR="0087648E" w:rsidRPr="00DA16D7">
        <w:rPr>
          <w:rFonts w:asciiTheme="minorHAnsi" w:hAnsiTheme="minorHAnsi"/>
        </w:rPr>
        <w:t xml:space="preserve">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w:t>
      </w:r>
      <w:r w:rsidR="007B6981">
        <w:rPr>
          <w:rFonts w:asciiTheme="minorHAnsi" w:hAnsiTheme="minorHAnsi"/>
        </w:rPr>
        <w:t>given</w:t>
      </w:r>
      <w:r w:rsidR="007B6981" w:rsidRPr="00DA16D7">
        <w:rPr>
          <w:rFonts w:asciiTheme="minorHAnsi" w:hAnsiTheme="minorHAnsi"/>
        </w:rPr>
        <w:t xml:space="preserve"> </w:t>
      </w:r>
      <w:r w:rsidR="002D4421" w:rsidRPr="00DA16D7">
        <w:rPr>
          <w:rFonts w:asciiTheme="minorHAnsi" w:hAnsiTheme="minorHAnsi"/>
        </w:rPr>
        <w:t xml:space="preserve">a </w:t>
      </w:r>
      <w:r w:rsidR="007B6981">
        <w:rPr>
          <w:rFonts w:asciiTheme="minorHAnsi" w:hAnsiTheme="minorHAnsi"/>
        </w:rPr>
        <w:t xml:space="preserve">normal </w:t>
      </w:r>
      <w:r w:rsidR="002D4421" w:rsidRPr="00DA16D7">
        <w:rPr>
          <w:rFonts w:asciiTheme="minorHAnsi" w:hAnsiTheme="minorHAnsi"/>
        </w:rPr>
        <w:t xml:space="preserve">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As animals aged</w:t>
      </w:r>
      <w:r w:rsidR="000831A2">
        <w:rPr>
          <w:rFonts w:asciiTheme="minorHAnsi" w:hAnsiTheme="minorHAnsi"/>
        </w:rPr>
        <w:t xml:space="preserve">, </w:t>
      </w:r>
      <w:r w:rsidR="00255565">
        <w:rPr>
          <w:rFonts w:asciiTheme="minorHAnsi" w:hAnsiTheme="minorHAnsi"/>
        </w:rPr>
        <w:t>control</w:t>
      </w:r>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7B6981">
        <w:rPr>
          <w:rFonts w:asciiTheme="minorHAnsi" w:hAnsiTheme="minorHAnsi"/>
        </w:rPr>
        <w:t>B</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r w:rsidR="00D22614">
        <w:rPr>
          <w:rFonts w:asciiTheme="minorHAnsi" w:hAnsiTheme="minorHAnsi"/>
        </w:rPr>
        <w:t>accumulation</w:t>
      </w:r>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w:t>
      </w:r>
      <w:r w:rsidR="007B6981">
        <w:rPr>
          <w:rFonts w:asciiTheme="minorHAnsi" w:hAnsiTheme="minorHAnsi"/>
        </w:rPr>
        <w:t>C</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A643B">
        <w:rPr>
          <w:rFonts w:asciiTheme="minorHAnsi" w:hAnsiTheme="minorHAnsi"/>
        </w:rPr>
        <w:t xml:space="preserve">gains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7B6981">
        <w:rPr>
          <w:rFonts w:asciiTheme="minorHAnsi" w:hAnsiTheme="minorHAnsi"/>
        </w:rPr>
        <w:t>D</w:t>
      </w:r>
      <w:r w:rsidR="0087648E" w:rsidRPr="00DA16D7">
        <w:rPr>
          <w:rFonts w:asciiTheme="minorHAnsi" w:hAnsiTheme="minorHAnsi"/>
        </w:rPr>
        <w:t>).</w:t>
      </w:r>
      <w:r w:rsidR="00675194">
        <w:rPr>
          <w:rFonts w:asciiTheme="minorHAnsi" w:hAnsiTheme="minorHAnsi"/>
        </w:rPr>
        <w:t xml:space="preserve"> </w:t>
      </w:r>
      <w:commentRangeStart w:id="21"/>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21"/>
      <w:r w:rsidR="00B47EE6">
        <w:rPr>
          <w:rStyle w:val="CommentReference"/>
          <w:rFonts w:asciiTheme="minorHAnsi" w:hAnsiTheme="minorHAnsi" w:cstheme="minorBidi"/>
        </w:rPr>
        <w:commentReference w:id="21"/>
      </w:r>
    </w:p>
    <w:p w14:paraId="6A868B7A" w14:textId="1C1C8A2B" w:rsidR="00363043" w:rsidRPr="00BE2E30" w:rsidRDefault="00BE2E30" w:rsidP="003167BD">
      <w:pPr>
        <w:jc w:val="both"/>
        <w:rPr>
          <w:rFonts w:asciiTheme="minorHAnsi" w:hAnsiTheme="minorHAnsi"/>
          <w:b/>
          <w:bCs/>
          <w:color w:val="6F6F74" w:themeColor="accent1"/>
          <w:sz w:val="26"/>
          <w:szCs w:val="26"/>
        </w:rPr>
      </w:pPr>
      <w:r w:rsidRPr="00BE2E30">
        <w:rPr>
          <w:rFonts w:asciiTheme="minorHAnsi" w:hAnsiTheme="minorHAnsi"/>
          <w:b/>
          <w:bCs/>
          <w:color w:val="6F6F74" w:themeColor="accent1"/>
          <w:sz w:val="26"/>
          <w:szCs w:val="26"/>
        </w:rPr>
        <w:lastRenderedPageBreak/>
        <w:t>Activation of mTORC1 in Muscle Does Not Induce Systemic Insulin Resistance</w:t>
      </w:r>
    </w:p>
    <w:p w14:paraId="2B0F47A4" w14:textId="5FADB3E6" w:rsidR="003167BD" w:rsidRPr="00C162E8" w:rsidRDefault="00674F21" w:rsidP="003167BD">
      <w:pPr>
        <w:jc w:val="both"/>
        <w:rPr>
          <w:rFonts w:asciiTheme="minorHAnsi" w:hAnsiTheme="minorHAnsi"/>
        </w:rPr>
      </w:pPr>
      <w:r>
        <w:rPr>
          <w:rFonts w:asciiTheme="minorHAnsi" w:hAnsiTheme="minorHAnsi"/>
        </w:rPr>
        <w:t xml:space="preserve">Activation of </w:t>
      </w:r>
      <w:r w:rsidR="009E0A86">
        <w:rPr>
          <w:rFonts w:asciiTheme="minorHAnsi" w:hAnsiTheme="minorHAnsi"/>
        </w:rPr>
        <w:t xml:space="preserve">mTORC1 </w:t>
      </w:r>
      <w:r>
        <w:rPr>
          <w:rFonts w:asciiTheme="minorHAnsi" w:hAnsiTheme="minorHAnsi"/>
        </w:rPr>
        <w:t xml:space="preserve">has been reported to </w:t>
      </w:r>
      <w:r w:rsidR="009E0A86">
        <w:rPr>
          <w:rFonts w:asciiTheme="minorHAnsi" w:hAnsiTheme="minorHAnsi"/>
        </w:rPr>
        <w:t xml:space="preserve">induce </w:t>
      </w:r>
      <w:r w:rsidR="00291971">
        <w:rPr>
          <w:rFonts w:asciiTheme="minorHAnsi" w:hAnsiTheme="minorHAnsi"/>
        </w:rPr>
        <w:t xml:space="preserve">systemic </w:t>
      </w:r>
      <w:r w:rsidR="009E0A86">
        <w:rPr>
          <w:rFonts w:asciiTheme="minorHAnsi" w:hAnsiTheme="minorHAnsi"/>
        </w:rPr>
        <w:t>insulin resistance</w:t>
      </w:r>
      <w:r w:rsidR="00E12B9F">
        <w:rPr>
          <w:rFonts w:asciiTheme="minorHAnsi" w:hAnsiTheme="minorHAnsi"/>
        </w:rPr>
        <w:t xml:space="preserve"> </w:t>
      </w:r>
      <w:r w:rsidR="00A1024B">
        <w:rPr>
          <w:rFonts w:asciiTheme="minorHAnsi" w:hAnsiTheme="minorHAnsi"/>
        </w:rPr>
        <w:t>in some systems</w:t>
      </w:r>
      <w:ins w:id="22" w:author="Alan Saltiel" w:date="2019-07-24T14:04:00Z">
        <w:r w:rsidR="00A95CA5">
          <w:rPr>
            <w:rFonts w:asciiTheme="minorHAnsi" w:hAnsiTheme="minorHAnsi"/>
          </w:rPr>
          <w:t>,</w:t>
        </w:r>
      </w:ins>
      <w:r w:rsidR="00A1024B">
        <w:rPr>
          <w:rFonts w:asciiTheme="minorHAnsi" w:hAnsiTheme="minorHAnsi"/>
        </w:rPr>
        <w:t xml:space="preserve"> </w:t>
      </w:r>
      <w:r w:rsidR="00363043">
        <w:rPr>
          <w:rFonts w:asciiTheme="minorHAnsi" w:hAnsiTheme="minorHAnsi"/>
        </w:rPr>
        <w:t xml:space="preserve">so we </w:t>
      </w:r>
      <w:r>
        <w:rPr>
          <w:rFonts w:asciiTheme="minorHAnsi" w:hAnsiTheme="minorHAnsi"/>
        </w:rPr>
        <w:t xml:space="preserve">next determined </w:t>
      </w:r>
      <w:r w:rsidR="00363043">
        <w:rPr>
          <w:rFonts w:asciiTheme="minorHAnsi" w:hAnsiTheme="minorHAnsi"/>
        </w:rPr>
        <w:t xml:space="preserve">insulin sensitivity </w:t>
      </w:r>
      <w:r>
        <w:rPr>
          <w:rFonts w:asciiTheme="minorHAnsi" w:hAnsiTheme="minorHAnsi"/>
        </w:rPr>
        <w:t xml:space="preserve">in </w:t>
      </w:r>
      <w:r w:rsidR="00363043">
        <w:rPr>
          <w:rFonts w:asciiTheme="minorHAnsi" w:hAnsiTheme="minorHAnsi"/>
        </w:rPr>
        <w:t>these mice</w:t>
      </w:r>
      <w:r>
        <w:rPr>
          <w:rFonts w:asciiTheme="minorHAnsi" w:hAnsiTheme="minorHAnsi"/>
        </w:rPr>
        <w:t xml:space="preserve"> by insulin tolerance test</w:t>
      </w:r>
      <w:r w:rsidR="00363043">
        <w:rPr>
          <w:rFonts w:asciiTheme="minorHAnsi" w:hAnsiTheme="minorHAnsi"/>
        </w:rPr>
        <w:t>. As shown in Figure 2</w:t>
      </w:r>
      <w:r w:rsidR="007B6981">
        <w:rPr>
          <w:rFonts w:asciiTheme="minorHAnsi" w:hAnsiTheme="minorHAnsi"/>
        </w:rPr>
        <w:t>E</w:t>
      </w:r>
      <w:r w:rsidR="00363043">
        <w:rPr>
          <w:rFonts w:asciiTheme="minorHAnsi" w:hAnsiTheme="minorHAnsi"/>
        </w:rPr>
        <w:t xml:space="preserve">, male knockout mice </w:t>
      </w:r>
      <w:r>
        <w:rPr>
          <w:rFonts w:asciiTheme="minorHAnsi" w:hAnsiTheme="minorHAnsi"/>
        </w:rPr>
        <w:t>had similar insulin responsiveness</w:t>
      </w:r>
      <w:r w:rsidR="00363043">
        <w:rPr>
          <w:rFonts w:asciiTheme="minorHAnsi" w:hAnsiTheme="minorHAnsi"/>
        </w:rPr>
        <w:t xml:space="preserve"> to </w:t>
      </w:r>
      <w:r>
        <w:rPr>
          <w:rFonts w:asciiTheme="minorHAnsi" w:hAnsiTheme="minorHAnsi"/>
        </w:rPr>
        <w:t>control</w:t>
      </w:r>
      <w:r w:rsidR="00363043">
        <w:rPr>
          <w:rFonts w:asciiTheme="minorHAnsi" w:hAnsiTheme="minorHAnsi"/>
        </w:rPr>
        <w:t xml:space="preserve"> mice.  To pursue this unexpected 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w:t>
      </w:r>
      <w:r>
        <w:rPr>
          <w:rFonts w:asciiTheme="minorHAnsi" w:hAnsiTheme="minorHAnsi"/>
        </w:rPr>
        <w:t>The rate of g</w:t>
      </w:r>
      <w:r w:rsidR="00363043">
        <w:rPr>
          <w:rFonts w:asciiTheme="minorHAnsi" w:hAnsiTheme="minorHAnsi"/>
        </w:rPr>
        <w:t>lucose infusion</w:t>
      </w:r>
      <w:r>
        <w:rPr>
          <w:rFonts w:asciiTheme="minorHAnsi" w:hAnsiTheme="minorHAnsi"/>
        </w:rPr>
        <w:t xml:space="preserve"> during the clamp </w:t>
      </w:r>
      <w:r w:rsidR="007455FC">
        <w:rPr>
          <w:rFonts w:asciiTheme="minorHAnsi" w:hAnsiTheme="minorHAnsi"/>
        </w:rPr>
        <w:t xml:space="preserve">was not </w:t>
      </w:r>
      <w:r>
        <w:rPr>
          <w:rFonts w:asciiTheme="minorHAnsi" w:hAnsiTheme="minorHAnsi"/>
        </w:rPr>
        <w:t>different in knockout mice</w:t>
      </w:r>
      <w:r w:rsidR="007455FC">
        <w:rPr>
          <w:rFonts w:asciiTheme="minorHAnsi" w:hAnsiTheme="minorHAnsi"/>
        </w:rPr>
        <w:t>, nor were glucose turnover rates (Figure 2</w:t>
      </w:r>
      <w:r w:rsidR="007B6981">
        <w:rPr>
          <w:rFonts w:asciiTheme="minorHAnsi" w:hAnsiTheme="minorHAnsi"/>
        </w:rPr>
        <w:t>F</w:t>
      </w:r>
      <w:r w:rsidR="007455FC">
        <w:rPr>
          <w:rFonts w:asciiTheme="minorHAnsi" w:hAnsiTheme="minorHAnsi"/>
        </w:rPr>
        <w:t xml:space="preserve">) or </w:t>
      </w:r>
      <w:r>
        <w:rPr>
          <w:rFonts w:asciiTheme="minorHAnsi" w:hAnsiTheme="minorHAnsi"/>
        </w:rPr>
        <w:t xml:space="preserve">the accumulation of </w:t>
      </w:r>
      <w:r w:rsidR="007455FC">
        <w:rPr>
          <w:rFonts w:asciiTheme="minorHAnsi" w:hAnsiTheme="minorHAnsi"/>
        </w:rPr>
        <w:t>2-deoxyglucose in gastrocnemius muscles (Figure 2</w:t>
      </w:r>
      <w:r w:rsidR="007B6981">
        <w:rPr>
          <w:rFonts w:asciiTheme="minorHAnsi" w:hAnsiTheme="minorHAnsi"/>
        </w:rPr>
        <w:t>G</w:t>
      </w:r>
      <w:r w:rsidR="007455FC">
        <w:rPr>
          <w:rFonts w:asciiTheme="minorHAnsi" w:hAnsiTheme="minorHAnsi"/>
        </w:rPr>
        <w:t xml:space="preserve">).  </w:t>
      </w:r>
      <w:r w:rsidR="004A3D95">
        <w:rPr>
          <w:rFonts w:asciiTheme="minorHAnsi" w:hAnsiTheme="minorHAnsi"/>
        </w:rPr>
        <w:t xml:space="preserve">2-deoxyglucose uptake into </w:t>
      </w:r>
      <w:r w:rsidR="004470DC">
        <w:rPr>
          <w:rFonts w:asciiTheme="minorHAnsi" w:hAnsiTheme="minorHAnsi"/>
        </w:rPr>
        <w:t>brown adipose tissue</w:t>
      </w:r>
      <w:r>
        <w:rPr>
          <w:rFonts w:asciiTheme="minorHAnsi" w:hAnsiTheme="minorHAnsi"/>
        </w:rPr>
        <w:t xml:space="preserve"> was not different between knockout and control mice, whereas </w:t>
      </w:r>
      <w:del w:id="23" w:author="Alan Saltiel" w:date="2019-07-24T14:04:00Z">
        <w:r w:rsidR="0021670F" w:rsidDel="00A95CA5">
          <w:rPr>
            <w:rFonts w:asciiTheme="minorHAnsi" w:hAnsiTheme="minorHAnsi"/>
          </w:rPr>
          <w:delText>,</w:delText>
        </w:r>
      </w:del>
      <w:r w:rsidR="0021670F">
        <w:rPr>
          <w:rFonts w:asciiTheme="minorHAnsi" w:hAnsiTheme="minorHAnsi"/>
        </w:rPr>
        <w:t xml:space="preserv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 xml:space="preserve">subcutaneous and visceral </w:t>
      </w:r>
      <w:r>
        <w:rPr>
          <w:rFonts w:asciiTheme="minorHAnsi" w:hAnsiTheme="minorHAnsi"/>
        </w:rPr>
        <w:t xml:space="preserve">white </w:t>
      </w:r>
      <w:r w:rsidR="004470DC">
        <w:rPr>
          <w:rFonts w:asciiTheme="minorHAnsi" w:hAnsiTheme="minorHAnsi"/>
        </w:rPr>
        <w:t>adipose</w:t>
      </w:r>
      <w:r w:rsidR="0021670F">
        <w:rPr>
          <w:rFonts w:asciiTheme="minorHAnsi" w:hAnsiTheme="minorHAnsi"/>
        </w:rPr>
        <w:t xml:space="preserve"> tissue</w:t>
      </w:r>
      <w:r w:rsidR="004470DC">
        <w:rPr>
          <w:rFonts w:asciiTheme="minorHAnsi" w:hAnsiTheme="minorHAnsi"/>
        </w:rPr>
        <w:t xml:space="preserve"> depots was markedly elevated</w:t>
      </w:r>
      <w:r w:rsidR="003D58F6">
        <w:rPr>
          <w:rFonts w:asciiTheme="minorHAnsi" w:hAnsiTheme="minorHAnsi"/>
        </w:rPr>
        <w:t>.</w:t>
      </w:r>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5F8354C4"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B4641">
        <w:rPr>
          <w:rFonts w:asciiTheme="minorHAnsi" w:hAnsiTheme="minorHAnsi"/>
        </w:rPr>
        <w:t xml:space="preserve">or insulin sensitivity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eight gain.</w:t>
      </w:r>
      <w:r w:rsidR="007C4DA5">
        <w:rPr>
          <w:rFonts w:asciiTheme="minorHAnsi" w:hAnsiTheme="minorHAnsi"/>
        </w:rPr>
        <w:t xml:space="preserve"> (Figure 3A)</w:t>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7C4DA5">
        <w:rPr>
          <w:rFonts w:asciiTheme="minorHAnsi" w:hAnsiTheme="minorHAnsi"/>
        </w:rPr>
        <w:t>B</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w:t>
      </w:r>
      <w:r w:rsidR="003B4641">
        <w:rPr>
          <w:rFonts w:asciiTheme="minorHAnsi" w:hAnsiTheme="minorHAnsi"/>
        </w:rPr>
        <w:t>not different</w:t>
      </w:r>
      <w:r w:rsidR="003B4641" w:rsidRPr="00DA16D7">
        <w:rPr>
          <w:rFonts w:asciiTheme="minorHAnsi" w:hAnsiTheme="minorHAnsi"/>
        </w:rPr>
        <w:t xml:space="preserve"> </w:t>
      </w:r>
      <w:r w:rsidR="00A2077A" w:rsidRPr="00DA16D7">
        <w:rPr>
          <w:rFonts w:asciiTheme="minorHAnsi" w:hAnsiTheme="minorHAnsi"/>
        </w:rPr>
        <w:t xml:space="preserve">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7C4DA5">
        <w:rPr>
          <w:rFonts w:asciiTheme="minorHAnsi" w:hAnsiTheme="minorHAnsi"/>
        </w:rPr>
        <w:t>C</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w:t>
      </w:r>
      <w:r w:rsidR="007C4DA5">
        <w:rPr>
          <w:rFonts w:asciiTheme="minorHAnsi" w:hAnsiTheme="minorHAnsi"/>
        </w:rPr>
        <w:t>D</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24"/>
      <w:r w:rsidR="00125C4B">
        <w:rPr>
          <w:rFonts w:asciiTheme="minorHAnsi" w:hAnsiTheme="minorHAnsi"/>
        </w:rPr>
        <w:t>conditions</w:t>
      </w:r>
      <w:commentRangeEnd w:id="24"/>
      <w:r w:rsidR="00AC1049">
        <w:rPr>
          <w:rStyle w:val="CommentReference"/>
          <w:rFonts w:asciiTheme="minorHAnsi" w:hAnsiTheme="minorHAnsi" w:cstheme="minorBidi"/>
        </w:rPr>
        <w:commentReference w:id="24"/>
      </w:r>
      <w:r w:rsidR="00125C4B">
        <w:rPr>
          <w:rFonts w:asciiTheme="minorHAnsi" w:hAnsiTheme="minorHAnsi"/>
        </w:rPr>
        <w:t>.</w:t>
      </w:r>
      <w:r w:rsidR="009D4FB7">
        <w:rPr>
          <w:rFonts w:asciiTheme="minorHAnsi" w:hAnsiTheme="minorHAnsi"/>
        </w:rPr>
        <w:t xml:space="preserve"> </w:t>
      </w:r>
    </w:p>
    <w:p w14:paraId="64BBBDDA" w14:textId="77777777" w:rsidR="004E36B8" w:rsidRDefault="004E36B8" w:rsidP="00EF624B">
      <w:pPr>
        <w:jc w:val="both"/>
        <w:rPr>
          <w:rFonts w:asciiTheme="minorHAnsi" w:hAnsiTheme="minorHAnsi"/>
        </w:rPr>
      </w:pPr>
    </w:p>
    <w:p w14:paraId="5D86D219" w14:textId="4EE5D678" w:rsidR="00BF0A41" w:rsidRPr="00DA16D7" w:rsidRDefault="00BF0A41" w:rsidP="00BF0A41">
      <w:pPr>
        <w:jc w:val="both"/>
        <w:rPr>
          <w:rFonts w:asciiTheme="minorHAnsi" w:hAnsiTheme="minorHAnsi"/>
        </w:rPr>
      </w:pPr>
      <w:r w:rsidRPr="00DA16D7">
        <w:rPr>
          <w:rFonts w:asciiTheme="minorHAnsi" w:hAnsiTheme="minorHAnsi"/>
        </w:rPr>
        <w:t>As shown in Figure 3</w:t>
      </w:r>
      <w:r w:rsidR="007C4DA5">
        <w:rPr>
          <w:rFonts w:asciiTheme="minorHAnsi" w:hAnsiTheme="minorHAnsi"/>
        </w:rPr>
        <w:t>E</w:t>
      </w:r>
      <w:r w:rsidR="003B4641">
        <w:rPr>
          <w:rFonts w:asciiTheme="minorHAnsi" w:hAnsiTheme="minorHAnsi"/>
        </w:rPr>
        <w:t>,</w:t>
      </w:r>
      <w:r w:rsidRPr="00DA16D7">
        <w:rPr>
          <w:rFonts w:asciiTheme="minorHAnsi" w:hAnsiTheme="minorHAnsi"/>
        </w:rPr>
        <w:t xml:space="preserve"> compared to </w:t>
      </w:r>
      <w:r w:rsidR="00255565">
        <w:rPr>
          <w:rFonts w:asciiTheme="minorHAnsi" w:hAnsiTheme="minorHAnsi"/>
        </w:rPr>
        <w:t>control</w:t>
      </w:r>
      <w:r w:rsidRPr="00DA16D7">
        <w:rPr>
          <w:rFonts w:asciiTheme="minorHAnsi" w:hAnsiTheme="minorHAnsi"/>
        </w:rPr>
        <w:t xml:space="preserve"> mice, both male and female muscle </w:t>
      </w:r>
      <w:r w:rsidRPr="00DA16D7">
        <w:rPr>
          <w:rFonts w:asciiTheme="minorHAnsi" w:hAnsiTheme="minorHAnsi"/>
          <w:i/>
        </w:rPr>
        <w:t xml:space="preserve">Tsc1 </w:t>
      </w:r>
      <w:r w:rsidRPr="00DA16D7">
        <w:rPr>
          <w:rFonts w:asciiTheme="minorHAnsi" w:hAnsiTheme="minorHAnsi"/>
        </w:rPr>
        <w:t>knockout mice were more insulin responsive (</w:t>
      </w:r>
      <w:r>
        <w:rPr>
          <w:rFonts w:asciiTheme="minorHAnsi" w:hAnsiTheme="minorHAnsi"/>
        </w:rPr>
        <w:t xml:space="preserve">33% reduction in the area under the </w:t>
      </w:r>
      <w:r w:rsidR="00065263">
        <w:rPr>
          <w:rFonts w:asciiTheme="minorHAnsi" w:hAnsiTheme="minorHAnsi"/>
        </w:rPr>
        <w:t xml:space="preserve">blood glucose </w:t>
      </w:r>
      <w:r>
        <w:rPr>
          <w:rFonts w:asciiTheme="minorHAnsi" w:hAnsiTheme="minorHAnsi"/>
        </w:rPr>
        <w:t>curve for females, 45% difference for male mice; p=0.045 and 0.014 respectively</w:t>
      </w:r>
      <w:r w:rsidRPr="00DA16D7">
        <w:rPr>
          <w:rFonts w:asciiTheme="minorHAnsi" w:hAnsiTheme="minorHAnsi"/>
        </w:rPr>
        <w:t>). This</w:t>
      </w:r>
      <w:r w:rsidR="000934FE">
        <w:rPr>
          <w:rFonts w:asciiTheme="minorHAnsi" w:hAnsiTheme="minorHAnsi"/>
        </w:rPr>
        <w:t xml:space="preserve"> finding</w:t>
      </w:r>
      <w:r w:rsidRPr="00DA16D7">
        <w:rPr>
          <w:rFonts w:asciiTheme="minorHAnsi" w:hAnsiTheme="minorHAnsi"/>
        </w:rPr>
        <w:t xml:space="preserve"> is consistent with the hypothesis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Pr="00DA16D7">
        <w:rPr>
          <w:rFonts w:asciiTheme="minorHAnsi" w:hAnsiTheme="minorHAnsi"/>
        </w:rPr>
        <w:t xml:space="preserve">mice are not </w:t>
      </w:r>
      <w:proofErr w:type="spellStart"/>
      <w:r w:rsidRPr="00DA16D7">
        <w:rPr>
          <w:rFonts w:asciiTheme="minorHAnsi" w:hAnsiTheme="minorHAnsi"/>
        </w:rPr>
        <w:t>lipodystrophic</w:t>
      </w:r>
      <w:proofErr w:type="spellEnd"/>
      <w:r w:rsidR="00D748E0">
        <w:rPr>
          <w:rFonts w:asciiTheme="minorHAnsi" w:hAnsiTheme="minorHAnsi"/>
        </w:rPr>
        <w:t xml:space="preserve"> </w:t>
      </w:r>
      <w:r w:rsidR="004973EC">
        <w:rPr>
          <w:rFonts w:asciiTheme="minorHAnsi" w:hAnsiTheme="minorHAnsi"/>
        </w:rPr>
        <w:t xml:space="preserve">but have improved </w:t>
      </w:r>
      <w:r w:rsidR="003B4641">
        <w:rPr>
          <w:rFonts w:asciiTheme="minorHAnsi" w:hAnsiTheme="minorHAnsi"/>
        </w:rPr>
        <w:t>glycemic control in addition to</w:t>
      </w:r>
      <w:r w:rsidR="004973EC">
        <w:rPr>
          <w:rFonts w:asciiTheme="minorHAnsi" w:hAnsiTheme="minorHAnsi"/>
        </w:rPr>
        <w:t xml:space="preserve"> reduced adiposity</w:t>
      </w:r>
      <w:r>
        <w:rPr>
          <w:rFonts w:asciiTheme="minorHAnsi" w:hAnsiTheme="minorHAnsi"/>
        </w:rPr>
        <w:t>.</w:t>
      </w:r>
      <w:r w:rsidRPr="00DA16D7">
        <w:rPr>
          <w:rFonts w:asciiTheme="minorHAnsi" w:hAnsiTheme="minorHAnsi"/>
        </w:rPr>
        <w:t xml:space="preserve"> </w:t>
      </w:r>
      <w:r>
        <w:rPr>
          <w:rFonts w:asciiTheme="minorHAnsi" w:hAnsiTheme="minorHAnsi"/>
        </w:rPr>
        <w:t>We propose that</w:t>
      </w:r>
      <w:r w:rsidRPr="00DA16D7">
        <w:rPr>
          <w:rFonts w:asciiTheme="minorHAnsi" w:hAnsiTheme="minorHAnsi"/>
        </w:rPr>
        <w:t xml:space="preserve"> mice with muscle </w:t>
      </w:r>
      <w:r w:rsidRPr="00DA16D7">
        <w:rPr>
          <w:rFonts w:asciiTheme="minorHAnsi" w:hAnsiTheme="minorHAnsi"/>
          <w:i/>
        </w:rPr>
        <w:t xml:space="preserve">Tsc1 </w:t>
      </w:r>
      <w:r w:rsidRPr="00DA16D7">
        <w:rPr>
          <w:rFonts w:asciiTheme="minorHAnsi" w:hAnsiTheme="minorHAnsi"/>
        </w:rPr>
        <w:t xml:space="preserve">knockout are protected from </w:t>
      </w:r>
      <w:r w:rsidR="00F56BB1">
        <w:rPr>
          <w:rFonts w:asciiTheme="minorHAnsi" w:hAnsiTheme="minorHAnsi"/>
        </w:rPr>
        <w:t xml:space="preserve">HFD-induced </w:t>
      </w:r>
      <w:r w:rsidRPr="00DA16D7">
        <w:rPr>
          <w:rFonts w:asciiTheme="minorHAnsi" w:hAnsiTheme="minorHAnsi"/>
        </w:rPr>
        <w:t xml:space="preserve">adipose tissue expansion </w:t>
      </w:r>
      <w:r w:rsidR="00065263">
        <w:rPr>
          <w:rFonts w:asciiTheme="minorHAnsi" w:hAnsiTheme="minorHAnsi"/>
        </w:rPr>
        <w:t xml:space="preserve">as a result of having </w:t>
      </w:r>
      <w:r w:rsidR="00396894">
        <w:rPr>
          <w:rFonts w:asciiTheme="minorHAnsi" w:hAnsiTheme="minorHAnsi"/>
        </w:rPr>
        <w:t>chronically</w:t>
      </w:r>
      <w:r w:rsidR="00065263">
        <w:rPr>
          <w:rFonts w:asciiTheme="minorHAnsi" w:hAnsiTheme="minorHAnsi"/>
        </w:rPr>
        <w:t xml:space="preserve"> elevated</w:t>
      </w:r>
      <w:r>
        <w:rPr>
          <w:rFonts w:asciiTheme="minorHAnsi" w:hAnsiTheme="minorHAnsi"/>
        </w:rPr>
        <w:t xml:space="preserve"> energy </w:t>
      </w:r>
      <w:r w:rsidR="00D748E0">
        <w:rPr>
          <w:rFonts w:asciiTheme="minorHAnsi" w:hAnsiTheme="minorHAnsi"/>
        </w:rPr>
        <w:t>expenditure</w:t>
      </w:r>
      <w:r>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7B215049"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r w:rsidR="007B6981">
        <w:rPr>
          <w:rFonts w:asciiTheme="minorHAnsi" w:hAnsiTheme="minorHAnsi"/>
        </w:rPr>
        <w:t>accumulation</w:t>
      </w:r>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483D6F">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DA16D7">
        <w:rPr>
          <w:rFonts w:asciiTheme="minorHAnsi" w:hAnsiTheme="minorHAnsi"/>
        </w:rPr>
        <w:fldChar w:fldCharType="separate"/>
      </w:r>
      <w:r w:rsidR="00483D6F" w:rsidRPr="00483D6F">
        <w:rPr>
          <w:rFonts w:asciiTheme="minorHAnsi" w:hAnsiTheme="minorHAnsi"/>
          <w:noProof/>
        </w:rPr>
        <w:t>[50,56]</w:t>
      </w:r>
      <w:r w:rsidR="0032099B" w:rsidRPr="00DA16D7">
        <w:rPr>
          <w:rFonts w:asciiTheme="minorHAnsi" w:hAnsiTheme="minorHAnsi"/>
        </w:rPr>
        <w:fldChar w:fldCharType="end"/>
      </w:r>
      <w:r w:rsidR="007E574F" w:rsidRPr="00DA16D7">
        <w:rPr>
          <w:rFonts w:asciiTheme="minorHAnsi" w:hAnsiTheme="minorHAnsi"/>
        </w:rPr>
        <w:t xml:space="preserve">, indicating </w:t>
      </w:r>
      <w:r w:rsidR="007E574F" w:rsidRPr="00DA16D7">
        <w:rPr>
          <w:rFonts w:asciiTheme="minorHAnsi" w:hAnsiTheme="minorHAnsi"/>
        </w:rPr>
        <w:lastRenderedPageBreak/>
        <w:t xml:space="preserve">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[50]</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[57]</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r w:rsidR="00B64EDE">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D506071"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483D6F">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C9104B">
        <w:rPr>
          <w:rFonts w:asciiTheme="minorHAnsi" w:hAnsiTheme="minorHAnsi"/>
        </w:rPr>
        <w:fldChar w:fldCharType="separate"/>
      </w:r>
      <w:r w:rsidR="00483D6F" w:rsidRPr="00483D6F">
        <w:rPr>
          <w:rFonts w:asciiTheme="minorHAnsi" w:hAnsiTheme="minorHAnsi"/>
          <w:noProof/>
        </w:rPr>
        <w:t>[58–61]</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5B35E766"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w:t>
      </w:r>
      <w:r w:rsidR="000B4A19" w:rsidRPr="00EB62CD">
        <w:rPr>
          <w:rFonts w:asciiTheme="minorHAnsi" w:hAnsiTheme="minorHAnsi"/>
        </w:rPr>
        <w:t>4</w:t>
      </w:r>
      <w:r w:rsidR="000B4A19">
        <w:rPr>
          <w:rFonts w:asciiTheme="minorHAnsi" w:hAnsiTheme="minorHAnsi"/>
        </w:rPr>
        <w:t xml:space="preserve">C </w:t>
      </w:r>
      <w:r>
        <w:rPr>
          <w:rFonts w:asciiTheme="minorHAnsi" w:hAnsiTheme="minorHAnsi"/>
        </w:rPr>
        <w:t>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483D6F">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[20,62]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6C77F799"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del w:id="25" w:author="Alan Saltiel" w:date="2019-07-24T14:11:00Z">
        <w:r w:rsidR="00D86AFE" w:rsidRPr="00512BF7" w:rsidDel="009C5320">
          <w:rPr>
            <w:rFonts w:asciiTheme="minorHAnsi" w:hAnsiTheme="minorHAnsi"/>
          </w:rPr>
          <w:delText>were</w:delText>
        </w:r>
      </w:del>
      <w:ins w:id="26" w:author="Alan Saltiel" w:date="2019-07-24T14:11:00Z">
        <w:r w:rsidR="009C5320" w:rsidRPr="00512BF7">
          <w:rPr>
            <w:rFonts w:asciiTheme="minorHAnsi" w:hAnsiTheme="minorHAnsi"/>
          </w:rPr>
          <w:t>was</w:t>
        </w:r>
      </w:ins>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1182F380" w:rsidR="00207F6B" w:rsidRDefault="0033012F" w:rsidP="00EF624B">
      <w:pPr>
        <w:jc w:val="both"/>
        <w:rPr>
          <w:rFonts w:asciiTheme="minorHAnsi" w:hAnsiTheme="minorHAnsi"/>
        </w:rPr>
      </w:pPr>
      <w:r>
        <w:rPr>
          <w:rFonts w:asciiTheme="minorHAnsi" w:hAnsiTheme="minorHAnsi"/>
        </w:rPr>
        <w:t>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5EBB5F13"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w:t>
      </w:r>
      <w:r w:rsidR="006D14AE">
        <w:rPr>
          <w:rFonts w:asciiTheme="minorHAnsi" w:hAnsiTheme="minorHAnsi"/>
        </w:rPr>
        <w:t xml:space="preserve">tissue </w:t>
      </w:r>
      <w:r w:rsidR="0064643C">
        <w:rPr>
          <w:rFonts w:asciiTheme="minorHAnsi" w:hAnsiTheme="minorHAnsi"/>
        </w:rPr>
        <w:t>insulin responsiveness,</w:t>
      </w:r>
      <w:r w:rsidR="0064643C" w:rsidRPr="003952DE">
        <w:rPr>
          <w:rFonts w:asciiTheme="minorHAnsi" w:hAnsiTheme="minorHAnsi"/>
        </w:rPr>
        <w:t xml:space="preserve"> </w:t>
      </w:r>
      <w:r w:rsidR="005F1335" w:rsidRPr="003952DE">
        <w:rPr>
          <w:rFonts w:asciiTheme="minorHAnsi" w:hAnsiTheme="minorHAnsi"/>
        </w:rPr>
        <w:t>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0064643C">
        <w:rPr>
          <w:rFonts w:asciiTheme="minorHAnsi" w:hAnsiTheme="minorHAnsi"/>
        </w:rPr>
        <w:t xml:space="preserve">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483D6F">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Pr>
          <w:rFonts w:asciiTheme="minorHAnsi" w:hAnsiTheme="minorHAnsi"/>
        </w:rPr>
        <w:fldChar w:fldCharType="separate"/>
      </w:r>
      <w:r w:rsidR="00483D6F" w:rsidRPr="00483D6F">
        <w:rPr>
          <w:rFonts w:asciiTheme="minorHAnsi" w:hAnsiTheme="minorHAnsi"/>
          <w:noProof/>
        </w:rPr>
        <w:t>[63,64]</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83D6F">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Pr>
          <w:rFonts w:asciiTheme="minorHAnsi" w:hAnsiTheme="minorHAnsi"/>
        </w:rPr>
        <w:fldChar w:fldCharType="separate"/>
      </w:r>
      <w:r w:rsidR="00483D6F" w:rsidRPr="00483D6F">
        <w:rPr>
          <w:rFonts w:asciiTheme="minorHAnsi" w:hAnsiTheme="minorHAnsi"/>
          <w:noProof/>
        </w:rPr>
        <w:t>[65]</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0E6E2E53"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w:t>
      </w:r>
      <w:r w:rsidR="0064643C">
        <w:rPr>
          <w:rFonts w:asciiTheme="minorHAnsi" w:hAnsiTheme="minorHAnsi"/>
        </w:rPr>
        <w:t xml:space="preserve"> anabolic</w:t>
      </w:r>
      <w:r w:rsidR="002961A1" w:rsidRPr="00193754">
        <w:rPr>
          <w:rFonts w:asciiTheme="minorHAnsi" w:hAnsiTheme="minorHAnsi"/>
        </w:rPr>
        <w:t xml:space="preserve">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xml:space="preserve">; however, it has been </w:t>
      </w:r>
      <w:r w:rsidR="0064643C">
        <w:rPr>
          <w:rFonts w:asciiTheme="minorHAnsi" w:hAnsiTheme="minorHAnsi"/>
        </w:rPr>
        <w:t>suggested</w:t>
      </w:r>
      <w:r w:rsidR="0064643C" w:rsidRPr="00193754">
        <w:rPr>
          <w:rFonts w:asciiTheme="minorHAnsi" w:hAnsiTheme="minorHAnsi"/>
        </w:rPr>
        <w:t xml:space="preserve"> </w:t>
      </w:r>
      <w:r w:rsidR="00DF1925" w:rsidRPr="00193754">
        <w:rPr>
          <w:rFonts w:asciiTheme="minorHAnsi" w:hAnsiTheme="minorHAnsi"/>
        </w:rPr>
        <w:t>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t>
      </w:r>
      <w:r w:rsidR="0064643C">
        <w:rPr>
          <w:rFonts w:asciiTheme="minorHAnsi" w:hAnsiTheme="minorHAnsi"/>
        </w:rPr>
        <w:t>and that</w:t>
      </w:r>
      <w:r w:rsidR="0064643C" w:rsidRPr="00193754">
        <w:rPr>
          <w:rFonts w:asciiTheme="minorHAnsi" w:hAnsiTheme="minorHAnsi"/>
        </w:rPr>
        <w:t xml:space="preserve">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483D6F">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Pr>
          <w:rFonts w:asciiTheme="minorHAnsi" w:hAnsiTheme="minorHAnsi"/>
        </w:rPr>
        <w:fldChar w:fldCharType="separate"/>
      </w:r>
      <w:r w:rsidR="00483D6F" w:rsidRPr="00483D6F">
        <w:rPr>
          <w:rFonts w:asciiTheme="minorHAnsi" w:hAnsiTheme="minorHAnsi"/>
          <w:noProof/>
        </w:rPr>
        <w:t>[66]</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w:t>
      </w:r>
      <w:r w:rsidR="00A3201B" w:rsidRPr="002A4A68">
        <w:rPr>
          <w:rFonts w:asciiTheme="minorHAnsi" w:hAnsiTheme="minorHAnsi"/>
        </w:rPr>
        <w:lastRenderedPageBreak/>
        <w:t xml:space="preserve">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r w:rsidR="0064643C">
        <w:rPr>
          <w:rFonts w:asciiTheme="minorHAnsi" w:hAnsiTheme="minorHAnsi"/>
        </w:rPr>
        <w:t>accretion</w:t>
      </w:r>
      <w:r w:rsidR="00DD7A35">
        <w:rPr>
          <w:rFonts w:asciiTheme="minorHAnsi" w:hAnsiTheme="minorHAnsi"/>
        </w:rPr>
        <w:t xml:space="preserve"> of body fat in </w:t>
      </w:r>
      <w:r w:rsidR="002134DF" w:rsidRPr="002A4A68">
        <w:rPr>
          <w:rFonts w:asciiTheme="minorHAnsi" w:hAnsiTheme="minorHAnsi"/>
        </w:rPr>
        <w:t xml:space="preserve">these animals </w:t>
      </w:r>
      <w:r w:rsidR="0064643C">
        <w:rPr>
          <w:rFonts w:asciiTheme="minorHAnsi" w:hAnsiTheme="minorHAnsi"/>
        </w:rPr>
        <w:t>may be</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283C13DD"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483D6F">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Pr>
          <w:rFonts w:asciiTheme="minorHAnsi" w:hAnsiTheme="minorHAnsi"/>
        </w:rPr>
        <w:fldChar w:fldCharType="separate"/>
      </w:r>
      <w:r w:rsidR="00483D6F" w:rsidRPr="00483D6F">
        <w:rPr>
          <w:rFonts w:asciiTheme="minorHAnsi" w:hAnsiTheme="minorHAnsi"/>
          <w:noProof/>
        </w:rPr>
        <w:t>[67]</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483D6F">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Pr>
          <w:rFonts w:asciiTheme="minorHAnsi" w:hAnsiTheme="minorHAnsi"/>
        </w:rPr>
        <w:fldChar w:fldCharType="separate"/>
      </w:r>
      <w:r w:rsidR="00483D6F" w:rsidRPr="00483D6F">
        <w:rPr>
          <w:rFonts w:asciiTheme="minorHAnsi" w:hAnsiTheme="minorHAnsi"/>
          <w:noProof/>
        </w:rPr>
        <w:t>[68]</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0B4A19">
        <w:rPr>
          <w:rFonts w:asciiTheme="minorHAnsi" w:hAnsiTheme="minorHAnsi"/>
        </w:rPr>
        <w:t>D</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0B4A19">
        <w:rPr>
          <w:rFonts w:asciiTheme="minorHAnsi" w:hAnsiTheme="minorHAnsi"/>
        </w:rPr>
        <w:t xml:space="preserve"> (Figure 4C)</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w:t>
      </w:r>
      <w:r w:rsidR="000B4A19">
        <w:rPr>
          <w:rFonts w:asciiTheme="minorHAnsi" w:hAnsiTheme="minorHAnsi"/>
        </w:rPr>
        <w:t>(</w:t>
      </w:r>
      <w:r w:rsidR="00065375">
        <w:rPr>
          <w:rFonts w:asciiTheme="minorHAnsi" w:hAnsiTheme="minorHAnsi"/>
        </w:rPr>
        <w:t>Fig</w:t>
      </w:r>
      <w:r w:rsidR="000B4A19">
        <w:rPr>
          <w:rFonts w:asciiTheme="minorHAnsi" w:hAnsiTheme="minorHAnsi"/>
        </w:rPr>
        <w:t>ure 4D)</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[58,69]</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w:t>
      </w:r>
      <w:r w:rsidR="000B4A19">
        <w:rPr>
          <w:rFonts w:asciiTheme="minorHAnsi" w:hAnsiTheme="minorHAnsi"/>
        </w:rPr>
        <w:t xml:space="preserve">4C </w:t>
      </w:r>
      <w:r w:rsidR="003A6A77">
        <w:rPr>
          <w:rFonts w:asciiTheme="minorHAnsi" w:hAnsiTheme="minorHAnsi"/>
        </w:rPr>
        <w:t>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w:t>
      </w:r>
      <w:r w:rsidR="0064643C">
        <w:rPr>
          <w:rFonts w:asciiTheme="minorHAnsi" w:hAnsiTheme="minorHAnsi"/>
        </w:rPr>
        <w:t xml:space="preserve">organismal </w:t>
      </w:r>
      <w:r w:rsidR="00353086" w:rsidRPr="0098299D">
        <w:rPr>
          <w:rFonts w:asciiTheme="minorHAnsi" w:hAnsiTheme="minorHAnsi"/>
        </w:rPr>
        <w:t>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64643C">
        <w:rPr>
          <w:rFonts w:asciiTheme="minorHAnsi" w:hAnsiTheme="minorHAnsi"/>
        </w:rPr>
        <w:t xml:space="preserve">resulting in </w:t>
      </w:r>
      <w:r w:rsidR="00662EFC">
        <w:rPr>
          <w:rFonts w:asciiTheme="minorHAnsi" w:hAnsiTheme="minorHAnsi"/>
        </w:rPr>
        <w:t>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gains</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[58–60]</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483D6F">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[61]</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6C545D62"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483D6F">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Pr>
          <w:rFonts w:asciiTheme="minorHAnsi" w:hAnsiTheme="minorHAnsi"/>
        </w:rPr>
        <w:fldChar w:fldCharType="separate"/>
      </w:r>
      <w:r w:rsidR="00483D6F" w:rsidRPr="00483D6F">
        <w:rPr>
          <w:rFonts w:asciiTheme="minorHAnsi" w:hAnsiTheme="minorHAnsi"/>
          <w:noProof/>
        </w:rPr>
        <w:t>[70]</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483D6F">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Pr>
          <w:rFonts w:asciiTheme="minorHAnsi" w:hAnsiTheme="minorHAnsi"/>
        </w:rPr>
        <w:fldChar w:fldCharType="separate"/>
      </w:r>
      <w:r w:rsidR="00483D6F" w:rsidRPr="00483D6F">
        <w:rPr>
          <w:rFonts w:asciiTheme="minorHAnsi" w:hAnsiTheme="minorHAnsi"/>
          <w:noProof/>
        </w:rPr>
        <w:t>[71]</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483D6F">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Pr>
          <w:rFonts w:asciiTheme="minorHAnsi" w:hAnsiTheme="minorHAnsi"/>
        </w:rPr>
        <w:fldChar w:fldCharType="separate"/>
      </w:r>
      <w:r w:rsidR="00483D6F" w:rsidRPr="00483D6F">
        <w:rPr>
          <w:rFonts w:asciiTheme="minorHAnsi" w:hAnsiTheme="minorHAnsi"/>
          <w:noProof/>
        </w:rPr>
        <w:t>[72]</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w:t>
      </w:r>
      <w:r w:rsidR="0064643C">
        <w:rPr>
          <w:rFonts w:asciiTheme="minorHAnsi" w:hAnsiTheme="minorHAnsi"/>
        </w:rPr>
        <w:t xml:space="preserve">show </w:t>
      </w:r>
      <w:r w:rsidR="00F5445C">
        <w:rPr>
          <w:rFonts w:asciiTheme="minorHAnsi" w:hAnsiTheme="minorHAnsi"/>
        </w:rPr>
        <w:t xml:space="preserve">that muscle </w:t>
      </w:r>
      <w:r w:rsidR="00F5445C">
        <w:rPr>
          <w:rFonts w:asciiTheme="minorHAnsi" w:hAnsiTheme="minorHAnsi"/>
          <w:i/>
          <w:iCs/>
        </w:rPr>
        <w:t>Tsc</w:t>
      </w:r>
      <w:r w:rsidR="0064643C">
        <w:rPr>
          <w:rFonts w:asciiTheme="minorHAnsi" w:hAnsiTheme="minorHAnsi"/>
          <w:i/>
          <w:iCs/>
        </w:rPr>
        <w:t>1</w:t>
      </w:r>
      <w:r w:rsidR="00F5445C">
        <w:rPr>
          <w:rFonts w:asciiTheme="minorHAnsi" w:hAnsiTheme="minorHAnsi"/>
          <w:i/>
          <w:iCs/>
        </w:rPr>
        <w:t xml:space="preserve"> </w:t>
      </w:r>
      <w:r w:rsidR="00F5445C">
        <w:rPr>
          <w:rFonts w:asciiTheme="minorHAnsi" w:hAnsiTheme="minorHAnsi"/>
        </w:rPr>
        <w:t>knockout mice have an increased reliance on carbohydrate oxidation (Figure 1G</w:t>
      </w:r>
      <w:r w:rsidR="0064643C">
        <w:rPr>
          <w:rFonts w:asciiTheme="minorHAnsi" w:hAnsiTheme="minorHAnsi"/>
        </w:rPr>
        <w:t>)</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r w:rsidR="000D58E5">
        <w:rPr>
          <w:rFonts w:asciiTheme="minorHAnsi" w:hAnsiTheme="minorHAnsi"/>
        </w:rPr>
        <w:t>observations</w:t>
      </w:r>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metabolism </w:t>
      </w:r>
      <w:r w:rsidR="00A079EE">
        <w:rPr>
          <w:rFonts w:asciiTheme="minorHAnsi" w:hAnsiTheme="minorHAnsi"/>
        </w:rPr>
        <w:t xml:space="preserve">by </w:t>
      </w:r>
      <w:r w:rsidR="00D602CF">
        <w:rPr>
          <w:rFonts w:asciiTheme="minorHAnsi" w:hAnsiTheme="minorHAnsi"/>
        </w:rPr>
        <w:t>increasing</w:t>
      </w:r>
      <w:r w:rsidR="0064643C">
        <w:rPr>
          <w:rFonts w:asciiTheme="minorHAnsi" w:hAnsiTheme="minorHAnsi"/>
        </w:rPr>
        <w:t xml:space="preserve"> </w:t>
      </w:r>
      <w:r w:rsidR="00116C5F">
        <w:rPr>
          <w:rFonts w:asciiTheme="minorHAnsi" w:hAnsiTheme="minorHAnsi"/>
        </w:rPr>
        <w:t xml:space="preserve">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64643C">
        <w:rPr>
          <w:rFonts w:asciiTheme="minorHAnsi" w:hAnsiTheme="minorHAnsi"/>
        </w:rPr>
        <w:t xml:space="preserve">and the dissipation of </w:t>
      </w:r>
      <w:r w:rsidR="00D602CF">
        <w:rPr>
          <w:rFonts w:asciiTheme="minorHAnsi" w:hAnsiTheme="minorHAnsi"/>
        </w:rPr>
        <w:t>energy</w:t>
      </w:r>
      <w:r w:rsidR="0064643C">
        <w:rPr>
          <w:rFonts w:asciiTheme="minorHAnsi" w:hAnsiTheme="minorHAnsi"/>
        </w:rPr>
        <w:t xml:space="preserve"> via uncoupling</w:t>
      </w:r>
      <w:r w:rsidR="00D602CF">
        <w:rPr>
          <w:rFonts w:asciiTheme="minorHAnsi" w:hAnsiTheme="minorHAnsi"/>
        </w:rPr>
        <w:t xml:space="preserve"> of the sarcoplasmic reticulum</w:t>
      </w:r>
      <w:r w:rsidR="008135A7">
        <w:rPr>
          <w:rFonts w:asciiTheme="minorHAnsi" w:hAnsiTheme="minorHAnsi"/>
        </w:rPr>
        <w:t>.</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1517B863" w14:textId="5162A124" w:rsidR="003745B1" w:rsidRDefault="00AF7DC2" w:rsidP="00EF624B">
      <w:pPr>
        <w:jc w:val="both"/>
        <w:rPr>
          <w:rFonts w:asciiTheme="minorHAnsi" w:hAnsiTheme="minorHAnsi"/>
        </w:rPr>
      </w:pPr>
      <w:r>
        <w:rPr>
          <w:rFonts w:asciiTheme="minorHAnsi" w:hAnsiTheme="minorHAnsi"/>
        </w:rPr>
        <w:t>We cannot rule out o</w:t>
      </w:r>
      <w:r w:rsidR="0034371F" w:rsidRPr="00B21BBD">
        <w:rPr>
          <w:rFonts w:asciiTheme="minorHAnsi" w:hAnsiTheme="minorHAnsi"/>
        </w:rPr>
        <w:t xml:space="preserve">ther mechanisms linking muscle mTORC1 activity to elevated energy </w:t>
      </w:r>
      <w:r w:rsidR="00D602CF">
        <w:rPr>
          <w:rFonts w:asciiTheme="minorHAnsi" w:hAnsiTheme="minorHAnsi"/>
        </w:rPr>
        <w:t>expenditure</w:t>
      </w:r>
      <w:r w:rsidR="00D602CF" w:rsidRPr="00B21BBD">
        <w:rPr>
          <w:rFonts w:asciiTheme="minorHAnsi" w:hAnsiTheme="minorHAnsi"/>
        </w:rPr>
        <w:t xml:space="preserve"> </w:t>
      </w:r>
      <w:r>
        <w:rPr>
          <w:rFonts w:asciiTheme="minorHAnsi" w:hAnsiTheme="minorHAnsi"/>
        </w:rPr>
        <w:t xml:space="preserve">that </w:t>
      </w:r>
      <w:r w:rsidR="0034371F" w:rsidRPr="00B21BBD">
        <w:rPr>
          <w:rFonts w:asciiTheme="minorHAnsi" w:hAnsiTheme="minorHAnsi"/>
        </w:rPr>
        <w:t xml:space="preserve">may be indirect, such as FGF21 </w:t>
      </w:r>
      <w:r w:rsidR="0034371F" w:rsidRPr="00B21BBD">
        <w:rPr>
          <w:rFonts w:asciiTheme="minorHAnsi" w:hAnsiTheme="minorHAnsi"/>
        </w:rPr>
        <w:fldChar w:fldCharType="begin" w:fldLock="1"/>
      </w:r>
      <w:r w:rsidR="00483D6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B21BBD">
        <w:rPr>
          <w:rFonts w:asciiTheme="minorHAnsi" w:hAnsiTheme="minorHAnsi"/>
        </w:rPr>
        <w:fldChar w:fldCharType="separate"/>
      </w:r>
      <w:r w:rsidR="00483D6F" w:rsidRPr="00483D6F">
        <w:rPr>
          <w:rFonts w:asciiTheme="minorHAnsi" w:hAnsiTheme="minorHAnsi"/>
          <w:noProof/>
        </w:rPr>
        <w:t>[6,73,74]</w:t>
      </w:r>
      <w:r w:rsidR="0034371F" w:rsidRPr="00B21BBD">
        <w:rPr>
          <w:rFonts w:asciiTheme="minorHAnsi" w:hAnsiTheme="minorHAnsi"/>
        </w:rPr>
        <w:fldChar w:fldCharType="end"/>
      </w:r>
      <w:r w:rsidR="000663BA">
        <w:rPr>
          <w:rFonts w:asciiTheme="minorHAnsi" w:hAnsiTheme="minorHAnsi"/>
        </w:rPr>
        <w:t xml:space="preserve">, </w:t>
      </w:r>
      <w:r w:rsidR="0034371F" w:rsidRPr="00B21BBD">
        <w:rPr>
          <w:rFonts w:asciiTheme="minorHAnsi" w:hAnsiTheme="minorHAnsi"/>
        </w:rPr>
        <w:t xml:space="preserve">other </w:t>
      </w:r>
      <w:r>
        <w:rPr>
          <w:rFonts w:asciiTheme="minorHAnsi" w:hAnsiTheme="minorHAnsi"/>
        </w:rPr>
        <w:t>myokines</w:t>
      </w:r>
      <w:r w:rsidR="000663BA">
        <w:rPr>
          <w:rFonts w:asciiTheme="minorHAnsi" w:hAnsiTheme="minorHAnsi"/>
        </w:rPr>
        <w:t xml:space="preserve"> or muscle</w:t>
      </w:r>
      <w:ins w:id="27" w:author="Alan Saltiel" w:date="2019-07-24T14:14:00Z">
        <w:r w:rsidR="009C5320">
          <w:rPr>
            <w:rFonts w:asciiTheme="minorHAnsi" w:hAnsiTheme="minorHAnsi"/>
          </w:rPr>
          <w:t>-</w:t>
        </w:r>
      </w:ins>
      <w:del w:id="28" w:author="Alan Saltiel" w:date="2019-07-24T14:14:00Z">
        <w:r w:rsidR="000663BA" w:rsidDel="009C5320">
          <w:rPr>
            <w:rFonts w:asciiTheme="minorHAnsi" w:hAnsiTheme="minorHAnsi"/>
          </w:rPr>
          <w:delText xml:space="preserve"> </w:delText>
        </w:r>
      </w:del>
      <w:r w:rsidR="000663BA">
        <w:rPr>
          <w:rFonts w:asciiTheme="minorHAnsi" w:hAnsiTheme="minorHAnsi"/>
        </w:rPr>
        <w:t>derived metabolites</w:t>
      </w:r>
      <w:r w:rsidR="0034371F" w:rsidRPr="00B21BBD">
        <w:rPr>
          <w:rFonts w:asciiTheme="minorHAnsi" w:hAnsiTheme="minorHAnsi"/>
        </w:rPr>
        <w:t>.</w:t>
      </w:r>
      <w:r w:rsidR="002A3922">
        <w:rPr>
          <w:rFonts w:asciiTheme="minorHAnsi" w:hAnsiTheme="minorHAnsi"/>
        </w:rPr>
        <w:t xml:space="preserve"> </w:t>
      </w:r>
      <w:r w:rsidR="000663BA">
        <w:rPr>
          <w:rFonts w:asciiTheme="minorHAnsi" w:hAnsiTheme="minorHAnsi"/>
        </w:rPr>
        <w:t xml:space="preserve"> </w:t>
      </w:r>
      <w:r w:rsidR="00F81C56">
        <w:rPr>
          <w:rFonts w:asciiTheme="minorHAnsi" w:hAnsiTheme="minorHAnsi"/>
        </w:rPr>
        <w:t xml:space="preserve">It is </w:t>
      </w:r>
      <w:r w:rsidR="009E0EFA">
        <w:rPr>
          <w:rFonts w:asciiTheme="minorHAnsi" w:hAnsiTheme="minorHAnsi"/>
        </w:rPr>
        <w:t xml:space="preserve">also </w:t>
      </w:r>
      <w:r w:rsidR="00F81C56">
        <w:rPr>
          <w:rFonts w:asciiTheme="minorHAnsi" w:hAnsiTheme="minorHAnsi"/>
        </w:rPr>
        <w:t xml:space="preserve">worth noting that </w:t>
      </w:r>
      <w:r w:rsidR="00FF1B0C">
        <w:rPr>
          <w:rFonts w:asciiTheme="minorHAnsi" w:hAnsiTheme="minorHAnsi"/>
        </w:rPr>
        <w:t>our</w:t>
      </w:r>
      <w:r w:rsidR="00F81C56">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sidR="00F81C56">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sidR="00F81C56">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sidR="00F81C56">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sidR="00F81C56">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sidR="00F81C56">
        <w:rPr>
          <w:rFonts w:asciiTheme="minorHAnsi" w:hAnsiTheme="minorHAnsi"/>
        </w:rPr>
        <w:t>within the</w:t>
      </w:r>
      <w:r w:rsidR="005601B4">
        <w:rPr>
          <w:rFonts w:asciiTheme="minorHAnsi" w:hAnsiTheme="minorHAnsi"/>
        </w:rPr>
        <w:t>ir</w:t>
      </w:r>
      <w:r w:rsidR="00F81C56">
        <w:rPr>
          <w:rFonts w:asciiTheme="minorHAnsi" w:hAnsiTheme="minorHAnsi"/>
        </w:rPr>
        <w:t xml:space="preserve"> thermoneutral zone </w:t>
      </w:r>
      <w:r w:rsidR="00207F6B" w:rsidRPr="00160141">
        <w:rPr>
          <w:rFonts w:asciiTheme="minorHAnsi" w:hAnsiTheme="minorHAnsi"/>
        </w:rPr>
        <w:t xml:space="preserve">will be key to understanding </w:t>
      </w:r>
      <w:r w:rsidR="00207F6B" w:rsidRPr="00160141">
        <w:rPr>
          <w:rFonts w:asciiTheme="minorHAnsi" w:hAnsiTheme="minorHAnsi"/>
        </w:rPr>
        <w:lastRenderedPageBreak/>
        <w:t>the relative importance of muscle and BAT in both diet</w:t>
      </w:r>
      <w:r w:rsidR="00F81C56">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483D6F">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160141">
        <w:rPr>
          <w:rFonts w:asciiTheme="minorHAnsi" w:hAnsiTheme="minorHAnsi"/>
        </w:rPr>
        <w:fldChar w:fldCharType="separate"/>
      </w:r>
      <w:r w:rsidR="00483D6F" w:rsidRPr="00483D6F">
        <w:rPr>
          <w:rFonts w:asciiTheme="minorHAnsi" w:hAnsiTheme="minorHAnsi"/>
          <w:noProof/>
        </w:rPr>
        <w:t>[13,35,77]</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76278B9F"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Pr>
          <w:rFonts w:ascii="Cambria Math" w:hAnsi="Cambria Math" w:cs="Cambria Math"/>
        </w:rPr>
        <w:instrText>∼</w:instrText>
      </w:r>
      <w:r w:rsidR="00483D6F">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Pr>
          <w:rFonts w:ascii="Cambria Math" w:hAnsi="Cambria Math" w:cs="Cambria Math"/>
        </w:rPr>
        <w:instrText>∼</w:instrText>
      </w:r>
      <w:r w:rsidR="00483D6F">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[78,79]</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[80,81]</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[82,83]</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[83–89]</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83D6F">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[90–92]</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483D6F">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[93]</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ameliorates age-related sarcopenia </w:t>
      </w:r>
      <w:r>
        <w:rPr>
          <w:rFonts w:asciiTheme="minorHAnsi" w:hAnsiTheme="minorHAnsi"/>
        </w:rPr>
        <w:fldChar w:fldCharType="begin" w:fldLock="1"/>
      </w:r>
      <w:r w:rsidR="00483D6F">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[94]</w:t>
      </w:r>
      <w:r>
        <w:rPr>
          <w:rFonts w:asciiTheme="minorHAnsi" w:hAnsiTheme="minorHAnsi"/>
        </w:rPr>
        <w:fldChar w:fldCharType="end"/>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2D11E19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r w:rsidR="00EC20E3" w:rsidRPr="00FD5F45">
        <w:rPr>
          <w:rFonts w:asciiTheme="minorHAnsi" w:hAnsiTheme="minorHAnsi"/>
        </w:rPr>
        <w:t>strategy</w:t>
      </w:r>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333A2C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Melanie Schmitt of the UM </w:t>
      </w:r>
      <w:r w:rsidR="00EC20E3">
        <w:rPr>
          <w:rFonts w:asciiTheme="minorHAnsi" w:hAnsiTheme="minorHAnsi"/>
        </w:rPr>
        <w:t>Animal</w:t>
      </w:r>
      <w:r w:rsidR="00EC20E3" w:rsidRPr="00160141">
        <w:rPr>
          <w:rFonts w:asciiTheme="minorHAnsi" w:hAnsiTheme="minorHAnsi"/>
        </w:rPr>
        <w:t xml:space="preserve"> </w:t>
      </w:r>
      <w:r w:rsidRPr="00160141">
        <w:rPr>
          <w:rFonts w:asciiTheme="minorHAnsi" w:hAnsiTheme="minorHAnsi"/>
        </w:rPr>
        <w:t xml:space="preserve">Phenotyping Core for assistance with </w:t>
      </w:r>
      <w:r w:rsidR="00451202" w:rsidRPr="00160141">
        <w:rPr>
          <w:rFonts w:asciiTheme="minorHAnsi" w:hAnsiTheme="minorHAnsi"/>
        </w:rPr>
        <w:t xml:space="preserve">CLAMS </w:t>
      </w:r>
      <w:r w:rsidR="00EC20E3">
        <w:rPr>
          <w:rFonts w:asciiTheme="minorHAnsi" w:hAnsiTheme="minorHAnsi"/>
        </w:rPr>
        <w:t xml:space="preserve">and glucose clamp </w:t>
      </w:r>
      <w:r w:rsidR="00451202" w:rsidRPr="00160141">
        <w:rPr>
          <w:rFonts w:asciiTheme="minorHAnsi" w:hAnsiTheme="minorHAnsi"/>
        </w:rPr>
        <w:t>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0A4ECCEA" w:rsidR="00C913F9" w:rsidRPr="00B10ED6" w:rsidRDefault="007B7AEB" w:rsidP="00EF624B">
      <w:pPr>
        <w:jc w:val="both"/>
        <w:rPr>
          <w:rFonts w:asciiTheme="minorHAnsi" w:hAnsiTheme="minorHAnsi"/>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ins w:id="29" w:author="Dave Bridges" w:date="2019-07-24T18:37:00Z">
        <w:r w:rsidR="00B10ED6" w:rsidRPr="00B10ED6">
          <w:rPr>
            <w:rFonts w:asciiTheme="minorHAnsi" w:hAnsiTheme="minorHAnsi"/>
          </w:rPr>
          <w:t>DK076906</w:t>
        </w:r>
        <w:bookmarkStart w:id="30" w:name="_GoBack"/>
        <w:bookmarkEnd w:id="30"/>
        <w:r w:rsidR="00B10ED6" w:rsidRPr="00B10ED6">
          <w:rPr>
            <w:rFonts w:asciiTheme="minorHAnsi" w:hAnsiTheme="minorHAnsi"/>
          </w:rPr>
          <w:t> </w:t>
        </w:r>
        <w:r w:rsidR="00B10ED6">
          <w:rPr>
            <w:rFonts w:asciiTheme="minorHAnsi" w:hAnsiTheme="minorHAnsi"/>
          </w:rPr>
          <w:t xml:space="preserve">and </w:t>
        </w:r>
        <w:r w:rsidR="00B10ED6" w:rsidRPr="00B10ED6">
          <w:rPr>
            <w:rFonts w:asciiTheme="minorHAnsi" w:hAnsiTheme="minorHAnsi"/>
          </w:rPr>
          <w:t>DK117551</w:t>
        </w:r>
        <w:r w:rsidR="00B10ED6">
          <w:rPr>
            <w:rFonts w:asciiTheme="minorHAnsi" w:hAnsiTheme="minorHAnsi"/>
          </w:rPr>
          <w:t xml:space="preserve"> </w:t>
        </w:r>
      </w:ins>
      <w:commentRangeStart w:id="31"/>
      <w:del w:id="32" w:author="Dave Bridges" w:date="2019-07-24T18:37:00Z">
        <w:r w:rsidR="001E0A5E" w:rsidRPr="00160141" w:rsidDel="00B10ED6">
          <w:rPr>
            <w:rFonts w:asciiTheme="minorHAnsi" w:hAnsiTheme="minorHAnsi"/>
          </w:rPr>
          <w:delText xml:space="preserve">XXXX </w:delText>
        </w:r>
        <w:commentRangeEnd w:id="31"/>
        <w:r w:rsidR="00E22913" w:rsidRPr="00160141" w:rsidDel="00B10ED6">
          <w:rPr>
            <w:rStyle w:val="CommentReference"/>
            <w:rFonts w:asciiTheme="minorHAnsi" w:hAnsiTheme="minorHAnsi"/>
          </w:rPr>
          <w:commentReference w:id="31"/>
        </w:r>
      </w:del>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the Center for Integrative and Translational Genetics (DB)</w:t>
      </w:r>
      <w:r w:rsidR="00EC20E3">
        <w:rPr>
          <w:rFonts w:asciiTheme="minorHAnsi" w:hAnsiTheme="minorHAnsi"/>
        </w:rPr>
        <w:t xml:space="preserve">, </w:t>
      </w:r>
      <w:r w:rsidR="001E0A5E" w:rsidRPr="00160141">
        <w:rPr>
          <w:rFonts w:asciiTheme="minorHAnsi" w:hAnsiTheme="minorHAnsi"/>
        </w:rPr>
        <w:t xml:space="preserve">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w:t>
      </w:r>
      <w:r w:rsidR="00EC20E3">
        <w:rPr>
          <w:rFonts w:asciiTheme="minorHAnsi" w:hAnsiTheme="minorHAnsi"/>
        </w:rPr>
        <w:t xml:space="preserve"> and a Rackham Merit Fellowship (MCM)</w:t>
      </w:r>
      <w:r w:rsidR="001E0A5E" w:rsidRPr="00160141">
        <w:rPr>
          <w:rFonts w:asciiTheme="minorHAnsi" w:hAnsiTheme="minorHAnsi"/>
        </w:rPr>
        <w:t xml:space="preserve">.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lastRenderedPageBreak/>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xml:space="preserve">, DK110768, </w:t>
      </w:r>
      <w:r w:rsidR="00EC20E3" w:rsidRPr="00EC20E3">
        <w:rPr>
          <w:rFonts w:asciiTheme="minorHAnsi" w:hAnsiTheme="minorHAnsi"/>
          <w:iCs/>
        </w:rPr>
        <w:t>DK020572</w:t>
      </w:r>
      <w:r w:rsidR="00EC20E3">
        <w:rPr>
          <w:rFonts w:asciiTheme="minorHAnsi" w:hAnsiTheme="minorHAnsi"/>
          <w:iCs/>
        </w:rPr>
        <w:t xml:space="preserve"> </w:t>
      </w:r>
      <w:r w:rsidR="00352D83" w:rsidRPr="00160141">
        <w:rPr>
          <w:rFonts w:asciiTheme="minorHAnsi" w:hAnsiTheme="minorHAnsi"/>
          <w:iCs/>
        </w:rPr>
        <w:t>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4B1F8B31" w14:textId="0ABD94B3" w:rsidR="00483D6F" w:rsidRPr="00483D6F" w:rsidRDefault="00871236" w:rsidP="00483D6F">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483D6F" w:rsidRPr="00483D6F">
        <w:rPr>
          <w:rFonts w:ascii="Garamond" w:hAnsi="Garamond"/>
          <w:noProof/>
        </w:rPr>
        <w:t>[1]</w:t>
      </w:r>
      <w:r w:rsidR="00483D6F" w:rsidRPr="00483D6F">
        <w:rPr>
          <w:rFonts w:ascii="Garamond" w:hAnsi="Garamond"/>
          <w:noProof/>
        </w:rPr>
        <w:tab/>
        <w:t>World Health Organization., 2013. Obesity and Overweight. http://www.who.int/mediacentre/factsheets/fs311/en/.</w:t>
      </w:r>
    </w:p>
    <w:p w14:paraId="142BBE8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w:t>
      </w:r>
      <w:r w:rsidRPr="00483D6F">
        <w:rPr>
          <w:rFonts w:ascii="Garamond" w:hAnsi="Garamond"/>
          <w:noProof/>
        </w:rPr>
        <w:tab/>
        <w:t>Leibel, R.L., Hirsch, J., 1984. Diminished energy requirements in reduced-obese patients. Metabolism 33(2): 164–70, Doi: 10.1016/0026-0495(84)90130-6.</w:t>
      </w:r>
    </w:p>
    <w:p w14:paraId="6D381D5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w:t>
      </w:r>
      <w:r w:rsidRPr="00483D6F">
        <w:rPr>
          <w:rFonts w:ascii="Garamond" w:hAnsi="Garamond"/>
          <w:noProof/>
        </w:rPr>
        <w:tab/>
        <w:t>Leibel, R.L., Rosenbaum, M., Hirsch, J., 1995. Changes in energy expenditure resulting from altered body weight. The New England Journal of Medicine 332(10): 621–8, Doi: 10.1056/NEJM199503093321001.</w:t>
      </w:r>
    </w:p>
    <w:p w14:paraId="1CC9D76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w:t>
      </w:r>
      <w:r w:rsidRPr="00483D6F">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w:t>
      </w:r>
      <w:r w:rsidRPr="00483D6F">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w:t>
      </w:r>
      <w:r w:rsidRPr="00483D6F">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w:t>
      </w:r>
      <w:r w:rsidRPr="00483D6F">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w:t>
      </w:r>
      <w:r w:rsidRPr="00483D6F">
        <w:rPr>
          <w:rFonts w:ascii="Garamond" w:hAnsi="Garamond"/>
          <w:noProof/>
        </w:rPr>
        <w:tab/>
        <w:t>Tran, C.M., Mukherjee, S., Ye, L., Frederick, D.W., Kissig, M., Davis, J.G., et al., 2016. Rapamycin blocks induction of the thermogenic program in white adipose tissue. Diabetes 65(April 2015): 1–35, Doi: 10.2337/db15-0502.</w:t>
      </w:r>
    </w:p>
    <w:p w14:paraId="5E9DEC5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w:t>
      </w:r>
      <w:r w:rsidRPr="00483D6F">
        <w:rPr>
          <w:rFonts w:ascii="Garamond" w:hAnsi="Garamond"/>
          <w:noProof/>
        </w:rPr>
        <w:tab/>
        <w:t>Efeyan, A., Comb, W.C., Sabatini, D.M., 2015. Nutrient-sensing mechanisms and pathways. Nature 517(7534): 302–10, Doi: 10.1038/nature14190.</w:t>
      </w:r>
    </w:p>
    <w:p w14:paraId="6B81DD7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[10]</w:t>
      </w:r>
      <w:r w:rsidRPr="00483D6F">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[11]</w:t>
      </w:r>
      <w:r w:rsidRPr="00483D6F">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[12]</w:t>
      </w:r>
      <w:r w:rsidRPr="00483D6F">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[13]</w:t>
      </w:r>
      <w:r w:rsidRPr="00483D6F">
        <w:rPr>
          <w:rFonts w:ascii="Garamond" w:hAnsi="Garamond"/>
          <w:noProof/>
        </w:rPr>
        <w:tab/>
        <w:t>Lu, B., Bridges, D., Yang, Y., Fisher, K., Cheng, A., Chang, L., et al., 2014. Metabolic crosstalk: molecular links between glycogen and lipid metabolism in obesity. Diabetes 63(9): 2935–48, Doi: 10.2337/db13-1531.</w:t>
      </w:r>
    </w:p>
    <w:p w14:paraId="1FDCE6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[14]</w:t>
      </w:r>
      <w:r w:rsidRPr="00483D6F">
        <w:rPr>
          <w:rFonts w:ascii="Garamond" w:hAnsi="Garamond"/>
          <w:noProof/>
        </w:rPr>
        <w:tab/>
        <w:t>Zhang, H.H., Huang, J., Düvel, K., Boback, B., Wu, S., Squillace, R.M., et al., 2009. Insulin stimulates adipogenesis through the Akt-TSC2-mTORC1 pathway. PloS One 4(7): e6189, Doi: 10.1371/journal.pone.0006189.</w:t>
      </w:r>
    </w:p>
    <w:p w14:paraId="7879982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[15]</w:t>
      </w:r>
      <w:r w:rsidRPr="00483D6F">
        <w:rPr>
          <w:rFonts w:ascii="Garamond" w:hAnsi="Garamond"/>
          <w:noProof/>
        </w:rPr>
        <w:tab/>
        <w:t>Hatfield, I., Harvey, I., Yates, E.R., Redd, J.R., Reiter, L.T., Bridges, D., 2015. The role of TORC1 in muscle development in Drosophila. Scientific Reports 5: 9676, Doi: 10.1038/srep09676.</w:t>
      </w:r>
    </w:p>
    <w:p w14:paraId="6BCE58B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[16]</w:t>
      </w:r>
      <w:r w:rsidRPr="00483D6F">
        <w:rPr>
          <w:rFonts w:ascii="Garamond" w:hAnsi="Garamond"/>
          <w:noProof/>
        </w:rPr>
        <w:tab/>
        <w:t>Erbay, E., Chen, J., 2001. The mammalian target of rapamycin regulates C2C12 myogenesis via a kinase-independent mechanism. The Journal of Biological Chemistry 276(39): 36079–82, Doi: 10.1074/jbc.C100406200.</w:t>
      </w:r>
    </w:p>
    <w:p w14:paraId="662E7B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[17]</w:t>
      </w:r>
      <w:r w:rsidRPr="00483D6F">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[18]</w:t>
      </w:r>
      <w:r w:rsidRPr="00483D6F">
        <w:rPr>
          <w:rFonts w:ascii="Garamond" w:hAnsi="Garamond"/>
          <w:noProof/>
        </w:rPr>
        <w:tab/>
        <w:t>DeFronzo, R.A., Ferrannini, E., Sato, Y., Felig, P., Wahren, J., 1981. Synergistic interaction between exercise and insulin on peripheral glucose uptake. The Journal of Clinical Investigation 68(6): 1468–74.</w:t>
      </w:r>
    </w:p>
    <w:p w14:paraId="14AEC45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[19]</w:t>
      </w:r>
      <w:r w:rsidRPr="00483D6F">
        <w:rPr>
          <w:rFonts w:ascii="Garamond" w:hAnsi="Garamond"/>
          <w:noProof/>
        </w:rPr>
        <w:tab/>
        <w:t>Rolfe, D.F., Brown, G.C., 1997. Cellular energy utilization and molecular origin of standard metabolic rate in mammals. Physiological Reviews 77(3): 731–58.</w:t>
      </w:r>
    </w:p>
    <w:p w14:paraId="0FAF51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[20]</w:t>
      </w:r>
      <w:r w:rsidRPr="00483D6F">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[21]</w:t>
      </w:r>
      <w:r w:rsidRPr="00483D6F">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[22]</w:t>
      </w:r>
      <w:r w:rsidRPr="00483D6F">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[23]</w:t>
      </w:r>
      <w:r w:rsidRPr="00483D6F">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[24]</w:t>
      </w:r>
      <w:r w:rsidRPr="00483D6F">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[25]</w:t>
      </w:r>
      <w:r w:rsidRPr="00483D6F">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[26]</w:t>
      </w:r>
      <w:r w:rsidRPr="00483D6F">
        <w:rPr>
          <w:rFonts w:ascii="Garamond" w:hAnsi="Garamond"/>
          <w:noProof/>
        </w:rPr>
        <w:tab/>
        <w:t>Harrison, D.E., Strong, R., Sharp, Z.D., Nelson, J.F., Astle, C.M., Flurkey, K., et al., 2009. Rapamycin fed late in life extends lifespan in genetically heterogeneous mice. Nature 460(7253): 392–5, Doi: 10.1038/nature08221.</w:t>
      </w:r>
    </w:p>
    <w:p w14:paraId="442CCDE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[27]</w:t>
      </w:r>
      <w:r w:rsidRPr="00483D6F">
        <w:rPr>
          <w:rFonts w:ascii="Garamond" w:hAnsi="Garamond"/>
          <w:noProof/>
        </w:rPr>
        <w:tab/>
        <w:t xml:space="preserve">Kapahi, P., Zid, B.M., Harper, T., Koslover, D., Sapin, V., Benzer, S., 2004. </w:t>
      </w:r>
      <w:r w:rsidRPr="00483D6F">
        <w:rPr>
          <w:rFonts w:ascii="Garamond" w:hAnsi="Garamond"/>
          <w:noProof/>
        </w:rPr>
        <w:lastRenderedPageBreak/>
        <w:t>Regulation of lifespan in Drosophila by modulation of genes in the TOR signaling pathway. Current Biology 14(10): 885–90, Doi: 10.1016/j.cub.2004.03.059.</w:t>
      </w:r>
    </w:p>
    <w:p w14:paraId="05E511D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[28]</w:t>
      </w:r>
      <w:r w:rsidRPr="00483D6F">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[29]</w:t>
      </w:r>
      <w:r w:rsidRPr="00483D6F">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[30]</w:t>
      </w:r>
      <w:r w:rsidRPr="00483D6F">
        <w:rPr>
          <w:rFonts w:ascii="Garamond" w:hAnsi="Garamond"/>
          <w:noProof/>
        </w:rPr>
        <w:tab/>
        <w:t>Sasaki, H., Kasagi, F., Yamada, M., Fujita, S., 2007. Grip strength predicts cause-specific mortality in middle-aged and elderly persons. The American Journal of Medicine 120(4): 337–42, Doi: 10.1016/j.amjmed.2006.04.018.</w:t>
      </w:r>
    </w:p>
    <w:p w14:paraId="43AF2D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[31]</w:t>
      </w:r>
      <w:r w:rsidRPr="00483D6F">
        <w:rPr>
          <w:rFonts w:ascii="Garamond" w:hAnsi="Garamond"/>
          <w:noProof/>
        </w:rPr>
        <w:tab/>
        <w:t>Gale, C.R., Martyn, C.N., Cooper, C., Sayer, A.A., 2007. Grip strength, body composition, and mortality. International Journal of Epidemiology 36(1): 228–35, Doi: 10.1093/ije/dyl224.</w:t>
      </w:r>
    </w:p>
    <w:p w14:paraId="327798A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[32]</w:t>
      </w:r>
      <w:r w:rsidRPr="00483D6F">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[33]</w:t>
      </w:r>
      <w:r w:rsidRPr="00483D6F">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[34]</w:t>
      </w:r>
      <w:r w:rsidRPr="00483D6F">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[35]</w:t>
      </w:r>
      <w:r w:rsidRPr="00483D6F">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[36]</w:t>
      </w:r>
      <w:r w:rsidRPr="00483D6F">
        <w:rPr>
          <w:rFonts w:ascii="Garamond" w:hAnsi="Garamond"/>
          <w:noProof/>
        </w:rPr>
        <w:tab/>
        <w:t>Tschöp, M.H., Speakman, J.R., Arch, J.R.S., Auwerx, J., Brüning, J.C.C., Chan, L., et al., 2011. A guide to analysis of mouse energy metabolism. Nature Methods 9(1): 57–63, Doi: 10.1038/nmeth.1806.</w:t>
      </w:r>
    </w:p>
    <w:p w14:paraId="67A9554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[37]</w:t>
      </w:r>
      <w:r w:rsidRPr="00483D6F">
        <w:rPr>
          <w:rFonts w:ascii="Garamond" w:hAnsi="Garamond"/>
          <w:noProof/>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[38]</w:t>
      </w:r>
      <w:r w:rsidRPr="00483D6F">
        <w:rPr>
          <w:rFonts w:ascii="Garamond" w:hAnsi="Garamond"/>
          <w:noProof/>
        </w:rPr>
        <w:tab/>
        <w:t>Péronnet, F., Massicotte, D., 1991. Table of nonprotein respiratory quotient: an update. Canadian Journal of Sport Sciences = Journal Canadien Des Sciences Du Sport 16(1): 23–9.</w:t>
      </w:r>
    </w:p>
    <w:p w14:paraId="41D37F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[39]</w:t>
      </w:r>
      <w:r w:rsidRPr="00483D6F">
        <w:rPr>
          <w:rFonts w:ascii="Garamond" w:hAnsi="Garamond"/>
          <w:noProof/>
        </w:rPr>
        <w:tab/>
        <w:t xml:space="preserve">McGuinness, O.P., Ayala, J.E., Laughlin, M.R., Wasserman, D.H., 2009. NIH experiment in centralized mouse phenotyping: the Vanderbilt experience and </w:t>
      </w:r>
      <w:r w:rsidRPr="00483D6F">
        <w:rPr>
          <w:rFonts w:ascii="Garamond" w:hAnsi="Garamond"/>
          <w:noProof/>
        </w:rPr>
        <w:lastRenderedPageBreak/>
        <w:t>recommendations for evaluating glucose homeostasis in the mouse. American Journal of Physiology - Endocrinology and Metabolism 297(4).</w:t>
      </w:r>
    </w:p>
    <w:p w14:paraId="69DB51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[40]</w:t>
      </w:r>
      <w:r w:rsidRPr="00483D6F">
        <w:rPr>
          <w:rFonts w:ascii="Garamond" w:hAnsi="Garamond"/>
          <w:noProof/>
        </w:rPr>
        <w:tab/>
        <w:t>Ayala, J.E., Bracy, D.P., Mcguinness, O.P., Wasserman, D.H., 2006. Considerations in the Design of Hyperinsulinemic- Euglycemic Clamps in the Conscious Mouse. Diabetes 55(2): 390–7.</w:t>
      </w:r>
    </w:p>
    <w:p w14:paraId="1DC582B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[41]</w:t>
      </w:r>
      <w:r w:rsidRPr="00483D6F">
        <w:rPr>
          <w:rFonts w:ascii="Garamond" w:hAnsi="Garamond"/>
          <w:noProof/>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[42]</w:t>
      </w:r>
      <w:r w:rsidRPr="00483D6F">
        <w:rPr>
          <w:rFonts w:ascii="Garamond" w:hAnsi="Garamond"/>
          <w:noProof/>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[43]</w:t>
      </w:r>
      <w:r w:rsidRPr="00483D6F">
        <w:rPr>
          <w:rFonts w:ascii="Garamond" w:hAnsi="Garamond"/>
          <w:noProof/>
        </w:rPr>
        <w:tab/>
        <w:t>Kraegen, E., James, D., Jenkins, A., Chisholm, D., 1985. Dose-response curves for in vivo insulin sensitivity in individual tissues in rats. The American Physiological Society (248): E353–E362.</w:t>
      </w:r>
    </w:p>
    <w:p w14:paraId="37AB648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[44]</w:t>
      </w:r>
      <w:r w:rsidRPr="00483D6F">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[45]</w:t>
      </w:r>
      <w:r w:rsidRPr="00483D6F">
        <w:rPr>
          <w:rFonts w:ascii="Garamond" w:hAnsi="Garamond"/>
          <w:noProof/>
        </w:rPr>
        <w:tab/>
        <w:t>Langmead, B., Trapnell, C., Pop, M., Salzberg, S.L., 2009. Ultrafast and memory-efficient alignment of short DNA sequences to the human genome. Genome Biology 10(3): R25, Doi: 10.1186/gb-2009-10-3-r25.</w:t>
      </w:r>
    </w:p>
    <w:p w14:paraId="30A8FE5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[46]</w:t>
      </w:r>
      <w:r w:rsidRPr="00483D6F">
        <w:rPr>
          <w:rFonts w:ascii="Garamond" w:hAnsi="Garamond"/>
          <w:noProof/>
        </w:rPr>
        <w:tab/>
        <w:t>Anders, S., Pyl, P.T., Huber, W., 2015. HTSeq-A Python framework to work with high-throughput sequencing data. Bioinformatics 31(2): 166–9, Doi: 10.1093/bioinformatics/btu638.</w:t>
      </w:r>
    </w:p>
    <w:p w14:paraId="5E31BD0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[47]</w:t>
      </w:r>
      <w:r w:rsidRPr="00483D6F">
        <w:rPr>
          <w:rFonts w:ascii="Garamond" w:hAnsi="Garamond"/>
          <w:noProof/>
        </w:rPr>
        <w:tab/>
        <w:t>Love, M.I., Huber, W., Anders, S., 2014. Moderated estimation of fold change and dispersion for RNA-seq data with DESeq2. Genome Biology 15(12): 550, Doi: 10.1186/s13059-014-0550-8.</w:t>
      </w:r>
    </w:p>
    <w:p w14:paraId="352D673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[48]</w:t>
      </w:r>
      <w:r w:rsidRPr="00483D6F">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[49]</w:t>
      </w:r>
      <w:r w:rsidRPr="00483D6F">
        <w:rPr>
          <w:rFonts w:ascii="Garamond" w:hAnsi="Garamond"/>
          <w:noProof/>
        </w:rPr>
        <w:tab/>
        <w:t>Liberzon, A., Subramanian, A., Pinchback, R., Thorvaldsdóttir, H., Tamayo, P., Mesirov, J.P., 2011. Molecular signatures database (MSigDB) 3.0. Bioinformatics 27(12): 1739–40, Doi: 10.1093/bioinformatics/btr260.</w:t>
      </w:r>
    </w:p>
    <w:p w14:paraId="3A25C5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[50]</w:t>
      </w:r>
      <w:r w:rsidRPr="00483D6F">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[51]</w:t>
      </w:r>
      <w:r w:rsidRPr="00483D6F">
        <w:rPr>
          <w:rFonts w:ascii="Garamond" w:hAnsi="Garamond"/>
          <w:noProof/>
        </w:rPr>
        <w:tab/>
        <w:t>R Core Team., 2013. R: A Language and Environment for Statistical Computing.</w:t>
      </w:r>
    </w:p>
    <w:p w14:paraId="4BB3DDE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[52]</w:t>
      </w:r>
      <w:r w:rsidRPr="00483D6F">
        <w:rPr>
          <w:rFonts w:ascii="Garamond" w:hAnsi="Garamond"/>
          <w:noProof/>
        </w:rPr>
        <w:tab/>
        <w:t>Bates, D.M., Mächler, M., Bolker, B., Walker, S., 2014. Fitting Linear Mixed-Effects Models using lme4. ArXiv 1406.5823: 1–51.</w:t>
      </w:r>
    </w:p>
    <w:p w14:paraId="4E5594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[53]</w:t>
      </w:r>
      <w:r w:rsidRPr="00483D6F">
        <w:rPr>
          <w:rFonts w:ascii="Garamond" w:hAnsi="Garamond"/>
          <w:noProof/>
        </w:rPr>
        <w:tab/>
        <w:t xml:space="preserve">Therneau, T.M., Grambsch, P.M., 2000. Modeling Survival Data: Extending the Cox </w:t>
      </w:r>
      <w:r w:rsidRPr="00483D6F">
        <w:rPr>
          <w:rFonts w:ascii="Garamond" w:hAnsi="Garamond"/>
          <w:noProof/>
        </w:rPr>
        <w:lastRenderedPageBreak/>
        <w:t>Model. New York, NY: Springer New York.</w:t>
      </w:r>
    </w:p>
    <w:p w14:paraId="443D560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[54]</w:t>
      </w:r>
      <w:r w:rsidRPr="00483D6F">
        <w:rPr>
          <w:rFonts w:ascii="Garamond" w:hAnsi="Garamond"/>
          <w:noProof/>
        </w:rPr>
        <w:tab/>
        <w:t>Therneau, T., 2012. A Package for Survival Analysis in S. R package version. Survival.</w:t>
      </w:r>
    </w:p>
    <w:p w14:paraId="001A1F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[55]</w:t>
      </w:r>
      <w:r w:rsidRPr="00483D6F">
        <w:rPr>
          <w:rFonts w:ascii="Garamond" w:hAnsi="Garamond"/>
          <w:noProof/>
        </w:rPr>
        <w:tab/>
        <w:t>Benjamini, Y., Hochberg, Y., 1995. Controlling the False Discovery Rate: A Practical and Powerful Approach to Multiple Testing. Journal of the Royal Statistical Society. Series B 57(1): 289–300.</w:t>
      </w:r>
    </w:p>
    <w:p w14:paraId="053D7D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[56]</w:t>
      </w:r>
      <w:r w:rsidRPr="00483D6F">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[57]</w:t>
      </w:r>
      <w:r w:rsidRPr="00483D6F">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[58]</w:t>
      </w:r>
      <w:r w:rsidRPr="00483D6F">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[59]</w:t>
      </w:r>
      <w:r w:rsidRPr="00483D6F">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[60]</w:t>
      </w:r>
      <w:r w:rsidRPr="00483D6F">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[61]</w:t>
      </w:r>
      <w:r w:rsidRPr="00483D6F">
        <w:rPr>
          <w:rFonts w:ascii="Garamond" w:hAnsi="Garamond"/>
          <w:noProof/>
        </w:rPr>
        <w:tab/>
        <w:t>Maurya, S.K., Periasamy, M., 2015. Sarcolipin is a novel regulator of muscle metabolism and obesity. Pharmacological Research 102: 270–5, Doi: 10.1016/j.phrs.2015.10.020.</w:t>
      </w:r>
    </w:p>
    <w:p w14:paraId="56A272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[62]</w:t>
      </w:r>
      <w:r w:rsidRPr="00483D6F">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[63]</w:t>
      </w:r>
      <w:r w:rsidRPr="00483D6F">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[64]</w:t>
      </w:r>
      <w:r w:rsidRPr="00483D6F">
        <w:rPr>
          <w:rFonts w:ascii="Garamond" w:hAnsi="Garamond"/>
          <w:noProof/>
        </w:rPr>
        <w:tab/>
        <w:t>Fiatarone, M.A., 1990. High-Intensity Strength Training in Nonagenarians. JAMA 263(22): 3029, Doi: 10.1001/jama.1990.03440220053029.</w:t>
      </w:r>
    </w:p>
    <w:p w14:paraId="714C958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[65]</w:t>
      </w:r>
      <w:r w:rsidRPr="00483D6F">
        <w:rPr>
          <w:rFonts w:ascii="Garamond" w:hAnsi="Garamond"/>
          <w:noProof/>
        </w:rPr>
        <w:tab/>
        <w:t>Zurlo, F., Larson, K., Bogardus, C., Ravussin, E., 1990. Skeletal muscle metabolism is a major determinant of resting energy expenditure. Journal of Clinical Investigation 86(5): 1423.</w:t>
      </w:r>
    </w:p>
    <w:p w14:paraId="221043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[66]</w:t>
      </w:r>
      <w:r w:rsidRPr="00483D6F">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[67]</w:t>
      </w:r>
      <w:r w:rsidRPr="00483D6F">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[68]</w:t>
      </w:r>
      <w:r w:rsidRPr="00483D6F">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[69]</w:t>
      </w:r>
      <w:r w:rsidRPr="00483D6F">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[70]</w:t>
      </w:r>
      <w:r w:rsidRPr="00483D6F">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[71]</w:t>
      </w:r>
      <w:r w:rsidRPr="00483D6F">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[72]</w:t>
      </w:r>
      <w:r w:rsidRPr="00483D6F">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[73]</w:t>
      </w:r>
      <w:r w:rsidRPr="00483D6F">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[74]</w:t>
      </w:r>
      <w:r w:rsidRPr="00483D6F">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[75]</w:t>
      </w:r>
      <w:r w:rsidRPr="00483D6F">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[76]</w:t>
      </w:r>
      <w:r w:rsidRPr="00483D6F">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[77]</w:t>
      </w:r>
      <w:r w:rsidRPr="00483D6F">
        <w:rPr>
          <w:rFonts w:ascii="Garamond" w:hAnsi="Garamond"/>
          <w:noProof/>
        </w:rPr>
        <w:tab/>
        <w:t xml:space="preserve">Iadevaia, V., Huo, Y., Zhang, Z., Foster, L.J., Proud, C.G., 2012. Roles of the mammalian target of rapamycin, mTOR, in controlling ribosome biogenesis and </w:t>
      </w:r>
      <w:r w:rsidRPr="00483D6F">
        <w:rPr>
          <w:rFonts w:ascii="Garamond" w:hAnsi="Garamond"/>
          <w:noProof/>
        </w:rPr>
        <w:lastRenderedPageBreak/>
        <w:t>protein synthesis: Figure 1. Biochemical Society Transactions 40(1): 168–72, Doi: 10.1042/BST20110682.</w:t>
      </w:r>
    </w:p>
    <w:p w14:paraId="7079355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[78]</w:t>
      </w:r>
      <w:r w:rsidRPr="00483D6F">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[79]</w:t>
      </w:r>
      <w:r w:rsidRPr="00483D6F">
        <w:rPr>
          <w:rFonts w:ascii="Garamond" w:hAnsi="Garamond"/>
          <w:noProof/>
        </w:rPr>
        <w:tab/>
        <w:t>Phillips, B.E., Williams, J.P., Gustafsson, T., Bouchard, C., Rankinen, T., Knudsen, S., et al., 2013. Molecular Networks of Human Muscle Adaptation to Exercise and Age. PLoS Genetics 9(3), Doi: 10.1371/journal.pgen.1003389.</w:t>
      </w:r>
    </w:p>
    <w:p w14:paraId="39EC220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[80]</w:t>
      </w:r>
      <w:r w:rsidRPr="00483D6F">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[81]</w:t>
      </w:r>
      <w:r w:rsidRPr="00483D6F">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[82]</w:t>
      </w:r>
      <w:r w:rsidRPr="00483D6F">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[83]</w:t>
      </w:r>
      <w:r w:rsidRPr="00483D6F">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[84]</w:t>
      </w:r>
      <w:r w:rsidRPr="00483D6F">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[85]</w:t>
      </w:r>
      <w:r w:rsidRPr="00483D6F">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[86]</w:t>
      </w:r>
      <w:r w:rsidRPr="00483D6F">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[87]</w:t>
      </w:r>
      <w:r w:rsidRPr="00483D6F">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[88]</w:t>
      </w:r>
      <w:r w:rsidRPr="00483D6F">
        <w:rPr>
          <w:rFonts w:ascii="Garamond" w:hAnsi="Garamond"/>
          <w:noProof/>
        </w:rPr>
        <w:tab/>
        <w:t>Li, Y., Wang, W.J., Cao, H., Lu, J., Wu, C., Hu, F.Y., et al., 2009. Genetic association of FOXO1A and FOXO3A with longevity trait in Han Chinese populations. Human Molecular Genetics 18(24): 4897–904, Doi: 10.1093/hmg/ddp459.</w:t>
      </w:r>
    </w:p>
    <w:p w14:paraId="4041013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[89]</w:t>
      </w:r>
      <w:r w:rsidRPr="00483D6F">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[90]</w:t>
      </w:r>
      <w:r w:rsidRPr="00483D6F">
        <w:rPr>
          <w:rFonts w:ascii="Garamond" w:hAnsi="Garamond"/>
          <w:noProof/>
        </w:rPr>
        <w:tab/>
        <w:t>Giannakou, M.E., Goss, M., Jünger, M.A., Hafen, E., Leevers, S.J., Partridge, L., 2004. Long-lived Drosophila with overexpressed dFOXO in adult fat body. Science 305(5682): 361, Doi: 10.1126/science.1098219.</w:t>
      </w:r>
    </w:p>
    <w:p w14:paraId="49F3FE2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[91]</w:t>
      </w:r>
      <w:r w:rsidRPr="00483D6F">
        <w:rPr>
          <w:rFonts w:ascii="Garamond" w:hAnsi="Garamond"/>
          <w:noProof/>
        </w:rPr>
        <w:tab/>
        <w:t>Hwangbo, D.S., Gershman, B., Tu, M.-P., Palmer, M., Tatar, M., 2004. Drosophila dFOXO controls lifespan and regulates insulin signalling in brain and fat body. Nature 429(6991): 562–6, Doi: 10.1038/nature03446.</w:t>
      </w:r>
    </w:p>
    <w:p w14:paraId="306A864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[92]</w:t>
      </w:r>
      <w:r w:rsidRPr="00483D6F">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[93]</w:t>
      </w:r>
      <w:r w:rsidRPr="00483D6F">
        <w:rPr>
          <w:rFonts w:ascii="Garamond" w:hAnsi="Garamond"/>
          <w:noProof/>
        </w:rPr>
        <w:tab/>
        <w:t>Passtoors, W.M., Beekman, M., Deelen, J., van der Breggen, R., Maier, A.B., Guigas, B., et al., 2013. Gene expression analysis of mTOR pathway: association with human longevity. Aging Cell 12(1): 24–31, Doi: 10.1111/acel.12015.</w:t>
      </w:r>
    </w:p>
    <w:p w14:paraId="2CF33E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[94]</w:t>
      </w:r>
      <w:r w:rsidRPr="00483D6F">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D04C5A" w:rsidRDefault="00871236" w:rsidP="00483D6F">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0ECF2E45"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w:t>
      </w:r>
      <w:r w:rsidR="005F0927">
        <w:rPr>
          <w:rFonts w:asciiTheme="minorHAnsi" w:hAnsiTheme="minorHAnsi"/>
        </w:rPr>
        <w:t>the</w:t>
      </w:r>
      <w:r w:rsidR="005F0927" w:rsidRPr="00FE1A39">
        <w:rPr>
          <w:rFonts w:asciiTheme="minorHAnsi" w:hAnsiTheme="minorHAnsi"/>
        </w:rPr>
        <w:t xml:space="preserve"> </w:t>
      </w:r>
      <w:r w:rsidR="001632AB" w:rsidRPr="00FE1A39">
        <w:rPr>
          <w:rFonts w:asciiTheme="minorHAnsi" w:hAnsiTheme="minorHAnsi"/>
        </w:rPr>
        <w:t>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ambulatory activity</w:t>
      </w:r>
      <w:r w:rsidR="005F0927">
        <w:rPr>
          <w:rFonts w:asciiTheme="minorHAnsi" w:hAnsiTheme="minorHAnsi"/>
        </w:rPr>
        <w:t xml:space="preserve">,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w:t>
      </w:r>
      <w:r w:rsidR="005F0927">
        <w:rPr>
          <w:rFonts w:asciiTheme="minorHAnsi" w:hAnsiTheme="minorHAnsi"/>
        </w:rPr>
        <w:t xml:space="preserve"> and G) rates of carbohydrate oxidation and H) fat oxidation </w:t>
      </w:r>
      <w:r w:rsidR="001435DF">
        <w:rPr>
          <w:rFonts w:asciiTheme="minorHAnsi" w:hAnsiTheme="minorHAnsi"/>
        </w:rPr>
        <w:t>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5F0927">
        <w:rPr>
          <w:rFonts w:asciiTheme="minorHAnsi" w:hAnsiTheme="minorHAnsi"/>
        </w:rPr>
        <w:t>H</w:t>
      </w:r>
      <w:r w:rsidR="006F68C2">
        <w:rPr>
          <w:rFonts w:asciiTheme="minorHAnsi" w:hAnsiTheme="minorHAnsi"/>
        </w:rPr>
        <w:t xml:space="preserve">) </w:t>
      </w:r>
      <w:r w:rsidR="005F0927">
        <w:rPr>
          <w:rFonts w:asciiTheme="minorHAnsi" w:hAnsiTheme="minorHAnsi"/>
        </w:rPr>
        <w:t>Absolute f</w:t>
      </w:r>
      <w:r w:rsidR="001632AB" w:rsidRPr="00FE1A39">
        <w:rPr>
          <w:rFonts w:asciiTheme="minorHAnsi" w:hAnsiTheme="minorHAnsi"/>
        </w:rPr>
        <w:t>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3CF7A59F"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0D58E5">
        <w:rPr>
          <w:rFonts w:asciiTheme="minorHAnsi" w:hAnsiTheme="minorHAnsi"/>
        </w:rPr>
        <w:t xml:space="preserve">Body Weight, B) </w:t>
      </w:r>
      <w:r w:rsidR="00191775">
        <w:rPr>
          <w:rFonts w:asciiTheme="minorHAnsi" w:hAnsiTheme="minorHAnsi"/>
        </w:rPr>
        <w:t>Total body f</w:t>
      </w:r>
      <w:r w:rsidR="00DF797E" w:rsidRPr="00FE1A39">
        <w:rPr>
          <w:rFonts w:asciiTheme="minorHAnsi" w:hAnsiTheme="minorHAnsi"/>
        </w:rPr>
        <w:t xml:space="preserve">at and </w:t>
      </w:r>
      <w:r w:rsidR="000D58E5">
        <w:rPr>
          <w:rFonts w:asciiTheme="minorHAnsi" w:hAnsiTheme="minorHAnsi"/>
        </w:rPr>
        <w:t>C</w:t>
      </w:r>
      <w:r w:rsidR="00DF797E" w:rsidRPr="00FE1A39">
        <w:rPr>
          <w:rFonts w:asciiTheme="minorHAnsi" w:hAnsiTheme="minorHAnsi"/>
        </w:rPr>
        <w:t xml:space="preserve">) </w:t>
      </w:r>
      <w:r w:rsidR="00191775">
        <w:rPr>
          <w:rFonts w:asciiTheme="minorHAnsi" w:hAnsiTheme="minorHAnsi"/>
        </w:rPr>
        <w:t>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w:t>
      </w:r>
      <w:r w:rsidR="00C91851">
        <w:rPr>
          <w:rFonts w:asciiTheme="minorHAnsi" w:hAnsiTheme="minorHAnsi"/>
        </w:rPr>
        <w:t>D</w:t>
      </w:r>
      <w:r w:rsidR="00DB6758" w:rsidRPr="00FE1A39">
        <w:rPr>
          <w:rFonts w:asciiTheme="minorHAnsi" w:hAnsiTheme="minorHAnsi"/>
        </w:rPr>
        <w:t xml:space="preserve">)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w:t>
      </w:r>
      <w:r w:rsidR="00C91851">
        <w:rPr>
          <w:rFonts w:asciiTheme="minorHAnsi" w:hAnsiTheme="minorHAnsi"/>
        </w:rPr>
        <w:t xml:space="preserve">E) Blood glucose curves during </w:t>
      </w:r>
      <w:proofErr w:type="gramStart"/>
      <w:r w:rsidR="00C91851">
        <w:rPr>
          <w:rFonts w:asciiTheme="minorHAnsi" w:hAnsiTheme="minorHAnsi"/>
        </w:rPr>
        <w:t>an</w:t>
      </w:r>
      <w:proofErr w:type="gramEnd"/>
      <w:r w:rsidR="00C91851">
        <w:rPr>
          <w:rFonts w:asciiTheme="minorHAnsi" w:hAnsiTheme="minorHAnsi"/>
        </w:rPr>
        <w:t xml:space="preserve"> tolerance test and F) the glucose infusion, glucose turnover and endogenous glucose production rates during a </w:t>
      </w:r>
      <w:proofErr w:type="spellStart"/>
      <w:r w:rsidR="00C91851">
        <w:rPr>
          <w:rFonts w:asciiTheme="minorHAnsi" w:hAnsiTheme="minorHAnsi"/>
        </w:rPr>
        <w:t>hyperinsulinemic</w:t>
      </w:r>
      <w:proofErr w:type="spellEnd"/>
      <w:r w:rsidR="00C91851">
        <w:rPr>
          <w:rFonts w:asciiTheme="minorHAnsi" w:hAnsiTheme="minorHAnsi"/>
        </w:rPr>
        <w:t xml:space="preserve"> euglycemic clamp. G) Tissue 2-deoxyglucose uptake </w:t>
      </w:r>
      <w:r w:rsidR="00891ED1">
        <w:rPr>
          <w:rFonts w:asciiTheme="minorHAnsi" w:hAnsiTheme="minorHAnsi"/>
        </w:rPr>
        <w:t>under insulin stimulated conditions at the end of the clamp.</w:t>
      </w:r>
      <w:r w:rsidR="00C91851">
        <w:rPr>
          <w:rFonts w:asciiTheme="minorHAnsi" w:hAnsiTheme="minorHAnsi"/>
        </w:rPr>
        <w:t xml:space="preserve"> </w:t>
      </w:r>
      <w:r w:rsidR="00DB6758" w:rsidRPr="00FE1A39">
        <w:rPr>
          <w:rFonts w:asciiTheme="minorHAnsi" w:hAnsiTheme="minorHAnsi"/>
        </w:rPr>
        <w:t>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33"/>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33"/>
      <w:r w:rsidR="00916B2A">
        <w:rPr>
          <w:rStyle w:val="CommentReference"/>
          <w:rFonts w:asciiTheme="minorHAnsi" w:hAnsiTheme="minorHAnsi" w:cstheme="minorBidi"/>
        </w:rPr>
        <w:commentReference w:id="33"/>
      </w:r>
      <w:r w:rsidR="00DB6758" w:rsidRPr="00FE1A39">
        <w:rPr>
          <w:rFonts w:asciiTheme="minorHAnsi" w:hAnsiTheme="minorHAnsi"/>
        </w:rPr>
        <w:t>(</w:t>
      </w:r>
      <w:r w:rsidR="000D58E5">
        <w:rPr>
          <w:rFonts w:asciiTheme="minorHAnsi" w:hAnsiTheme="minorHAnsi"/>
        </w:rPr>
        <w:t>B</w:t>
      </w:r>
      <w:r w:rsidR="00DB6758" w:rsidRPr="00FE1A39">
        <w:rPr>
          <w:rFonts w:asciiTheme="minorHAnsi" w:hAnsiTheme="minorHAnsi"/>
        </w:rPr>
        <w:t xml:space="preserve">) or </w:t>
      </w:r>
      <w:r w:rsidR="004744F3" w:rsidRPr="00FE1A39">
        <w:rPr>
          <w:rFonts w:asciiTheme="minorHAnsi" w:hAnsiTheme="minorHAnsi"/>
        </w:rPr>
        <w:t>Mann-Whitney</w:t>
      </w:r>
      <w:r w:rsidR="00DB6758" w:rsidRPr="00FE1A39">
        <w:rPr>
          <w:rFonts w:asciiTheme="minorHAnsi" w:hAnsiTheme="minorHAnsi"/>
        </w:rPr>
        <w:t xml:space="preserve"> test (</w:t>
      </w:r>
      <w:r w:rsidR="00B8031C">
        <w:rPr>
          <w:rFonts w:asciiTheme="minorHAnsi" w:hAnsiTheme="minorHAnsi"/>
        </w:rPr>
        <w:t xml:space="preserve">D and </w:t>
      </w:r>
      <w:commentRangeStart w:id="34"/>
      <w:r w:rsidR="00B8031C">
        <w:rPr>
          <w:rFonts w:asciiTheme="minorHAnsi" w:hAnsiTheme="minorHAnsi"/>
        </w:rPr>
        <w:t>G</w:t>
      </w:r>
      <w:commentRangeEnd w:id="34"/>
      <w:r w:rsidR="00B8031C">
        <w:rPr>
          <w:rStyle w:val="CommentReference"/>
          <w:rFonts w:asciiTheme="minorHAnsi" w:hAnsiTheme="minorHAnsi" w:cstheme="minorBidi"/>
        </w:rPr>
        <w:commentReference w:id="34"/>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r w:rsidR="00B639AF">
        <w:rPr>
          <w:rFonts w:asciiTheme="minorHAnsi" w:hAnsiTheme="minorHAnsi"/>
        </w:rPr>
        <w:t xml:space="preserve"> Mice were fasted 5-6 hours prior to insulin tolerance tests and </w:t>
      </w:r>
      <w:proofErr w:type="spellStart"/>
      <w:r w:rsidR="00B639AF">
        <w:rPr>
          <w:rFonts w:asciiTheme="minorHAnsi" w:hAnsiTheme="minorHAnsi"/>
        </w:rPr>
        <w:t>hyperinsulinemic</w:t>
      </w:r>
      <w:proofErr w:type="spellEnd"/>
      <w:r w:rsidR="00B639AF">
        <w:rPr>
          <w:rFonts w:asciiTheme="minorHAnsi" w:hAnsiTheme="minorHAnsi"/>
        </w:rPr>
        <w:t xml:space="preserve"> clamp studies.</w:t>
      </w:r>
    </w:p>
    <w:p w14:paraId="18A68E2A" w14:textId="77777777" w:rsidR="00C10DEF" w:rsidRPr="00FE1A39" w:rsidRDefault="00C10DEF" w:rsidP="00EF624B">
      <w:pPr>
        <w:jc w:val="both"/>
        <w:rPr>
          <w:rFonts w:asciiTheme="minorHAnsi" w:hAnsiTheme="minorHAnsi"/>
          <w:b/>
        </w:rPr>
      </w:pPr>
    </w:p>
    <w:p w14:paraId="67DA0AA0" w14:textId="01C26D11"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BB37CC">
        <w:rPr>
          <w:rFonts w:asciiTheme="minorHAnsi" w:hAnsiTheme="minorHAnsi"/>
        </w:rPr>
        <w:t>A</w:t>
      </w:r>
      <w:r w:rsidR="00F77336" w:rsidRPr="00FE1A39">
        <w:rPr>
          <w:rFonts w:asciiTheme="minorHAnsi" w:hAnsiTheme="minorHAnsi"/>
        </w:rPr>
        <w:t xml:space="preserve">) </w:t>
      </w:r>
      <w:r w:rsidR="00F77336">
        <w:rPr>
          <w:rFonts w:asciiTheme="minorHAnsi" w:hAnsiTheme="minorHAnsi"/>
        </w:rPr>
        <w:t xml:space="preserve">Total body </w:t>
      </w:r>
      <w:r w:rsidR="00BB37CC">
        <w:rPr>
          <w:rFonts w:asciiTheme="minorHAnsi" w:hAnsiTheme="minorHAnsi"/>
        </w:rPr>
        <w:t xml:space="preserve">weight, B) total body </w:t>
      </w:r>
      <w:r w:rsidR="00F77336">
        <w:rPr>
          <w:rFonts w:asciiTheme="minorHAnsi" w:hAnsiTheme="minorHAnsi"/>
        </w:rPr>
        <w:t>f</w:t>
      </w:r>
      <w:r w:rsidR="00F77336" w:rsidRPr="00FE1A39">
        <w:rPr>
          <w:rFonts w:asciiTheme="minorHAnsi" w:hAnsiTheme="minorHAnsi"/>
        </w:rPr>
        <w:t xml:space="preserve">at and </w:t>
      </w:r>
      <w:r w:rsidR="00BB37CC">
        <w:rPr>
          <w:rFonts w:asciiTheme="minorHAnsi" w:hAnsiTheme="minorHAnsi"/>
        </w:rPr>
        <w:t>C</w:t>
      </w:r>
      <w:r w:rsidR="00F77336" w:rsidRPr="00FE1A39">
        <w:rPr>
          <w:rFonts w:asciiTheme="minorHAnsi" w:hAnsiTheme="minorHAnsi"/>
        </w:rPr>
        <w:t xml:space="preserve">)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BB37CC">
        <w:rPr>
          <w:rFonts w:asciiTheme="minorHAnsi" w:hAnsiTheme="minorHAnsi"/>
        </w:rPr>
        <w:t>D</w:t>
      </w:r>
      <w:r w:rsidR="005B6033" w:rsidRPr="00FE1A39">
        <w:rPr>
          <w:rFonts w:asciiTheme="minorHAnsi" w:hAnsiTheme="minorHAnsi"/>
        </w:rPr>
        <w:t xml:space="preserve">)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BB37CC">
        <w:rPr>
          <w:rFonts w:asciiTheme="minorHAnsi" w:hAnsiTheme="minorHAnsi"/>
        </w:rPr>
        <w:t>E</w:t>
      </w:r>
      <w:r w:rsidR="00F0752A">
        <w:rPr>
          <w:rFonts w:asciiTheme="minorHAnsi" w:hAnsiTheme="minorHAnsi"/>
        </w:rPr>
        <w:t xml:space="preserve">) Blood glucose </w:t>
      </w:r>
      <w:r w:rsidR="00B639AF">
        <w:rPr>
          <w:rFonts w:asciiTheme="minorHAnsi" w:hAnsiTheme="minorHAnsi"/>
        </w:rPr>
        <w:t>concentration curves during an</w:t>
      </w:r>
      <w:r w:rsidR="00F0752A">
        <w:rPr>
          <w:rFonts w:asciiTheme="minorHAnsi" w:hAnsiTheme="minorHAnsi"/>
        </w:rPr>
        <w:t xml:space="preserve"> insulin </w:t>
      </w:r>
      <w:r w:rsidR="00B639AF">
        <w:rPr>
          <w:rFonts w:asciiTheme="minorHAnsi" w:hAnsiTheme="minorHAnsi"/>
        </w:rPr>
        <w:t xml:space="preserve">tolerance test </w:t>
      </w:r>
      <w:r w:rsidR="00F0752A">
        <w:rPr>
          <w:rFonts w:asciiTheme="minorHAnsi" w:hAnsiTheme="minorHAnsi"/>
        </w:rPr>
        <w:t xml:space="preserve">in </w:t>
      </w:r>
      <w:r w:rsidR="00B639AF">
        <w:rPr>
          <w:rFonts w:asciiTheme="minorHAnsi" w:hAnsiTheme="minorHAnsi"/>
        </w:rPr>
        <w:t xml:space="preserve">6 hour-fasted </w:t>
      </w:r>
      <w:r w:rsidR="00F0752A">
        <w:rPr>
          <w:rFonts w:asciiTheme="minorHAnsi" w:hAnsiTheme="minorHAnsi"/>
        </w:rPr>
        <w:t xml:space="preserve">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w:t>
      </w:r>
      <w:r w:rsidR="00B639AF">
        <w:rPr>
          <w:rFonts w:asciiTheme="minorHAnsi" w:hAnsiTheme="minorHAnsi"/>
        </w:rPr>
        <w:t xml:space="preserve"> after 11-weeks of HFD</w:t>
      </w:r>
      <w:r w:rsidR="00F0752A">
        <w:rPr>
          <w:rFonts w:asciiTheme="minorHAnsi" w:hAnsiTheme="minorHAnsi"/>
        </w:rPr>
        <w:t xml:space="preserve">.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w:t>
      </w:r>
      <w:r w:rsidR="00865A30">
        <w:rPr>
          <w:rFonts w:asciiTheme="minorHAnsi" w:hAnsiTheme="minorHAnsi"/>
        </w:rPr>
        <w:t>D</w:t>
      </w:r>
      <w:r w:rsidR="005B6033" w:rsidRPr="00FE1A39">
        <w:rPr>
          <w:rFonts w:asciiTheme="minorHAnsi" w:hAnsiTheme="minorHAnsi"/>
        </w:rPr>
        <w:t>,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w:t>
      </w:r>
      <w:r w:rsidR="00865A30">
        <w:rPr>
          <w:rFonts w:asciiTheme="minorHAnsi" w:hAnsiTheme="minorHAnsi"/>
        </w:rPr>
        <w:t>D</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lastRenderedPageBreak/>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6EDD46D0"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74F21" w:rsidRDefault="00674F21">
      <w:pPr>
        <w:pStyle w:val="CommentText"/>
      </w:pPr>
      <w:r>
        <w:rPr>
          <w:rStyle w:val="CommentReference"/>
        </w:rPr>
        <w:annotationRef/>
      </w:r>
      <w:r>
        <w:t>Potential reviewers:</w:t>
      </w:r>
      <w:r>
        <w:br/>
        <w:t>Leslie Kozak</w:t>
      </w:r>
    </w:p>
    <w:p w14:paraId="655AA1B3" w14:textId="7C7988D3" w:rsidR="00674F21" w:rsidRDefault="00674F21">
      <w:pPr>
        <w:pStyle w:val="CommentText"/>
      </w:pPr>
      <w:r>
        <w:t xml:space="preserve">Muthu </w:t>
      </w:r>
      <w:proofErr w:type="spellStart"/>
      <w:r>
        <w:t>Periasamy</w:t>
      </w:r>
      <w:proofErr w:type="spellEnd"/>
    </w:p>
    <w:p w14:paraId="7A21C46D" w14:textId="03637713" w:rsidR="00674F21" w:rsidRPr="007205A1" w:rsidRDefault="00674F21">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674F21" w:rsidRPr="007205A1" w:rsidRDefault="00674F21">
      <w:pPr>
        <w:pStyle w:val="CommentText"/>
        <w:rPr>
          <w:lang w:val="de-DE"/>
        </w:rPr>
      </w:pPr>
      <w:r w:rsidRPr="007205A1">
        <w:rPr>
          <w:lang w:val="de-DE"/>
        </w:rPr>
        <w:t>Michael Hall</w:t>
      </w:r>
    </w:p>
    <w:p w14:paraId="19DBB59F" w14:textId="5E88A870" w:rsidR="00674F21" w:rsidRPr="007205A1" w:rsidRDefault="00674F21">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674F21" w:rsidRPr="007205A1" w:rsidRDefault="00674F21">
      <w:pPr>
        <w:pStyle w:val="CommentText"/>
        <w:rPr>
          <w:lang w:val="de-DE"/>
        </w:rPr>
      </w:pPr>
    </w:p>
  </w:comment>
  <w:comment w:id="1" w:author="Stephenson, Erin" w:date="2019-05-01T16:28:00Z" w:initials="SE">
    <w:p w14:paraId="6AFC741E" w14:textId="112F9BC6" w:rsidR="00674F21" w:rsidRDefault="00674F21">
      <w:pPr>
        <w:pStyle w:val="CommentText"/>
      </w:pPr>
      <w:r>
        <w:rPr>
          <w:rStyle w:val="CommentReference"/>
        </w:rPr>
        <w:annotationRef/>
      </w:r>
      <w:r>
        <w:t>I’ll throw in a couple of potential reviewer suggestions (muscle/exercise guys who have done a bunch of mTOR stuff):</w:t>
      </w:r>
    </w:p>
    <w:p w14:paraId="744ABDC4" w14:textId="725EF200" w:rsidR="00674F21" w:rsidRDefault="00674F21">
      <w:pPr>
        <w:pStyle w:val="CommentText"/>
      </w:pPr>
      <w:r>
        <w:t>Craig Goodman</w:t>
      </w:r>
    </w:p>
    <w:p w14:paraId="748E111C" w14:textId="100A5837" w:rsidR="00674F21" w:rsidRDefault="00674F21">
      <w:pPr>
        <w:pStyle w:val="CommentText"/>
      </w:pPr>
      <w:r>
        <w:t>Troy Hornberger</w:t>
      </w:r>
    </w:p>
    <w:p w14:paraId="0AE3FEF8" w14:textId="613069BA" w:rsidR="00674F21" w:rsidRDefault="00674F21">
      <w:pPr>
        <w:pStyle w:val="CommentText"/>
      </w:pPr>
    </w:p>
    <w:p w14:paraId="1621F271" w14:textId="3B0CC768" w:rsidR="00674F21" w:rsidRDefault="00674F21">
      <w:pPr>
        <w:pStyle w:val="CommentText"/>
      </w:pPr>
    </w:p>
  </w:comment>
  <w:comment w:id="3" w:author="Dave Bridges" w:date="2019-05-21T15:40:00Z" w:initials="DB">
    <w:p w14:paraId="378021FE" w14:textId="0E8708B7" w:rsidR="00674F21" w:rsidRDefault="00674F21">
      <w:pPr>
        <w:pStyle w:val="CommentText"/>
      </w:pPr>
      <w:r>
        <w:rPr>
          <w:rStyle w:val="CommentReference"/>
        </w:rPr>
        <w:annotationRef/>
      </w:r>
      <w:r>
        <w:t>Can everyone add in what they want their affiliations to be</w:t>
      </w:r>
    </w:p>
  </w:comment>
  <w:comment w:id="13" w:author="Stephenson, Erin" w:date="2019-05-19T11:16:00Z" w:initials="SE">
    <w:p w14:paraId="29F62685" w14:textId="77777777" w:rsidR="00674F21" w:rsidRDefault="00674F21"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21" w:author="Dave Bridges" w:date="2019-07-21T10:05:00Z" w:initials="DB">
    <w:p w14:paraId="3F1F68E0" w14:textId="64F09A96" w:rsidR="00674F21" w:rsidRDefault="00674F21">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much more (4.7 fold) than the difference that we observe in fat mass (1.7g).  Do you think this is worth explicitly stating?  My guess is that this is due to other adaptations (maybe the </w:t>
      </w:r>
      <w:proofErr w:type="spellStart"/>
      <w:r>
        <w:t>ee</w:t>
      </w:r>
      <w:proofErr w:type="spellEnd"/>
      <w:r>
        <w:t xml:space="preserve"> difference declines over time)</w:t>
      </w:r>
    </w:p>
    <w:p w14:paraId="32DD9DD7" w14:textId="77777777" w:rsidR="00674F21" w:rsidRDefault="00674F21">
      <w:pPr>
        <w:pStyle w:val="CommentText"/>
      </w:pPr>
    </w:p>
    <w:p w14:paraId="0D859511" w14:textId="08F6479D" w:rsidR="00674F21" w:rsidRDefault="00674F21">
      <w:pPr>
        <w:pStyle w:val="CommentText"/>
      </w:pPr>
      <w:r>
        <w:t>See below for comment about HFD</w:t>
      </w:r>
    </w:p>
  </w:comment>
  <w:comment w:id="24" w:author="Dave Bridges" w:date="2019-07-21T10:39:00Z" w:initials="DB">
    <w:p w14:paraId="18B81ADF" w14:textId="591DBA10" w:rsidR="00674F21" w:rsidRDefault="00674F21">
      <w:pPr>
        <w:pStyle w:val="CommentText"/>
      </w:pPr>
      <w:r>
        <w:rPr>
          <w:rStyle w:val="CommentReference"/>
        </w:rPr>
        <w:annotationRef/>
      </w:r>
      <w:r>
        <w:t xml:space="preserve">Alan, if one </w:t>
      </w:r>
      <w:proofErr w:type="gramStart"/>
      <w:r>
        <w:t>makes the assumption</w:t>
      </w:r>
      <w:proofErr w:type="gramEnd"/>
      <w:r>
        <w:t xml:space="preserve"> that the 16 </w:t>
      </w:r>
      <w:proofErr w:type="spellStart"/>
      <w:r>
        <w:t>mW</w:t>
      </w:r>
      <w:proofErr w:type="spellEnd"/>
      <w:r>
        <w:t xml:space="preserve"> increase in energy expenditure detected in Figure 1D is stable, a 26kcal increase over 11 weeks (approximately 2.9g if stored entirely as lipid) explains 60% and 93% of the observed differences in fat mass in males and females respectively on HFD.   This seems like a reasonable proportion to me (though the assumption is almost certainly untrue).</w:t>
      </w:r>
    </w:p>
  </w:comment>
  <w:comment w:id="31" w:author="Dave Bridges" w:date="2015-09-08T08:54:00Z" w:initials="DB">
    <w:p w14:paraId="4C23780D" w14:textId="23A09C42" w:rsidR="00674F21" w:rsidRDefault="00674F21">
      <w:pPr>
        <w:pStyle w:val="CommentText"/>
      </w:pPr>
      <w:r>
        <w:rPr>
          <w:rStyle w:val="CommentReference"/>
        </w:rPr>
        <w:annotationRef/>
      </w:r>
      <w:r>
        <w:t>Alan, which grant(s) do you want to use here?</w:t>
      </w:r>
    </w:p>
  </w:comment>
  <w:comment w:id="33" w:author="Tran, Quynh" w:date="2019-05-28T15:54:00Z" w:initials="TQ">
    <w:p w14:paraId="6D94B77A" w14:textId="541903D4" w:rsidR="00674F21" w:rsidRDefault="00674F21">
      <w:pPr>
        <w:pStyle w:val="CommentText"/>
      </w:pPr>
      <w:r>
        <w:rPr>
          <w:rStyle w:val="CommentReference"/>
        </w:rPr>
        <w:annotationRef/>
      </w:r>
      <w:r>
        <w:t>I don’t think we should use Chi-square test here because they are continuous variables. I will check the R codes and let you know.</w:t>
      </w:r>
    </w:p>
  </w:comment>
  <w:comment w:id="34" w:author="Stephenson, Erin [2]" w:date="2019-07-22T17:56:00Z" w:initials="SE">
    <w:p w14:paraId="48469C07" w14:textId="71A4E0BE" w:rsidR="00B8031C" w:rsidRDefault="00B8031C">
      <w:pPr>
        <w:pStyle w:val="CommentText"/>
      </w:pPr>
      <w:r>
        <w:rPr>
          <w:rStyle w:val="CommentReference"/>
        </w:rPr>
        <w:annotationRef/>
      </w:r>
      <w:r>
        <w:t>Dave, please check the stat’s used for 2DG uptake comparisons and edit this figure legend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29F62685" w15:done="0"/>
  <w15:commentEx w15:paraId="0D859511" w15:done="0"/>
  <w15:commentEx w15:paraId="18B81ADF" w15:done="0"/>
  <w15:commentEx w15:paraId="4C23780D" w15:done="0"/>
  <w15:commentEx w15:paraId="6D94B77A" w15:done="0"/>
  <w15:commentEx w15:paraId="48469C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29F62685" w16cid:durableId="20D8793D"/>
  <w16cid:commentId w16cid:paraId="0D859511" w16cid:durableId="20DEB75C"/>
  <w16cid:commentId w16cid:paraId="18B81ADF" w16cid:durableId="20DEBF66"/>
  <w16cid:commentId w16cid:paraId="4C23780D" w16cid:durableId="1F1E93EA"/>
  <w16cid:commentId w16cid:paraId="6D94B77A" w16cid:durableId="2097D822"/>
  <w16cid:commentId w16cid:paraId="48469C07" w16cid:durableId="20E07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7D47" w14:textId="77777777" w:rsidR="00951BA4" w:rsidRDefault="00951BA4" w:rsidP="00907F04">
      <w:r>
        <w:separator/>
      </w:r>
    </w:p>
  </w:endnote>
  <w:endnote w:type="continuationSeparator" w:id="0">
    <w:p w14:paraId="5E0D5FF1" w14:textId="77777777" w:rsidR="00951BA4" w:rsidRDefault="00951BA4" w:rsidP="00907F04">
      <w:r>
        <w:continuationSeparator/>
      </w:r>
    </w:p>
  </w:endnote>
  <w:endnote w:type="continuationNotice" w:id="1">
    <w:p w14:paraId="5D2032BC" w14:textId="77777777" w:rsidR="00951BA4" w:rsidRDefault="00951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E0FD" w14:textId="77777777" w:rsidR="00951BA4" w:rsidRDefault="00951BA4" w:rsidP="00907F04">
      <w:r>
        <w:separator/>
      </w:r>
    </w:p>
  </w:footnote>
  <w:footnote w:type="continuationSeparator" w:id="0">
    <w:p w14:paraId="02A2EBF8" w14:textId="77777777" w:rsidR="00951BA4" w:rsidRDefault="00951BA4" w:rsidP="00907F04">
      <w:r>
        <w:continuationSeparator/>
      </w:r>
    </w:p>
  </w:footnote>
  <w:footnote w:type="continuationNotice" w:id="1">
    <w:p w14:paraId="1129E235" w14:textId="77777777" w:rsidR="00951BA4" w:rsidRDefault="00951B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1851"/>
    <w:rsid w:val="00C974E4"/>
    <w:rsid w:val="00CA1143"/>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F04C-F6A2-EE42-817C-9AC74BA5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64306</Words>
  <Characters>366550</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429997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cp:revision>
  <cp:lastPrinted>2019-03-04T18:31:00Z</cp:lastPrinted>
  <dcterms:created xsi:type="dcterms:W3CDTF">2019-07-24T22:24:00Z</dcterms:created>
  <dcterms:modified xsi:type="dcterms:W3CDTF">2019-07-24T22:37:00Z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