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011" w:rsidRPr="0024400A" w:rsidRDefault="007A39FF" w:rsidP="007A39FF">
      <w:pPr>
        <w:rPr>
          <w:rFonts w:ascii="Arial" w:hAnsi="Arial" w:cs="Arial"/>
          <w:sz w:val="20"/>
          <w:szCs w:val="20"/>
        </w:rPr>
      </w:pPr>
      <w:r w:rsidRPr="0024400A">
        <w:rPr>
          <w:rFonts w:ascii="Arial" w:hAnsi="Arial" w:cs="Arial"/>
          <w:b/>
          <w:bCs/>
          <w:sz w:val="20"/>
          <w:szCs w:val="20"/>
        </w:rPr>
        <w:t>To-do list</w:t>
      </w:r>
      <w:r w:rsidRPr="0024400A">
        <w:rPr>
          <w:rFonts w:ascii="Arial" w:hAnsi="Arial" w:cs="Arial"/>
          <w:sz w:val="20"/>
          <w:szCs w:val="20"/>
        </w:rPr>
        <w:t xml:space="preserve"> for revision 1 of “</w:t>
      </w:r>
      <w:r w:rsidRPr="0024400A">
        <w:rPr>
          <w:rFonts w:ascii="Arial" w:hAnsi="Arial" w:cs="Arial"/>
          <w:sz w:val="20"/>
          <w:szCs w:val="20"/>
        </w:rPr>
        <w:t>Skeletal Muscle mTORC1 Activation Increases Energy Expenditure and</w:t>
      </w:r>
      <w:r w:rsidRPr="0024400A">
        <w:rPr>
          <w:rFonts w:ascii="Arial" w:hAnsi="Arial" w:cs="Arial"/>
          <w:sz w:val="20"/>
          <w:szCs w:val="20"/>
        </w:rPr>
        <w:t xml:space="preserve"> </w:t>
      </w:r>
      <w:r w:rsidRPr="0024400A">
        <w:rPr>
          <w:rFonts w:ascii="Arial" w:hAnsi="Arial" w:cs="Arial"/>
          <w:sz w:val="20"/>
          <w:szCs w:val="20"/>
        </w:rPr>
        <w:t>Reduces Longevity in Mice</w:t>
      </w:r>
      <w:r w:rsidRPr="0024400A">
        <w:rPr>
          <w:rFonts w:ascii="Arial" w:hAnsi="Arial" w:cs="Arial"/>
          <w:sz w:val="20"/>
          <w:szCs w:val="20"/>
        </w:rPr>
        <w:t>”</w:t>
      </w:r>
    </w:p>
    <w:p w:rsidR="007A39FF" w:rsidRPr="0024400A" w:rsidRDefault="007A39FF" w:rsidP="007A39FF">
      <w:pPr>
        <w:rPr>
          <w:rFonts w:ascii="Arial" w:hAnsi="Arial" w:cs="Arial"/>
          <w:sz w:val="20"/>
          <w:szCs w:val="20"/>
        </w:rPr>
      </w:pPr>
    </w:p>
    <w:p w:rsidR="006C3F88" w:rsidRPr="0024400A" w:rsidRDefault="006C3F88" w:rsidP="007A39FF">
      <w:pPr>
        <w:rPr>
          <w:rFonts w:ascii="Arial" w:hAnsi="Arial" w:cs="Arial"/>
          <w:sz w:val="20"/>
          <w:szCs w:val="20"/>
          <w:u w:val="single"/>
        </w:rPr>
      </w:pPr>
      <w:r w:rsidRPr="0024400A">
        <w:rPr>
          <w:rFonts w:ascii="Arial" w:hAnsi="Arial" w:cs="Arial"/>
          <w:sz w:val="20"/>
          <w:szCs w:val="20"/>
          <w:u w:val="single"/>
        </w:rPr>
        <w:t>Experiments</w:t>
      </w:r>
      <w:r w:rsidR="00D6197B" w:rsidRPr="0024400A">
        <w:rPr>
          <w:rFonts w:ascii="Arial" w:hAnsi="Arial" w:cs="Arial"/>
          <w:sz w:val="20"/>
          <w:szCs w:val="20"/>
          <w:u w:val="single"/>
        </w:rPr>
        <w:t xml:space="preserve"> we should definitely perform</w:t>
      </w:r>
    </w:p>
    <w:p w:rsidR="007A39FF" w:rsidRPr="0024400A" w:rsidRDefault="007A39FF" w:rsidP="007A39FF">
      <w:pPr>
        <w:pStyle w:val="ListParagraph"/>
        <w:numPr>
          <w:ilvl w:val="0"/>
          <w:numId w:val="1"/>
        </w:numPr>
        <w:rPr>
          <w:rFonts w:ascii="Arial" w:hAnsi="Arial" w:cs="Arial"/>
          <w:sz w:val="20"/>
          <w:szCs w:val="20"/>
        </w:rPr>
      </w:pPr>
      <w:r w:rsidRPr="0024400A">
        <w:rPr>
          <w:rFonts w:ascii="Arial" w:hAnsi="Arial" w:cs="Arial"/>
          <w:sz w:val="20"/>
          <w:szCs w:val="20"/>
        </w:rPr>
        <w:t>Find freezer tissues for mTSC1 mice</w:t>
      </w:r>
      <w:r w:rsidR="006C3F88" w:rsidRPr="0024400A">
        <w:rPr>
          <w:rFonts w:ascii="Arial" w:hAnsi="Arial" w:cs="Arial"/>
          <w:sz w:val="20"/>
          <w:szCs w:val="20"/>
        </w:rPr>
        <w:t xml:space="preserve"> (or collect tissues from new mice, if available)</w:t>
      </w:r>
    </w:p>
    <w:p w:rsidR="006C3F88" w:rsidRPr="0024400A" w:rsidRDefault="006C3F88" w:rsidP="006C3F88">
      <w:pPr>
        <w:pStyle w:val="ListParagraph"/>
        <w:rPr>
          <w:rFonts w:ascii="Arial" w:hAnsi="Arial" w:cs="Arial"/>
          <w:sz w:val="20"/>
          <w:szCs w:val="20"/>
        </w:rPr>
      </w:pPr>
    </w:p>
    <w:p w:rsidR="007A39FF" w:rsidRPr="0024400A" w:rsidRDefault="007A39FF" w:rsidP="007A39FF">
      <w:pPr>
        <w:pStyle w:val="ListParagraph"/>
        <w:numPr>
          <w:ilvl w:val="1"/>
          <w:numId w:val="1"/>
        </w:numPr>
        <w:rPr>
          <w:rFonts w:ascii="Arial" w:hAnsi="Arial" w:cs="Arial"/>
          <w:sz w:val="20"/>
          <w:szCs w:val="20"/>
        </w:rPr>
      </w:pPr>
      <w:r w:rsidRPr="0024400A">
        <w:rPr>
          <w:rFonts w:ascii="Arial" w:hAnsi="Arial" w:cs="Arial"/>
          <w:sz w:val="20"/>
          <w:szCs w:val="20"/>
        </w:rPr>
        <w:t>Measure TSC1 expression (</w:t>
      </w:r>
      <w:r w:rsidR="006C3F88" w:rsidRPr="0024400A">
        <w:rPr>
          <w:rFonts w:ascii="Arial" w:hAnsi="Arial" w:cs="Arial"/>
          <w:sz w:val="20"/>
          <w:szCs w:val="20"/>
        </w:rPr>
        <w:t>mRNA or protein</w:t>
      </w:r>
      <w:r w:rsidRPr="0024400A">
        <w:rPr>
          <w:rFonts w:ascii="Arial" w:hAnsi="Arial" w:cs="Arial"/>
          <w:sz w:val="20"/>
          <w:szCs w:val="20"/>
        </w:rPr>
        <w:t xml:space="preserve">) in muscle, heart, </w:t>
      </w:r>
      <w:proofErr w:type="spellStart"/>
      <w:r w:rsidRPr="0024400A">
        <w:rPr>
          <w:rFonts w:ascii="Arial" w:hAnsi="Arial" w:cs="Arial"/>
          <w:sz w:val="20"/>
          <w:szCs w:val="20"/>
        </w:rPr>
        <w:t>iWAT</w:t>
      </w:r>
      <w:proofErr w:type="spellEnd"/>
      <w:r w:rsidRPr="0024400A">
        <w:rPr>
          <w:rFonts w:ascii="Arial" w:hAnsi="Arial" w:cs="Arial"/>
          <w:sz w:val="20"/>
          <w:szCs w:val="20"/>
        </w:rPr>
        <w:t xml:space="preserve">, </w:t>
      </w:r>
      <w:proofErr w:type="spellStart"/>
      <w:r w:rsidRPr="0024400A">
        <w:rPr>
          <w:rFonts w:ascii="Arial" w:hAnsi="Arial" w:cs="Arial"/>
          <w:sz w:val="20"/>
          <w:szCs w:val="20"/>
        </w:rPr>
        <w:t>gWAT</w:t>
      </w:r>
      <w:proofErr w:type="spellEnd"/>
      <w:r w:rsidRPr="0024400A">
        <w:rPr>
          <w:rFonts w:ascii="Arial" w:hAnsi="Arial" w:cs="Arial"/>
          <w:sz w:val="20"/>
          <w:szCs w:val="20"/>
        </w:rPr>
        <w:t>, liver</w:t>
      </w:r>
      <w:r w:rsidR="006C3F88" w:rsidRPr="0024400A">
        <w:rPr>
          <w:rFonts w:ascii="Arial" w:hAnsi="Arial" w:cs="Arial"/>
          <w:sz w:val="20"/>
          <w:szCs w:val="20"/>
        </w:rPr>
        <w:t>, etc.</w:t>
      </w:r>
    </w:p>
    <w:p w:rsidR="006C3F88" w:rsidRPr="0024400A" w:rsidRDefault="006C3F88" w:rsidP="006C3F88">
      <w:pPr>
        <w:pStyle w:val="ListParagraph"/>
        <w:ind w:left="1440"/>
        <w:rPr>
          <w:rFonts w:ascii="Arial" w:hAnsi="Arial" w:cs="Arial"/>
          <w:sz w:val="20"/>
          <w:szCs w:val="20"/>
        </w:rPr>
      </w:pPr>
    </w:p>
    <w:p w:rsidR="007A39FF" w:rsidRPr="0024400A" w:rsidRDefault="007A39FF" w:rsidP="007A39FF">
      <w:pPr>
        <w:pStyle w:val="ListParagraph"/>
        <w:numPr>
          <w:ilvl w:val="1"/>
          <w:numId w:val="1"/>
        </w:numPr>
        <w:rPr>
          <w:rFonts w:ascii="Arial" w:hAnsi="Arial" w:cs="Arial"/>
          <w:sz w:val="20"/>
          <w:szCs w:val="20"/>
        </w:rPr>
      </w:pPr>
      <w:r w:rsidRPr="0024400A">
        <w:rPr>
          <w:rFonts w:ascii="Arial" w:hAnsi="Arial" w:cs="Arial"/>
          <w:sz w:val="20"/>
          <w:szCs w:val="20"/>
        </w:rPr>
        <w:t xml:space="preserve">Prepare protein lysates from other muscles. Ideally, </w:t>
      </w:r>
      <w:proofErr w:type="spellStart"/>
      <w:r w:rsidRPr="0024400A">
        <w:rPr>
          <w:rFonts w:ascii="Arial" w:hAnsi="Arial" w:cs="Arial"/>
          <w:sz w:val="20"/>
          <w:szCs w:val="20"/>
        </w:rPr>
        <w:t>gastroc</w:t>
      </w:r>
      <w:proofErr w:type="spellEnd"/>
      <w:r w:rsidRPr="0024400A">
        <w:rPr>
          <w:rFonts w:ascii="Arial" w:hAnsi="Arial" w:cs="Arial"/>
          <w:sz w:val="20"/>
          <w:szCs w:val="20"/>
        </w:rPr>
        <w:t>, TA, soleus, diaphragm and EDL. Measure SLN, SERCA1 and SERCA2 by western blot in each of these muscle</w:t>
      </w:r>
      <w:r w:rsidR="006C3F88" w:rsidRPr="0024400A">
        <w:rPr>
          <w:rFonts w:ascii="Arial" w:hAnsi="Arial" w:cs="Arial"/>
          <w:sz w:val="20"/>
          <w:szCs w:val="20"/>
        </w:rPr>
        <w:t>s</w:t>
      </w:r>
    </w:p>
    <w:p w:rsidR="006C3F88" w:rsidRPr="0024400A" w:rsidRDefault="006C3F88" w:rsidP="006C3F88">
      <w:pPr>
        <w:rPr>
          <w:rFonts w:ascii="Arial" w:hAnsi="Arial" w:cs="Arial"/>
          <w:sz w:val="20"/>
          <w:szCs w:val="20"/>
        </w:rPr>
      </w:pPr>
    </w:p>
    <w:p w:rsidR="007A39FF" w:rsidRPr="0024400A" w:rsidRDefault="007A39FF" w:rsidP="007A39FF">
      <w:pPr>
        <w:pStyle w:val="ListParagraph"/>
        <w:numPr>
          <w:ilvl w:val="1"/>
          <w:numId w:val="1"/>
        </w:numPr>
        <w:rPr>
          <w:rFonts w:ascii="Arial" w:hAnsi="Arial" w:cs="Arial"/>
          <w:sz w:val="20"/>
          <w:szCs w:val="20"/>
        </w:rPr>
      </w:pPr>
      <w:r w:rsidRPr="0024400A">
        <w:rPr>
          <w:rFonts w:ascii="Arial" w:hAnsi="Arial" w:cs="Arial"/>
          <w:sz w:val="20"/>
          <w:szCs w:val="20"/>
        </w:rPr>
        <w:t xml:space="preserve">Run westerns for proteins involved in Ca2+ kinetics (probably </w:t>
      </w:r>
      <w:proofErr w:type="spellStart"/>
      <w:r w:rsidRPr="0024400A">
        <w:rPr>
          <w:rFonts w:ascii="Arial" w:hAnsi="Arial" w:cs="Arial"/>
          <w:sz w:val="20"/>
          <w:szCs w:val="20"/>
        </w:rPr>
        <w:t>pCaMKII</w:t>
      </w:r>
      <w:proofErr w:type="spellEnd"/>
      <w:r w:rsidRPr="0024400A">
        <w:rPr>
          <w:rFonts w:ascii="Arial" w:hAnsi="Arial" w:cs="Arial"/>
          <w:sz w:val="20"/>
          <w:szCs w:val="20"/>
        </w:rPr>
        <w:t>/CaMKII, CSQ)</w:t>
      </w:r>
      <w:r w:rsidR="006C3F88" w:rsidRPr="0024400A">
        <w:rPr>
          <w:rFonts w:ascii="Arial" w:hAnsi="Arial" w:cs="Arial"/>
          <w:sz w:val="20"/>
          <w:szCs w:val="20"/>
        </w:rPr>
        <w:t>, and OXPHOS (I thought we had this somewhere, need to check)</w:t>
      </w:r>
    </w:p>
    <w:p w:rsidR="006C3F88" w:rsidRPr="0024400A" w:rsidRDefault="006C3F88" w:rsidP="006C3F88">
      <w:pPr>
        <w:rPr>
          <w:rFonts w:ascii="Arial" w:hAnsi="Arial" w:cs="Arial"/>
          <w:sz w:val="20"/>
          <w:szCs w:val="20"/>
        </w:rPr>
      </w:pPr>
    </w:p>
    <w:p w:rsidR="007A39FF" w:rsidRPr="0024400A" w:rsidRDefault="007A39FF" w:rsidP="007A39FF">
      <w:pPr>
        <w:pStyle w:val="ListParagraph"/>
        <w:numPr>
          <w:ilvl w:val="0"/>
          <w:numId w:val="1"/>
        </w:numPr>
        <w:rPr>
          <w:rFonts w:ascii="Arial" w:hAnsi="Arial" w:cs="Arial"/>
          <w:sz w:val="20"/>
          <w:szCs w:val="20"/>
        </w:rPr>
      </w:pPr>
      <w:r w:rsidRPr="0024400A">
        <w:rPr>
          <w:rFonts w:ascii="Arial" w:hAnsi="Arial" w:cs="Arial"/>
          <w:sz w:val="20"/>
          <w:szCs w:val="20"/>
        </w:rPr>
        <w:t>Find freezer tissues for HF</w:t>
      </w:r>
      <w:bookmarkStart w:id="0" w:name="_GoBack"/>
      <w:bookmarkEnd w:id="0"/>
      <w:r w:rsidRPr="0024400A">
        <w:rPr>
          <w:rFonts w:ascii="Arial" w:hAnsi="Arial" w:cs="Arial"/>
          <w:sz w:val="20"/>
          <w:szCs w:val="20"/>
        </w:rPr>
        <w:t>D and HFD-rapamycin treated mice</w:t>
      </w:r>
      <w:r w:rsidR="006C3F88" w:rsidRPr="0024400A">
        <w:rPr>
          <w:rFonts w:ascii="Arial" w:hAnsi="Arial" w:cs="Arial"/>
          <w:sz w:val="20"/>
          <w:szCs w:val="20"/>
        </w:rPr>
        <w:t xml:space="preserve"> (assuming we have them)</w:t>
      </w:r>
    </w:p>
    <w:p w:rsidR="006C3F88" w:rsidRPr="0024400A" w:rsidRDefault="006C3F88" w:rsidP="006C3F88">
      <w:pPr>
        <w:ind w:left="360"/>
        <w:rPr>
          <w:rFonts w:ascii="Arial" w:hAnsi="Arial" w:cs="Arial"/>
          <w:sz w:val="20"/>
          <w:szCs w:val="20"/>
        </w:rPr>
      </w:pPr>
    </w:p>
    <w:p w:rsidR="00D6197B" w:rsidRPr="0024400A" w:rsidRDefault="007A39FF" w:rsidP="00D6197B">
      <w:pPr>
        <w:pStyle w:val="ListParagraph"/>
        <w:numPr>
          <w:ilvl w:val="1"/>
          <w:numId w:val="1"/>
        </w:numPr>
        <w:rPr>
          <w:rFonts w:ascii="Arial" w:hAnsi="Arial" w:cs="Arial"/>
          <w:sz w:val="20"/>
          <w:szCs w:val="20"/>
        </w:rPr>
      </w:pPr>
      <w:r w:rsidRPr="0024400A">
        <w:rPr>
          <w:rFonts w:ascii="Arial" w:hAnsi="Arial" w:cs="Arial"/>
          <w:sz w:val="20"/>
          <w:szCs w:val="20"/>
        </w:rPr>
        <w:t>Prepare protein lysates from muscles</w:t>
      </w:r>
      <w:r w:rsidR="006C3F88" w:rsidRPr="0024400A">
        <w:rPr>
          <w:rFonts w:ascii="Arial" w:hAnsi="Arial" w:cs="Arial"/>
          <w:sz w:val="20"/>
          <w:szCs w:val="20"/>
        </w:rPr>
        <w:t xml:space="preserve"> (quad/</w:t>
      </w:r>
      <w:proofErr w:type="spellStart"/>
      <w:r w:rsidR="006C3F88" w:rsidRPr="0024400A">
        <w:rPr>
          <w:rFonts w:ascii="Arial" w:hAnsi="Arial" w:cs="Arial"/>
          <w:sz w:val="20"/>
          <w:szCs w:val="20"/>
        </w:rPr>
        <w:t>gastroc</w:t>
      </w:r>
      <w:proofErr w:type="spellEnd"/>
      <w:r w:rsidR="006C3F88" w:rsidRPr="0024400A">
        <w:rPr>
          <w:rFonts w:ascii="Arial" w:hAnsi="Arial" w:cs="Arial"/>
          <w:sz w:val="20"/>
          <w:szCs w:val="20"/>
        </w:rPr>
        <w:t xml:space="preserve">). </w:t>
      </w:r>
      <w:proofErr w:type="spellStart"/>
      <w:r w:rsidR="006C3F88" w:rsidRPr="0024400A">
        <w:rPr>
          <w:rFonts w:ascii="Arial" w:hAnsi="Arial" w:cs="Arial"/>
          <w:sz w:val="20"/>
          <w:szCs w:val="20"/>
        </w:rPr>
        <w:t>Blot</w:t>
      </w:r>
      <w:proofErr w:type="spellEnd"/>
      <w:r w:rsidR="006C3F88" w:rsidRPr="0024400A">
        <w:rPr>
          <w:rFonts w:ascii="Arial" w:hAnsi="Arial" w:cs="Arial"/>
          <w:sz w:val="20"/>
          <w:szCs w:val="20"/>
        </w:rPr>
        <w:t xml:space="preserve"> for</w:t>
      </w:r>
      <w:r w:rsidRPr="0024400A">
        <w:rPr>
          <w:rFonts w:ascii="Arial" w:hAnsi="Arial" w:cs="Arial"/>
          <w:sz w:val="20"/>
          <w:szCs w:val="20"/>
        </w:rPr>
        <w:t xml:space="preserve"> </w:t>
      </w:r>
      <w:r w:rsidR="006C3F88" w:rsidRPr="0024400A">
        <w:rPr>
          <w:rFonts w:ascii="Arial" w:hAnsi="Arial" w:cs="Arial"/>
          <w:sz w:val="20"/>
          <w:szCs w:val="20"/>
        </w:rPr>
        <w:t xml:space="preserve">pS6K/S6K, pS6/S6 and/or other markers of mTORC1 activity. Also blot for SLN/SERCA1/SERCA2. Maybe also blot for mTORC2 activity (to show it isn’t inhibited by three days of rapamycin treatment). Since acute treatment only, qPCR might be good to include for </w:t>
      </w:r>
      <w:proofErr w:type="spellStart"/>
      <w:r w:rsidR="006C3F88" w:rsidRPr="0024400A">
        <w:rPr>
          <w:rFonts w:ascii="Arial" w:hAnsi="Arial" w:cs="Arial"/>
          <w:i/>
          <w:iCs/>
          <w:sz w:val="20"/>
          <w:szCs w:val="20"/>
        </w:rPr>
        <w:t>Sln</w:t>
      </w:r>
      <w:proofErr w:type="spellEnd"/>
      <w:r w:rsidR="006C3F88" w:rsidRPr="0024400A">
        <w:rPr>
          <w:rFonts w:ascii="Arial" w:hAnsi="Arial" w:cs="Arial"/>
          <w:sz w:val="20"/>
          <w:szCs w:val="20"/>
        </w:rPr>
        <w:t>/</w:t>
      </w:r>
      <w:r w:rsidR="006C3F88" w:rsidRPr="0024400A">
        <w:rPr>
          <w:rFonts w:ascii="Arial" w:hAnsi="Arial" w:cs="Arial"/>
          <w:i/>
          <w:iCs/>
          <w:sz w:val="20"/>
          <w:szCs w:val="20"/>
        </w:rPr>
        <w:t>Serca2a1</w:t>
      </w:r>
      <w:r w:rsidR="006C3F88" w:rsidRPr="0024400A">
        <w:rPr>
          <w:rFonts w:ascii="Arial" w:hAnsi="Arial" w:cs="Arial"/>
          <w:sz w:val="20"/>
          <w:szCs w:val="20"/>
        </w:rPr>
        <w:t>/</w:t>
      </w:r>
      <w:r w:rsidR="006C3F88" w:rsidRPr="0024400A">
        <w:rPr>
          <w:rFonts w:ascii="Arial" w:hAnsi="Arial" w:cs="Arial"/>
          <w:i/>
          <w:iCs/>
          <w:sz w:val="20"/>
          <w:szCs w:val="20"/>
        </w:rPr>
        <w:t>Serca2a2</w:t>
      </w:r>
    </w:p>
    <w:p w:rsidR="00D6197B" w:rsidRPr="0024400A" w:rsidRDefault="00D6197B" w:rsidP="00D6197B">
      <w:pPr>
        <w:pStyle w:val="ListParagraph"/>
        <w:ind w:left="1440"/>
        <w:rPr>
          <w:rFonts w:ascii="Arial" w:hAnsi="Arial" w:cs="Arial"/>
          <w:sz w:val="20"/>
          <w:szCs w:val="20"/>
        </w:rPr>
      </w:pPr>
    </w:p>
    <w:p w:rsidR="00D6197B" w:rsidRPr="0024400A" w:rsidRDefault="00D6197B" w:rsidP="00D6197B">
      <w:pPr>
        <w:rPr>
          <w:rFonts w:ascii="Arial" w:hAnsi="Arial" w:cs="Arial"/>
          <w:sz w:val="20"/>
          <w:szCs w:val="20"/>
          <w:u w:val="single"/>
        </w:rPr>
      </w:pPr>
      <w:r w:rsidRPr="0024400A">
        <w:rPr>
          <w:rFonts w:ascii="Arial" w:hAnsi="Arial" w:cs="Arial"/>
          <w:sz w:val="20"/>
          <w:szCs w:val="20"/>
          <w:u w:val="single"/>
        </w:rPr>
        <w:t xml:space="preserve">Experiments we should </w:t>
      </w:r>
      <w:r w:rsidRPr="0024400A">
        <w:rPr>
          <w:rFonts w:ascii="Arial" w:hAnsi="Arial" w:cs="Arial"/>
          <w:sz w:val="20"/>
          <w:szCs w:val="20"/>
          <w:u w:val="single"/>
        </w:rPr>
        <w:t>consider</w:t>
      </w:r>
    </w:p>
    <w:p w:rsidR="00D6197B" w:rsidRPr="0024400A" w:rsidRDefault="00D6197B" w:rsidP="00D6197B">
      <w:pPr>
        <w:pStyle w:val="ListParagraph"/>
        <w:numPr>
          <w:ilvl w:val="0"/>
          <w:numId w:val="2"/>
        </w:numPr>
        <w:rPr>
          <w:rFonts w:ascii="Arial" w:hAnsi="Arial" w:cs="Arial"/>
          <w:sz w:val="20"/>
          <w:szCs w:val="20"/>
        </w:rPr>
      </w:pPr>
      <w:r w:rsidRPr="0024400A">
        <w:rPr>
          <w:rFonts w:ascii="Arial" w:hAnsi="Arial" w:cs="Arial"/>
          <w:sz w:val="20"/>
          <w:szCs w:val="20"/>
        </w:rPr>
        <w:t>If there are mTSC1 KO mice available, can we treat some with rapamycin? Would be good to do this while measuring energy expenditure (so in CLAMS). We could then blot for SLN/SERCA in the muscle. I’d like to see this in the paper (the westerns at least) but I also think it would be ok to talk about having not done it as a limitation</w:t>
      </w:r>
    </w:p>
    <w:p w:rsidR="00D6197B" w:rsidRPr="0024400A" w:rsidRDefault="00D6197B" w:rsidP="00D6197B">
      <w:pPr>
        <w:pStyle w:val="ListParagraph"/>
        <w:rPr>
          <w:rFonts w:ascii="Arial" w:hAnsi="Arial" w:cs="Arial"/>
          <w:sz w:val="20"/>
          <w:szCs w:val="20"/>
        </w:rPr>
      </w:pPr>
    </w:p>
    <w:p w:rsidR="00D6197B" w:rsidRPr="0024400A" w:rsidRDefault="00D6197B" w:rsidP="00D6197B">
      <w:pPr>
        <w:pStyle w:val="ListParagraph"/>
        <w:numPr>
          <w:ilvl w:val="0"/>
          <w:numId w:val="2"/>
        </w:numPr>
        <w:rPr>
          <w:rFonts w:ascii="Arial" w:hAnsi="Arial" w:cs="Arial"/>
          <w:sz w:val="20"/>
          <w:szCs w:val="20"/>
        </w:rPr>
      </w:pPr>
      <w:r w:rsidRPr="0024400A">
        <w:rPr>
          <w:rFonts w:ascii="Arial" w:hAnsi="Arial" w:cs="Arial"/>
          <w:sz w:val="20"/>
          <w:szCs w:val="20"/>
        </w:rPr>
        <w:t xml:space="preserve">The dreaded Seahorse experiment. Or </w:t>
      </w:r>
      <w:proofErr w:type="spellStart"/>
      <w:r w:rsidRPr="0024400A">
        <w:rPr>
          <w:rFonts w:ascii="Arial" w:hAnsi="Arial" w:cs="Arial"/>
          <w:sz w:val="20"/>
          <w:szCs w:val="20"/>
        </w:rPr>
        <w:t>Oroboros</w:t>
      </w:r>
      <w:proofErr w:type="spellEnd"/>
      <w:r w:rsidRPr="0024400A">
        <w:rPr>
          <w:rFonts w:ascii="Arial" w:hAnsi="Arial" w:cs="Arial"/>
          <w:sz w:val="20"/>
          <w:szCs w:val="20"/>
        </w:rPr>
        <w:t xml:space="preserve">. But as reviewer 2 stated, this work is probably better suited for a follow up manuscript in the future. The major weakness of the paper is that we </w:t>
      </w:r>
      <w:r w:rsidRPr="0024400A">
        <w:rPr>
          <w:rFonts w:ascii="Arial" w:hAnsi="Arial" w:cs="Arial"/>
          <w:strike/>
          <w:sz w:val="20"/>
          <w:szCs w:val="20"/>
        </w:rPr>
        <w:t>did</w:t>
      </w:r>
      <w:r w:rsidR="00A0181B" w:rsidRPr="0024400A">
        <w:rPr>
          <w:rFonts w:ascii="Arial" w:hAnsi="Arial" w:cs="Arial"/>
          <w:strike/>
          <w:sz w:val="20"/>
          <w:szCs w:val="20"/>
        </w:rPr>
        <w:t xml:space="preserve"> </w:t>
      </w:r>
      <w:r w:rsidR="006608C2" w:rsidRPr="0024400A">
        <w:rPr>
          <w:rFonts w:ascii="Arial" w:hAnsi="Arial" w:cs="Arial"/>
          <w:sz w:val="20"/>
          <w:szCs w:val="20"/>
        </w:rPr>
        <w:t xml:space="preserve"> could not </w:t>
      </w:r>
      <w:r w:rsidRPr="0024400A">
        <w:rPr>
          <w:rFonts w:ascii="Arial" w:hAnsi="Arial" w:cs="Arial"/>
          <w:sz w:val="20"/>
          <w:szCs w:val="20"/>
        </w:rPr>
        <w:t>quantify the energy requirements/use of skeletal muscle.</w:t>
      </w:r>
    </w:p>
    <w:p w:rsidR="006C3F88" w:rsidRPr="0024400A" w:rsidRDefault="006C3F88" w:rsidP="006C3F88">
      <w:pPr>
        <w:rPr>
          <w:rFonts w:ascii="Arial" w:hAnsi="Arial" w:cs="Arial"/>
          <w:sz w:val="20"/>
          <w:szCs w:val="20"/>
        </w:rPr>
      </w:pPr>
    </w:p>
    <w:p w:rsidR="00F468FD" w:rsidRPr="0024400A" w:rsidRDefault="00F468FD" w:rsidP="006C3F88">
      <w:pPr>
        <w:rPr>
          <w:rFonts w:ascii="Arial" w:hAnsi="Arial" w:cs="Arial"/>
          <w:sz w:val="20"/>
          <w:szCs w:val="20"/>
          <w:u w:val="single"/>
        </w:rPr>
      </w:pPr>
      <w:r w:rsidRPr="0024400A">
        <w:rPr>
          <w:rFonts w:ascii="Arial" w:hAnsi="Arial" w:cs="Arial"/>
          <w:sz w:val="20"/>
          <w:szCs w:val="20"/>
          <w:u w:val="single"/>
        </w:rPr>
        <w:t xml:space="preserve">Changes to </w:t>
      </w:r>
      <w:r w:rsidR="006608C2" w:rsidRPr="0024400A">
        <w:rPr>
          <w:rFonts w:ascii="Arial" w:hAnsi="Arial" w:cs="Arial"/>
          <w:sz w:val="20"/>
          <w:szCs w:val="20"/>
          <w:u w:val="single"/>
        </w:rPr>
        <w:t xml:space="preserve">make to </w:t>
      </w:r>
      <w:r w:rsidRPr="0024400A">
        <w:rPr>
          <w:rFonts w:ascii="Arial" w:hAnsi="Arial" w:cs="Arial"/>
          <w:sz w:val="20"/>
          <w:szCs w:val="20"/>
          <w:u w:val="single"/>
        </w:rPr>
        <w:t>the text/figures</w:t>
      </w:r>
    </w:p>
    <w:p w:rsidR="00F468FD" w:rsidRPr="0024400A" w:rsidRDefault="00F468FD" w:rsidP="006C3F88">
      <w:pPr>
        <w:rPr>
          <w:rFonts w:ascii="Arial" w:hAnsi="Arial" w:cs="Arial"/>
          <w:sz w:val="20"/>
          <w:szCs w:val="20"/>
        </w:rPr>
      </w:pPr>
      <w:r w:rsidRPr="0024400A">
        <w:rPr>
          <w:rFonts w:ascii="Arial" w:hAnsi="Arial" w:cs="Arial"/>
          <w:sz w:val="20"/>
          <w:szCs w:val="20"/>
        </w:rPr>
        <w:t>Reviewer 1: No comments</w:t>
      </w:r>
    </w:p>
    <w:p w:rsidR="00EE259A" w:rsidRPr="0024400A" w:rsidRDefault="00EE259A" w:rsidP="006C3F88">
      <w:pPr>
        <w:rPr>
          <w:rFonts w:ascii="Arial" w:hAnsi="Arial" w:cs="Arial"/>
          <w:sz w:val="20"/>
          <w:szCs w:val="20"/>
        </w:rPr>
      </w:pPr>
    </w:p>
    <w:p w:rsidR="00F468FD" w:rsidRPr="0024400A" w:rsidRDefault="00F468FD" w:rsidP="006C3F88">
      <w:pPr>
        <w:rPr>
          <w:rFonts w:ascii="Arial" w:hAnsi="Arial" w:cs="Arial"/>
          <w:sz w:val="20"/>
          <w:szCs w:val="20"/>
        </w:rPr>
      </w:pPr>
      <w:r w:rsidRPr="0024400A">
        <w:rPr>
          <w:rFonts w:ascii="Arial" w:hAnsi="Arial" w:cs="Arial"/>
          <w:sz w:val="20"/>
          <w:szCs w:val="20"/>
        </w:rPr>
        <w:t>Reviewer 2:</w:t>
      </w:r>
    </w:p>
    <w:p w:rsidR="00F468FD" w:rsidRPr="0024400A" w:rsidRDefault="00F468FD" w:rsidP="00F468FD">
      <w:pPr>
        <w:pStyle w:val="ListParagraph"/>
        <w:numPr>
          <w:ilvl w:val="0"/>
          <w:numId w:val="3"/>
        </w:numPr>
        <w:rPr>
          <w:rFonts w:ascii="Arial" w:hAnsi="Arial" w:cs="Arial"/>
          <w:sz w:val="20"/>
          <w:szCs w:val="20"/>
        </w:rPr>
      </w:pPr>
      <w:r w:rsidRPr="0024400A">
        <w:rPr>
          <w:rFonts w:ascii="Arial" w:hAnsi="Arial" w:cs="Arial"/>
          <w:sz w:val="20"/>
          <w:szCs w:val="20"/>
        </w:rPr>
        <w:t>Tone of paper should better reflect the ‘uncleanliness’ of TSC1 KO as a model of mTORC1 activation</w:t>
      </w:r>
    </w:p>
    <w:p w:rsidR="00F468FD" w:rsidRPr="0024400A" w:rsidRDefault="00F468FD" w:rsidP="00F468FD">
      <w:pPr>
        <w:pStyle w:val="ListParagraph"/>
        <w:numPr>
          <w:ilvl w:val="0"/>
          <w:numId w:val="3"/>
        </w:numPr>
        <w:rPr>
          <w:rFonts w:ascii="Arial" w:hAnsi="Arial" w:cs="Arial"/>
          <w:sz w:val="20"/>
          <w:szCs w:val="20"/>
        </w:rPr>
      </w:pPr>
      <w:r w:rsidRPr="0024400A">
        <w:rPr>
          <w:rFonts w:ascii="Arial" w:hAnsi="Arial" w:cs="Arial"/>
          <w:sz w:val="20"/>
          <w:szCs w:val="20"/>
        </w:rPr>
        <w:t>If TSC1 KO in heart, we should discuss implications for longevity</w:t>
      </w:r>
    </w:p>
    <w:p w:rsidR="00F468FD" w:rsidRPr="0024400A" w:rsidRDefault="00F468FD" w:rsidP="00F468FD">
      <w:pPr>
        <w:pStyle w:val="ListParagraph"/>
        <w:numPr>
          <w:ilvl w:val="0"/>
          <w:numId w:val="3"/>
        </w:numPr>
        <w:rPr>
          <w:rFonts w:ascii="Arial" w:hAnsi="Arial" w:cs="Arial"/>
          <w:sz w:val="20"/>
          <w:szCs w:val="20"/>
        </w:rPr>
      </w:pPr>
      <w:r w:rsidRPr="0024400A">
        <w:rPr>
          <w:rFonts w:ascii="Arial" w:hAnsi="Arial" w:cs="Arial"/>
          <w:sz w:val="20"/>
          <w:szCs w:val="20"/>
        </w:rPr>
        <w:t>Maybe remove ITT in chow mice because it confuses the need for the clamp, or change the narrative to help it make sense to clamp after a negative ITT</w:t>
      </w:r>
    </w:p>
    <w:p w:rsidR="00EE259A" w:rsidRPr="0024400A" w:rsidRDefault="00EE259A" w:rsidP="00EE259A">
      <w:pPr>
        <w:pStyle w:val="ListParagraph"/>
        <w:rPr>
          <w:rFonts w:ascii="Arial" w:hAnsi="Arial" w:cs="Arial"/>
          <w:sz w:val="20"/>
          <w:szCs w:val="20"/>
        </w:rPr>
      </w:pPr>
    </w:p>
    <w:p w:rsidR="00F468FD" w:rsidRPr="0024400A" w:rsidRDefault="00F468FD" w:rsidP="00F468FD">
      <w:pPr>
        <w:rPr>
          <w:rFonts w:ascii="Arial" w:hAnsi="Arial" w:cs="Arial"/>
          <w:sz w:val="20"/>
          <w:szCs w:val="20"/>
        </w:rPr>
      </w:pPr>
      <w:r w:rsidRPr="0024400A">
        <w:rPr>
          <w:rFonts w:ascii="Arial" w:hAnsi="Arial" w:cs="Arial"/>
          <w:sz w:val="20"/>
          <w:szCs w:val="20"/>
        </w:rPr>
        <w:t>Reviewer 3:</w:t>
      </w:r>
    </w:p>
    <w:p w:rsidR="00F468FD"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 xml:space="preserve">Concerns re. physiological relevance. We did not use an inducible </w:t>
      </w:r>
      <w:proofErr w:type="spellStart"/>
      <w:r w:rsidRPr="0024400A">
        <w:rPr>
          <w:rFonts w:ascii="Arial" w:hAnsi="Arial" w:cs="Arial"/>
          <w:sz w:val="20"/>
          <w:szCs w:val="20"/>
        </w:rPr>
        <w:t>cre</w:t>
      </w:r>
      <w:proofErr w:type="spellEnd"/>
      <w:r w:rsidRPr="0024400A">
        <w:rPr>
          <w:rFonts w:ascii="Arial" w:hAnsi="Arial" w:cs="Arial"/>
          <w:sz w:val="20"/>
          <w:szCs w:val="20"/>
        </w:rPr>
        <w:t xml:space="preserve">. </w:t>
      </w:r>
      <w:proofErr w:type="spellStart"/>
      <w:r w:rsidRPr="0024400A">
        <w:rPr>
          <w:rFonts w:ascii="Arial" w:hAnsi="Arial" w:cs="Arial"/>
          <w:sz w:val="20"/>
          <w:szCs w:val="20"/>
        </w:rPr>
        <w:t>Perhaps</w:t>
      </w:r>
      <w:proofErr w:type="spellEnd"/>
      <w:r w:rsidRPr="0024400A">
        <w:rPr>
          <w:rFonts w:ascii="Arial" w:hAnsi="Arial" w:cs="Arial"/>
          <w:sz w:val="20"/>
          <w:szCs w:val="20"/>
        </w:rPr>
        <w:t xml:space="preserve"> something we can note as a limitation? Discussion of developmental adaptations and implications for aging/lifespan</w:t>
      </w:r>
    </w:p>
    <w:p w:rsidR="00EE259A"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 xml:space="preserve">Add citations in intro. Section re. </w:t>
      </w:r>
      <w:proofErr w:type="spellStart"/>
      <w:r w:rsidRPr="0024400A">
        <w:rPr>
          <w:rFonts w:ascii="Arial" w:hAnsi="Arial" w:cs="Arial"/>
          <w:sz w:val="20"/>
          <w:szCs w:val="20"/>
        </w:rPr>
        <w:t>fibertype</w:t>
      </w:r>
      <w:proofErr w:type="spellEnd"/>
      <w:r w:rsidRPr="0024400A">
        <w:rPr>
          <w:rFonts w:ascii="Arial" w:hAnsi="Arial" w:cs="Arial"/>
          <w:sz w:val="20"/>
          <w:szCs w:val="20"/>
        </w:rPr>
        <w:t xml:space="preserve"> transformation with aging and mTORC1 signaling with mechanical loading</w:t>
      </w:r>
    </w:p>
    <w:p w:rsidR="00EE259A"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Clarify where control groups were combined and where they were not</w:t>
      </w:r>
    </w:p>
    <w:p w:rsidR="00EE259A"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Describe CLAMS protocol and considerations more clearly</w:t>
      </w:r>
    </w:p>
    <w:p w:rsidR="00EE259A"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Describe rationale for rapamycin dose used</w:t>
      </w:r>
    </w:p>
    <w:p w:rsidR="00EE259A" w:rsidRPr="0024400A" w:rsidRDefault="00EE259A" w:rsidP="00F468FD">
      <w:pPr>
        <w:pStyle w:val="ListParagraph"/>
        <w:numPr>
          <w:ilvl w:val="0"/>
          <w:numId w:val="4"/>
        </w:numPr>
        <w:rPr>
          <w:rFonts w:ascii="Arial" w:hAnsi="Arial" w:cs="Arial"/>
          <w:sz w:val="20"/>
          <w:szCs w:val="20"/>
        </w:rPr>
      </w:pPr>
      <w:r w:rsidRPr="0024400A">
        <w:rPr>
          <w:rFonts w:ascii="Arial" w:hAnsi="Arial" w:cs="Arial"/>
          <w:sz w:val="20"/>
          <w:szCs w:val="20"/>
        </w:rPr>
        <w:t xml:space="preserve">Clarify what the asterisks </w:t>
      </w:r>
      <w:r w:rsidR="003C6D7F" w:rsidRPr="0024400A">
        <w:rPr>
          <w:rFonts w:ascii="Arial" w:hAnsi="Arial" w:cs="Arial"/>
          <w:sz w:val="20"/>
          <w:szCs w:val="20"/>
        </w:rPr>
        <w:t>on the CLAMS figures mean (i.e., light or dark or both)</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Add additional info re. stats and asterisks meaning to figure legends (esp. fig. 1)</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Add symbol to Fig. 1L to show difference in food intake between chow and HFD (not sure we need to since we aren’t actually comparing these groups)</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 xml:space="preserve">Add ages of the mice used at each experiment, particularly the </w:t>
      </w:r>
      <w:proofErr w:type="spellStart"/>
      <w:r w:rsidRPr="0024400A">
        <w:rPr>
          <w:rFonts w:ascii="Arial" w:hAnsi="Arial" w:cs="Arial"/>
          <w:sz w:val="20"/>
          <w:szCs w:val="20"/>
        </w:rPr>
        <w:t>RNAseq</w:t>
      </w:r>
      <w:proofErr w:type="spellEnd"/>
      <w:r w:rsidRPr="0024400A">
        <w:rPr>
          <w:rFonts w:ascii="Arial" w:hAnsi="Arial" w:cs="Arial"/>
          <w:sz w:val="20"/>
          <w:szCs w:val="20"/>
        </w:rPr>
        <w:t xml:space="preserve"> muscle collection</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Add molecular weight marker to S6 blot in Fig. 4</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Clarify what age is meant by “at an earlier age” (in ref. to old appearance as the mice aged)</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Prepare a response justifying the inclusion of the necropsy paragraph in the manuscript. Reviewer 3 asked for its removal but I think it is important to report negative data</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Clarify that the increase in carbohydrate oxidation was only observed in females</w:t>
      </w:r>
    </w:p>
    <w:p w:rsidR="003C6D7F" w:rsidRPr="0024400A" w:rsidRDefault="003C6D7F" w:rsidP="00F468FD">
      <w:pPr>
        <w:pStyle w:val="ListParagraph"/>
        <w:numPr>
          <w:ilvl w:val="0"/>
          <w:numId w:val="4"/>
        </w:numPr>
        <w:rPr>
          <w:rFonts w:ascii="Arial" w:hAnsi="Arial" w:cs="Arial"/>
          <w:sz w:val="20"/>
          <w:szCs w:val="20"/>
        </w:rPr>
      </w:pPr>
      <w:r w:rsidRPr="0024400A">
        <w:rPr>
          <w:rFonts w:ascii="Arial" w:hAnsi="Arial" w:cs="Arial"/>
          <w:sz w:val="20"/>
          <w:szCs w:val="20"/>
        </w:rPr>
        <w:t xml:space="preserve">Note that some of our findings had also been observed in papers from the </w:t>
      </w:r>
      <w:proofErr w:type="spellStart"/>
      <w:r w:rsidRPr="0024400A">
        <w:rPr>
          <w:rFonts w:ascii="Arial" w:hAnsi="Arial" w:cs="Arial"/>
          <w:sz w:val="20"/>
          <w:szCs w:val="20"/>
        </w:rPr>
        <w:t>R</w:t>
      </w:r>
      <w:r w:rsidR="006608C2" w:rsidRPr="0024400A">
        <w:rPr>
          <w:rFonts w:ascii="Arial" w:hAnsi="Arial" w:cs="Arial"/>
          <w:sz w:val="20"/>
          <w:szCs w:val="20"/>
        </w:rPr>
        <w:t>ü</w:t>
      </w:r>
      <w:r w:rsidRPr="0024400A">
        <w:rPr>
          <w:rFonts w:ascii="Arial" w:hAnsi="Arial" w:cs="Arial"/>
          <w:sz w:val="20"/>
          <w:szCs w:val="20"/>
        </w:rPr>
        <w:t>egg</w:t>
      </w:r>
      <w:proofErr w:type="spellEnd"/>
      <w:r w:rsidRPr="0024400A">
        <w:rPr>
          <w:rFonts w:ascii="Arial" w:hAnsi="Arial" w:cs="Arial"/>
          <w:sz w:val="20"/>
          <w:szCs w:val="20"/>
        </w:rPr>
        <w:t xml:space="preserve"> group. Specifically</w:t>
      </w:r>
      <w:r w:rsidR="00A0181B" w:rsidRPr="0024400A">
        <w:rPr>
          <w:rFonts w:ascii="Arial" w:hAnsi="Arial" w:cs="Arial"/>
          <w:sz w:val="20"/>
          <w:szCs w:val="20"/>
        </w:rPr>
        <w:t xml:space="preserve"> mentioned by reviewer 3 were:</w:t>
      </w:r>
      <w:r w:rsidRPr="0024400A">
        <w:rPr>
          <w:rFonts w:ascii="Arial" w:hAnsi="Arial" w:cs="Arial"/>
          <w:sz w:val="20"/>
          <w:szCs w:val="20"/>
        </w:rPr>
        <w:t xml:space="preserve"> </w:t>
      </w:r>
      <w:r w:rsidR="00A0181B" w:rsidRPr="0024400A">
        <w:rPr>
          <w:rFonts w:ascii="Arial" w:hAnsi="Arial" w:cs="Arial"/>
          <w:sz w:val="20"/>
          <w:szCs w:val="20"/>
        </w:rPr>
        <w:t>the</w:t>
      </w:r>
      <w:r w:rsidRPr="0024400A">
        <w:rPr>
          <w:rFonts w:ascii="Arial" w:hAnsi="Arial" w:cs="Arial"/>
          <w:sz w:val="20"/>
          <w:szCs w:val="20"/>
        </w:rPr>
        <w:t xml:space="preserve"> oxidative fiber-type transition, markedly smaller white adipose tissue depots following HFD, better insulin sensitivity following HFD, </w:t>
      </w:r>
      <w:r w:rsidR="00A0181B" w:rsidRPr="0024400A">
        <w:rPr>
          <w:rFonts w:ascii="Arial" w:hAnsi="Arial" w:cs="Arial"/>
          <w:sz w:val="20"/>
          <w:szCs w:val="20"/>
        </w:rPr>
        <w:t xml:space="preserve">and </w:t>
      </w:r>
      <w:r w:rsidRPr="0024400A">
        <w:rPr>
          <w:rFonts w:ascii="Arial" w:hAnsi="Arial" w:cs="Arial"/>
          <w:sz w:val="20"/>
          <w:szCs w:val="20"/>
        </w:rPr>
        <w:t xml:space="preserve">the presence of kyphosis </w:t>
      </w:r>
      <w:r w:rsidR="00A0181B" w:rsidRPr="0024400A">
        <w:rPr>
          <w:rFonts w:ascii="Arial" w:hAnsi="Arial" w:cs="Arial"/>
          <w:sz w:val="20"/>
          <w:szCs w:val="20"/>
        </w:rPr>
        <w:t>at 9 months of age and early death at 12 months</w:t>
      </w:r>
    </w:p>
    <w:sectPr w:rsidR="003C6D7F" w:rsidRPr="0024400A" w:rsidSect="00F468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509"/>
    <w:multiLevelType w:val="hybridMultilevel"/>
    <w:tmpl w:val="B532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932AF"/>
    <w:multiLevelType w:val="hybridMultilevel"/>
    <w:tmpl w:val="D8A0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752DD"/>
    <w:multiLevelType w:val="hybridMultilevel"/>
    <w:tmpl w:val="7466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9453C"/>
    <w:multiLevelType w:val="hybridMultilevel"/>
    <w:tmpl w:val="A3BA9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FF"/>
    <w:rsid w:val="00040CCC"/>
    <w:rsid w:val="0020675F"/>
    <w:rsid w:val="0024400A"/>
    <w:rsid w:val="00394348"/>
    <w:rsid w:val="003C6D7F"/>
    <w:rsid w:val="006608C2"/>
    <w:rsid w:val="006C3F88"/>
    <w:rsid w:val="00781625"/>
    <w:rsid w:val="007A39FF"/>
    <w:rsid w:val="007A6011"/>
    <w:rsid w:val="008546B8"/>
    <w:rsid w:val="00A0181B"/>
    <w:rsid w:val="00A679DC"/>
    <w:rsid w:val="00AC6AD4"/>
    <w:rsid w:val="00B70B19"/>
    <w:rsid w:val="00C17766"/>
    <w:rsid w:val="00D4576B"/>
    <w:rsid w:val="00D6197B"/>
    <w:rsid w:val="00EC2020"/>
    <w:rsid w:val="00EE259A"/>
    <w:rsid w:val="00EF7A30"/>
    <w:rsid w:val="00F4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9DC5D"/>
  <w15:chartTrackingRefBased/>
  <w15:docId w15:val="{0A4C9E3C-951C-694C-8215-08607862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6</cp:revision>
  <dcterms:created xsi:type="dcterms:W3CDTF">2019-08-12T20:45:00Z</dcterms:created>
  <dcterms:modified xsi:type="dcterms:W3CDTF">2019-08-12T21:37:00Z</dcterms:modified>
</cp:coreProperties>
</file>