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83" w:rsidRPr="00E94983" w:rsidRDefault="00E94983" w:rsidP="00E94983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94983">
        <w:rPr>
          <w:rFonts w:ascii="Arial" w:hAnsi="Arial" w:cs="Arial"/>
          <w:b/>
          <w:bCs/>
          <w:color w:val="000000" w:themeColor="text1"/>
          <w:sz w:val="22"/>
          <w:szCs w:val="22"/>
        </w:rPr>
        <w:t>Abstract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Objective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The mechanistic target of rapamycin (mTORC1) is a nutrient responsive protein kinase complex that helps co-ordinate anabolic processes across all tissues. There is evidence that signaling through mTORC1 in skeletal muscle may be a determinant of energy expenditure and aging and therefore components downstream of mTORC1 signaling may be potential targets for treating obesity and age-associated metabolic disease. </w:t>
      </w:r>
      <w:r>
        <w:rPr>
          <w:rFonts w:ascii="Arial" w:hAnsi="Arial" w:cs="Arial"/>
          <w:color w:val="000000" w:themeColor="text1"/>
          <w:sz w:val="22"/>
          <w:szCs w:val="22"/>
        </w:rPr>
        <w:t>This study aimed to identify mTORC1-dependent mechanisms in skeletal muscle that regulate energy balance and aging.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Methods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e generated mice with </w:t>
      </w:r>
      <w:proofErr w:type="spellStart"/>
      <w:r w:rsidRPr="00D71F75">
        <w:rPr>
          <w:rFonts w:ascii="Arial" w:hAnsi="Arial" w:cs="Arial"/>
          <w:i/>
          <w:color w:val="000000" w:themeColor="text1"/>
          <w:sz w:val="22"/>
          <w:szCs w:val="22"/>
        </w:rPr>
        <w:t>Ckmm-Cre</w:t>
      </w:r>
      <w:proofErr w:type="spellEnd"/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driven ablation of </w:t>
      </w:r>
      <w:r w:rsidRPr="00D71F75">
        <w:rPr>
          <w:rFonts w:ascii="Arial" w:hAnsi="Arial" w:cs="Arial"/>
          <w:i/>
          <w:color w:val="000000" w:themeColor="text1"/>
          <w:sz w:val="22"/>
          <w:szCs w:val="22"/>
        </w:rPr>
        <w:t>Tsc1,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which confers constitutive activation of mTORC1 in skeletal muscle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performed u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>nbiased transcriptional analys</w:t>
      </w: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>identif</w:t>
      </w:r>
      <w:r>
        <w:rPr>
          <w:rFonts w:ascii="Arial" w:hAnsi="Arial" w:cs="Arial"/>
          <w:color w:val="000000" w:themeColor="text1"/>
          <w:sz w:val="22"/>
          <w:szCs w:val="22"/>
        </w:rPr>
        <w:t>y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pathways and candidate genes that may explain how skeletal muscle mTORC1 activity regulates energy balance and aging.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Results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Activation of skeletal muscle mTORC1 produced a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striking resistance to diet- and age-induced obesity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without inducing systemic insulin resistance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. We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found 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that increases in energy expenditure following a high fat diet </w:t>
      </w:r>
      <w:r>
        <w:rPr>
          <w:rFonts w:ascii="Arial" w:hAnsi="Arial" w:cs="Arial"/>
          <w:color w:val="000000" w:themeColor="text1"/>
          <w:sz w:val="22"/>
          <w:szCs w:val="22"/>
        </w:rPr>
        <w:t>were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mTORC1-dependent and that elevated energy expenditure caused by ablation of </w:t>
      </w:r>
      <w:r w:rsidRPr="00D71F75">
        <w:rPr>
          <w:rFonts w:ascii="Arial" w:hAnsi="Arial" w:cs="Arial"/>
          <w:i/>
          <w:color w:val="000000" w:themeColor="text1"/>
          <w:sz w:val="22"/>
          <w:szCs w:val="22"/>
        </w:rPr>
        <w:t>Tsc1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coincide</w:t>
      </w:r>
      <w:r>
        <w:rPr>
          <w:rFonts w:ascii="Arial" w:hAnsi="Arial" w:cs="Arial"/>
          <w:color w:val="000000" w:themeColor="text1"/>
          <w:sz w:val="22"/>
          <w:szCs w:val="22"/>
        </w:rPr>
        <w:t>d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with the upregulation of skeletal muscle-specific thermogenic mechanisms that involve sarcolipin-driven futile cycling of Ca</w:t>
      </w:r>
      <w:r w:rsidRPr="00D71F75">
        <w:rPr>
          <w:rFonts w:ascii="Arial" w:hAnsi="Arial" w:cs="Arial"/>
          <w:color w:val="000000" w:themeColor="text1"/>
          <w:sz w:val="22"/>
          <w:szCs w:val="22"/>
          <w:vertAlign w:val="superscript"/>
        </w:rPr>
        <w:t xml:space="preserve">2+ 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through SERCA2. Additionally, we </w:t>
      </w: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 that constitutive activation of mTORC1 in skeletal muscle reduces lifespan. </w:t>
      </w: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E94983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Conclusions</w:t>
      </w:r>
    </w:p>
    <w:p w:rsidR="00E94983" w:rsidRPr="00D71F75" w:rsidRDefault="00E94983" w:rsidP="00E9498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71F75">
        <w:rPr>
          <w:rFonts w:ascii="Arial" w:hAnsi="Arial" w:cs="Arial"/>
          <w:color w:val="000000" w:themeColor="text1"/>
          <w:sz w:val="22"/>
          <w:szCs w:val="22"/>
        </w:rPr>
        <w:t xml:space="preserve">These findings support the hypothesis that activation of mTORC1 and its downstream targets, specifically in skeletal muscle, may play a role in nutrient-dependent thermogenesis and aging. </w:t>
      </w:r>
      <w:bookmarkStart w:id="0" w:name="_GoBack"/>
      <w:bookmarkEnd w:id="0"/>
    </w:p>
    <w:p w:rsidR="007A6011" w:rsidRDefault="007A6011"/>
    <w:sectPr w:rsidR="007A6011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3"/>
    <w:rsid w:val="00040CCC"/>
    <w:rsid w:val="0020675F"/>
    <w:rsid w:val="00781625"/>
    <w:rsid w:val="007A6011"/>
    <w:rsid w:val="008546B8"/>
    <w:rsid w:val="00A679DC"/>
    <w:rsid w:val="00AC6AD4"/>
    <w:rsid w:val="00B70B19"/>
    <w:rsid w:val="00C17766"/>
    <w:rsid w:val="00E94983"/>
    <w:rsid w:val="00E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3316"/>
  <w15:chartTrackingRefBased/>
  <w15:docId w15:val="{10B47E3C-D185-2B44-A0F7-7D3BA22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83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1400</Characters>
  <Application>Microsoft Office Word</Application>
  <DocSecurity>0</DocSecurity>
  <Lines>20</Lines>
  <Paragraphs>5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1</cp:revision>
  <dcterms:created xsi:type="dcterms:W3CDTF">2019-07-29T15:37:00Z</dcterms:created>
  <dcterms:modified xsi:type="dcterms:W3CDTF">2019-07-29T15:54:00Z</dcterms:modified>
</cp:coreProperties>
</file>