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sz w:val="40"/>
        </w:rPr>
        <w:t>Evaluation of long-submission-pdf</w:t>
      </w:r>
    </w:p>
    <w:p>
      <w:pPr>
        <w:jc w:val="center"/>
      </w:pPr>
      <w:r>
        <w:rPr>
          <w:b w:val="0"/>
          <w:sz w:val="28"/>
        </w:rPr>
        <w:t>Expected against actual behaviour</w:t>
      </w:r>
    </w:p>
    <w:p/>
    <w:p>
      <w:pPr>
        <w:jc w:val="center"/>
      </w:pPr>
      <w:r>
        <w:rPr>
          <w:b/>
        </w:rPr>
        <w:t>Public Procurement Document-Completeness Agent</w:t>
      </w:r>
    </w:p>
    <w:p>
      <w:pPr>
        <w:jc w:val="center"/>
      </w:pPr>
      <w:r>
        <w:rPr>
          <w:b w:val="0"/>
        </w:rPr>
        <w:t>BSE4104 AI-Native and Agentic Engineering Capstone</w:t>
      </w:r>
    </w:p>
    <w:p>
      <w:pPr>
        <w:jc w:val="center"/>
      </w:pPr>
      <w:r>
        <w:rPr>
          <w:b w:val="0"/>
        </w:rPr>
        <w:t>Group H (Evening), Makerere University</w:t>
      </w:r>
    </w:p>
    <w:p>
      <w:pPr>
        <w:jc w:val="center"/>
      </w:pPr>
      <w:r>
        <w:rPr>
          <w:b w:val="0"/>
        </w:rPr>
        <w:t>16 September 2026</w:t>
      </w:r>
    </w:p>
    <w:p>
      <w:pPr>
        <w:pStyle w:val="Heading1"/>
      </w:pPr>
      <w:r>
        <w:t>1. Introduction and objectives</w:t>
      </w:r>
    </w:p>
    <w:p>
      <w:r>
        <w:rPr>
          <w:i w:val="0"/>
        </w:rPr>
        <w:t>This report records an evaluation of the Public Procurement Document-Completeness Agent against 1 test case. The objective was to determine, case by case, whether the actual behaviour of the system met the behaviour expected of it.</w:t>
      </w:r>
    </w:p>
    <w:p>
      <w:r>
        <w:rPr>
          <w:i w:val="0"/>
        </w:rPr>
        <w:t>Each expected behaviour was written before the case was run and was not changed afterwards. For every case the report states the expected behaviour, the actual behaviour in full, and an observation describing any difference between the two.</w:t>
      </w:r>
    </w:p>
    <w:p>
      <w:pPr>
        <w:pStyle w:val="Heading1"/>
      </w:pPr>
      <w:r>
        <w:t>2. Methodology</w:t>
      </w:r>
    </w:p>
    <w:p>
      <w:r>
        <w:rPr>
          <w:i w:val="0"/>
        </w:rPr>
        <w:t>Each case was run once through the application, not through the model alone, so the deterministic checks were exercised as well. A case was marked Pass only when every part of the expected behaviour was met.</w:t>
      </w:r>
    </w:p>
    <w:p>
      <w:r>
        <w:rPr>
          <w:b/>
        </w:rPr>
        <w:t xml:space="preserve">Documents tested. </w:t>
      </w:r>
      <w:r>
        <w:rPr>
          <w:i w:val="0"/>
        </w:rPr>
        <w:t>The submission long-submission-pdf, one of the documents used for testing.</w:t>
      </w:r>
    </w:p>
    <w:p>
      <w:r>
        <w:rPr>
          <w:i w:val="0"/>
        </w:rPr>
        <w:t>Table 1 records the configuration under which the cases were run.</w:t>
      </w:r>
    </w:p>
    <w:p>
      <w:pPr>
        <w:pStyle w:val="Caption"/>
      </w:pPr>
      <w:r>
        <w:rPr>
          <w:b/>
        </w:rPr>
        <w:t xml:space="preserve">Table </w:t>
      </w:r>
      <w:r>
        <w:fldChar w:fldCharType="begin"/>
      </w:r>
      <w:r>
        <w:instrText xml:space="preserve"> SEQ Table \* ARABIC </w:instrText>
      </w:r>
      <w:r>
        <w:fldChar w:fldCharType="separate"/>
      </w:r>
      <w:r>
        <w:rPr>
          <w:b/>
        </w:rPr>
        <w:t>1</w:t>
      </w:r>
      <w:r>
        <w:fldChar w:fldCharType="end"/>
      </w:r>
      <w:r>
        <w:rPr>
          <w:b/>
        </w:rPr>
        <w:t xml:space="preserve">: </w:t>
      </w:r>
      <w:r>
        <w:t>Configuration of the evaluated run</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2655"/>
          </w:tcPr>
          <w:p>
            <w:pPr>
              <w:spacing w:line="240" w:lineRule="auto" w:after="40"/>
              <w:jc w:val="left"/>
            </w:pPr>
            <w:r/>
            <w:r>
              <w:rPr>
                <w:rFonts w:ascii="Times New Roman" w:hAnsi="Times New Roman"/>
                <w:b/>
                <w:sz w:val="20"/>
              </w:rPr>
              <w:t>Setting</w:t>
            </w:r>
          </w:p>
        </w:tc>
        <w:tc>
          <w:tcPr>
            <w:tcW w:type="dxa" w:w="6371"/>
          </w:tcPr>
          <w:p>
            <w:pPr>
              <w:spacing w:line="240" w:lineRule="auto" w:after="40"/>
              <w:jc w:val="left"/>
            </w:pPr>
            <w:r/>
            <w:r>
              <w:rPr>
                <w:rFonts w:ascii="Times New Roman" w:hAnsi="Times New Roman"/>
                <w:b/>
                <w:sz w:val="20"/>
              </w:rPr>
              <w:t>Value</w:t>
            </w:r>
          </w:p>
        </w:tc>
      </w:tr>
      <w:tr>
        <w:tc>
          <w:tcPr>
            <w:tcW w:type="dxa" w:w="2655"/>
          </w:tcPr>
          <w:p>
            <w:pPr>
              <w:spacing w:line="240" w:lineRule="auto" w:after="40"/>
              <w:jc w:val="left"/>
            </w:pPr>
            <w:r/>
            <w:r>
              <w:rPr>
                <w:rFonts w:ascii="Times New Roman" w:hAnsi="Times New Roman"/>
                <w:b w:val="0"/>
                <w:sz w:val="20"/>
              </w:rPr>
              <w:t>Model</w:t>
            </w:r>
          </w:p>
        </w:tc>
        <w:tc>
          <w:tcPr>
            <w:tcW w:type="dxa" w:w="6371"/>
          </w:tcPr>
          <w:p>
            <w:pPr>
              <w:spacing w:line="240" w:lineRule="auto" w:after="40"/>
              <w:jc w:val="left"/>
            </w:pPr>
            <w:r/>
            <w:r>
              <w:rPr>
                <w:rFonts w:ascii="Times New Roman" w:hAnsi="Times New Roman"/>
                <w:b w:val="0"/>
                <w:sz w:val="20"/>
              </w:rPr>
              <w:t>llama3.1:8b</w:t>
            </w:r>
          </w:p>
        </w:tc>
      </w:tr>
      <w:tr>
        <w:tc>
          <w:tcPr>
            <w:tcW w:type="dxa" w:w="2655"/>
          </w:tcPr>
          <w:p>
            <w:pPr>
              <w:spacing w:line="240" w:lineRule="auto" w:after="40"/>
              <w:jc w:val="left"/>
            </w:pPr>
            <w:r/>
            <w:r>
              <w:rPr>
                <w:rFonts w:ascii="Times New Roman" w:hAnsi="Times New Roman"/>
                <w:b w:val="0"/>
                <w:sz w:val="20"/>
              </w:rPr>
              <w:t>Prompt pipeline</w:t>
            </w:r>
          </w:p>
        </w:tc>
        <w:tc>
          <w:tcPr>
            <w:tcW w:type="dxa" w:w="6371"/>
          </w:tcPr>
          <w:p>
            <w:pPr>
              <w:spacing w:line="240" w:lineRule="auto" w:after="40"/>
              <w:jc w:val="left"/>
            </w:pPr>
            <w:r/>
            <w:r>
              <w:rPr>
                <w:rFonts w:ascii="Times New Roman" w:hAnsi="Times New Roman"/>
                <w:b w:val="0"/>
                <w:sz w:val="20"/>
              </w:rPr>
              <w:t>v2.0-per-item + adjudicator-v1.0</w:t>
            </w:r>
          </w:p>
        </w:tc>
      </w:tr>
      <w:tr>
        <w:tc>
          <w:tcPr>
            <w:tcW w:type="dxa" w:w="2655"/>
          </w:tcPr>
          <w:p>
            <w:pPr>
              <w:spacing w:line="240" w:lineRule="auto" w:after="40"/>
              <w:jc w:val="left"/>
            </w:pPr>
            <w:r/>
            <w:r>
              <w:rPr>
                <w:rFonts w:ascii="Times New Roman" w:hAnsi="Times New Roman"/>
                <w:b w:val="0"/>
                <w:sz w:val="20"/>
              </w:rPr>
              <w:t>Matching method</w:t>
            </w:r>
          </w:p>
        </w:tc>
        <w:tc>
          <w:tcPr>
            <w:tcW w:type="dxa" w:w="6371"/>
          </w:tcPr>
          <w:p>
            <w:pPr>
              <w:spacing w:line="240" w:lineRule="auto" w:after="40"/>
              <w:jc w:val="left"/>
            </w:pPr>
            <w:r/>
            <w:r>
              <w:rPr>
                <w:rFonts w:ascii="Times New Roman" w:hAnsi="Times New Roman"/>
                <w:b w:val="0"/>
                <w:sz w:val="20"/>
              </w:rPr>
              <w:t>one check per checklist item</w:t>
            </w:r>
          </w:p>
        </w:tc>
      </w:tr>
      <w:tr>
        <w:tc>
          <w:tcPr>
            <w:tcW w:type="dxa" w:w="2655"/>
          </w:tcPr>
          <w:p>
            <w:pPr>
              <w:spacing w:line="240" w:lineRule="auto" w:after="40"/>
              <w:jc w:val="left"/>
            </w:pPr>
            <w:r/>
            <w:r>
              <w:rPr>
                <w:rFonts w:ascii="Times New Roman" w:hAnsi="Times New Roman"/>
                <w:b w:val="0"/>
                <w:sz w:val="20"/>
              </w:rPr>
              <w:t>Human review threshold</w:t>
            </w:r>
          </w:p>
        </w:tc>
        <w:tc>
          <w:tcPr>
            <w:tcW w:type="dxa" w:w="6371"/>
          </w:tcPr>
          <w:p>
            <w:pPr>
              <w:spacing w:line="240" w:lineRule="auto" w:after="40"/>
              <w:jc w:val="left"/>
            </w:pPr>
            <w:r/>
            <w:r>
              <w:rPr>
                <w:rFonts w:ascii="Times New Roman" w:hAnsi="Times New Roman"/>
                <w:b w:val="0"/>
                <w:sz w:val="20"/>
              </w:rPr>
              <w:t>0.85</w:t>
            </w:r>
          </w:p>
        </w:tc>
      </w:tr>
      <w:tr>
        <w:tc>
          <w:tcPr>
            <w:tcW w:type="dxa" w:w="2655"/>
          </w:tcPr>
          <w:p>
            <w:pPr>
              <w:spacing w:line="240" w:lineRule="auto" w:after="40"/>
              <w:jc w:val="left"/>
            </w:pPr>
            <w:r/>
            <w:r>
              <w:rPr>
                <w:rFonts w:ascii="Times New Roman" w:hAnsi="Times New Roman"/>
                <w:b w:val="0"/>
                <w:sz w:val="20"/>
              </w:rPr>
              <w:t>Context window</w:t>
            </w:r>
          </w:p>
        </w:tc>
        <w:tc>
          <w:tcPr>
            <w:tcW w:type="dxa" w:w="6371"/>
          </w:tcPr>
          <w:p>
            <w:pPr>
              <w:spacing w:line="240" w:lineRule="auto" w:after="40"/>
              <w:jc w:val="left"/>
            </w:pPr>
            <w:r/>
            <w:r>
              <w:rPr>
                <w:rFonts w:ascii="Times New Roman" w:hAnsi="Times New Roman"/>
                <w:b w:val="0"/>
                <w:sz w:val="20"/>
              </w:rPr>
              <w:t>16,384 tokens</w:t>
            </w:r>
          </w:p>
        </w:tc>
      </w:tr>
      <w:tr>
        <w:tc>
          <w:tcPr>
            <w:tcW w:type="dxa" w:w="2655"/>
          </w:tcPr>
          <w:p>
            <w:pPr>
              <w:spacing w:line="240" w:lineRule="auto" w:after="40"/>
              <w:jc w:val="left"/>
            </w:pPr>
            <w:r/>
            <w:r>
              <w:rPr>
                <w:rFonts w:ascii="Times New Roman" w:hAnsi="Times New Roman"/>
                <w:b w:val="0"/>
                <w:sz w:val="20"/>
              </w:rPr>
              <w:t>Cases run</w:t>
            </w:r>
          </w:p>
        </w:tc>
        <w:tc>
          <w:tcPr>
            <w:tcW w:type="dxa" w:w="6371"/>
          </w:tcPr>
          <w:p>
            <w:pPr>
              <w:spacing w:line="240" w:lineRule="auto" w:after="40"/>
              <w:jc w:val="left"/>
            </w:pPr>
            <w:r/>
            <w:r>
              <w:rPr>
                <w:rFonts w:ascii="Times New Roman" w:hAnsi="Times New Roman"/>
                <w:b w:val="0"/>
                <w:sz w:val="20"/>
              </w:rPr>
              <w:t>1</w:t>
            </w:r>
          </w:p>
        </w:tc>
      </w:tr>
      <w:tr>
        <w:tc>
          <w:tcPr>
            <w:tcW w:type="dxa" w:w="2655"/>
          </w:tcPr>
          <w:p>
            <w:pPr>
              <w:spacing w:line="240" w:lineRule="auto" w:after="40"/>
              <w:jc w:val="left"/>
            </w:pPr>
            <w:r/>
            <w:r>
              <w:rPr>
                <w:rFonts w:ascii="Times New Roman" w:hAnsi="Times New Roman"/>
                <w:b w:val="0"/>
                <w:sz w:val="20"/>
              </w:rPr>
              <w:t>Cases meeting expectation</w:t>
            </w:r>
          </w:p>
        </w:tc>
        <w:tc>
          <w:tcPr>
            <w:tcW w:type="dxa" w:w="6371"/>
          </w:tcPr>
          <w:p>
            <w:pPr>
              <w:spacing w:line="240" w:lineRule="auto" w:after="40"/>
              <w:jc w:val="left"/>
            </w:pPr>
            <w:r/>
            <w:r>
              <w:rPr>
                <w:rFonts w:ascii="Times New Roman" w:hAnsi="Times New Roman"/>
                <w:b w:val="0"/>
                <w:sz w:val="20"/>
              </w:rPr>
              <w:t>1 of 1</w:t>
            </w:r>
          </w:p>
        </w:tc>
      </w:tr>
      <w:tr>
        <w:tc>
          <w:tcPr>
            <w:tcW w:type="dxa" w:w="2655"/>
          </w:tcPr>
          <w:p>
            <w:pPr>
              <w:spacing w:line="240" w:lineRule="auto" w:after="40"/>
              <w:jc w:val="left"/>
            </w:pPr>
            <w:r/>
            <w:r>
              <w:rPr>
                <w:rFonts w:ascii="Times New Roman" w:hAnsi="Times New Roman"/>
                <w:b w:val="0"/>
                <w:sz w:val="20"/>
              </w:rPr>
              <w:t>Date</w:t>
            </w:r>
          </w:p>
        </w:tc>
        <w:tc>
          <w:tcPr>
            <w:tcW w:type="dxa" w:w="6371"/>
          </w:tcPr>
          <w:p>
            <w:pPr>
              <w:spacing w:line="240" w:lineRule="auto" w:after="40"/>
              <w:jc w:val="left"/>
            </w:pPr>
            <w:r/>
            <w:r>
              <w:rPr>
                <w:rFonts w:ascii="Times New Roman" w:hAnsi="Times New Roman"/>
                <w:b w:val="0"/>
                <w:sz w:val="20"/>
              </w:rPr>
              <w:t>16 September 2026</w:t>
            </w:r>
          </w:p>
        </w:tc>
      </w:tr>
    </w:tbl>
    <w:p>
      <w:pPr>
        <w:spacing w:after="0"/>
      </w:pPr>
    </w:p>
    <w:p>
      <w:pPr>
        <w:pStyle w:val="Heading1"/>
      </w:pPr>
      <w:r>
        <w:t>3. Results</w:t>
      </w:r>
    </w:p>
    <w:p>
      <w:r>
        <w:rPr>
          <w:i w:val="0"/>
        </w:rPr>
        <w:t>1 of 1 cases behaved as expected.</w:t>
      </w:r>
    </w:p>
    <w:p>
      <w:r>
        <w:rPr>
          <w:i w:val="0"/>
        </w:rPr>
        <w:t>Table 2 groups the cases by the area of behaviour they tested.</w:t>
      </w:r>
    </w:p>
    <w:p>
      <w:pPr>
        <w:pStyle w:val="Caption"/>
      </w:pPr>
      <w:r>
        <w:rPr>
          <w:b/>
        </w:rPr>
        <w:t xml:space="preserve">Table </w:t>
      </w:r>
      <w:r>
        <w:fldChar w:fldCharType="begin"/>
      </w:r>
      <w:r>
        <w:instrText xml:space="preserve"> SEQ Table \* ARABIC </w:instrText>
      </w:r>
      <w:r>
        <w:fldChar w:fldCharType="separate"/>
      </w:r>
      <w:r>
        <w:rPr>
          <w:b/>
        </w:rPr>
        <w:t>2</w:t>
      </w:r>
      <w:r>
        <w:fldChar w:fldCharType="end"/>
      </w:r>
      <w:r>
        <w:rPr>
          <w:b/>
        </w:rPr>
        <w:t xml:space="preserve">: </w:t>
      </w:r>
      <w:r>
        <w:t>Cases meeting expectation, by area</w:t>
      </w:r>
    </w:p>
    <w:tbl>
      <w:tblPr>
        <w:tblStyle w:val="TableGrid"/>
        <w:tblW w:type="auto" w:w="0"/>
        <w:jc w:val="center"/>
        <w:tblLook w:firstColumn="1" w:firstRow="1" w:lastColumn="0" w:lastRow="0" w:noHBand="0" w:noVBand="1" w:val="04A0"/>
      </w:tblPr>
      <w:tblGrid>
        <w:gridCol w:w="4513"/>
        <w:gridCol w:w="4513"/>
      </w:tblGrid>
      <w:tr>
        <w:trPr>
          <w:tblHeader w:val="true"/>
        </w:trPr>
        <w:tc>
          <w:tcPr>
            <w:tcW w:type="dxa" w:w="6769"/>
          </w:tcPr>
          <w:p>
            <w:pPr>
              <w:spacing w:line="240" w:lineRule="auto" w:after="40"/>
              <w:jc w:val="left"/>
            </w:pPr>
            <w:r/>
            <w:r>
              <w:rPr>
                <w:rFonts w:ascii="Times New Roman" w:hAnsi="Times New Roman"/>
                <w:b/>
                <w:sz w:val="20"/>
              </w:rPr>
              <w:t>Area tested</w:t>
            </w:r>
          </w:p>
        </w:tc>
        <w:tc>
          <w:tcPr>
            <w:tcW w:type="dxa" w:w="2256"/>
          </w:tcPr>
          <w:p>
            <w:pPr>
              <w:spacing w:line="240" w:lineRule="auto" w:after="40"/>
              <w:jc w:val="left"/>
            </w:pPr>
            <w:r/>
            <w:r>
              <w:rPr>
                <w:rFonts w:ascii="Times New Roman" w:hAnsi="Times New Roman"/>
                <w:b/>
                <w:sz w:val="20"/>
              </w:rPr>
              <w:t>As expected</w:t>
            </w:r>
          </w:p>
        </w:tc>
      </w:tr>
      <w:tr>
        <w:tc>
          <w:tcPr>
            <w:tcW w:type="dxa" w:w="6769"/>
          </w:tcPr>
          <w:p>
            <w:pPr>
              <w:spacing w:line="240" w:lineRule="auto" w:after="40"/>
              <w:jc w:val="left"/>
            </w:pPr>
            <w:r/>
            <w:r>
              <w:rPr>
                <w:rFonts w:ascii="Times New Roman" w:hAnsi="Times New Roman"/>
                <w:b w:val="0"/>
                <w:sz w:val="20"/>
              </w:rPr>
              <w:t>Handling different file types</w:t>
            </w:r>
          </w:p>
        </w:tc>
        <w:tc>
          <w:tcPr>
            <w:tcW w:type="dxa" w:w="2256"/>
          </w:tcPr>
          <w:p>
            <w:pPr>
              <w:spacing w:line="240" w:lineRule="auto" w:after="40"/>
              <w:jc w:val="left"/>
            </w:pPr>
            <w:r/>
            <w:r>
              <w:rPr>
                <w:rFonts w:ascii="Times New Roman" w:hAnsi="Times New Roman"/>
                <w:b/>
                <w:color w:val="1E6B2B"/>
                <w:sz w:val="20"/>
              </w:rPr>
              <w:t>1 of 1</w:t>
            </w:r>
          </w:p>
        </w:tc>
      </w:tr>
    </w:tbl>
    <w:p>
      <w:pPr>
        <w:spacing w:after="0"/>
      </w:pPr>
    </w:p>
    <w:p>
      <w:r>
        <w:rPr>
          <w:i w:val="0"/>
        </w:rPr>
        <w:t>Table 3 summarises every case. Section 4 gives the full expected and actual behaviour for each one.</w:t>
      </w:r>
    </w:p>
    <w:p>
      <w:pPr>
        <w:pStyle w:val="Caption"/>
      </w:pPr>
      <w:r>
        <w:rPr>
          <w:b/>
        </w:rPr>
        <w:t xml:space="preserve">Table </w:t>
      </w:r>
      <w:r>
        <w:fldChar w:fldCharType="begin"/>
      </w:r>
      <w:r>
        <w:instrText xml:space="preserve"> SEQ Table \* ARABIC </w:instrText>
      </w:r>
      <w:r>
        <w:fldChar w:fldCharType="separate"/>
      </w:r>
      <w:r>
        <w:rPr>
          <w:b/>
        </w:rPr>
        <w:t>3</w:t>
      </w:r>
      <w:r>
        <w:fldChar w:fldCharType="end"/>
      </w:r>
      <w:r>
        <w:rPr>
          <w:b/>
        </w:rPr>
        <w:t xml:space="preserve">: </w:t>
      </w:r>
      <w:r>
        <w:t>Result of every case</w:t>
      </w:r>
    </w:p>
    <w:tbl>
      <w:tblPr>
        <w:tblStyle w:val="TableGrid"/>
        <w:tblW w:type="auto" w:w="0"/>
        <w:jc w:val="center"/>
        <w:tblLook w:firstColumn="1" w:firstRow="1" w:lastColumn="0" w:lastRow="0" w:noHBand="0" w:noVBand="1" w:val="04A0"/>
      </w:tblPr>
      <w:tblGrid>
        <w:gridCol w:w="2256"/>
        <w:gridCol w:w="2256"/>
        <w:gridCol w:w="2256"/>
        <w:gridCol w:w="2256"/>
      </w:tblGrid>
      <w:tr>
        <w:trPr>
          <w:tblHeader w:val="true"/>
        </w:trPr>
        <w:tc>
          <w:tcPr>
            <w:tcW w:type="dxa" w:w="1111"/>
          </w:tcPr>
          <w:p>
            <w:pPr>
              <w:spacing w:line="240" w:lineRule="auto" w:after="40"/>
              <w:jc w:val="left"/>
            </w:pPr>
            <w:r/>
            <w:r>
              <w:rPr>
                <w:rFonts w:ascii="Times New Roman" w:hAnsi="Times New Roman"/>
                <w:b/>
                <w:sz w:val="20"/>
              </w:rPr>
              <w:t>Case</w:t>
            </w:r>
          </w:p>
        </w:tc>
        <w:tc>
          <w:tcPr>
            <w:tcW w:type="dxa" w:w="2222"/>
          </w:tcPr>
          <w:p>
            <w:pPr>
              <w:spacing w:line="240" w:lineRule="auto" w:after="40"/>
              <w:jc w:val="left"/>
            </w:pPr>
            <w:r/>
            <w:r>
              <w:rPr>
                <w:rFonts w:ascii="Times New Roman" w:hAnsi="Times New Roman"/>
                <w:b/>
                <w:sz w:val="20"/>
              </w:rPr>
              <w:t>Area tested</w:t>
            </w:r>
          </w:p>
        </w:tc>
        <w:tc>
          <w:tcPr>
            <w:tcW w:type="dxa" w:w="4721"/>
          </w:tcPr>
          <w:p>
            <w:pPr>
              <w:spacing w:line="240" w:lineRule="auto" w:after="40"/>
              <w:jc w:val="left"/>
            </w:pPr>
            <w:r/>
            <w:r>
              <w:rPr>
                <w:rFonts w:ascii="Times New Roman" w:hAnsi="Times New Roman"/>
                <w:b/>
                <w:sz w:val="20"/>
              </w:rPr>
              <w:t>Scenario</w:t>
            </w:r>
          </w:p>
        </w:tc>
        <w:tc>
          <w:tcPr>
            <w:tcW w:type="dxa" w:w="972"/>
          </w:tcPr>
          <w:p>
            <w:pPr>
              <w:spacing w:line="240" w:lineRule="auto" w:after="40"/>
              <w:jc w:val="left"/>
            </w:pPr>
            <w:r/>
            <w:r>
              <w:rPr>
                <w:rFonts w:ascii="Times New Roman" w:hAnsi="Times New Roman"/>
                <w:b/>
                <w:sz w:val="20"/>
              </w:rPr>
              <w:t>Result</w:t>
            </w:r>
          </w:p>
        </w:tc>
      </w:tr>
      <w:tr>
        <w:tc>
          <w:tcPr>
            <w:tcW w:type="dxa" w:w="1111"/>
          </w:tcPr>
          <w:p>
            <w:pPr>
              <w:spacing w:line="240" w:lineRule="auto" w:after="40"/>
              <w:jc w:val="left"/>
            </w:pPr>
            <w:r/>
            <w:r>
              <w:rPr>
                <w:rFonts w:ascii="Times New Roman" w:hAnsi="Times New Roman"/>
                <w:b/>
                <w:sz w:val="20"/>
              </w:rPr>
              <w:t>EV-19</w:t>
            </w:r>
          </w:p>
        </w:tc>
        <w:tc>
          <w:tcPr>
            <w:tcW w:type="dxa" w:w="2222"/>
          </w:tcPr>
          <w:p>
            <w:pPr>
              <w:spacing w:line="240" w:lineRule="auto" w:after="40"/>
              <w:jc w:val="left"/>
            </w:pPr>
            <w:r/>
            <w:r>
              <w:rPr>
                <w:rFonts w:ascii="Times New Roman" w:hAnsi="Times New Roman"/>
                <w:b w:val="0"/>
                <w:sz w:val="20"/>
              </w:rPr>
              <w:t>Handling different file types</w:t>
            </w:r>
          </w:p>
        </w:tc>
        <w:tc>
          <w:tcPr>
            <w:tcW w:type="dxa" w:w="4721"/>
          </w:tcPr>
          <w:p>
            <w:pPr>
              <w:spacing w:line="240" w:lineRule="auto" w:after="40"/>
              <w:jc w:val="left"/>
            </w:pPr>
            <w:r/>
            <w:r>
              <w:rPr>
                <w:rFonts w:ascii="Times New Roman" w:hAnsi="Times New Roman"/>
                <w:b w:val="0"/>
                <w:sz w:val="20"/>
              </w:rPr>
              <w:t>A 60-page submission, larger than the configured 16,384-token context window. Silent truncation here would report present documents as missing, so the request must be refused instead.</w:t>
            </w:r>
          </w:p>
        </w:tc>
        <w:tc>
          <w:tcPr>
            <w:tcW w:type="dxa" w:w="972"/>
          </w:tcPr>
          <w:p>
            <w:pPr>
              <w:spacing w:line="240" w:lineRule="auto" w:after="40"/>
              <w:jc w:val="left"/>
            </w:pPr>
            <w:r/>
            <w:r>
              <w:rPr>
                <w:rFonts w:ascii="Times New Roman" w:hAnsi="Times New Roman"/>
                <w:b/>
                <w:color w:val="1E6B2B"/>
                <w:sz w:val="20"/>
              </w:rPr>
              <w:t>Pass</w:t>
            </w:r>
          </w:p>
        </w:tc>
      </w:tr>
    </w:tbl>
    <w:p>
      <w:pPr>
        <w:spacing w:after="0"/>
      </w:pPr>
    </w:p>
    <w:p>
      <w:pPr>
        <w:pStyle w:val="Heading1"/>
      </w:pPr>
      <w:r>
        <w:t>4. Case-by-case results</w:t>
      </w:r>
    </w:p>
    <w:p>
      <w:r>
        <w:rPr>
          <w:i w:val="0"/>
        </w:rPr>
        <w:t>Each case below sets the expected behaviour beside what the system actually did. The observation states what the difference, if any, means.</w:t>
      </w:r>
    </w:p>
    <w:p>
      <w:pPr>
        <w:pStyle w:val="Heading2"/>
      </w:pPr>
      <w:r>
        <w:t>4.1 EV-19: Handling different file types</w:t>
      </w:r>
    </w:p>
    <w:p>
      <w:r>
        <w:rPr>
          <w:b/>
        </w:rPr>
        <w:t xml:space="preserve">Acceptance criteria. </w:t>
      </w:r>
      <w:r>
        <w:rPr>
          <w:i w:val="0"/>
        </w:rPr>
        <w:t>Prompt Spec v1.0 Sec. 7</w:t>
      </w:r>
    </w:p>
    <w:p>
      <w:r>
        <w:rPr>
          <w:b/>
        </w:rPr>
        <w:t xml:space="preserve">Scenario. </w:t>
      </w:r>
      <w:r>
        <w:rPr>
          <w:i w:val="0"/>
        </w:rPr>
        <w:t>A 60-page submission, larger than the configured 16,384-token context window. Silent truncation here would report present documents as missing, so the request must be refused instead.</w:t>
      </w:r>
    </w:p>
    <w:p>
      <w:r>
        <w:rPr>
          <w:b/>
        </w:rPr>
        <w:t xml:space="preserve">Document tested. </w:t>
      </w:r>
      <w:r>
        <w:rPr>
          <w:i w:val="0"/>
        </w:rPr>
        <w:t>long-submission-pdf</w:t>
      </w:r>
    </w:p>
    <w:p>
      <w:r>
        <w:rPr>
          <w:b/>
        </w:rPr>
        <w:t xml:space="preserve">Expected behaviour. </w:t>
      </w:r>
      <w:r>
        <w:rPr>
          <w:i w:val="0"/>
        </w:rPr>
        <w:t>Refused before any model call, with an error naming the token budget and the configured window</w:t>
      </w:r>
    </w:p>
    <w:p>
      <w:r>
        <w:rPr>
          <w:b/>
        </w:rPr>
        <w:t xml:space="preserve">Actual behaviour. </w:t>
      </w:r>
      <w:r>
        <w:rPr>
          <w:i w:val="0"/>
        </w:rPr>
        <w:t>Refused a 60-page submission before any model call: Checklist plus submission is roughly 21,267 tokens, above the 12,336 token budget of the configured context window (16,384 tokens). Raise PROCURECHECK_CONTEXT_TOKENS if the machine has the memory, or route to the Google Gemini 1.5 Flash fallback described in Prompt Specification v1.0 Sec. 7, which is not yet configured.</w:t>
      </w:r>
    </w:p>
    <w:p>
      <w:r>
        <w:rPr>
          <w:b/>
        </w:rPr>
        <w:t xml:space="preserve">Result. </w:t>
      </w:r>
      <w:r>
        <w:rPr>
          <w:i w:val="0"/>
        </w:rPr>
        <w:t>Pass</w:t>
      </w:r>
    </w:p>
    <w:p>
      <w:r>
        <w:rPr>
          <w:b/>
        </w:rPr>
        <w:t xml:space="preserve">Observation. </w:t>
      </w:r>
      <w:r>
        <w:rPr>
          <w:i w:val="0"/>
        </w:rPr>
        <w:t>The actual behaviour above met every part of the expected behaviour.</w:t>
      </w:r>
    </w:p>
    <w:p>
      <w:pPr>
        <w:pStyle w:val="Heading1"/>
      </w:pPr>
      <w:r>
        <w:t>5. Limitations</w:t>
      </w:r>
    </w:p>
    <w:p>
      <w:r>
        <w:rPr>
          <w:i w:val="0"/>
        </w:rPr>
        <w:t>The results above are subject to the following limitations.</w:t>
      </w:r>
    </w:p>
    <w:p>
      <w:pPr>
        <w:pStyle w:val="ListBullet"/>
      </w:pPr>
      <w:r>
        <w:t>The machine used for testing has no graphics card, so the model runs on the processor alone. Each check takes roughly three to five minutes. Faster hardware would not change the verdicts, only the time taken.</w:t>
      </w:r>
    </w:p>
    <w:p>
      <w:pPr>
        <w:pStyle w:val="ListBullet"/>
      </w:pPr>
      <w:r>
        <w:t>All submissions used are synthetic and short. A real tender pack is longer, more often scanned, and less tidily written.</w:t>
      </w:r>
    </w:p>
    <w:p>
      <w:pPr>
        <w:pStyle w:val="ListBullet"/>
      </w:pPr>
      <w:r>
        <w:t>Only one checklist of ten items was used. A different checklist, or one written in different language, may produce different results.</w:t>
      </w:r>
    </w:p>
    <w:p>
      <w:pPr>
        <w:pStyle w:val="ListBullet"/>
      </w:pPr>
      <w:r>
        <w:t>The optical character recognition step promised in the architecture document has not been built, so scanned documents cannot be checked at all yet. The system refuses them clearly rather than pretending to read them.</w:t>
      </w:r>
    </w:p>
    <w:p>
      <w:pPr>
        <w:pStyle w:val="ListBullet"/>
      </w:pPr>
      <w:r>
        <w:t>These results describe one specific model at one specific setting. They are a starting point to improve on, not a final measure of what is achievable.</w:t>
      </w:r>
    </w:p>
    <w:sectPr w:rsidR="00FC693F" w:rsidRPr="0006063C" w:rsidSect="00034616">
      <w:footerReference w:type="default" r:id="rId9"/>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t>2</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line="360" w:lineRule="auto"/>
      <w:jc w:val="left"/>
      <w:outlineLvl w:val="0"/>
    </w:pPr>
    <w:rPr>
      <w:rFonts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both"/>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20" w:after="80"/>
      <w:jc w:val="left"/>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