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Retrieval Evaluation</w:t>
      </w:r>
    </w:p>
    <w:p>
      <w:pPr>
        <w:jc w:val="center"/>
      </w:pPr>
      <w:r>
        <w:rPr>
          <w:b w:val="0"/>
          <w:sz w:val="28"/>
        </w:rPr>
        <w:t>Keyword, meaning and hybrid search over the controlled corpus</w:t>
      </w:r>
    </w:p>
    <w:p/>
    <w:p>
      <w:pPr>
        <w:jc w:val="center"/>
      </w:pPr>
      <w:r>
        <w:rPr>
          <w:b/>
        </w:rPr>
        <w:t>Public Procurement Document-Completeness Agent</w:t>
      </w:r>
    </w:p>
    <w:p>
      <w:pPr>
        <w:jc w:val="center"/>
      </w:pPr>
      <w:r>
        <w:rPr>
          <w:b w:val="0"/>
        </w:rPr>
        <w:t>BSE4104 AI-Native and Agentic Engineering Capstone</w:t>
      </w:r>
    </w:p>
    <w:p>
      <w:pPr>
        <w:jc w:val="center"/>
      </w:pPr>
      <w:r>
        <w:rPr>
          <w:b w:val="0"/>
        </w:rPr>
        <w:t>Group H (Evening), Makerere University</w:t>
      </w:r>
    </w:p>
    <w:p>
      <w:pPr>
        <w:jc w:val="center"/>
      </w:pPr>
      <w:r>
        <w:rPr>
          <w:b w:val="0"/>
        </w:rPr>
        <w:t>Run 2026-09-17 03:29</w:t>
      </w:r>
    </w:p>
    <w:p>
      <w:pPr>
        <w:pStyle w:val="Heading1"/>
      </w:pPr>
      <w:r>
        <w:t>1. Scope</w:t>
      </w:r>
    </w:p>
    <w:p>
      <w:r>
        <w:rPr>
          <w:i w:val="0"/>
        </w:rPr>
        <w:t>The evaluation ran over the index built 2026-09-17T00:11:52+00:00: 35 documents, 3974 chunks, and embeddings from nomic-embed-text. It used 15 answerable queries and 5 out-of-corpus queries from tests/evaluation/retrieval_cases.py. The answer key for each query was written from the corpus before any search was run. The run is reproduced with python run.py evaluate-retrieval.</w:t>
      </w:r>
    </w:p>
    <w:p>
      <w:pPr>
        <w:pStyle w:val="Heading1"/>
      </w:pPr>
      <w:r>
        <w:t>2. Ranking quality</w:t>
      </w:r>
    </w:p>
    <w:p>
      <w:r>
        <w:rPr>
          <w:i w:val="0"/>
        </w:rPr>
        <w:t>Table 1 gives, for each search mode, the share of answerable queries whose answering passage ranked first, in the top 5 and in the top 10, and the mean reciprocal rank.</w:t>
      </w:r>
    </w:p>
    <w:p>
      <w:pPr>
        <w:pStyle w:val="Caption"/>
      </w:pPr>
      <w:r>
        <w:rPr>
          <w:b/>
        </w:rPr>
        <w:t xml:space="preserve">Table </w:t>
      </w:r>
      <w:r>
        <w:fldChar w:fldCharType="begin"/>
      </w:r>
      <w:r>
        <w:instrText xml:space="preserve"> SEQ Table \* ARABIC </w:instrText>
      </w:r>
      <w:r>
        <w:fldChar w:fldCharType="separate"/>
      </w:r>
      <w:r>
        <w:rPr>
          <w:b/>
        </w:rPr>
        <w:t>1</w:t>
      </w:r>
      <w:r>
        <w:fldChar w:fldCharType="end"/>
      </w:r>
      <w:r>
        <w:rPr>
          <w:b/>
        </w:rPr>
        <w:t xml:space="preserve">: </w:t>
      </w:r>
      <w:r>
        <w:t>Ranking quality by search mode</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3009"/>
          </w:tcPr>
          <w:p>
            <w:pPr>
              <w:spacing w:line="240" w:lineRule="auto" w:after="40"/>
              <w:jc w:val="left"/>
            </w:pPr>
            <w:r/>
            <w:r>
              <w:rPr>
                <w:rFonts w:ascii="Times New Roman" w:hAnsi="Times New Roman"/>
                <w:b/>
                <w:sz w:val="20"/>
              </w:rPr>
              <w:t>Mode</w:t>
            </w:r>
          </w:p>
        </w:tc>
        <w:tc>
          <w:tcPr>
            <w:tcW w:type="dxa" w:w="1368"/>
          </w:tcPr>
          <w:p>
            <w:pPr>
              <w:spacing w:line="240" w:lineRule="auto" w:after="40"/>
              <w:jc w:val="left"/>
            </w:pPr>
            <w:r/>
            <w:r>
              <w:rPr>
                <w:rFonts w:ascii="Times New Roman" w:hAnsi="Times New Roman"/>
                <w:b/>
                <w:sz w:val="20"/>
              </w:rPr>
              <w:t>Hit at 1</w:t>
            </w:r>
          </w:p>
        </w:tc>
        <w:tc>
          <w:tcPr>
            <w:tcW w:type="dxa" w:w="1368"/>
          </w:tcPr>
          <w:p>
            <w:pPr>
              <w:spacing w:line="240" w:lineRule="auto" w:after="40"/>
              <w:jc w:val="left"/>
            </w:pPr>
            <w:r/>
            <w:r>
              <w:rPr>
                <w:rFonts w:ascii="Times New Roman" w:hAnsi="Times New Roman"/>
                <w:b/>
                <w:sz w:val="20"/>
              </w:rPr>
              <w:t>Hit at 5</w:t>
            </w:r>
          </w:p>
        </w:tc>
        <w:tc>
          <w:tcPr>
            <w:tcW w:type="dxa" w:w="1368"/>
          </w:tcPr>
          <w:p>
            <w:pPr>
              <w:spacing w:line="240" w:lineRule="auto" w:after="40"/>
              <w:jc w:val="left"/>
            </w:pPr>
            <w:r/>
            <w:r>
              <w:rPr>
                <w:rFonts w:ascii="Times New Roman" w:hAnsi="Times New Roman"/>
                <w:b/>
                <w:sz w:val="20"/>
              </w:rPr>
              <w:t>Hit at 10</w:t>
            </w:r>
          </w:p>
        </w:tc>
        <w:tc>
          <w:tcPr>
            <w:tcW w:type="dxa" w:w="1915"/>
          </w:tcPr>
          <w:p>
            <w:pPr>
              <w:spacing w:line="240" w:lineRule="auto" w:after="40"/>
              <w:jc w:val="left"/>
            </w:pPr>
            <w:r/>
            <w:r>
              <w:rPr>
                <w:rFonts w:ascii="Times New Roman" w:hAnsi="Times New Roman"/>
                <w:b/>
                <w:sz w:val="20"/>
              </w:rPr>
              <w:t>Mean reciprocal rank</w:t>
            </w:r>
          </w:p>
        </w:tc>
      </w:tr>
      <w:tr>
        <w:tc>
          <w:tcPr>
            <w:tcW w:type="dxa" w:w="3009"/>
          </w:tcPr>
          <w:p>
            <w:pPr>
              <w:spacing w:line="240" w:lineRule="auto" w:after="40"/>
              <w:jc w:val="left"/>
            </w:pPr>
            <w:r/>
            <w:r>
              <w:rPr>
                <w:rFonts w:ascii="Times New Roman" w:hAnsi="Times New Roman"/>
                <w:b w:val="0"/>
                <w:sz w:val="20"/>
              </w:rPr>
              <w:t>Keyword (BM25)</w:t>
            </w:r>
          </w:p>
        </w:tc>
        <w:tc>
          <w:tcPr>
            <w:tcW w:type="dxa" w:w="1368"/>
          </w:tcPr>
          <w:p>
            <w:pPr>
              <w:spacing w:line="240" w:lineRule="auto" w:after="40"/>
              <w:jc w:val="left"/>
            </w:pPr>
            <w:r/>
            <w:r>
              <w:rPr>
                <w:rFonts w:ascii="Times New Roman" w:hAnsi="Times New Roman"/>
                <w:b w:val="0"/>
                <w:sz w:val="20"/>
              </w:rPr>
              <w:t>60%</w:t>
            </w:r>
          </w:p>
        </w:tc>
        <w:tc>
          <w:tcPr>
            <w:tcW w:type="dxa" w:w="1368"/>
          </w:tcPr>
          <w:p>
            <w:pPr>
              <w:spacing w:line="240" w:lineRule="auto" w:after="40"/>
              <w:jc w:val="left"/>
            </w:pPr>
            <w:r/>
            <w:r>
              <w:rPr>
                <w:rFonts w:ascii="Times New Roman" w:hAnsi="Times New Roman"/>
                <w:b w:val="0"/>
                <w:sz w:val="20"/>
              </w:rPr>
              <w:t>73%</w:t>
            </w:r>
          </w:p>
        </w:tc>
        <w:tc>
          <w:tcPr>
            <w:tcW w:type="dxa" w:w="1368"/>
          </w:tcPr>
          <w:p>
            <w:pPr>
              <w:spacing w:line="240" w:lineRule="auto" w:after="40"/>
              <w:jc w:val="left"/>
            </w:pPr>
            <w:r/>
            <w:r>
              <w:rPr>
                <w:rFonts w:ascii="Times New Roman" w:hAnsi="Times New Roman"/>
                <w:b w:val="0"/>
                <w:sz w:val="20"/>
              </w:rPr>
              <w:t>87%</w:t>
            </w:r>
          </w:p>
        </w:tc>
        <w:tc>
          <w:tcPr>
            <w:tcW w:type="dxa" w:w="1915"/>
          </w:tcPr>
          <w:p>
            <w:pPr>
              <w:spacing w:line="240" w:lineRule="auto" w:after="40"/>
              <w:jc w:val="left"/>
            </w:pPr>
            <w:r/>
            <w:r>
              <w:rPr>
                <w:rFonts w:ascii="Times New Roman" w:hAnsi="Times New Roman"/>
                <w:b w:val="0"/>
                <w:sz w:val="20"/>
              </w:rPr>
              <w:t>0.66</w:t>
            </w:r>
          </w:p>
        </w:tc>
      </w:tr>
      <w:tr>
        <w:tc>
          <w:tcPr>
            <w:tcW w:type="dxa" w:w="3009"/>
          </w:tcPr>
          <w:p>
            <w:pPr>
              <w:spacing w:line="240" w:lineRule="auto" w:after="40"/>
              <w:jc w:val="left"/>
            </w:pPr>
            <w:r/>
            <w:r>
              <w:rPr>
                <w:rFonts w:ascii="Times New Roman" w:hAnsi="Times New Roman"/>
                <w:b w:val="0"/>
                <w:sz w:val="20"/>
              </w:rPr>
              <w:t>Meaning (embeddings)</w:t>
            </w:r>
          </w:p>
        </w:tc>
        <w:tc>
          <w:tcPr>
            <w:tcW w:type="dxa" w:w="1368"/>
          </w:tcPr>
          <w:p>
            <w:pPr>
              <w:spacing w:line="240" w:lineRule="auto" w:after="40"/>
              <w:jc w:val="left"/>
            </w:pPr>
            <w:r/>
            <w:r>
              <w:rPr>
                <w:rFonts w:ascii="Times New Roman" w:hAnsi="Times New Roman"/>
                <w:b w:val="0"/>
                <w:sz w:val="20"/>
              </w:rPr>
              <w:t>53%</w:t>
            </w:r>
          </w:p>
        </w:tc>
        <w:tc>
          <w:tcPr>
            <w:tcW w:type="dxa" w:w="1368"/>
          </w:tcPr>
          <w:p>
            <w:pPr>
              <w:spacing w:line="240" w:lineRule="auto" w:after="40"/>
              <w:jc w:val="left"/>
            </w:pPr>
            <w:r/>
            <w:r>
              <w:rPr>
                <w:rFonts w:ascii="Times New Roman" w:hAnsi="Times New Roman"/>
                <w:b w:val="0"/>
                <w:sz w:val="20"/>
              </w:rPr>
              <w:t>73%</w:t>
            </w:r>
          </w:p>
        </w:tc>
        <w:tc>
          <w:tcPr>
            <w:tcW w:type="dxa" w:w="1368"/>
          </w:tcPr>
          <w:p>
            <w:pPr>
              <w:spacing w:line="240" w:lineRule="auto" w:after="40"/>
              <w:jc w:val="left"/>
            </w:pPr>
            <w:r/>
            <w:r>
              <w:rPr>
                <w:rFonts w:ascii="Times New Roman" w:hAnsi="Times New Roman"/>
                <w:b w:val="0"/>
                <w:sz w:val="20"/>
              </w:rPr>
              <w:t>80%</w:t>
            </w:r>
          </w:p>
        </w:tc>
        <w:tc>
          <w:tcPr>
            <w:tcW w:type="dxa" w:w="1915"/>
          </w:tcPr>
          <w:p>
            <w:pPr>
              <w:spacing w:line="240" w:lineRule="auto" w:after="40"/>
              <w:jc w:val="left"/>
            </w:pPr>
            <w:r/>
            <w:r>
              <w:rPr>
                <w:rFonts w:ascii="Times New Roman" w:hAnsi="Times New Roman"/>
                <w:b w:val="0"/>
                <w:sz w:val="20"/>
              </w:rPr>
              <w:t>0.62</w:t>
            </w:r>
          </w:p>
        </w:tc>
      </w:tr>
      <w:tr>
        <w:tc>
          <w:tcPr>
            <w:tcW w:type="dxa" w:w="3009"/>
          </w:tcPr>
          <w:p>
            <w:pPr>
              <w:spacing w:line="240" w:lineRule="auto" w:after="40"/>
              <w:jc w:val="left"/>
            </w:pPr>
            <w:r/>
            <w:r>
              <w:rPr>
                <w:rFonts w:ascii="Times New Roman" w:hAnsi="Times New Roman"/>
                <w:b w:val="0"/>
                <w:sz w:val="20"/>
              </w:rPr>
              <w:t>Hybrid (RRF)</w:t>
            </w:r>
          </w:p>
        </w:tc>
        <w:tc>
          <w:tcPr>
            <w:tcW w:type="dxa" w:w="1368"/>
          </w:tcPr>
          <w:p>
            <w:pPr>
              <w:spacing w:line="240" w:lineRule="auto" w:after="40"/>
              <w:jc w:val="left"/>
            </w:pPr>
            <w:r/>
            <w:r>
              <w:rPr>
                <w:rFonts w:ascii="Times New Roman" w:hAnsi="Times New Roman"/>
                <w:b w:val="0"/>
                <w:sz w:val="20"/>
              </w:rPr>
              <w:t>60%</w:t>
            </w:r>
          </w:p>
        </w:tc>
        <w:tc>
          <w:tcPr>
            <w:tcW w:type="dxa" w:w="1368"/>
          </w:tcPr>
          <w:p>
            <w:pPr>
              <w:spacing w:line="240" w:lineRule="auto" w:after="40"/>
              <w:jc w:val="left"/>
            </w:pPr>
            <w:r/>
            <w:r>
              <w:rPr>
                <w:rFonts w:ascii="Times New Roman" w:hAnsi="Times New Roman"/>
                <w:b w:val="0"/>
                <w:sz w:val="20"/>
              </w:rPr>
              <w:t>80%</w:t>
            </w:r>
          </w:p>
        </w:tc>
        <w:tc>
          <w:tcPr>
            <w:tcW w:type="dxa" w:w="1368"/>
          </w:tcPr>
          <w:p>
            <w:pPr>
              <w:spacing w:line="240" w:lineRule="auto" w:after="40"/>
              <w:jc w:val="left"/>
            </w:pPr>
            <w:r/>
            <w:r>
              <w:rPr>
                <w:rFonts w:ascii="Times New Roman" w:hAnsi="Times New Roman"/>
                <w:b w:val="0"/>
                <w:sz w:val="20"/>
              </w:rPr>
              <w:t>93%</w:t>
            </w:r>
          </w:p>
        </w:tc>
        <w:tc>
          <w:tcPr>
            <w:tcW w:type="dxa" w:w="1915"/>
          </w:tcPr>
          <w:p>
            <w:pPr>
              <w:spacing w:line="240" w:lineRule="auto" w:after="40"/>
              <w:jc w:val="left"/>
            </w:pPr>
            <w:r/>
            <w:r>
              <w:rPr>
                <w:rFonts w:ascii="Times New Roman" w:hAnsi="Times New Roman"/>
                <w:b w:val="0"/>
                <w:sz w:val="20"/>
              </w:rPr>
              <w:t>0.68</w:t>
            </w:r>
          </w:p>
        </w:tc>
      </w:tr>
    </w:tbl>
    <w:p>
      <w:pPr>
        <w:spacing w:after="0"/>
      </w:pPr>
    </w:p>
    <w:p>
      <w:pPr>
        <w:pStyle w:val="Heading1"/>
      </w:pPr>
      <w:r>
        <w:t>3. Rank of the answering passage per query</w:t>
      </w:r>
    </w:p>
    <w:p>
      <w:r>
        <w:rPr>
          <w:i w:val="0"/>
        </w:rPr>
        <w:t>Table 2 lists every answerable query with the rank at which each mode first returned a passage from the answer key, and the passage hybrid search ranked first.</w:t>
      </w:r>
    </w:p>
    <w:p>
      <w:pPr>
        <w:pStyle w:val="Caption"/>
      </w:pPr>
      <w:r>
        <w:rPr>
          <w:b/>
        </w:rPr>
        <w:t xml:space="preserve">Table </w:t>
      </w:r>
      <w:r>
        <w:fldChar w:fldCharType="begin"/>
      </w:r>
      <w:r>
        <w:instrText xml:space="preserve"> SEQ Table \* ARABIC </w:instrText>
      </w:r>
      <w:r>
        <w:fldChar w:fldCharType="separate"/>
      </w:r>
      <w:r>
        <w:rPr>
          <w:b/>
        </w:rPr>
        <w:t>2</w:t>
      </w:r>
      <w:r>
        <w:fldChar w:fldCharType="end"/>
      </w:r>
      <w:r>
        <w:rPr>
          <w:b/>
        </w:rPr>
        <w:t xml:space="preserve">: </w:t>
      </w:r>
      <w:r>
        <w:t>First relevant rank per query</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768"/>
          </w:tcPr>
          <w:p>
            <w:pPr>
              <w:spacing w:line="240" w:lineRule="auto" w:after="40"/>
              <w:jc w:val="left"/>
            </w:pPr>
            <w:r/>
            <w:r>
              <w:rPr>
                <w:rFonts w:ascii="Times New Roman" w:hAnsi="Times New Roman"/>
                <w:b/>
                <w:sz w:val="20"/>
              </w:rPr>
              <w:t>Case</w:t>
            </w:r>
          </w:p>
        </w:tc>
        <w:tc>
          <w:tcPr>
            <w:tcW w:type="dxa" w:w="2880"/>
          </w:tcPr>
          <w:p>
            <w:pPr>
              <w:spacing w:line="240" w:lineRule="auto" w:after="40"/>
              <w:jc w:val="left"/>
            </w:pPr>
            <w:r/>
            <w:r>
              <w:rPr>
                <w:rFonts w:ascii="Times New Roman" w:hAnsi="Times New Roman"/>
                <w:b/>
                <w:sz w:val="20"/>
              </w:rPr>
              <w:t>Query</w:t>
            </w:r>
          </w:p>
        </w:tc>
        <w:tc>
          <w:tcPr>
            <w:tcW w:type="dxa" w:w="960"/>
          </w:tcPr>
          <w:p>
            <w:pPr>
              <w:spacing w:line="240" w:lineRule="auto" w:after="40"/>
              <w:jc w:val="left"/>
            </w:pPr>
            <w:r/>
            <w:r>
              <w:rPr>
                <w:rFonts w:ascii="Times New Roman" w:hAnsi="Times New Roman"/>
                <w:b/>
                <w:sz w:val="20"/>
              </w:rPr>
              <w:t>Keyword</w:t>
            </w:r>
          </w:p>
        </w:tc>
        <w:tc>
          <w:tcPr>
            <w:tcW w:type="dxa" w:w="960"/>
          </w:tcPr>
          <w:p>
            <w:pPr>
              <w:spacing w:line="240" w:lineRule="auto" w:after="40"/>
              <w:jc w:val="left"/>
            </w:pPr>
            <w:r/>
            <w:r>
              <w:rPr>
                <w:rFonts w:ascii="Times New Roman" w:hAnsi="Times New Roman"/>
                <w:b/>
                <w:sz w:val="20"/>
              </w:rPr>
              <w:t>Meaning</w:t>
            </w:r>
          </w:p>
        </w:tc>
        <w:tc>
          <w:tcPr>
            <w:tcW w:type="dxa" w:w="960"/>
          </w:tcPr>
          <w:p>
            <w:pPr>
              <w:spacing w:line="240" w:lineRule="auto" w:after="40"/>
              <w:jc w:val="left"/>
            </w:pPr>
            <w:r/>
            <w:r>
              <w:rPr>
                <w:rFonts w:ascii="Times New Roman" w:hAnsi="Times New Roman"/>
                <w:b/>
                <w:sz w:val="20"/>
              </w:rPr>
              <w:t>Hybrid</w:t>
            </w:r>
          </w:p>
        </w:tc>
        <w:tc>
          <w:tcPr>
            <w:tcW w:type="dxa" w:w="2496"/>
          </w:tcPr>
          <w:p>
            <w:pPr>
              <w:spacing w:line="240" w:lineRule="auto" w:after="40"/>
              <w:jc w:val="left"/>
            </w:pPr>
            <w:r/>
            <w:r>
              <w:rPr>
                <w:rFonts w:ascii="Times New Roman" w:hAnsi="Times New Roman"/>
                <w:b/>
                <w:sz w:val="20"/>
              </w:rPr>
              <w:t>Hybrid top result</w:t>
            </w:r>
          </w:p>
        </w:tc>
      </w:tr>
      <w:tr>
        <w:tc>
          <w:tcPr>
            <w:tcW w:type="dxa" w:w="768"/>
          </w:tcPr>
          <w:p>
            <w:pPr>
              <w:spacing w:line="240" w:lineRule="auto" w:after="40"/>
              <w:jc w:val="left"/>
            </w:pPr>
            <w:r/>
            <w:r>
              <w:rPr>
                <w:rFonts w:ascii="Times New Roman" w:hAnsi="Times New Roman"/>
                <w:b w:val="0"/>
                <w:sz w:val="20"/>
              </w:rPr>
              <w:t>RC-01</w:t>
            </w:r>
          </w:p>
        </w:tc>
        <w:tc>
          <w:tcPr>
            <w:tcW w:type="dxa" w:w="2880"/>
          </w:tcPr>
          <w:p>
            <w:pPr>
              <w:spacing w:line="240" w:lineRule="auto" w:after="40"/>
              <w:jc w:val="left"/>
            </w:pPr>
            <w:r/>
            <w:r>
              <w:rPr>
                <w:rFonts w:ascii="Times New Roman" w:hAnsi="Times New Roman"/>
                <w:b w:val="0"/>
                <w:sz w:val="20"/>
              </w:rPr>
              <w:t>What form of bid security is required for open domestic bidding for supplies and works?</w:t>
            </w:r>
          </w:p>
        </w:tc>
        <w:tc>
          <w:tcPr>
            <w:tcW w:type="dxa" w:w="960"/>
          </w:tcPr>
          <w:p>
            <w:pPr>
              <w:spacing w:line="240" w:lineRule="auto" w:after="40"/>
              <w:jc w:val="left"/>
            </w:pPr>
            <w:r/>
            <w:r>
              <w:rPr>
                <w:rFonts w:ascii="Times New Roman" w:hAnsi="Times New Roman"/>
                <w:b w:val="0"/>
                <w:sz w:val="20"/>
              </w:rPr>
              <w:t>5</w:t>
            </w:r>
          </w:p>
        </w:tc>
        <w:tc>
          <w:tcPr>
            <w:tcW w:type="dxa" w:w="960"/>
          </w:tcPr>
          <w:p>
            <w:pPr>
              <w:spacing w:line="240" w:lineRule="auto" w:after="40"/>
              <w:jc w:val="left"/>
            </w:pPr>
            <w:r/>
            <w:r>
              <w:rPr>
                <w:rFonts w:ascii="Times New Roman" w:hAnsi="Times New Roman"/>
                <w:b w:val="0"/>
                <w:sz w:val="20"/>
              </w:rPr>
              <w:t>not in top 10</w:t>
            </w:r>
          </w:p>
        </w:tc>
        <w:tc>
          <w:tcPr>
            <w:tcW w:type="dxa" w:w="960"/>
          </w:tcPr>
          <w:p>
            <w:pPr>
              <w:spacing w:line="240" w:lineRule="auto" w:after="40"/>
              <w:jc w:val="left"/>
            </w:pPr>
            <w:r/>
            <w:r>
              <w:rPr>
                <w:rFonts w:ascii="Times New Roman" w:hAnsi="Times New Roman"/>
                <w:b w:val="0"/>
                <w:sz w:val="20"/>
              </w:rPr>
              <w:t>not in top 10</w:t>
            </w:r>
          </w:p>
        </w:tc>
        <w:tc>
          <w:tcPr>
            <w:tcW w:type="dxa" w:w="2496"/>
          </w:tcPr>
          <w:p>
            <w:pPr>
              <w:spacing w:line="240" w:lineRule="auto" w:after="40"/>
              <w:jc w:val="left"/>
            </w:pPr>
            <w:r/>
            <w:r>
              <w:rPr>
                <w:rFonts w:ascii="Times New Roman" w:hAnsi="Times New Roman"/>
                <w:b w:val="0"/>
                <w:sz w:val="20"/>
              </w:rPr>
              <w:t>DOC-025, p. 3, PROCUREMENT ANO OISPOSAL</w:t>
            </w:r>
          </w:p>
        </w:tc>
      </w:tr>
      <w:tr>
        <w:tc>
          <w:tcPr>
            <w:tcW w:type="dxa" w:w="768"/>
          </w:tcPr>
          <w:p>
            <w:pPr>
              <w:spacing w:line="240" w:lineRule="auto" w:after="40"/>
              <w:jc w:val="left"/>
            </w:pPr>
            <w:r/>
            <w:r>
              <w:rPr>
                <w:rFonts w:ascii="Times New Roman" w:hAnsi="Times New Roman"/>
                <w:b w:val="0"/>
                <w:sz w:val="20"/>
              </w:rPr>
              <w:t>RC-02</w:t>
            </w:r>
          </w:p>
        </w:tc>
        <w:tc>
          <w:tcPr>
            <w:tcW w:type="dxa" w:w="2880"/>
          </w:tcPr>
          <w:p>
            <w:pPr>
              <w:spacing w:line="240" w:lineRule="auto" w:after="40"/>
              <w:jc w:val="left"/>
            </w:pPr>
            <w:r/>
            <w:r>
              <w:rPr>
                <w:rFonts w:ascii="Times New Roman" w:hAnsi="Times New Roman"/>
                <w:b w:val="0"/>
                <w:sz w:val="20"/>
              </w:rPr>
              <w:t>Which steps can be skipped when an entity uses micro procurement?</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DOC-030, p. 17, Part III—Methods of Procurement &gt; 22. Rules for micro procurement.</w:t>
            </w:r>
          </w:p>
        </w:tc>
      </w:tr>
      <w:tr>
        <w:tc>
          <w:tcPr>
            <w:tcW w:type="dxa" w:w="768"/>
          </w:tcPr>
          <w:p>
            <w:pPr>
              <w:spacing w:line="240" w:lineRule="auto" w:after="40"/>
              <w:jc w:val="left"/>
            </w:pPr>
            <w:r/>
            <w:r>
              <w:rPr>
                <w:rFonts w:ascii="Times New Roman" w:hAnsi="Times New Roman"/>
                <w:b w:val="0"/>
                <w:sz w:val="20"/>
              </w:rPr>
              <w:t>RC-03</w:t>
            </w:r>
          </w:p>
        </w:tc>
        <w:tc>
          <w:tcPr>
            <w:tcW w:type="dxa" w:w="2880"/>
          </w:tcPr>
          <w:p>
            <w:pPr>
              <w:spacing w:line="240" w:lineRule="auto" w:after="40"/>
              <w:jc w:val="left"/>
            </w:pPr>
            <w:r/>
            <w:r>
              <w:rPr>
                <w:rFonts w:ascii="Times New Roman" w:hAnsi="Times New Roman"/>
                <w:b w:val="0"/>
                <w:sz w:val="20"/>
              </w:rPr>
              <w:t>How does the guideline define aggregated requirements?</w:t>
            </w:r>
          </w:p>
        </w:tc>
        <w:tc>
          <w:tcPr>
            <w:tcW w:type="dxa" w:w="960"/>
          </w:tcPr>
          <w:p>
            <w:pPr>
              <w:spacing w:line="240" w:lineRule="auto" w:after="40"/>
              <w:jc w:val="left"/>
            </w:pPr>
            <w:r/>
            <w:r>
              <w:rPr>
                <w:rFonts w:ascii="Times New Roman" w:hAnsi="Times New Roman"/>
                <w:b w:val="0"/>
                <w:sz w:val="20"/>
              </w:rPr>
              <w:t>8</w:t>
            </w:r>
          </w:p>
        </w:tc>
        <w:tc>
          <w:tcPr>
            <w:tcW w:type="dxa" w:w="960"/>
          </w:tcPr>
          <w:p>
            <w:pPr>
              <w:spacing w:line="240" w:lineRule="auto" w:after="40"/>
              <w:jc w:val="left"/>
            </w:pPr>
            <w:r/>
            <w:r>
              <w:rPr>
                <w:rFonts w:ascii="Times New Roman" w:hAnsi="Times New Roman"/>
                <w:b w:val="0"/>
                <w:sz w:val="20"/>
              </w:rPr>
              <w:t>8</w:t>
            </w:r>
          </w:p>
        </w:tc>
        <w:tc>
          <w:tcPr>
            <w:tcW w:type="dxa" w:w="960"/>
          </w:tcPr>
          <w:p>
            <w:pPr>
              <w:spacing w:line="240" w:lineRule="auto" w:after="40"/>
              <w:jc w:val="left"/>
            </w:pPr>
            <w:r/>
            <w:r>
              <w:rPr>
                <w:rFonts w:ascii="Times New Roman" w:hAnsi="Times New Roman"/>
                <w:b w:val="0"/>
                <w:sz w:val="20"/>
              </w:rPr>
              <w:t>6</w:t>
            </w:r>
          </w:p>
        </w:tc>
        <w:tc>
          <w:tcPr>
            <w:tcW w:type="dxa" w:w="2496"/>
          </w:tcPr>
          <w:p>
            <w:pPr>
              <w:spacing w:line="240" w:lineRule="auto" w:after="40"/>
              <w:jc w:val="left"/>
            </w:pPr>
            <w:r/>
            <w:r>
              <w:rPr>
                <w:rFonts w:ascii="Times New Roman" w:hAnsi="Times New Roman"/>
                <w:b w:val="0"/>
                <w:sz w:val="20"/>
              </w:rPr>
              <w:t>DOC-027, p. 2, GENERAL PROVISIONS ON PROCUREMENT OF AGGREGATED</w:t>
            </w:r>
          </w:p>
        </w:tc>
      </w:tr>
      <w:tr>
        <w:tc>
          <w:tcPr>
            <w:tcW w:type="dxa" w:w="768"/>
          </w:tcPr>
          <w:p>
            <w:pPr>
              <w:spacing w:line="240" w:lineRule="auto" w:after="40"/>
              <w:jc w:val="left"/>
            </w:pPr>
            <w:r/>
            <w:r>
              <w:rPr>
                <w:rFonts w:ascii="Times New Roman" w:hAnsi="Times New Roman"/>
                <w:b w:val="0"/>
                <w:sz w:val="20"/>
              </w:rPr>
              <w:t>RC-04</w:t>
            </w:r>
          </w:p>
        </w:tc>
        <w:tc>
          <w:tcPr>
            <w:tcW w:type="dxa" w:w="2880"/>
          </w:tcPr>
          <w:p>
            <w:pPr>
              <w:spacing w:line="240" w:lineRule="auto" w:after="40"/>
              <w:jc w:val="left"/>
            </w:pPr>
            <w:r/>
            <w:r>
              <w:rPr>
                <w:rFonts w:ascii="Times New Roman" w:hAnsi="Times New Roman"/>
                <w:b w:val="0"/>
                <w:sz w:val="20"/>
              </w:rPr>
              <w:t>What does a bidder use to log in to the electronic government procurement system?</w:t>
            </w:r>
          </w:p>
        </w:tc>
        <w:tc>
          <w:tcPr>
            <w:tcW w:type="dxa" w:w="960"/>
          </w:tcPr>
          <w:p>
            <w:pPr>
              <w:spacing w:line="240" w:lineRule="auto" w:after="40"/>
              <w:jc w:val="left"/>
            </w:pPr>
            <w:r/>
            <w:r>
              <w:rPr>
                <w:rFonts w:ascii="Times New Roman" w:hAnsi="Times New Roman"/>
                <w:b w:val="0"/>
                <w:sz w:val="20"/>
              </w:rPr>
              <w:t>3</w:t>
            </w:r>
          </w:p>
        </w:tc>
        <w:tc>
          <w:tcPr>
            <w:tcW w:type="dxa" w:w="960"/>
          </w:tcPr>
          <w:p>
            <w:pPr>
              <w:spacing w:line="240" w:lineRule="auto" w:after="40"/>
              <w:jc w:val="left"/>
            </w:pPr>
            <w:r/>
            <w:r>
              <w:rPr>
                <w:rFonts w:ascii="Times New Roman" w:hAnsi="Times New Roman"/>
                <w:b w:val="0"/>
                <w:sz w:val="20"/>
              </w:rPr>
              <w:t>not in top 10</w:t>
            </w:r>
          </w:p>
        </w:tc>
        <w:tc>
          <w:tcPr>
            <w:tcW w:type="dxa" w:w="960"/>
          </w:tcPr>
          <w:p>
            <w:pPr>
              <w:spacing w:line="240" w:lineRule="auto" w:after="40"/>
              <w:jc w:val="left"/>
            </w:pPr>
            <w:r/>
            <w:r>
              <w:rPr>
                <w:rFonts w:ascii="Times New Roman" w:hAnsi="Times New Roman"/>
                <w:b w:val="0"/>
                <w:sz w:val="20"/>
              </w:rPr>
              <w:t>2</w:t>
            </w:r>
          </w:p>
        </w:tc>
        <w:tc>
          <w:tcPr>
            <w:tcW w:type="dxa" w:w="2496"/>
          </w:tcPr>
          <w:p>
            <w:pPr>
              <w:spacing w:line="240" w:lineRule="auto" w:after="40"/>
              <w:jc w:val="left"/>
            </w:pPr>
            <w:r/>
            <w:r>
              <w:rPr>
                <w:rFonts w:ascii="Times New Roman" w:hAnsi="Times New Roman"/>
                <w:b w:val="0"/>
                <w:sz w:val="20"/>
              </w:rPr>
              <w:t>DOC-026, p. 13, PART IV - BIDDING AND EVALUATION</w:t>
            </w:r>
          </w:p>
        </w:tc>
      </w:tr>
      <w:tr>
        <w:tc>
          <w:tcPr>
            <w:tcW w:type="dxa" w:w="768"/>
          </w:tcPr>
          <w:p>
            <w:pPr>
              <w:spacing w:line="240" w:lineRule="auto" w:after="40"/>
              <w:jc w:val="left"/>
            </w:pPr>
            <w:r/>
            <w:r>
              <w:rPr>
                <w:rFonts w:ascii="Times New Roman" w:hAnsi="Times New Roman"/>
                <w:b w:val="0"/>
                <w:sz w:val="20"/>
              </w:rPr>
              <w:t>RC-05</w:t>
            </w:r>
          </w:p>
        </w:tc>
        <w:tc>
          <w:tcPr>
            <w:tcW w:type="dxa" w:w="2880"/>
          </w:tcPr>
          <w:p>
            <w:pPr>
              <w:spacing w:line="240" w:lineRule="auto" w:after="40"/>
              <w:jc w:val="left"/>
            </w:pPr>
            <w:r/>
            <w:r>
              <w:rPr>
                <w:rFonts w:ascii="Times New Roman" w:hAnsi="Times New Roman"/>
                <w:b w:val="0"/>
                <w:sz w:val="20"/>
              </w:rPr>
              <w:t>Which procurements are set aside for registered groups of women, youth and persons with disabilities?</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DOC-017, p. 17, STANDARD BIDDING DOCUMENT FOR THE PROCUREMENTS RESERVED FOR REGISTERED ASSOCIATIONS OF WOMEN, YOUTH AND PERSONS WITH DISABILITIES &gt; [Brief Description of the Procurement] - [Procurement Reference number]</w:t>
            </w:r>
          </w:p>
        </w:tc>
      </w:tr>
      <w:tr>
        <w:tc>
          <w:tcPr>
            <w:tcW w:type="dxa" w:w="768"/>
          </w:tcPr>
          <w:p>
            <w:pPr>
              <w:spacing w:line="240" w:lineRule="auto" w:after="40"/>
              <w:jc w:val="left"/>
            </w:pPr>
            <w:r/>
            <w:r>
              <w:rPr>
                <w:rFonts w:ascii="Times New Roman" w:hAnsi="Times New Roman"/>
                <w:b w:val="0"/>
                <w:sz w:val="20"/>
              </w:rPr>
              <w:t>RC-06</w:t>
            </w:r>
          </w:p>
        </w:tc>
        <w:tc>
          <w:tcPr>
            <w:tcW w:type="dxa" w:w="2880"/>
          </w:tcPr>
          <w:p>
            <w:pPr>
              <w:spacing w:line="240" w:lineRule="auto" w:after="40"/>
              <w:jc w:val="left"/>
            </w:pPr>
            <w:r/>
            <w:r>
              <w:rPr>
                <w:rFonts w:ascii="Times New Roman" w:hAnsi="Times New Roman"/>
                <w:b w:val="0"/>
                <w:sz w:val="20"/>
              </w:rPr>
              <w:t>Which documents prove a bidder is eligible, such as a tax clearance certificate and trading licence?</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2</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DOC-009, p. 29, Section 3: Evaluation Methodology and Criteria &gt; Eligibility Criteria</w:t>
            </w:r>
          </w:p>
        </w:tc>
      </w:tr>
      <w:tr>
        <w:tc>
          <w:tcPr>
            <w:tcW w:type="dxa" w:w="768"/>
          </w:tcPr>
          <w:p>
            <w:pPr>
              <w:spacing w:line="240" w:lineRule="auto" w:after="40"/>
              <w:jc w:val="left"/>
            </w:pPr>
            <w:r/>
            <w:r>
              <w:rPr>
                <w:rFonts w:ascii="Times New Roman" w:hAnsi="Times New Roman"/>
                <w:b w:val="0"/>
                <w:sz w:val="20"/>
              </w:rPr>
              <w:t>RC-07</w:t>
            </w:r>
          </w:p>
        </w:tc>
        <w:tc>
          <w:tcPr>
            <w:tcW w:type="dxa" w:w="2880"/>
          </w:tcPr>
          <w:p>
            <w:pPr>
              <w:spacing w:line="240" w:lineRule="auto" w:after="40"/>
              <w:jc w:val="left"/>
            </w:pPr>
            <w:r/>
            <w:r>
              <w:rPr>
                <w:rFonts w:ascii="Times New Roman" w:hAnsi="Times New Roman"/>
                <w:b w:val="0"/>
                <w:sz w:val="20"/>
              </w:rPr>
              <w:t>For how long can a provider be suspended after failing a performance securing declaration?</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5</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DOC-001, p. 73, Performance Securing Declaration &gt; To:</w:t>
            </w:r>
          </w:p>
        </w:tc>
      </w:tr>
      <w:tr>
        <w:tc>
          <w:tcPr>
            <w:tcW w:type="dxa" w:w="768"/>
          </w:tcPr>
          <w:p>
            <w:pPr>
              <w:spacing w:line="240" w:lineRule="auto" w:after="40"/>
              <w:jc w:val="left"/>
            </w:pPr>
            <w:r/>
            <w:r>
              <w:rPr>
                <w:rFonts w:ascii="Times New Roman" w:hAnsi="Times New Roman"/>
                <w:b w:val="0"/>
                <w:sz w:val="20"/>
              </w:rPr>
              <w:t>RC-08</w:t>
            </w:r>
          </w:p>
        </w:tc>
        <w:tc>
          <w:tcPr>
            <w:tcW w:type="dxa" w:w="2880"/>
          </w:tcPr>
          <w:p>
            <w:pPr>
              <w:spacing w:line="240" w:lineRule="auto" w:after="40"/>
              <w:jc w:val="left"/>
            </w:pPr>
            <w:r/>
            <w:r>
              <w:rPr>
                <w:rFonts w:ascii="Times New Roman" w:hAnsi="Times New Roman"/>
                <w:b w:val="0"/>
                <w:sz w:val="20"/>
              </w:rPr>
              <w:t>Which documents were deliberately left out of synthetic submission B?</w:t>
            </w:r>
          </w:p>
        </w:tc>
        <w:tc>
          <w:tcPr>
            <w:tcW w:type="dxa" w:w="960"/>
          </w:tcPr>
          <w:p>
            <w:pPr>
              <w:spacing w:line="240" w:lineRule="auto" w:after="40"/>
              <w:jc w:val="left"/>
            </w:pPr>
            <w:r/>
            <w:r>
              <w:rPr>
                <w:rFonts w:ascii="Times New Roman" w:hAnsi="Times New Roman"/>
                <w:b w:val="0"/>
                <w:sz w:val="20"/>
              </w:rPr>
              <w:t>6</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4</w:t>
            </w:r>
          </w:p>
        </w:tc>
        <w:tc>
          <w:tcPr>
            <w:tcW w:type="dxa" w:w="2496"/>
          </w:tcPr>
          <w:p>
            <w:pPr>
              <w:spacing w:line="240" w:lineRule="auto" w:after="40"/>
              <w:jc w:val="left"/>
            </w:pPr>
            <w:r/>
            <w:r>
              <w:rPr>
                <w:rFonts w:ascii="Times New Roman" w:hAnsi="Times New Roman"/>
                <w:b w:val="0"/>
                <w:sz w:val="20"/>
              </w:rPr>
              <w:t>DOC-032, Testing Note</w:t>
            </w:r>
          </w:p>
        </w:tc>
      </w:tr>
      <w:tr>
        <w:tc>
          <w:tcPr>
            <w:tcW w:type="dxa" w:w="768"/>
          </w:tcPr>
          <w:p>
            <w:pPr>
              <w:spacing w:line="240" w:lineRule="auto" w:after="40"/>
              <w:jc w:val="left"/>
            </w:pPr>
            <w:r/>
            <w:r>
              <w:rPr>
                <w:rFonts w:ascii="Times New Roman" w:hAnsi="Times New Roman"/>
                <w:b w:val="0"/>
                <w:sz w:val="20"/>
              </w:rPr>
              <w:t>RC-09</w:t>
            </w:r>
          </w:p>
        </w:tc>
        <w:tc>
          <w:tcPr>
            <w:tcW w:type="dxa" w:w="2880"/>
          </w:tcPr>
          <w:p>
            <w:pPr>
              <w:spacing w:line="240" w:lineRule="auto" w:after="40"/>
              <w:jc w:val="left"/>
            </w:pPr>
            <w:r/>
            <w:r>
              <w:rPr>
                <w:rFonts w:ascii="Times New Roman" w:hAnsi="Times New Roman"/>
                <w:b w:val="0"/>
                <w:sz w:val="20"/>
              </w:rPr>
              <w:t>Who signed the bid form for Nile Office Solutions?</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DOC-031, 1. Signed Bid Form</w:t>
            </w:r>
          </w:p>
        </w:tc>
      </w:tr>
      <w:tr>
        <w:tc>
          <w:tcPr>
            <w:tcW w:type="dxa" w:w="768"/>
          </w:tcPr>
          <w:p>
            <w:pPr>
              <w:spacing w:line="240" w:lineRule="auto" w:after="40"/>
              <w:jc w:val="left"/>
            </w:pPr>
            <w:r/>
            <w:r>
              <w:rPr>
                <w:rFonts w:ascii="Times New Roman" w:hAnsi="Times New Roman"/>
                <w:b w:val="0"/>
                <w:sz w:val="20"/>
              </w:rPr>
              <w:t>RC-10</w:t>
            </w:r>
          </w:p>
        </w:tc>
        <w:tc>
          <w:tcPr>
            <w:tcW w:type="dxa" w:w="2880"/>
          </w:tcPr>
          <w:p>
            <w:pPr>
              <w:spacing w:line="240" w:lineRule="auto" w:after="40"/>
              <w:jc w:val="left"/>
            </w:pPr>
            <w:r/>
            <w:r>
              <w:rPr>
                <w:rFonts w:ascii="Times New Roman" w:hAnsi="Times New Roman"/>
                <w:b w:val="0"/>
                <w:sz w:val="20"/>
              </w:rPr>
              <w:t>How must a power of attorney signed outside Uganda be authenticated?</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not in top 10</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DOC-014, Section 3: Evaluation Methodology and Criteria &gt; Administrative Compliance Criteria</w:t>
            </w:r>
          </w:p>
        </w:tc>
      </w:tr>
      <w:tr>
        <w:tc>
          <w:tcPr>
            <w:tcW w:type="dxa" w:w="768"/>
          </w:tcPr>
          <w:p>
            <w:pPr>
              <w:spacing w:line="240" w:lineRule="auto" w:after="40"/>
              <w:jc w:val="left"/>
            </w:pPr>
            <w:r/>
            <w:r>
              <w:rPr>
                <w:rFonts w:ascii="Times New Roman" w:hAnsi="Times New Roman"/>
                <w:b w:val="0"/>
                <w:sz w:val="20"/>
              </w:rPr>
              <w:t>RC-11</w:t>
            </w:r>
          </w:p>
        </w:tc>
        <w:tc>
          <w:tcPr>
            <w:tcW w:type="dxa" w:w="2880"/>
          </w:tcPr>
          <w:p>
            <w:pPr>
              <w:spacing w:line="240" w:lineRule="auto" w:after="40"/>
              <w:jc w:val="left"/>
            </w:pPr>
            <w:r/>
            <w:r>
              <w:rPr>
                <w:rFonts w:ascii="Times New Roman" w:hAnsi="Times New Roman"/>
                <w:b w:val="0"/>
                <w:sz w:val="20"/>
              </w:rPr>
              <w:t>What planning records must a procuring and disposing entity keep on file?</w:t>
            </w:r>
          </w:p>
        </w:tc>
        <w:tc>
          <w:tcPr>
            <w:tcW w:type="dxa" w:w="960"/>
          </w:tcPr>
          <w:p>
            <w:pPr>
              <w:spacing w:line="240" w:lineRule="auto" w:after="40"/>
              <w:jc w:val="left"/>
            </w:pPr>
            <w:r/>
            <w:r>
              <w:rPr>
                <w:rFonts w:ascii="Times New Roman" w:hAnsi="Times New Roman"/>
                <w:b w:val="0"/>
                <w:sz w:val="20"/>
              </w:rPr>
              <w:t>not in top 10</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8</w:t>
            </w:r>
          </w:p>
        </w:tc>
        <w:tc>
          <w:tcPr>
            <w:tcW w:type="dxa" w:w="2496"/>
          </w:tcPr>
          <w:p>
            <w:pPr>
              <w:spacing w:line="240" w:lineRule="auto" w:after="40"/>
              <w:jc w:val="left"/>
            </w:pPr>
            <w:r/>
            <w:r>
              <w:rPr>
                <w:rFonts w:ascii="Times New Roman" w:hAnsi="Times New Roman"/>
                <w:b w:val="0"/>
                <w:sz w:val="20"/>
              </w:rPr>
              <w:t>DOC-028, pp. 1-2, OF PUBLIC ASSETS AUTHORITY</w:t>
            </w:r>
          </w:p>
        </w:tc>
      </w:tr>
      <w:tr>
        <w:tc>
          <w:tcPr>
            <w:tcW w:type="dxa" w:w="768"/>
          </w:tcPr>
          <w:p>
            <w:pPr>
              <w:spacing w:line="240" w:lineRule="auto" w:after="40"/>
              <w:jc w:val="left"/>
            </w:pPr>
            <w:r/>
            <w:r>
              <w:rPr>
                <w:rFonts w:ascii="Times New Roman" w:hAnsi="Times New Roman"/>
                <w:b w:val="0"/>
                <w:sz w:val="20"/>
              </w:rPr>
              <w:t>RC-12</w:t>
            </w:r>
          </w:p>
        </w:tc>
        <w:tc>
          <w:tcPr>
            <w:tcW w:type="dxa" w:w="2880"/>
          </w:tcPr>
          <w:p>
            <w:pPr>
              <w:spacing w:line="240" w:lineRule="auto" w:after="40"/>
              <w:jc w:val="left"/>
            </w:pPr>
            <w:r/>
            <w:r>
              <w:rPr>
                <w:rFonts w:ascii="Times New Roman" w:hAnsi="Times New Roman"/>
                <w:b w:val="0"/>
                <w:sz w:val="20"/>
              </w:rPr>
              <w:t>What is the standard notice format announcing the best evaluated bidder for consultancy services?</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DOC-029, pp. 5-6, CONSULTANCY SERVICES</w:t>
            </w:r>
          </w:p>
        </w:tc>
      </w:tr>
      <w:tr>
        <w:tc>
          <w:tcPr>
            <w:tcW w:type="dxa" w:w="768"/>
          </w:tcPr>
          <w:p>
            <w:pPr>
              <w:spacing w:line="240" w:lineRule="auto" w:after="40"/>
              <w:jc w:val="left"/>
            </w:pPr>
            <w:r/>
            <w:r>
              <w:rPr>
                <w:rFonts w:ascii="Times New Roman" w:hAnsi="Times New Roman"/>
                <w:b w:val="0"/>
                <w:sz w:val="20"/>
              </w:rPr>
              <w:t>RC-13</w:t>
            </w:r>
          </w:p>
        </w:tc>
        <w:tc>
          <w:tcPr>
            <w:tcW w:type="dxa" w:w="2880"/>
          </w:tcPr>
          <w:p>
            <w:pPr>
              <w:spacing w:line="240" w:lineRule="auto" w:after="40"/>
              <w:jc w:val="left"/>
            </w:pPr>
            <w:r/>
            <w:r>
              <w:rPr>
                <w:rFonts w:ascii="Times New Roman" w:hAnsi="Times New Roman"/>
                <w:b w:val="0"/>
                <w:sz w:val="20"/>
              </w:rPr>
              <w:t>Can the entity ask bidders to extend how long their bids remain valid?</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DOC-001, p. 10, General &gt; Bid Validity</w:t>
            </w:r>
          </w:p>
        </w:tc>
      </w:tr>
      <w:tr>
        <w:tc>
          <w:tcPr>
            <w:tcW w:type="dxa" w:w="768"/>
          </w:tcPr>
          <w:p>
            <w:pPr>
              <w:spacing w:line="240" w:lineRule="auto" w:after="40"/>
              <w:jc w:val="left"/>
            </w:pPr>
            <w:r/>
            <w:r>
              <w:rPr>
                <w:rFonts w:ascii="Times New Roman" w:hAnsi="Times New Roman"/>
                <w:b w:val="0"/>
                <w:sz w:val="20"/>
              </w:rPr>
              <w:t>RC-14</w:t>
            </w:r>
          </w:p>
        </w:tc>
        <w:tc>
          <w:tcPr>
            <w:tcW w:type="dxa" w:w="2880"/>
          </w:tcPr>
          <w:p>
            <w:pPr>
              <w:spacing w:line="240" w:lineRule="auto" w:after="40"/>
              <w:jc w:val="left"/>
            </w:pPr>
            <w:r/>
            <w:r>
              <w:rPr>
                <w:rFonts w:ascii="Times New Roman" w:hAnsi="Times New Roman"/>
                <w:b w:val="0"/>
                <w:sz w:val="20"/>
              </w:rPr>
              <w:t>When are bidders treated as having a conflict of interest, for example sharing controlling shareholders?</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960"/>
          </w:tcPr>
          <w:p>
            <w:pPr>
              <w:spacing w:line="240" w:lineRule="auto" w:after="40"/>
              <w:jc w:val="left"/>
            </w:pPr>
            <w:r/>
            <w:r>
              <w:rPr>
                <w:rFonts w:ascii="Times New Roman" w:hAnsi="Times New Roman"/>
                <w:b w:val="0"/>
                <w:sz w:val="20"/>
              </w:rPr>
              <w:t>1</w:t>
            </w:r>
          </w:p>
        </w:tc>
        <w:tc>
          <w:tcPr>
            <w:tcW w:type="dxa" w:w="2496"/>
          </w:tcPr>
          <w:p>
            <w:pPr>
              <w:spacing w:line="240" w:lineRule="auto" w:after="40"/>
              <w:jc w:val="left"/>
            </w:pPr>
            <w:r/>
            <w:r>
              <w:rPr>
                <w:rFonts w:ascii="Times New Roman" w:hAnsi="Times New Roman"/>
                <w:b w:val="0"/>
                <w:sz w:val="20"/>
              </w:rPr>
              <w:t>DOC-009, p. 5, General &gt; Eligible Bidders</w:t>
            </w:r>
          </w:p>
        </w:tc>
      </w:tr>
      <w:tr>
        <w:tc>
          <w:tcPr>
            <w:tcW w:type="dxa" w:w="768"/>
          </w:tcPr>
          <w:p>
            <w:pPr>
              <w:spacing w:line="240" w:lineRule="auto" w:after="40"/>
              <w:jc w:val="left"/>
            </w:pPr>
            <w:r/>
            <w:r>
              <w:rPr>
                <w:rFonts w:ascii="Times New Roman" w:hAnsi="Times New Roman"/>
                <w:b w:val="0"/>
                <w:sz w:val="20"/>
              </w:rPr>
              <w:t>RC-15</w:t>
            </w:r>
          </w:p>
        </w:tc>
        <w:tc>
          <w:tcPr>
            <w:tcW w:type="dxa" w:w="2880"/>
          </w:tcPr>
          <w:p>
            <w:pPr>
              <w:spacing w:line="240" w:lineRule="auto" w:after="40"/>
              <w:jc w:val="left"/>
            </w:pPr>
            <w:r/>
            <w:r>
              <w:rPr>
                <w:rFonts w:ascii="Times New Roman" w:hAnsi="Times New Roman"/>
                <w:b w:val="0"/>
                <w:sz w:val="20"/>
              </w:rPr>
              <w:t>When does a bid securing declaration stop being valid?</w:t>
            </w:r>
          </w:p>
        </w:tc>
        <w:tc>
          <w:tcPr>
            <w:tcW w:type="dxa" w:w="960"/>
          </w:tcPr>
          <w:p>
            <w:pPr>
              <w:spacing w:line="240" w:lineRule="auto" w:after="40"/>
              <w:jc w:val="left"/>
            </w:pPr>
            <w:r/>
            <w:r>
              <w:rPr>
                <w:rFonts w:ascii="Times New Roman" w:hAnsi="Times New Roman"/>
                <w:b w:val="0"/>
                <w:sz w:val="20"/>
              </w:rPr>
              <w:t>not in top 10</w:t>
            </w:r>
          </w:p>
        </w:tc>
        <w:tc>
          <w:tcPr>
            <w:tcW w:type="dxa" w:w="960"/>
          </w:tcPr>
          <w:p>
            <w:pPr>
              <w:spacing w:line="240" w:lineRule="auto" w:after="40"/>
              <w:jc w:val="left"/>
            </w:pPr>
            <w:r/>
            <w:r>
              <w:rPr>
                <w:rFonts w:ascii="Times New Roman" w:hAnsi="Times New Roman"/>
                <w:b w:val="0"/>
                <w:sz w:val="20"/>
              </w:rPr>
              <w:t>2</w:t>
            </w:r>
          </w:p>
        </w:tc>
        <w:tc>
          <w:tcPr>
            <w:tcW w:type="dxa" w:w="960"/>
          </w:tcPr>
          <w:p>
            <w:pPr>
              <w:spacing w:line="240" w:lineRule="auto" w:after="40"/>
              <w:jc w:val="left"/>
            </w:pPr>
            <w:r/>
            <w:r>
              <w:rPr>
                <w:rFonts w:ascii="Times New Roman" w:hAnsi="Times New Roman"/>
                <w:b w:val="0"/>
                <w:sz w:val="20"/>
              </w:rPr>
              <w:t>5</w:t>
            </w:r>
          </w:p>
        </w:tc>
        <w:tc>
          <w:tcPr>
            <w:tcW w:type="dxa" w:w="2496"/>
          </w:tcPr>
          <w:p>
            <w:pPr>
              <w:spacing w:line="240" w:lineRule="auto" w:after="40"/>
              <w:jc w:val="left"/>
            </w:pPr>
            <w:r/>
            <w:r>
              <w:rPr>
                <w:rFonts w:ascii="Times New Roman" w:hAnsi="Times New Roman"/>
                <w:b w:val="0"/>
                <w:sz w:val="20"/>
              </w:rPr>
              <w:t>DOC-020, p. 11, General &gt; Bid Security or Bid Securing Declaration</w:t>
            </w:r>
          </w:p>
        </w:tc>
      </w:tr>
    </w:tbl>
    <w:p>
      <w:pPr>
        <w:spacing w:after="0"/>
      </w:pPr>
    </w:p>
    <w:p>
      <w:pPr>
        <w:pStyle w:val="Heading1"/>
      </w:pPr>
      <w:r>
        <w:t>4. Evidence sufficiency</w:t>
      </w:r>
    </w:p>
    <w:p>
      <w:r>
        <w:rPr>
          <w:i w:val="0"/>
        </w:rPr>
        <w:t>Table 3 shows the best cosine similarity each query reached against any passage, and whether the configured threshold of 0.65 called the evidence sufficient.</w:t>
      </w:r>
    </w:p>
    <w:p>
      <w:pPr>
        <w:pStyle w:val="Caption"/>
      </w:pPr>
      <w:r>
        <w:rPr>
          <w:b/>
        </w:rPr>
        <w:t xml:space="preserve">Table </w:t>
      </w:r>
      <w:r>
        <w:fldChar w:fldCharType="begin"/>
      </w:r>
      <w:r>
        <w:instrText xml:space="preserve"> SEQ Table \* ARABIC </w:instrText>
      </w:r>
      <w:r>
        <w:fldChar w:fldCharType="separate"/>
      </w:r>
      <w:r>
        <w:rPr>
          <w:b/>
        </w:rPr>
        <w:t>3</w:t>
      </w:r>
      <w:r>
        <w:fldChar w:fldCharType="end"/>
      </w:r>
      <w:r>
        <w:rPr>
          <w:b/>
        </w:rPr>
        <w:t xml:space="preserve">: </w:t>
      </w:r>
      <w:r>
        <w:t>Best similarity and sufficiency call</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1736"/>
          </w:tcPr>
          <w:p>
            <w:pPr>
              <w:spacing w:line="240" w:lineRule="auto" w:after="40"/>
              <w:jc w:val="left"/>
            </w:pPr>
            <w:r/>
            <w:r>
              <w:rPr>
                <w:rFonts w:ascii="Times New Roman" w:hAnsi="Times New Roman"/>
                <w:b/>
                <w:sz w:val="20"/>
              </w:rPr>
              <w:t>Case</w:t>
            </w:r>
          </w:p>
        </w:tc>
        <w:tc>
          <w:tcPr>
            <w:tcW w:type="dxa" w:w="2777"/>
          </w:tcPr>
          <w:p>
            <w:pPr>
              <w:spacing w:line="240" w:lineRule="auto" w:after="40"/>
              <w:jc w:val="left"/>
            </w:pPr>
            <w:r/>
            <w:r>
              <w:rPr>
                <w:rFonts w:ascii="Times New Roman" w:hAnsi="Times New Roman"/>
                <w:b/>
                <w:sz w:val="20"/>
              </w:rPr>
              <w:t>Kind</w:t>
            </w:r>
          </w:p>
        </w:tc>
        <w:tc>
          <w:tcPr>
            <w:tcW w:type="dxa" w:w="2083"/>
          </w:tcPr>
          <w:p>
            <w:pPr>
              <w:spacing w:line="240" w:lineRule="auto" w:after="40"/>
              <w:jc w:val="left"/>
            </w:pPr>
            <w:r/>
            <w:r>
              <w:rPr>
                <w:rFonts w:ascii="Times New Roman" w:hAnsi="Times New Roman"/>
                <w:b/>
                <w:sz w:val="20"/>
              </w:rPr>
              <w:t>Best cosine</w:t>
            </w:r>
          </w:p>
        </w:tc>
        <w:tc>
          <w:tcPr>
            <w:tcW w:type="dxa" w:w="2430"/>
          </w:tcPr>
          <w:p>
            <w:pPr>
              <w:spacing w:line="240" w:lineRule="auto" w:after="40"/>
              <w:jc w:val="left"/>
            </w:pPr>
            <w:r/>
            <w:r>
              <w:rPr>
                <w:rFonts w:ascii="Times New Roman" w:hAnsi="Times New Roman"/>
                <w:b/>
                <w:sz w:val="20"/>
              </w:rPr>
              <w:t>Called sufficient</w:t>
            </w:r>
          </w:p>
        </w:tc>
      </w:tr>
      <w:tr>
        <w:tc>
          <w:tcPr>
            <w:tcW w:type="dxa" w:w="1736"/>
          </w:tcPr>
          <w:p>
            <w:pPr>
              <w:spacing w:line="240" w:lineRule="auto" w:after="40"/>
              <w:jc w:val="left"/>
            </w:pPr>
            <w:r/>
            <w:r>
              <w:rPr>
                <w:rFonts w:ascii="Times New Roman" w:hAnsi="Times New Roman"/>
                <w:b w:val="0"/>
                <w:sz w:val="20"/>
              </w:rPr>
              <w:t>RC-01</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0.795</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RC-02</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0.769</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RC-03</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0.806</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RC-04</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0.778</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RC-05</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0.860</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RC-06</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0.815</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RC-07</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0.749</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RC-08</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0.796</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RC-09</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0.804</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RC-10</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0.732</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RC-11</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0.795</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RC-12</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0.853</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RC-13</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0.801</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RC-14</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0.751</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RC-15</w:t>
            </w:r>
          </w:p>
        </w:tc>
        <w:tc>
          <w:tcPr>
            <w:tcW w:type="dxa" w:w="2777"/>
          </w:tcPr>
          <w:p>
            <w:pPr>
              <w:spacing w:line="240" w:lineRule="auto" w:after="40"/>
              <w:jc w:val="left"/>
            </w:pPr>
            <w:r/>
            <w:r>
              <w:rPr>
                <w:rFonts w:ascii="Times New Roman" w:hAnsi="Times New Roman"/>
                <w:b w:val="0"/>
                <w:sz w:val="20"/>
              </w:rPr>
              <w:t>answerable</w:t>
            </w:r>
          </w:p>
        </w:tc>
        <w:tc>
          <w:tcPr>
            <w:tcW w:type="dxa" w:w="2083"/>
          </w:tcPr>
          <w:p>
            <w:pPr>
              <w:spacing w:line="240" w:lineRule="auto" w:after="40"/>
              <w:jc w:val="left"/>
            </w:pPr>
            <w:r/>
            <w:r>
              <w:rPr>
                <w:rFonts w:ascii="Times New Roman" w:hAnsi="Times New Roman"/>
                <w:b w:val="0"/>
                <w:sz w:val="20"/>
              </w:rPr>
              <w:t>0.815</w:t>
            </w:r>
          </w:p>
        </w:tc>
        <w:tc>
          <w:tcPr>
            <w:tcW w:type="dxa" w:w="2430"/>
          </w:tcPr>
          <w:p>
            <w:pPr>
              <w:spacing w:line="240" w:lineRule="auto" w:after="40"/>
              <w:jc w:val="left"/>
            </w:pPr>
            <w:r/>
            <w:r>
              <w:rPr>
                <w:rFonts w:ascii="Times New Roman" w:hAnsi="Times New Roman"/>
                <w:b w:val="0"/>
                <w:sz w:val="20"/>
              </w:rPr>
              <w:t>Yes</w:t>
            </w:r>
          </w:p>
        </w:tc>
      </w:tr>
      <w:tr>
        <w:tc>
          <w:tcPr>
            <w:tcW w:type="dxa" w:w="1736"/>
          </w:tcPr>
          <w:p>
            <w:pPr>
              <w:spacing w:line="240" w:lineRule="auto" w:after="40"/>
              <w:jc w:val="left"/>
            </w:pPr>
            <w:r/>
            <w:r>
              <w:rPr>
                <w:rFonts w:ascii="Times New Roman" w:hAnsi="Times New Roman"/>
                <w:b w:val="0"/>
                <w:sz w:val="20"/>
              </w:rPr>
              <w:t>OC-01</w:t>
            </w:r>
          </w:p>
        </w:tc>
        <w:tc>
          <w:tcPr>
            <w:tcW w:type="dxa" w:w="2777"/>
          </w:tcPr>
          <w:p>
            <w:pPr>
              <w:spacing w:line="240" w:lineRule="auto" w:after="40"/>
              <w:jc w:val="left"/>
            </w:pPr>
            <w:r/>
            <w:r>
              <w:rPr>
                <w:rFonts w:ascii="Times New Roman" w:hAnsi="Times New Roman"/>
                <w:b w:val="0"/>
                <w:sz w:val="20"/>
              </w:rPr>
              <w:t>out-of-corpus</w:t>
            </w:r>
          </w:p>
        </w:tc>
        <w:tc>
          <w:tcPr>
            <w:tcW w:type="dxa" w:w="2083"/>
          </w:tcPr>
          <w:p>
            <w:pPr>
              <w:spacing w:line="240" w:lineRule="auto" w:after="40"/>
              <w:jc w:val="left"/>
            </w:pPr>
            <w:r/>
            <w:r>
              <w:rPr>
                <w:rFonts w:ascii="Times New Roman" w:hAnsi="Times New Roman"/>
                <w:b w:val="0"/>
                <w:sz w:val="20"/>
              </w:rPr>
              <w:t>0.622</w:t>
            </w:r>
          </w:p>
        </w:tc>
        <w:tc>
          <w:tcPr>
            <w:tcW w:type="dxa" w:w="2430"/>
          </w:tcPr>
          <w:p>
            <w:pPr>
              <w:spacing w:line="240" w:lineRule="auto" w:after="40"/>
              <w:jc w:val="left"/>
            </w:pPr>
            <w:r/>
            <w:r>
              <w:rPr>
                <w:rFonts w:ascii="Times New Roman" w:hAnsi="Times New Roman"/>
                <w:b w:val="0"/>
                <w:sz w:val="20"/>
              </w:rPr>
              <w:t>No</w:t>
            </w:r>
          </w:p>
        </w:tc>
      </w:tr>
      <w:tr>
        <w:tc>
          <w:tcPr>
            <w:tcW w:type="dxa" w:w="1736"/>
          </w:tcPr>
          <w:p>
            <w:pPr>
              <w:spacing w:line="240" w:lineRule="auto" w:after="40"/>
              <w:jc w:val="left"/>
            </w:pPr>
            <w:r/>
            <w:r>
              <w:rPr>
                <w:rFonts w:ascii="Times New Roman" w:hAnsi="Times New Roman"/>
                <w:b w:val="0"/>
                <w:sz w:val="20"/>
              </w:rPr>
              <w:t>OC-02</w:t>
            </w:r>
          </w:p>
        </w:tc>
        <w:tc>
          <w:tcPr>
            <w:tcW w:type="dxa" w:w="2777"/>
          </w:tcPr>
          <w:p>
            <w:pPr>
              <w:spacing w:line="240" w:lineRule="auto" w:after="40"/>
              <w:jc w:val="left"/>
            </w:pPr>
            <w:r/>
            <w:r>
              <w:rPr>
                <w:rFonts w:ascii="Times New Roman" w:hAnsi="Times New Roman"/>
                <w:b w:val="0"/>
                <w:sz w:val="20"/>
              </w:rPr>
              <w:t>out-of-corpus</w:t>
            </w:r>
          </w:p>
        </w:tc>
        <w:tc>
          <w:tcPr>
            <w:tcW w:type="dxa" w:w="2083"/>
          </w:tcPr>
          <w:p>
            <w:pPr>
              <w:spacing w:line="240" w:lineRule="auto" w:after="40"/>
              <w:jc w:val="left"/>
            </w:pPr>
            <w:r/>
            <w:r>
              <w:rPr>
                <w:rFonts w:ascii="Times New Roman" w:hAnsi="Times New Roman"/>
                <w:b w:val="0"/>
                <w:sz w:val="20"/>
              </w:rPr>
              <w:t>0.515</w:t>
            </w:r>
          </w:p>
        </w:tc>
        <w:tc>
          <w:tcPr>
            <w:tcW w:type="dxa" w:w="2430"/>
          </w:tcPr>
          <w:p>
            <w:pPr>
              <w:spacing w:line="240" w:lineRule="auto" w:after="40"/>
              <w:jc w:val="left"/>
            </w:pPr>
            <w:r/>
            <w:r>
              <w:rPr>
                <w:rFonts w:ascii="Times New Roman" w:hAnsi="Times New Roman"/>
                <w:b w:val="0"/>
                <w:sz w:val="20"/>
              </w:rPr>
              <w:t>No</w:t>
            </w:r>
          </w:p>
        </w:tc>
      </w:tr>
      <w:tr>
        <w:tc>
          <w:tcPr>
            <w:tcW w:type="dxa" w:w="1736"/>
          </w:tcPr>
          <w:p>
            <w:pPr>
              <w:spacing w:line="240" w:lineRule="auto" w:after="40"/>
              <w:jc w:val="left"/>
            </w:pPr>
            <w:r/>
            <w:r>
              <w:rPr>
                <w:rFonts w:ascii="Times New Roman" w:hAnsi="Times New Roman"/>
                <w:b w:val="0"/>
                <w:sz w:val="20"/>
              </w:rPr>
              <w:t>OC-03</w:t>
            </w:r>
          </w:p>
        </w:tc>
        <w:tc>
          <w:tcPr>
            <w:tcW w:type="dxa" w:w="2777"/>
          </w:tcPr>
          <w:p>
            <w:pPr>
              <w:spacing w:line="240" w:lineRule="auto" w:after="40"/>
              <w:jc w:val="left"/>
            </w:pPr>
            <w:r/>
            <w:r>
              <w:rPr>
                <w:rFonts w:ascii="Times New Roman" w:hAnsi="Times New Roman"/>
                <w:b w:val="0"/>
                <w:sz w:val="20"/>
              </w:rPr>
              <w:t>out-of-corpus</w:t>
            </w:r>
          </w:p>
        </w:tc>
        <w:tc>
          <w:tcPr>
            <w:tcW w:type="dxa" w:w="2083"/>
          </w:tcPr>
          <w:p>
            <w:pPr>
              <w:spacing w:line="240" w:lineRule="auto" w:after="40"/>
              <w:jc w:val="left"/>
            </w:pPr>
            <w:r/>
            <w:r>
              <w:rPr>
                <w:rFonts w:ascii="Times New Roman" w:hAnsi="Times New Roman"/>
                <w:b w:val="0"/>
                <w:sz w:val="20"/>
              </w:rPr>
              <w:t>0.563</w:t>
            </w:r>
          </w:p>
        </w:tc>
        <w:tc>
          <w:tcPr>
            <w:tcW w:type="dxa" w:w="2430"/>
          </w:tcPr>
          <w:p>
            <w:pPr>
              <w:spacing w:line="240" w:lineRule="auto" w:after="40"/>
              <w:jc w:val="left"/>
            </w:pPr>
            <w:r/>
            <w:r>
              <w:rPr>
                <w:rFonts w:ascii="Times New Roman" w:hAnsi="Times New Roman"/>
                <w:b w:val="0"/>
                <w:sz w:val="20"/>
              </w:rPr>
              <w:t>No</w:t>
            </w:r>
          </w:p>
        </w:tc>
      </w:tr>
      <w:tr>
        <w:tc>
          <w:tcPr>
            <w:tcW w:type="dxa" w:w="1736"/>
          </w:tcPr>
          <w:p>
            <w:pPr>
              <w:spacing w:line="240" w:lineRule="auto" w:after="40"/>
              <w:jc w:val="left"/>
            </w:pPr>
            <w:r/>
            <w:r>
              <w:rPr>
                <w:rFonts w:ascii="Times New Roman" w:hAnsi="Times New Roman"/>
                <w:b w:val="0"/>
                <w:sz w:val="20"/>
              </w:rPr>
              <w:t>OC-04</w:t>
            </w:r>
          </w:p>
        </w:tc>
        <w:tc>
          <w:tcPr>
            <w:tcW w:type="dxa" w:w="2777"/>
          </w:tcPr>
          <w:p>
            <w:pPr>
              <w:spacing w:line="240" w:lineRule="auto" w:after="40"/>
              <w:jc w:val="left"/>
            </w:pPr>
            <w:r/>
            <w:r>
              <w:rPr>
                <w:rFonts w:ascii="Times New Roman" w:hAnsi="Times New Roman"/>
                <w:b w:val="0"/>
                <w:sz w:val="20"/>
              </w:rPr>
              <w:t>out-of-corpus</w:t>
            </w:r>
          </w:p>
        </w:tc>
        <w:tc>
          <w:tcPr>
            <w:tcW w:type="dxa" w:w="2083"/>
          </w:tcPr>
          <w:p>
            <w:pPr>
              <w:spacing w:line="240" w:lineRule="auto" w:after="40"/>
              <w:jc w:val="left"/>
            </w:pPr>
            <w:r/>
            <w:r>
              <w:rPr>
                <w:rFonts w:ascii="Times New Roman" w:hAnsi="Times New Roman"/>
                <w:b w:val="0"/>
                <w:sz w:val="20"/>
              </w:rPr>
              <w:t>0.549</w:t>
            </w:r>
          </w:p>
        </w:tc>
        <w:tc>
          <w:tcPr>
            <w:tcW w:type="dxa" w:w="2430"/>
          </w:tcPr>
          <w:p>
            <w:pPr>
              <w:spacing w:line="240" w:lineRule="auto" w:after="40"/>
              <w:jc w:val="left"/>
            </w:pPr>
            <w:r/>
            <w:r>
              <w:rPr>
                <w:rFonts w:ascii="Times New Roman" w:hAnsi="Times New Roman"/>
                <w:b w:val="0"/>
                <w:sz w:val="20"/>
              </w:rPr>
              <w:t>No</w:t>
            </w:r>
          </w:p>
        </w:tc>
      </w:tr>
      <w:tr>
        <w:tc>
          <w:tcPr>
            <w:tcW w:type="dxa" w:w="1736"/>
          </w:tcPr>
          <w:p>
            <w:pPr>
              <w:spacing w:line="240" w:lineRule="auto" w:after="40"/>
              <w:jc w:val="left"/>
            </w:pPr>
            <w:r/>
            <w:r>
              <w:rPr>
                <w:rFonts w:ascii="Times New Roman" w:hAnsi="Times New Roman"/>
                <w:b w:val="0"/>
                <w:sz w:val="20"/>
              </w:rPr>
              <w:t>OC-05</w:t>
            </w:r>
          </w:p>
        </w:tc>
        <w:tc>
          <w:tcPr>
            <w:tcW w:type="dxa" w:w="2777"/>
          </w:tcPr>
          <w:p>
            <w:pPr>
              <w:spacing w:line="240" w:lineRule="auto" w:after="40"/>
              <w:jc w:val="left"/>
            </w:pPr>
            <w:r/>
            <w:r>
              <w:rPr>
                <w:rFonts w:ascii="Times New Roman" w:hAnsi="Times New Roman"/>
                <w:b w:val="0"/>
                <w:sz w:val="20"/>
              </w:rPr>
              <w:t>out-of-corpus</w:t>
            </w:r>
          </w:p>
        </w:tc>
        <w:tc>
          <w:tcPr>
            <w:tcW w:type="dxa" w:w="2083"/>
          </w:tcPr>
          <w:p>
            <w:pPr>
              <w:spacing w:line="240" w:lineRule="auto" w:after="40"/>
              <w:jc w:val="left"/>
            </w:pPr>
            <w:r/>
            <w:r>
              <w:rPr>
                <w:rFonts w:ascii="Times New Roman" w:hAnsi="Times New Roman"/>
                <w:b w:val="0"/>
                <w:sz w:val="20"/>
              </w:rPr>
              <w:t>0.761</w:t>
            </w:r>
          </w:p>
        </w:tc>
        <w:tc>
          <w:tcPr>
            <w:tcW w:type="dxa" w:w="2430"/>
          </w:tcPr>
          <w:p>
            <w:pPr>
              <w:spacing w:line="240" w:lineRule="auto" w:after="40"/>
              <w:jc w:val="left"/>
            </w:pPr>
            <w:r/>
            <w:r>
              <w:rPr>
                <w:rFonts w:ascii="Times New Roman" w:hAnsi="Times New Roman"/>
                <w:b w:val="0"/>
                <w:sz w:val="20"/>
              </w:rPr>
              <w:t>Yes</w:t>
            </w:r>
          </w:p>
        </w:tc>
      </w:tr>
    </w:tbl>
    <w:p>
      <w:pPr>
        <w:spacing w:after="0"/>
      </w:pPr>
    </w:p>
    <w:p>
      <w:r>
        <w:rPr>
          <w:i w:val="0"/>
        </w:rPr>
        <w:t>Answerable queries reached between 0.732 and 0.860. Out-of-corpus queries reached between 0.515 and 0.761. The two ranges overlap, so no single threshold separates every case. Similarity alone cannot decide answerability, and the model must still be allowed to say that the evidence does not answer the question.</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left"/>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