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6"/>
        </w:rPr>
        <w:t>Evaluation of scanned-submission-pdf</w:t>
      </w:r>
    </w:p>
    <w:p>
      <w:pPr>
        <w:jc w:val="center"/>
      </w:pPr>
      <w:r>
        <w:rPr>
          <w:b/>
          <w:sz w:val="26"/>
        </w:rPr>
        <w:t>Public Procurement Document-Completeness Agent</w:t>
      </w:r>
    </w:p>
    <w:p>
      <w:pPr>
        <w:jc w:val="center"/>
      </w:pPr>
      <w:r>
        <w:rPr>
          <w:b w:val="0"/>
          <w:sz w:val="22"/>
        </w:rPr>
        <w:t>BSE4104 AI-Native and Agentic Engineering Capstone</w:t>
      </w:r>
    </w:p>
    <w:p>
      <w:pPr>
        <w:jc w:val="center"/>
      </w:pPr>
      <w:r>
        <w:rPr>
          <w:b w:val="0"/>
          <w:sz w:val="22"/>
        </w:rPr>
        <w:t>Group-H (Evening), Makerere University</w:t>
      </w:r>
    </w:p>
    <w:p>
      <w:pPr>
        <w:jc w:val="center"/>
      </w:pPr>
      <w:r>
        <w:rPr>
          <w:b w:val="0"/>
          <w:sz w:val="20"/>
        </w:rPr>
        <w:t>16 September 2026</w:t>
      </w:r>
    </w:p>
    <w:p/>
    <w:p>
      <w:r>
        <w:rPr>
          <w:b/>
          <w:sz w:val="26"/>
        </w:rPr>
        <w:t>1 of 1 cases behaved as expected.</w:t>
      </w:r>
    </w:p>
    <w:p>
      <w:pPr>
        <w:pStyle w:val="Heading1"/>
      </w:pPr>
      <w:r>
        <w:t>1. Run details</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Setting</w:t>
            </w:r>
          </w:p>
        </w:tc>
        <w:tc>
          <w:tcPr>
            <w:tcW w:type="dxa" w:w="4680"/>
            <w:shd w:fill="E8EDF2"/>
          </w:tcPr>
          <w:p>
            <w:pPr>
              <w:spacing w:after="40"/>
            </w:pPr>
            <w:r>
              <w:rPr>
                <w:b/>
                <w:sz w:val="18"/>
              </w:rPr>
              <w:t>Value</w:t>
            </w:r>
          </w:p>
        </w:tc>
      </w:tr>
      <w:tr>
        <w:tc>
          <w:tcPr>
            <w:tcW w:type="dxa" w:w="4680"/>
          </w:tcPr>
          <w:p>
            <w:pPr>
              <w:spacing w:after="40"/>
            </w:pPr>
            <w:r>
              <w:rPr>
                <w:sz w:val="18"/>
              </w:rPr>
              <w:t>Model</w:t>
            </w:r>
          </w:p>
        </w:tc>
        <w:tc>
          <w:tcPr>
            <w:tcW w:type="dxa" w:w="4680"/>
          </w:tcPr>
          <w:p>
            <w:pPr>
              <w:spacing w:after="40"/>
            </w:pPr>
            <w:r>
              <w:rPr>
                <w:sz w:val="18"/>
              </w:rPr>
              <w:t>llama3.1:8b</w:t>
            </w:r>
          </w:p>
        </w:tc>
      </w:tr>
      <w:tr>
        <w:tc>
          <w:tcPr>
            <w:tcW w:type="dxa" w:w="4680"/>
          </w:tcPr>
          <w:p>
            <w:pPr>
              <w:spacing w:after="40"/>
            </w:pPr>
            <w:r>
              <w:rPr>
                <w:sz w:val="18"/>
              </w:rPr>
              <w:t>Prompt version</w:t>
            </w:r>
          </w:p>
        </w:tc>
        <w:tc>
          <w:tcPr>
            <w:tcW w:type="dxa" w:w="4680"/>
          </w:tcPr>
          <w:p>
            <w:pPr>
              <w:spacing w:after="40"/>
            </w:pPr>
            <w:r>
              <w:rPr>
                <w:sz w:val="18"/>
              </w:rPr>
              <w:t>v2.0-per-item + adjudicator-v1.0</w:t>
            </w:r>
          </w:p>
        </w:tc>
      </w:tr>
      <w:tr>
        <w:tc>
          <w:tcPr>
            <w:tcW w:type="dxa" w:w="4680"/>
          </w:tcPr>
          <w:p>
            <w:pPr>
              <w:spacing w:after="40"/>
            </w:pPr>
            <w:r>
              <w:rPr>
                <w:sz w:val="18"/>
              </w:rPr>
              <w:t>Matching method</w:t>
            </w:r>
          </w:p>
        </w:tc>
        <w:tc>
          <w:tcPr>
            <w:tcW w:type="dxa" w:w="4680"/>
          </w:tcPr>
          <w:p>
            <w:pPr>
              <w:spacing w:after="40"/>
            </w:pPr>
            <w:r>
              <w:rPr>
                <w:sz w:val="18"/>
              </w:rPr>
              <w:t>one check per checklist item</w:t>
            </w:r>
          </w:p>
        </w:tc>
      </w:tr>
      <w:tr>
        <w:tc>
          <w:tcPr>
            <w:tcW w:type="dxa" w:w="4680"/>
          </w:tcPr>
          <w:p>
            <w:pPr>
              <w:spacing w:after="40"/>
            </w:pPr>
            <w:r>
              <w:rPr>
                <w:sz w:val="18"/>
              </w:rPr>
              <w:t>Human-review threshold</w:t>
            </w:r>
          </w:p>
        </w:tc>
        <w:tc>
          <w:tcPr>
            <w:tcW w:type="dxa" w:w="4680"/>
          </w:tcPr>
          <w:p>
            <w:pPr>
              <w:spacing w:after="40"/>
            </w:pPr>
            <w:r>
              <w:rPr>
                <w:sz w:val="18"/>
              </w:rPr>
              <w:t>0.85</w:t>
            </w:r>
          </w:p>
        </w:tc>
      </w:tr>
      <w:tr>
        <w:tc>
          <w:tcPr>
            <w:tcW w:type="dxa" w:w="4680"/>
          </w:tcPr>
          <w:p>
            <w:pPr>
              <w:spacing w:after="40"/>
            </w:pPr>
            <w:r>
              <w:rPr>
                <w:sz w:val="18"/>
              </w:rPr>
              <w:t>Context window</w:t>
            </w:r>
          </w:p>
        </w:tc>
        <w:tc>
          <w:tcPr>
            <w:tcW w:type="dxa" w:w="4680"/>
          </w:tcPr>
          <w:p>
            <w:pPr>
              <w:spacing w:after="40"/>
            </w:pPr>
            <w:r>
              <w:rPr>
                <w:sz w:val="18"/>
              </w:rPr>
              <w:t>16,384 tokens</w:t>
            </w:r>
          </w:p>
        </w:tc>
      </w:tr>
      <w:tr>
        <w:tc>
          <w:tcPr>
            <w:tcW w:type="dxa" w:w="4680"/>
          </w:tcPr>
          <w:p>
            <w:pPr>
              <w:spacing w:after="40"/>
            </w:pPr>
            <w:r>
              <w:rPr>
                <w:sz w:val="18"/>
              </w:rPr>
              <w:t>Cases run</w:t>
            </w:r>
          </w:p>
        </w:tc>
        <w:tc>
          <w:tcPr>
            <w:tcW w:type="dxa" w:w="4680"/>
          </w:tcPr>
          <w:p>
            <w:pPr>
              <w:spacing w:after="40"/>
            </w:pPr>
            <w:r>
              <w:rPr>
                <w:sz w:val="18"/>
              </w:rPr>
              <w:t>1</w:t>
            </w:r>
          </w:p>
        </w:tc>
      </w:tr>
      <w:tr>
        <w:tc>
          <w:tcPr>
            <w:tcW w:type="dxa" w:w="4680"/>
          </w:tcPr>
          <w:p>
            <w:pPr>
              <w:spacing w:after="40"/>
            </w:pPr>
            <w:r>
              <w:rPr>
                <w:sz w:val="18"/>
              </w:rPr>
              <w:t>Cases meeting expectation</w:t>
            </w:r>
          </w:p>
        </w:tc>
        <w:tc>
          <w:tcPr>
            <w:tcW w:type="dxa" w:w="4680"/>
          </w:tcPr>
          <w:p>
            <w:pPr>
              <w:spacing w:after="40"/>
            </w:pPr>
            <w:r>
              <w:rPr>
                <w:sz w:val="18"/>
              </w:rPr>
              <w:t>1 of 1</w:t>
            </w:r>
          </w:p>
        </w:tc>
      </w:tr>
      <w:tr>
        <w:tc>
          <w:tcPr>
            <w:tcW w:type="dxa" w:w="4680"/>
          </w:tcPr>
          <w:p>
            <w:pPr>
              <w:spacing w:after="40"/>
            </w:pPr>
            <w:r>
              <w:rPr>
                <w:sz w:val="18"/>
              </w:rPr>
              <w:t>Documents tested</w:t>
            </w:r>
          </w:p>
        </w:tc>
        <w:tc>
          <w:tcPr>
            <w:tcW w:type="dxa" w:w="4680"/>
          </w:tcPr>
          <w:p>
            <w:pPr>
              <w:spacing w:after="40"/>
            </w:pPr>
            <w:r>
              <w:rPr>
                <w:sz w:val="18"/>
              </w:rPr>
              <w:t>The submission scanned-submission-pdf, one of the documents used for testing.</w:t>
            </w:r>
          </w:p>
        </w:tc>
      </w:tr>
    </w:tbl>
    <w:p>
      <w:r>
        <w:rPr>
          <w:i/>
          <w:sz w:val="18"/>
        </w:rPr>
        <w:t>Table 1: Configuration of the evaluated run.</w:t>
      </w:r>
    </w:p>
    <w:p>
      <w:pPr>
        <w:pStyle w:val="Heading1"/>
      </w:pPr>
      <w:r>
        <w:t>2. Results by area</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Area tested</w:t>
            </w:r>
          </w:p>
        </w:tc>
        <w:tc>
          <w:tcPr>
            <w:tcW w:type="dxa" w:w="4680"/>
            <w:shd w:fill="E8EDF2"/>
          </w:tcPr>
          <w:p>
            <w:pPr>
              <w:spacing w:after="40"/>
            </w:pPr>
            <w:r>
              <w:rPr>
                <w:b/>
                <w:sz w:val="18"/>
              </w:rPr>
              <w:t>As expected</w:t>
            </w:r>
          </w:p>
        </w:tc>
      </w:tr>
      <w:tr>
        <w:tc>
          <w:tcPr>
            <w:tcW w:type="dxa" w:w="4680"/>
          </w:tcPr>
          <w:p>
            <w:pPr>
              <w:spacing w:after="40"/>
            </w:pPr>
            <w:r>
              <w:rPr>
                <w:sz w:val="18"/>
              </w:rPr>
              <w:t>Handling different file types</w:t>
            </w:r>
          </w:p>
        </w:tc>
        <w:tc>
          <w:tcPr>
            <w:tcW w:type="dxa" w:w="4680"/>
          </w:tcPr>
          <w:p>
            <w:pPr>
              <w:spacing w:after="40"/>
            </w:pPr>
            <w:r>
              <w:rPr>
                <w:b/>
                <w:color w:val="1E6B2B"/>
                <w:sz w:val="18"/>
              </w:rPr>
              <w:t>1 of 1</w:t>
            </w:r>
          </w:p>
        </w:tc>
      </w:tr>
    </w:tbl>
    <w:p>
      <w:r>
        <w:rPr>
          <w:i/>
          <w:sz w:val="18"/>
        </w:rPr>
        <w:t>Table 2: Cases meeting expectation, grouped by area.</w:t>
      </w:r>
    </w:p>
    <w:p>
      <w:pPr>
        <w:pStyle w:val="Heading1"/>
      </w:pPr>
      <w:r>
        <w:t>3. Every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tcPr>
          <w:p>
            <w:pPr>
              <w:spacing w:after="40"/>
            </w:pPr>
            <w:r>
              <w:rPr>
                <w:b/>
                <w:sz w:val="18"/>
              </w:rPr>
              <w:t>Case</w:t>
            </w:r>
          </w:p>
        </w:tc>
        <w:tc>
          <w:tcPr>
            <w:tcW w:type="dxa" w:w="1560"/>
            <w:shd w:fill="E8EDF2"/>
          </w:tcPr>
          <w:p>
            <w:pPr>
              <w:spacing w:after="40"/>
            </w:pPr>
            <w:r>
              <w:rPr>
                <w:b/>
                <w:sz w:val="18"/>
              </w:rPr>
              <w:t>AC</w:t>
            </w:r>
          </w:p>
        </w:tc>
        <w:tc>
          <w:tcPr>
            <w:tcW w:type="dxa" w:w="1560"/>
            <w:shd w:fill="E8EDF2"/>
          </w:tcPr>
          <w:p>
            <w:pPr>
              <w:spacing w:after="40"/>
            </w:pPr>
            <w:r>
              <w:rPr>
                <w:b/>
                <w:sz w:val="18"/>
              </w:rPr>
              <w:t>Scenario</w:t>
            </w:r>
          </w:p>
        </w:tc>
        <w:tc>
          <w:tcPr>
            <w:tcW w:type="dxa" w:w="1560"/>
            <w:shd w:fill="E8EDF2"/>
          </w:tcPr>
          <w:p>
            <w:pPr>
              <w:spacing w:after="40"/>
            </w:pPr>
            <w:r>
              <w:rPr>
                <w:b/>
                <w:sz w:val="18"/>
              </w:rPr>
              <w:t>Expected</w:t>
            </w:r>
          </w:p>
        </w:tc>
        <w:tc>
          <w:tcPr>
            <w:tcW w:type="dxa" w:w="1560"/>
            <w:shd w:fill="E8EDF2"/>
          </w:tcPr>
          <w:p>
            <w:pPr>
              <w:spacing w:after="40"/>
            </w:pPr>
            <w:r>
              <w:rPr>
                <w:b/>
                <w:sz w:val="18"/>
              </w:rPr>
              <w:t>Actual</w:t>
            </w:r>
          </w:p>
        </w:tc>
        <w:tc>
          <w:tcPr>
            <w:tcW w:type="dxa" w:w="1560"/>
            <w:shd w:fill="E8EDF2"/>
          </w:tcPr>
          <w:p>
            <w:pPr>
              <w:spacing w:after="40"/>
            </w:pPr>
            <w:r>
              <w:rPr>
                <w:b/>
                <w:sz w:val="18"/>
              </w:rPr>
              <w:t>Result</w:t>
            </w:r>
          </w:p>
        </w:tc>
      </w:tr>
      <w:tr>
        <w:tc>
          <w:tcPr>
            <w:tcW w:type="dxa" w:w="1560"/>
          </w:tcPr>
          <w:p>
            <w:pPr>
              <w:spacing w:after="40"/>
            </w:pPr>
            <w:r>
              <w:rPr>
                <w:sz w:val="18"/>
              </w:rPr>
              <w:t>EV-17</w:t>
            </w:r>
          </w:p>
        </w:tc>
        <w:tc>
          <w:tcPr>
            <w:tcW w:type="dxa" w:w="1560"/>
          </w:tcPr>
          <w:p>
            <w:pPr>
              <w:spacing w:after="40"/>
            </w:pPr>
            <w:r>
              <w:rPr>
                <w:sz w:val="18"/>
              </w:rPr>
              <w:t>AC2, Charter document-quality constraint</w:t>
            </w:r>
          </w:p>
        </w:tc>
        <w:tc>
          <w:tcPr>
            <w:tcW w:type="dxa" w:w="1560"/>
          </w:tcPr>
          <w:p>
            <w:pPr>
              <w:spacing w:after="40"/>
            </w:pPr>
            <w:r>
              <w:rPr>
                <w:sz w:val="18"/>
              </w:rPr>
              <w:t>A scanned, image-only PDF with no text layer, which the Project Charter names as a document-quality risk. The Architecture and Context Diagram promises an OCR fallback; it does not exist yet, so this case records the real behaviour.</w:t>
            </w:r>
          </w:p>
        </w:tc>
        <w:tc>
          <w:tcPr>
            <w:tcW w:type="dxa" w:w="1560"/>
          </w:tcPr>
          <w:p>
            <w:pPr>
              <w:spacing w:after="40"/>
            </w:pPr>
            <w:r>
              <w:rPr>
                <w:sz w:val="18"/>
              </w:rPr>
              <w:t>Rejected with a clear error telling the user OCR is needed. It must fail loudly, never silently report every item as missing.</w:t>
            </w:r>
          </w:p>
        </w:tc>
        <w:tc>
          <w:tcPr>
            <w:tcW w:type="dxa" w:w="1560"/>
          </w:tcPr>
          <w:p>
            <w:pPr>
              <w:spacing w:after="40"/>
            </w:pPr>
            <w:r>
              <w:rPr>
                <w:sz w:val="18"/>
              </w:rPr>
              <w:t>Rejected with a clear error: scanned-submission.pdf contains no extractable text. If it is a scanned document, it must be passed through OCR before it can be checked.</w:t>
            </w:r>
          </w:p>
        </w:tc>
        <w:tc>
          <w:tcPr>
            <w:tcW w:type="dxa" w:w="1560"/>
          </w:tcPr>
          <w:p>
            <w:pPr>
              <w:spacing w:after="40"/>
            </w:pPr>
            <w:r>
              <w:rPr>
                <w:b/>
                <w:color w:val="1E6B2B"/>
                <w:sz w:val="18"/>
              </w:rPr>
              <w:t>Pass</w:t>
            </w:r>
          </w:p>
        </w:tc>
      </w:tr>
    </w:tbl>
    <w:p>
      <w:r>
        <w:rPr>
          <w:i/>
          <w:sz w:val="18"/>
        </w:rPr>
        <w:t>Table 3: Expected against actual behaviour, case by case.</w:t>
      </w:r>
    </w:p>
    <w:p>
      <w:pPr>
        <w:pStyle w:val="Heading1"/>
      </w:pPr>
      <w:r>
        <w:t>4. Limitations</w:t>
      </w:r>
    </w:p>
    <w:p>
      <w:pPr>
        <w:pStyle w:val="ListNumber"/>
      </w:pPr>
      <w:r>
        <w:rPr>
          <w:sz w:val="20"/>
        </w:rPr>
        <w:t>The machine used for testing has no graphics card, so the model runs on the processor alone. Each check takes roughly three to five minutes. Faster hardware would not change the verdicts, only the time taken.</w:t>
      </w:r>
    </w:p>
    <w:p>
      <w:pPr>
        <w:pStyle w:val="ListNumber"/>
      </w:pPr>
      <w:r>
        <w:rPr>
          <w:sz w:val="20"/>
        </w:rPr>
        <w:t>All submissions used are synthetic and short. A real tender pack is longer, more often scanned, and less tidily written.</w:t>
      </w:r>
    </w:p>
    <w:p>
      <w:pPr>
        <w:pStyle w:val="ListNumber"/>
      </w:pPr>
      <w:r>
        <w:rPr>
          <w:sz w:val="20"/>
        </w:rPr>
        <w:t>Only one checklist of ten items was used. A different checklist, or one written in different language, may produce different results.</w:t>
      </w:r>
    </w:p>
    <w:p>
      <w:pPr>
        <w:pStyle w:val="ListNumber"/>
      </w:pPr>
      <w:r>
        <w:rPr>
          <w:sz w:val="20"/>
        </w:rPr>
        <w:t>The optical character recognition step promised in the architecture document has not been built, so scanned documents cannot be checked at all yet. The system refuses them clearly rather than pretending to read them.</w:t>
      </w:r>
    </w:p>
    <w:p>
      <w:pPr>
        <w:pStyle w:val="ListNumber"/>
      </w:pPr>
      <w:r>
        <w:rPr>
          <w:sz w:val="20"/>
        </w:rPr>
        <w:t>These results describe one specific model at one specific setting. They are a starting point to improve on, not a final measure of what is achievable.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B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