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40" w:lineRule="auto"/>
        <w:jc w:val="center"/>
      </w:pPr>
      <w:r>
        <w:rPr>
          <w:rFonts w:ascii="Times New Roman" w:hAnsi="Times New Roman" w:eastAsia="Times New Roman"/>
          <w:b/>
          <w:i w:val="0"/>
          <w:color w:val="000000"/>
          <w:sz w:val="32"/>
        </w:rPr>
        <w:t>Public Procurement Document Completeness Agent</w:t>
      </w:r>
    </w:p>
    <w:p>
      <w:pPr>
        <w:spacing w:after="200" w:before="0" w:line="240" w:lineRule="auto"/>
        <w:jc w:val="center"/>
      </w:pPr>
      <w:r>
        <w:rPr>
          <w:rFonts w:ascii="Times New Roman" w:hAnsi="Times New Roman" w:eastAsia="Times New Roman"/>
          <w:b/>
          <w:i w:val="0"/>
          <w:color w:val="000000"/>
          <w:sz w:val="26"/>
        </w:rPr>
        <w:t>Project Charter</w:t>
      </w:r>
    </w:p>
    <w:p>
      <w:pPr>
        <w:spacing w:after="100" w:before="0" w:line="240" w:lineRule="auto"/>
        <w:jc w:val="center"/>
      </w:pPr>
      <w:r>
        <w:rPr>
          <w:rFonts w:ascii="Times New Roman" w:hAnsi="Times New Roman" w:eastAsia="Times New Roman"/>
          <w:b/>
          <w:i w:val="0"/>
          <w:color w:val="000000"/>
          <w:sz w:val="24"/>
        </w:rPr>
        <w:t>GROUP-H(EVENING)</w:t>
      </w:r>
    </w:p>
    <w:tbl>
      <w:tblPr>
        <w:tblW w:type="auto" w:w="0"/>
        <w:jc w:val="center"/>
        <w:tblLayout w:type="fixed"/>
        <w:tblLook w:firstColumn="1" w:firstRow="1" w:lastColumn="0" w:lastRow="0" w:noHBand="0" w:noVBand="1" w:val="04A0"/>
      </w:tblPr>
      <w:tblGrid>
        <w:gridCol w:w="576"/>
        <w:gridCol w:w="6192"/>
        <w:gridCol w:w="3456"/>
      </w:tblGrid>
      <w:tr>
        <w:tc>
          <w:tcPr>
            <w:tcW w:type="dxa" w:w="576"/>
            <w:vAlign w:val="center"/>
            <w:tcMar>
              <w:top w:w="90" w:type="dxa"/>
              <w:start w:w="40" w:type="dxa"/>
              <w:bottom w:w="90" w:type="dxa"/>
              <w:end w:w="40" w:type="dxa"/>
            </w:tcMar>
            <w:tcBorders>
              <w:top w:val="single" w:sz="8" w:color="000000"/>
              <w:left w:val="single" w:sz="8" w:color="000000"/>
              <w:bottom w:val="single" w:sz="8" w:color="000000"/>
              <w:right w:val="single" w:sz="8" w:color="000000"/>
            </w:tcBorders>
          </w:tcPr>
          <w:p>
            <w:pPr>
              <w:spacing w:after="0"/>
              <w:jc w:val="center"/>
            </w:pPr>
            <w:r>
              <w:rPr>
                <w:rFonts w:ascii="Times New Roman" w:hAnsi="Times New Roman" w:eastAsia="Times New Roman"/>
                <w:b/>
                <w:i w:val="0"/>
                <w:color w:val="000000"/>
                <w:sz w:val="21"/>
              </w:rPr>
              <w:t>NO.</w:t>
            </w:r>
          </w:p>
        </w:tc>
        <w:tc>
          <w:tcPr>
            <w:tcW w:type="dxa" w:w="6192"/>
            <w:vAlign w:val="center"/>
            <w:tcMar>
              <w:top w:w="90" w:type="dxa"/>
              <w:start w:w="100" w:type="dxa"/>
              <w:bottom w:w="90" w:type="dxa"/>
              <w:end w:w="100" w:type="dxa"/>
            </w:tcMar>
            <w:tcBorders>
              <w:top w:val="single" w:sz="8" w:color="000000"/>
              <w:left w:val="single" w:sz="8" w:color="000000"/>
              <w:bottom w:val="single" w:sz="8" w:color="000000"/>
              <w:right w:val="single" w:sz="8" w:color="000000"/>
            </w:tcBorders>
          </w:tcPr>
          <w:p>
            <w:pPr>
              <w:spacing w:after="0"/>
              <w:jc w:val="left"/>
            </w:pPr>
            <w:r>
              <w:rPr>
                <w:rFonts w:ascii="Times New Roman" w:hAnsi="Times New Roman" w:eastAsia="Times New Roman"/>
                <w:b/>
                <w:i w:val="0"/>
                <w:color w:val="000000"/>
                <w:sz w:val="21"/>
              </w:rPr>
              <w:t>NAME</w:t>
            </w:r>
          </w:p>
        </w:tc>
        <w:tc>
          <w:tcPr>
            <w:tcW w:type="dxa" w:w="3456"/>
            <w:vAlign w:val="center"/>
            <w:tcMar>
              <w:top w:w="90" w:type="dxa"/>
              <w:start w:w="100" w:type="dxa"/>
              <w:bottom w:w="90" w:type="dxa"/>
              <w:end w:w="100" w:type="dxa"/>
            </w:tcMar>
            <w:tcBorders>
              <w:top w:val="single" w:sz="8" w:color="000000"/>
              <w:left w:val="single" w:sz="8" w:color="000000"/>
              <w:bottom w:val="single" w:sz="8" w:color="000000"/>
              <w:right w:val="single" w:sz="8" w:color="000000"/>
            </w:tcBorders>
          </w:tcPr>
          <w:p>
            <w:pPr>
              <w:spacing w:after="0"/>
              <w:jc w:val="center"/>
            </w:pPr>
            <w:r>
              <w:rPr>
                <w:rFonts w:ascii="Times New Roman" w:hAnsi="Times New Roman" w:eastAsia="Times New Roman"/>
                <w:b/>
                <w:i w:val="0"/>
                <w:color w:val="000000"/>
                <w:sz w:val="21"/>
              </w:rPr>
              <w:t>REGISTRATION NO.</w:t>
            </w:r>
          </w:p>
        </w:tc>
      </w:tr>
      <w:tr>
        <w:tc>
          <w:tcPr>
            <w:tcW w:type="dxa" w:w="576"/>
            <w:vAlign w:val="center"/>
            <w:tcMar>
              <w:top w:w="100" w:type="dxa"/>
              <w:start w:w="40" w:type="dxa"/>
              <w:bottom w:w="100" w:type="dxa"/>
              <w:end w:w="40" w:type="dxa"/>
            </w:tcMar>
            <w:tcBorders>
              <w:top w:val="single" w:sz="8" w:color="000000"/>
              <w:left w:val="single" w:sz="8" w:color="000000"/>
              <w:bottom w:val="single" w:sz="8" w:color="000000"/>
              <w:right w:val="single" w:sz="8" w:color="000000"/>
            </w:tcBorders>
          </w:tcPr>
          <w:p>
            <w:pPr>
              <w:spacing w:after="0"/>
              <w:jc w:val="center"/>
            </w:pPr>
            <w:r>
              <w:rPr>
                <w:rFonts w:ascii="Times New Roman" w:hAnsi="Times New Roman" w:eastAsia="Times New Roman"/>
                <w:b w:val="0"/>
                <w:i w:val="0"/>
                <w:color w:val="000000"/>
                <w:sz w:val="21"/>
              </w:rPr>
              <w:t>1.</w:t>
            </w:r>
          </w:p>
        </w:tc>
        <w:tc>
          <w:tcPr>
            <w:tcW w:type="dxa" w:w="6192"/>
            <w:vAlign w:val="center"/>
            <w:tcMar>
              <w:top w:w="100" w:type="dxa"/>
              <w:start w:w="100" w:type="dxa"/>
              <w:bottom w:w="100" w:type="dxa"/>
              <w:end w:w="100" w:type="dxa"/>
            </w:tcMar>
            <w:tcBorders>
              <w:top w:val="single" w:sz="8" w:color="000000"/>
              <w:left w:val="single" w:sz="8" w:color="000000"/>
              <w:bottom w:val="single" w:sz="8" w:color="000000"/>
              <w:right w:val="single" w:sz="8" w:color="000000"/>
            </w:tcBorders>
          </w:tcPr>
          <w:p>
            <w:pPr>
              <w:spacing w:after="0"/>
              <w:jc w:val="left"/>
            </w:pPr>
            <w:r>
              <w:rPr>
                <w:rFonts w:ascii="Times New Roman" w:hAnsi="Times New Roman" w:eastAsia="Times New Roman"/>
                <w:b w:val="0"/>
                <w:i w:val="0"/>
                <w:color w:val="000000"/>
                <w:sz w:val="21"/>
              </w:rPr>
              <w:t>MAKMOI JOHNSON KABIRA</w:t>
            </w:r>
          </w:p>
        </w:tc>
        <w:tc>
          <w:tcPr>
            <w:tcW w:type="dxa" w:w="3456"/>
            <w:vAlign w:val="center"/>
            <w:tcMar>
              <w:top w:w="100" w:type="dxa"/>
              <w:start w:w="100" w:type="dxa"/>
              <w:bottom w:w="100" w:type="dxa"/>
              <w:end w:w="100" w:type="dxa"/>
            </w:tcMar>
            <w:tcBorders>
              <w:top w:val="single" w:sz="8" w:color="000000"/>
              <w:left w:val="single" w:sz="8" w:color="000000"/>
              <w:bottom w:val="single" w:sz="8" w:color="000000"/>
              <w:right w:val="single" w:sz="8" w:color="000000"/>
            </w:tcBorders>
          </w:tcPr>
          <w:p>
            <w:pPr>
              <w:spacing w:after="0"/>
              <w:jc w:val="center"/>
            </w:pPr>
            <w:r>
              <w:rPr>
                <w:rFonts w:ascii="Times New Roman" w:hAnsi="Times New Roman" w:eastAsia="Times New Roman"/>
                <w:b w:val="0"/>
                <w:i w:val="0"/>
                <w:color w:val="000000"/>
                <w:sz w:val="21"/>
              </w:rPr>
              <w:t>23/U/26794/EVE</w:t>
            </w:r>
          </w:p>
        </w:tc>
      </w:tr>
      <w:tr>
        <w:tc>
          <w:tcPr>
            <w:tcW w:type="dxa" w:w="576"/>
            <w:vAlign w:val="center"/>
            <w:tcMar>
              <w:top w:w="100" w:type="dxa"/>
              <w:start w:w="40" w:type="dxa"/>
              <w:bottom w:w="100" w:type="dxa"/>
              <w:end w:w="40" w:type="dxa"/>
            </w:tcMar>
            <w:tcBorders>
              <w:top w:val="single" w:sz="8" w:color="000000"/>
              <w:left w:val="single" w:sz="8" w:color="000000"/>
              <w:bottom w:val="single" w:sz="8" w:color="000000"/>
              <w:right w:val="single" w:sz="8" w:color="000000"/>
            </w:tcBorders>
          </w:tcPr>
          <w:p>
            <w:pPr>
              <w:spacing w:after="0"/>
              <w:jc w:val="center"/>
            </w:pPr>
            <w:r>
              <w:rPr>
                <w:rFonts w:ascii="Times New Roman" w:hAnsi="Times New Roman" w:eastAsia="Times New Roman"/>
                <w:b w:val="0"/>
                <w:i w:val="0"/>
                <w:color w:val="000000"/>
                <w:sz w:val="21"/>
              </w:rPr>
              <w:t>2.</w:t>
            </w:r>
          </w:p>
        </w:tc>
        <w:tc>
          <w:tcPr>
            <w:tcW w:type="dxa" w:w="6192"/>
            <w:vAlign w:val="center"/>
            <w:tcMar>
              <w:top w:w="100" w:type="dxa"/>
              <w:start w:w="100" w:type="dxa"/>
              <w:bottom w:w="100" w:type="dxa"/>
              <w:end w:w="100" w:type="dxa"/>
            </w:tcMar>
            <w:tcBorders>
              <w:top w:val="single" w:sz="8" w:color="000000"/>
              <w:left w:val="single" w:sz="8" w:color="000000"/>
              <w:bottom w:val="single" w:sz="8" w:color="000000"/>
              <w:right w:val="single" w:sz="8" w:color="000000"/>
            </w:tcBorders>
          </w:tcPr>
          <w:p>
            <w:pPr>
              <w:spacing w:after="0"/>
              <w:jc w:val="left"/>
            </w:pPr>
            <w:r>
              <w:rPr>
                <w:rFonts w:ascii="Times New Roman" w:hAnsi="Times New Roman" w:eastAsia="Times New Roman"/>
                <w:b w:val="0"/>
                <w:i w:val="0"/>
                <w:color w:val="000000"/>
                <w:sz w:val="21"/>
              </w:rPr>
              <w:t>MWESIGWA ISAAC</w:t>
            </w:r>
          </w:p>
        </w:tc>
        <w:tc>
          <w:tcPr>
            <w:tcW w:type="dxa" w:w="3456"/>
            <w:vAlign w:val="center"/>
            <w:tcMar>
              <w:top w:w="100" w:type="dxa"/>
              <w:start w:w="100" w:type="dxa"/>
              <w:bottom w:w="100" w:type="dxa"/>
              <w:end w:w="100" w:type="dxa"/>
            </w:tcMar>
            <w:tcBorders>
              <w:top w:val="single" w:sz="8" w:color="000000"/>
              <w:left w:val="single" w:sz="8" w:color="000000"/>
              <w:bottom w:val="single" w:sz="8" w:color="000000"/>
              <w:right w:val="single" w:sz="8" w:color="000000"/>
            </w:tcBorders>
          </w:tcPr>
          <w:p>
            <w:pPr>
              <w:spacing w:after="0"/>
              <w:jc w:val="center"/>
            </w:pPr>
            <w:r>
              <w:rPr>
                <w:rFonts w:ascii="Times New Roman" w:hAnsi="Times New Roman" w:eastAsia="Times New Roman"/>
                <w:b w:val="0"/>
                <w:i w:val="0"/>
                <w:color w:val="000000"/>
                <w:sz w:val="21"/>
              </w:rPr>
              <w:t>23/U/12539/PS</w:t>
            </w:r>
          </w:p>
        </w:tc>
      </w:tr>
      <w:tr>
        <w:tc>
          <w:tcPr>
            <w:tcW w:type="dxa" w:w="576"/>
            <w:vAlign w:val="center"/>
            <w:tcMar>
              <w:top w:w="100" w:type="dxa"/>
              <w:start w:w="40" w:type="dxa"/>
              <w:bottom w:w="100" w:type="dxa"/>
              <w:end w:w="40" w:type="dxa"/>
            </w:tcMar>
            <w:tcBorders>
              <w:top w:val="single" w:sz="8" w:color="000000"/>
              <w:left w:val="single" w:sz="8" w:color="000000"/>
              <w:bottom w:val="single" w:sz="8" w:color="000000"/>
              <w:right w:val="single" w:sz="8" w:color="000000"/>
            </w:tcBorders>
          </w:tcPr>
          <w:p>
            <w:pPr>
              <w:spacing w:after="0"/>
              <w:jc w:val="center"/>
            </w:pPr>
            <w:r>
              <w:rPr>
                <w:rFonts w:ascii="Times New Roman" w:hAnsi="Times New Roman" w:eastAsia="Times New Roman"/>
                <w:b w:val="0"/>
                <w:i w:val="0"/>
                <w:color w:val="000000"/>
                <w:sz w:val="21"/>
              </w:rPr>
              <w:t>3.</w:t>
            </w:r>
          </w:p>
        </w:tc>
        <w:tc>
          <w:tcPr>
            <w:tcW w:type="dxa" w:w="6192"/>
            <w:vAlign w:val="center"/>
            <w:tcMar>
              <w:top w:w="100" w:type="dxa"/>
              <w:start w:w="100" w:type="dxa"/>
              <w:bottom w:w="100" w:type="dxa"/>
              <w:end w:w="100" w:type="dxa"/>
            </w:tcMar>
            <w:tcBorders>
              <w:top w:val="single" w:sz="8" w:color="000000"/>
              <w:left w:val="single" w:sz="8" w:color="000000"/>
              <w:bottom w:val="single" w:sz="8" w:color="000000"/>
              <w:right w:val="single" w:sz="8" w:color="000000"/>
            </w:tcBorders>
          </w:tcPr>
          <w:p>
            <w:pPr>
              <w:spacing w:after="0"/>
              <w:jc w:val="left"/>
            </w:pPr>
            <w:r>
              <w:rPr>
                <w:rFonts w:ascii="Times New Roman" w:hAnsi="Times New Roman" w:eastAsia="Times New Roman"/>
                <w:b w:val="0"/>
                <w:i w:val="0"/>
                <w:color w:val="000000"/>
                <w:sz w:val="21"/>
              </w:rPr>
              <w:t>BATARINGAYA BRIDGET</w:t>
            </w:r>
          </w:p>
        </w:tc>
        <w:tc>
          <w:tcPr>
            <w:tcW w:type="dxa" w:w="3456"/>
            <w:vAlign w:val="center"/>
            <w:tcMar>
              <w:top w:w="100" w:type="dxa"/>
              <w:start w:w="100" w:type="dxa"/>
              <w:bottom w:w="100" w:type="dxa"/>
              <w:end w:w="100" w:type="dxa"/>
            </w:tcMar>
            <w:tcBorders>
              <w:top w:val="single" w:sz="8" w:color="000000"/>
              <w:left w:val="single" w:sz="8" w:color="000000"/>
              <w:bottom w:val="single" w:sz="8" w:color="000000"/>
              <w:right w:val="single" w:sz="8" w:color="000000"/>
            </w:tcBorders>
          </w:tcPr>
          <w:p>
            <w:pPr>
              <w:spacing w:after="0"/>
              <w:jc w:val="center"/>
            </w:pPr>
            <w:r>
              <w:rPr>
                <w:rFonts w:ascii="Times New Roman" w:hAnsi="Times New Roman" w:eastAsia="Times New Roman"/>
                <w:b w:val="0"/>
                <w:i w:val="0"/>
                <w:color w:val="000000"/>
                <w:sz w:val="21"/>
              </w:rPr>
              <w:t>23/U/07471/EVE</w:t>
            </w:r>
          </w:p>
        </w:tc>
      </w:tr>
      <w:tr>
        <w:tc>
          <w:tcPr>
            <w:tcW w:type="dxa" w:w="576"/>
            <w:vAlign w:val="center"/>
            <w:tcMar>
              <w:top w:w="100" w:type="dxa"/>
              <w:start w:w="40" w:type="dxa"/>
              <w:bottom w:w="100" w:type="dxa"/>
              <w:end w:w="40" w:type="dxa"/>
            </w:tcMar>
            <w:tcBorders>
              <w:top w:val="single" w:sz="8" w:color="000000"/>
              <w:left w:val="single" w:sz="8" w:color="000000"/>
              <w:bottom w:val="single" w:sz="8" w:color="000000"/>
              <w:right w:val="single" w:sz="8" w:color="000000"/>
            </w:tcBorders>
          </w:tcPr>
          <w:p>
            <w:pPr>
              <w:spacing w:after="0"/>
              <w:jc w:val="center"/>
            </w:pPr>
            <w:r>
              <w:rPr>
                <w:rFonts w:ascii="Times New Roman" w:hAnsi="Times New Roman" w:eastAsia="Times New Roman"/>
                <w:b w:val="0"/>
                <w:i w:val="0"/>
                <w:color w:val="000000"/>
                <w:sz w:val="21"/>
              </w:rPr>
              <w:t>4.</w:t>
            </w:r>
          </w:p>
        </w:tc>
        <w:tc>
          <w:tcPr>
            <w:tcW w:type="dxa" w:w="6192"/>
            <w:vAlign w:val="center"/>
            <w:tcMar>
              <w:top w:w="100" w:type="dxa"/>
              <w:start w:w="100" w:type="dxa"/>
              <w:bottom w:w="100" w:type="dxa"/>
              <w:end w:w="100" w:type="dxa"/>
            </w:tcMar>
            <w:tcBorders>
              <w:top w:val="single" w:sz="8" w:color="000000"/>
              <w:left w:val="single" w:sz="8" w:color="000000"/>
              <w:bottom w:val="single" w:sz="8" w:color="000000"/>
              <w:right w:val="single" w:sz="8" w:color="000000"/>
            </w:tcBorders>
          </w:tcPr>
          <w:p>
            <w:pPr>
              <w:spacing w:after="0"/>
              <w:jc w:val="left"/>
            </w:pPr>
            <w:r>
              <w:rPr>
                <w:rFonts w:ascii="Times New Roman" w:hAnsi="Times New Roman" w:eastAsia="Times New Roman"/>
                <w:b w:val="0"/>
                <w:i w:val="0"/>
                <w:color w:val="000000"/>
                <w:sz w:val="21"/>
              </w:rPr>
              <w:t>JONATHAN KATONGOLE</w:t>
            </w:r>
          </w:p>
        </w:tc>
        <w:tc>
          <w:tcPr>
            <w:tcW w:type="dxa" w:w="3456"/>
            <w:vAlign w:val="center"/>
            <w:tcMar>
              <w:top w:w="100" w:type="dxa"/>
              <w:start w:w="100" w:type="dxa"/>
              <w:bottom w:w="100" w:type="dxa"/>
              <w:end w:w="100" w:type="dxa"/>
            </w:tcMar>
            <w:tcBorders>
              <w:top w:val="single" w:sz="8" w:color="000000"/>
              <w:left w:val="single" w:sz="8" w:color="000000"/>
              <w:bottom w:val="single" w:sz="8" w:color="000000"/>
              <w:right w:val="single" w:sz="8" w:color="000000"/>
            </w:tcBorders>
          </w:tcPr>
          <w:p>
            <w:pPr>
              <w:spacing w:after="0"/>
              <w:jc w:val="center"/>
            </w:pPr>
            <w:r>
              <w:rPr>
                <w:rFonts w:ascii="Times New Roman" w:hAnsi="Times New Roman" w:eastAsia="Times New Roman"/>
                <w:b w:val="0"/>
                <w:i w:val="0"/>
                <w:color w:val="000000"/>
                <w:sz w:val="21"/>
              </w:rPr>
              <w:t>23/U/27072/EVE</w:t>
            </w:r>
          </w:p>
        </w:tc>
      </w:tr>
    </w:tbl>
    <w:p>
      <w:pPr>
        <w:keepNext/>
        <w:spacing w:after="100" w:before="120" w:line="240" w:lineRule="auto"/>
        <w:jc w:val="left"/>
      </w:pPr>
      <w:r>
        <w:rPr>
          <w:rFonts w:ascii="Times New Roman" w:hAnsi="Times New Roman" w:eastAsia="Times New Roman"/>
          <w:b/>
          <w:i w:val="0"/>
          <w:color w:val="000000"/>
          <w:sz w:val="24"/>
        </w:rPr>
        <w:t>1. Problem</w:t>
      </w:r>
    </w:p>
    <w:p>
      <w:pPr>
        <w:spacing w:after="120" w:before="0" w:line="269" w:lineRule="auto"/>
        <w:jc w:val="both"/>
      </w:pPr>
      <w:r>
        <w:rPr>
          <w:rFonts w:ascii="Times New Roman" w:hAnsi="Times New Roman" w:eastAsia="Times New Roman"/>
          <w:b w:val="0"/>
          <w:i w:val="0"/>
          <w:color w:val="000000"/>
          <w:sz w:val="22"/>
        </w:rPr>
        <w:t>Public procurement tender submissions are often long and contain many forms, declarations, clauses, attachments and supporting documents. A reviewer must compare the submission against a published procurement checklist to confirm that every required item is present. When this is done manually, an item can be overlooked simply because it appears under a different heading, is located deep in an attachment, or is expressed using wording that is different from the checklist.</w:t>
      </w:r>
    </w:p>
    <w:p>
      <w:pPr>
        <w:spacing w:after="120" w:before="0" w:line="269" w:lineRule="auto"/>
        <w:jc w:val="both"/>
      </w:pPr>
      <w:r>
        <w:rPr>
          <w:rFonts w:ascii="Times New Roman" w:hAnsi="Times New Roman" w:eastAsia="Times New Roman"/>
          <w:b w:val="0"/>
          <w:i w:val="0"/>
          <w:color w:val="000000"/>
          <w:sz w:val="22"/>
        </w:rPr>
        <w:t>This project addresses the need for a faster and more consistent first-pass completeness check. The proposed AI agent will examine a sample tender submission against a published checklist and identify whether the required documents, sections or clauses can be found. Its role is administrative assistance only; final procurement decisions remain with authorised human users.</w:t>
      </w:r>
    </w:p>
    <w:p>
      <w:pPr>
        <w:keepNext/>
        <w:spacing w:after="100" w:before="120" w:line="240" w:lineRule="auto"/>
        <w:jc w:val="left"/>
      </w:pPr>
      <w:r>
        <w:rPr>
          <w:rFonts w:ascii="Times New Roman" w:hAnsi="Times New Roman" w:eastAsia="Times New Roman"/>
          <w:b/>
          <w:i w:val="0"/>
          <w:color w:val="000000"/>
          <w:sz w:val="24"/>
        </w:rPr>
        <w:t>2. User</w:t>
      </w:r>
    </w:p>
    <w:p>
      <w:pPr>
        <w:spacing w:after="100" w:before="0" w:line="264" w:lineRule="auto"/>
        <w:jc w:val="both"/>
      </w:pPr>
      <w:r>
        <w:rPr>
          <w:rFonts w:ascii="Times New Roman" w:hAnsi="Times New Roman" w:eastAsia="Times New Roman"/>
          <w:b/>
          <w:i w:val="0"/>
          <w:color w:val="000000"/>
          <w:sz w:val="22"/>
        </w:rPr>
        <w:t xml:space="preserve">Primary user: </w:t>
      </w:r>
      <w:r>
        <w:rPr>
          <w:rFonts w:ascii="Times New Roman" w:hAnsi="Times New Roman" w:eastAsia="Times New Roman"/>
          <w:b w:val="0"/>
          <w:i w:val="0"/>
          <w:color w:val="000000"/>
          <w:sz w:val="22"/>
        </w:rPr>
        <w:t>A procurement administrative officer, procurement document reviewer or similar staff member who needs to verify that a tender package contains the items required by a published checklist before deeper evaluation begins.</w:t>
      </w:r>
    </w:p>
    <w:p>
      <w:pPr>
        <w:spacing w:after="100" w:before="0" w:line="264" w:lineRule="auto"/>
        <w:jc w:val="both"/>
      </w:pPr>
      <w:r>
        <w:rPr>
          <w:rFonts w:ascii="Times New Roman" w:hAnsi="Times New Roman" w:eastAsia="Times New Roman"/>
          <w:b/>
          <w:i w:val="0"/>
          <w:color w:val="000000"/>
          <w:sz w:val="22"/>
        </w:rPr>
        <w:t xml:space="preserve">Secondary user: </w:t>
      </w:r>
      <w:r>
        <w:rPr>
          <w:rFonts w:ascii="Times New Roman" w:hAnsi="Times New Roman" w:eastAsia="Times New Roman"/>
          <w:b w:val="0"/>
          <w:i w:val="0"/>
          <w:color w:val="000000"/>
          <w:sz w:val="22"/>
        </w:rPr>
        <w:t>A supplier or bid-preparation team that wants to check its own draft tender package for missing documents or clauses before submission.</w:t>
      </w:r>
    </w:p>
    <w:p>
      <w:pPr>
        <w:spacing w:after="120" w:before="0" w:line="269" w:lineRule="auto"/>
        <w:jc w:val="both"/>
      </w:pPr>
      <w:r>
        <w:rPr>
          <w:rFonts w:ascii="Times New Roman" w:hAnsi="Times New Roman" w:eastAsia="Times New Roman"/>
          <w:b w:val="0"/>
          <w:i w:val="0"/>
          <w:color w:val="000000"/>
          <w:sz w:val="22"/>
        </w:rPr>
        <w:t>For the academic prototype, the intended users will work with public procurement templates and checklists together with synthetic or anonymized sample submissions. This avoids the need to expose confidential live tender information during development and testing.</w:t>
      </w:r>
    </w:p>
    <w:p>
      <w:pPr/>
      <w:r>
        <w:br w:type="page"/>
      </w:r>
    </w:p>
    <w:p>
      <w:pPr>
        <w:keepNext/>
        <w:spacing w:after="100" w:before="120" w:line="240" w:lineRule="auto"/>
        <w:jc w:val="left"/>
      </w:pPr>
      <w:r>
        <w:rPr>
          <w:rFonts w:ascii="Times New Roman" w:hAnsi="Times New Roman" w:eastAsia="Times New Roman"/>
          <w:b/>
          <w:i w:val="0"/>
          <w:color w:val="000000"/>
          <w:sz w:val="24"/>
        </w:rPr>
        <w:t>3. Current Pain Point</w:t>
      </w:r>
    </w:p>
    <w:p>
      <w:pPr>
        <w:spacing w:after="120" w:before="0" w:line="269" w:lineRule="auto"/>
        <w:jc w:val="both"/>
      </w:pPr>
      <w:r>
        <w:rPr>
          <w:rFonts w:ascii="Times New Roman" w:hAnsi="Times New Roman" w:eastAsia="Times New Roman"/>
          <w:b w:val="0"/>
          <w:i w:val="0"/>
          <w:color w:val="000000"/>
          <w:sz w:val="22"/>
        </w:rPr>
        <w:t>The current process depends heavily on manual reading and repeated searching. A reviewer may have to move back and forth between a checklist and a tender submission, open several attachments, and record findings separately. This becomes difficult as the number of pages and required items increases.</w:t>
      </w:r>
    </w:p>
    <w:p>
      <w:pPr>
        <w:pStyle w:val="ListBullet"/>
        <w:spacing w:after="60" w:line="259" w:lineRule="auto"/>
        <w:ind w:left="360" w:hanging="173"/>
      </w:pPr>
      <w:r>
        <w:rPr>
          <w:rFonts w:ascii="Times New Roman" w:hAnsi="Times New Roman" w:eastAsia="Times New Roman"/>
          <w:b w:val="0"/>
          <w:i w:val="0"/>
          <w:color w:val="000000"/>
          <w:sz w:val="22"/>
        </w:rPr>
        <w:t>Manual comparison can take considerable time, especially when a submission contains many documents and attachments.</w:t>
      </w:r>
    </w:p>
    <w:p>
      <w:pPr>
        <w:pStyle w:val="ListBullet"/>
        <w:spacing w:after="60" w:line="259" w:lineRule="auto"/>
        <w:ind w:left="360" w:hanging="173"/>
      </w:pPr>
      <w:r>
        <w:rPr>
          <w:rFonts w:ascii="Times New Roman" w:hAnsi="Times New Roman" w:eastAsia="Times New Roman"/>
          <w:b w:val="0"/>
          <w:i w:val="0"/>
          <w:color w:val="000000"/>
          <w:sz w:val="22"/>
        </w:rPr>
        <w:t>Required information may appear under different headings or in different locations, making valid evidence easy to miss.</w:t>
      </w:r>
    </w:p>
    <w:p>
      <w:pPr>
        <w:pStyle w:val="ListBullet"/>
        <w:spacing w:after="60" w:line="259" w:lineRule="auto"/>
        <w:ind w:left="360" w:hanging="173"/>
      </w:pPr>
      <w:r>
        <w:rPr>
          <w:rFonts w:ascii="Times New Roman" w:hAnsi="Times New Roman" w:eastAsia="Times New Roman"/>
          <w:b w:val="0"/>
          <w:i w:val="0"/>
          <w:color w:val="000000"/>
          <w:sz w:val="22"/>
        </w:rPr>
        <w:t>Reviewers repeatedly search for common items such as declarations, forms, signatures, certificates and mandatory clauses.</w:t>
      </w:r>
    </w:p>
    <w:p>
      <w:pPr>
        <w:pStyle w:val="ListBullet"/>
        <w:spacing w:after="60" w:line="259" w:lineRule="auto"/>
        <w:ind w:left="360" w:hanging="173"/>
      </w:pPr>
      <w:r>
        <w:rPr>
          <w:rFonts w:ascii="Times New Roman" w:hAnsi="Times New Roman" w:eastAsia="Times New Roman"/>
          <w:b w:val="0"/>
          <w:i w:val="0"/>
          <w:color w:val="000000"/>
          <w:sz w:val="22"/>
        </w:rPr>
        <w:t>Findings may be recorded differently by different reviewers, reducing consistency and making later verification harder.</w:t>
      </w:r>
    </w:p>
    <w:p>
      <w:pPr>
        <w:pStyle w:val="ListBullet"/>
        <w:spacing w:after="60" w:line="259" w:lineRule="auto"/>
        <w:ind w:left="360" w:hanging="173"/>
      </w:pPr>
      <w:r>
        <w:rPr>
          <w:rFonts w:ascii="Times New Roman" w:hAnsi="Times New Roman" w:eastAsia="Times New Roman"/>
          <w:b w:val="0"/>
          <w:i w:val="0"/>
          <w:color w:val="000000"/>
          <w:sz w:val="22"/>
        </w:rPr>
        <w:t>A missing item may only be discovered late in the process, which can lead to re-checking, delays or unnecessary administrative work.</w:t>
      </w:r>
    </w:p>
    <w:p>
      <w:pPr>
        <w:spacing w:after="120" w:before="0" w:line="269" w:lineRule="auto"/>
        <w:jc w:val="both"/>
      </w:pPr>
      <w:r>
        <w:rPr>
          <w:rFonts w:ascii="Times New Roman" w:hAnsi="Times New Roman" w:eastAsia="Times New Roman"/>
          <w:b w:val="0"/>
          <w:i w:val="0"/>
          <w:color w:val="000000"/>
          <w:sz w:val="22"/>
        </w:rPr>
        <w:t>The main pain point is therefore not the final evaluation of a bid, but the repetitive effort required to establish whether the submission is complete enough to proceed to the next stage of human review.</w:t>
      </w:r>
    </w:p>
    <w:p>
      <w:pPr>
        <w:keepNext/>
        <w:spacing w:after="100" w:before="120" w:line="240" w:lineRule="auto"/>
        <w:jc w:val="left"/>
      </w:pPr>
      <w:r>
        <w:rPr>
          <w:rFonts w:ascii="Times New Roman" w:hAnsi="Times New Roman" w:eastAsia="Times New Roman"/>
          <w:b/>
          <w:i w:val="0"/>
          <w:color w:val="000000"/>
          <w:sz w:val="24"/>
        </w:rPr>
        <w:t>4. AI Value</w:t>
      </w:r>
    </w:p>
    <w:p>
      <w:pPr>
        <w:spacing w:after="120" w:before="0" w:line="269" w:lineRule="auto"/>
        <w:jc w:val="both"/>
      </w:pPr>
      <w:r>
        <w:rPr>
          <w:rFonts w:ascii="Times New Roman" w:hAnsi="Times New Roman" w:eastAsia="Times New Roman"/>
          <w:b w:val="0"/>
          <w:i w:val="0"/>
          <w:color w:val="000000"/>
          <w:sz w:val="22"/>
        </w:rPr>
        <w:t>AI adds value by helping the user understand document content and locate evidence across a tender package. Instead of depending only on exact keyword matching, the agent can interpret a checklist requirement and search for text or sections that express the same requirement using different wording.</w:t>
      </w:r>
    </w:p>
    <w:p>
      <w:pPr>
        <w:pStyle w:val="ListBullet"/>
        <w:spacing w:after="60" w:line="259" w:lineRule="auto"/>
        <w:ind w:left="360" w:hanging="173"/>
      </w:pPr>
      <w:r>
        <w:rPr>
          <w:rFonts w:ascii="Times New Roman" w:hAnsi="Times New Roman" w:eastAsia="Times New Roman"/>
          <w:b w:val="0"/>
          <w:i w:val="0"/>
          <w:color w:val="000000"/>
          <w:sz w:val="22"/>
        </w:rPr>
        <w:t>Extract the requirements contained in a published procurement checklist or template.</w:t>
      </w:r>
    </w:p>
    <w:p>
      <w:pPr>
        <w:pStyle w:val="ListBullet"/>
        <w:spacing w:after="60" w:line="259" w:lineRule="auto"/>
        <w:ind w:left="360" w:hanging="173"/>
      </w:pPr>
      <w:r>
        <w:rPr>
          <w:rFonts w:ascii="Times New Roman" w:hAnsi="Times New Roman" w:eastAsia="Times New Roman"/>
          <w:b w:val="0"/>
          <w:i w:val="0"/>
          <w:color w:val="000000"/>
          <w:sz w:val="22"/>
        </w:rPr>
        <w:t>Search the sample tender submission for the document, clause, section, form or declaration related to each requirement.</w:t>
      </w:r>
    </w:p>
    <w:p>
      <w:pPr>
        <w:pStyle w:val="ListBullet"/>
        <w:spacing w:after="60" w:line="259" w:lineRule="auto"/>
        <w:ind w:left="360" w:hanging="173"/>
      </w:pPr>
      <w:r>
        <w:rPr>
          <w:rFonts w:ascii="Times New Roman" w:hAnsi="Times New Roman" w:eastAsia="Times New Roman"/>
          <w:b w:val="0"/>
          <w:i w:val="0"/>
          <w:color w:val="000000"/>
          <w:sz w:val="22"/>
        </w:rPr>
        <w:t>Classify each checklist item as Found, Not Found, or Needs Human Review.</w:t>
      </w:r>
    </w:p>
    <w:p>
      <w:pPr>
        <w:pStyle w:val="ListBullet"/>
        <w:spacing w:after="60" w:line="259" w:lineRule="auto"/>
        <w:ind w:left="360" w:hanging="173"/>
      </w:pPr>
      <w:r>
        <w:rPr>
          <w:rFonts w:ascii="Times New Roman" w:hAnsi="Times New Roman" w:eastAsia="Times New Roman"/>
          <w:b w:val="0"/>
          <w:i w:val="0"/>
          <w:color w:val="000000"/>
          <w:sz w:val="22"/>
        </w:rPr>
        <w:t>Show where supporting evidence was located, such as the page, section, document name or short evidence excerpt where possible.</w:t>
      </w:r>
    </w:p>
    <w:p>
      <w:pPr>
        <w:pStyle w:val="ListBullet"/>
        <w:spacing w:after="60" w:line="259" w:lineRule="auto"/>
        <w:ind w:left="360" w:hanging="173"/>
      </w:pPr>
      <w:r>
        <w:rPr>
          <w:rFonts w:ascii="Times New Roman" w:hAnsi="Times New Roman" w:eastAsia="Times New Roman"/>
          <w:b w:val="0"/>
          <w:i w:val="0"/>
          <w:color w:val="000000"/>
          <w:sz w:val="22"/>
        </w:rPr>
        <w:t>Produce a structured completeness report that makes missing and uncertain items easier for a human user to verify.</w:t>
      </w:r>
    </w:p>
    <w:p>
      <w:pPr>
        <w:pStyle w:val="ListBullet"/>
        <w:spacing w:after="60" w:line="259" w:lineRule="auto"/>
        <w:ind w:left="360" w:hanging="173"/>
      </w:pPr>
      <w:r>
        <w:rPr>
          <w:rFonts w:ascii="Times New Roman" w:hAnsi="Times New Roman" w:eastAsia="Times New Roman"/>
          <w:b w:val="0"/>
          <w:i w:val="0"/>
          <w:color w:val="000000"/>
          <w:sz w:val="22"/>
        </w:rPr>
        <w:t>Reduce repetitive searching and improve the consistency and traceability of first-pass document checks.</w:t>
      </w:r>
    </w:p>
    <w:p>
      <w:pPr>
        <w:spacing w:after="120" w:before="0" w:line="269" w:lineRule="auto"/>
        <w:jc w:val="both"/>
      </w:pPr>
      <w:r>
        <w:rPr>
          <w:rFonts w:ascii="Times New Roman" w:hAnsi="Times New Roman" w:eastAsia="Times New Roman"/>
          <w:b w:val="0"/>
          <w:i w:val="0"/>
          <w:color w:val="000000"/>
          <w:sz w:val="22"/>
        </w:rPr>
        <w:t>The AI is valuable because it assists with document understanding and retrieval; it does not replace procurement judgement. Any uncertain result should be presented to the user for confirmation rather than treated as a final decision.</w:t>
      </w:r>
    </w:p>
    <w:p>
      <w:pPr>
        <w:keepNext/>
        <w:spacing w:after="100" w:before="120" w:line="240" w:lineRule="auto"/>
        <w:jc w:val="left"/>
      </w:pPr>
      <w:r>
        <w:rPr>
          <w:rFonts w:ascii="Times New Roman" w:hAnsi="Times New Roman" w:eastAsia="Times New Roman"/>
          <w:b/>
          <w:i w:val="0"/>
          <w:color w:val="000000"/>
          <w:sz w:val="24"/>
        </w:rPr>
        <w:t>5. Scope</w:t>
      </w:r>
    </w:p>
    <w:p>
      <w:pPr>
        <w:spacing w:after="100" w:before="0" w:line="264" w:lineRule="auto"/>
        <w:jc w:val="both"/>
      </w:pPr>
      <w:r>
        <w:rPr>
          <w:rFonts w:ascii="Times New Roman" w:hAnsi="Times New Roman" w:eastAsia="Times New Roman"/>
          <w:b/>
          <w:i w:val="0"/>
          <w:color w:val="000000"/>
          <w:sz w:val="22"/>
        </w:rPr>
        <w:t xml:space="preserve">In scope: </w:t>
      </w:r>
      <w:r>
        <w:rPr>
          <w:rFonts w:ascii="Times New Roman" w:hAnsi="Times New Roman" w:eastAsia="Times New Roman"/>
          <w:b w:val="0"/>
          <w:i w:val="0"/>
          <w:color w:val="000000"/>
          <w:sz w:val="22"/>
        </w:rPr>
        <w:t>Published public procurement templates and completeness checklists; synthetic or anonymized sample tender submissions; checking for the presence of required documents, sections and clauses; locating evidence; identifying missing or uncertain items; and producing a traceable completeness report for human review.</w:t>
      </w:r>
    </w:p>
    <w:p>
      <w:pPr>
        <w:spacing w:after="100" w:before="0" w:line="264" w:lineRule="auto"/>
        <w:jc w:val="both"/>
      </w:pPr>
      <w:r>
        <w:rPr>
          <w:rFonts w:ascii="Times New Roman" w:hAnsi="Times New Roman" w:eastAsia="Times New Roman"/>
          <w:b/>
          <w:i w:val="0"/>
          <w:color w:val="000000"/>
          <w:sz w:val="22"/>
        </w:rPr>
        <w:t xml:space="preserve">Out of scope: </w:t>
      </w:r>
      <w:r>
        <w:rPr>
          <w:rFonts w:ascii="Times New Roman" w:hAnsi="Times New Roman" w:eastAsia="Times New Roman"/>
          <w:b w:val="0"/>
          <w:i w:val="0"/>
          <w:color w:val="000000"/>
          <w:sz w:val="22"/>
        </w:rPr>
        <w:t>Bid scoring, ranking or comparison of bidders; deciding bidder eligibility; automatically disqualifying a bidder; making legal conclusions; recommending a contract award; approving a procurement; determining fraud or criminal liability; or taking any other rights-affecting or enforcement action.</w:t>
      </w:r>
    </w:p>
    <w:p>
      <w:pPr>
        <w:spacing w:after="120" w:before="0" w:line="269" w:lineRule="auto"/>
        <w:jc w:val="both"/>
      </w:pPr>
      <w:r>
        <w:rPr>
          <w:rFonts w:ascii="Times New Roman" w:hAnsi="Times New Roman" w:eastAsia="Times New Roman"/>
          <w:b w:val="0"/>
          <w:i w:val="0"/>
          <w:color w:val="000000"/>
          <w:sz w:val="22"/>
        </w:rPr>
        <w:t>The project is intentionally limited to document completeness. The system may state that evidence was found, was not found, or requires human review, but it must not convert that finding into an official procurement decision.</w:t>
      </w:r>
    </w:p>
    <w:p>
      <w:pPr/>
      <w:r>
        <w:br w:type="page"/>
      </w:r>
    </w:p>
    <w:p>
      <w:pPr>
        <w:keepNext/>
        <w:spacing w:after="100" w:before="120" w:line="240" w:lineRule="auto"/>
        <w:jc w:val="left"/>
      </w:pPr>
      <w:r>
        <w:rPr>
          <w:rFonts w:ascii="Times New Roman" w:hAnsi="Times New Roman" w:eastAsia="Times New Roman"/>
          <w:b/>
          <w:i w:val="0"/>
          <w:color w:val="000000"/>
          <w:sz w:val="24"/>
        </w:rPr>
        <w:t>6. Assumptions</w:t>
      </w:r>
    </w:p>
    <w:p>
      <w:pPr>
        <w:spacing w:after="120" w:before="0" w:line="269" w:lineRule="auto"/>
        <w:jc w:val="both"/>
      </w:pPr>
      <w:r>
        <w:rPr>
          <w:rFonts w:ascii="Times New Roman" w:hAnsi="Times New Roman" w:eastAsia="Times New Roman"/>
          <w:b w:val="0"/>
          <w:i w:val="0"/>
          <w:color w:val="000000"/>
          <w:sz w:val="22"/>
        </w:rPr>
        <w:t>The project is based on the following assumptions:</w:t>
      </w:r>
    </w:p>
    <w:p>
      <w:pPr>
        <w:pStyle w:val="ListBullet"/>
        <w:spacing w:after="60" w:line="259" w:lineRule="auto"/>
        <w:ind w:left="360" w:hanging="173"/>
      </w:pPr>
      <w:r>
        <w:rPr>
          <w:rFonts w:ascii="Times New Roman" w:hAnsi="Times New Roman" w:eastAsia="Times New Roman"/>
          <w:b w:val="0"/>
          <w:i w:val="0"/>
          <w:color w:val="000000"/>
          <w:sz w:val="22"/>
        </w:rPr>
        <w:t>A published procurement checklist, tender template or similar reference document exists and can be converted into a clear list of requirements.</w:t>
      </w:r>
    </w:p>
    <w:p>
      <w:pPr>
        <w:pStyle w:val="ListBullet"/>
        <w:spacing w:after="60" w:line="259" w:lineRule="auto"/>
        <w:ind w:left="360" w:hanging="173"/>
      </w:pPr>
      <w:r>
        <w:rPr>
          <w:rFonts w:ascii="Times New Roman" w:hAnsi="Times New Roman" w:eastAsia="Times New Roman"/>
          <w:b w:val="0"/>
          <w:i w:val="0"/>
          <w:color w:val="000000"/>
          <w:sz w:val="22"/>
        </w:rPr>
        <w:t>The sample tender submissions used for the prototype are machine-readable, or can be converted to readable text with acceptable loss of formatting and structure.</w:t>
      </w:r>
    </w:p>
    <w:p>
      <w:pPr>
        <w:pStyle w:val="ListBullet"/>
        <w:spacing w:after="60" w:line="259" w:lineRule="auto"/>
        <w:ind w:left="360" w:hanging="173"/>
      </w:pPr>
      <w:r>
        <w:rPr>
          <w:rFonts w:ascii="Times New Roman" w:hAnsi="Times New Roman" w:eastAsia="Times New Roman"/>
          <w:b w:val="0"/>
          <w:i w:val="0"/>
          <w:color w:val="000000"/>
          <w:sz w:val="22"/>
        </w:rPr>
        <w:t>Synthetic or anonymized submissions can represent enough of the structure and wording of real procurement documents to support meaningful prototype testing.</w:t>
      </w:r>
    </w:p>
    <w:p>
      <w:pPr>
        <w:pStyle w:val="ListBullet"/>
        <w:spacing w:after="60" w:line="259" w:lineRule="auto"/>
        <w:ind w:left="360" w:hanging="173"/>
      </w:pPr>
      <w:r>
        <w:rPr>
          <w:rFonts w:ascii="Times New Roman" w:hAnsi="Times New Roman" w:eastAsia="Times New Roman"/>
          <w:b w:val="0"/>
          <w:i w:val="0"/>
          <w:color w:val="000000"/>
          <w:sz w:val="22"/>
        </w:rPr>
        <w:t>The system can point the user to the location of evidence so that a human can independently verify each important finding.</w:t>
      </w:r>
    </w:p>
    <w:p>
      <w:pPr>
        <w:pStyle w:val="ListBullet"/>
        <w:spacing w:after="60" w:line="259" w:lineRule="auto"/>
        <w:ind w:left="360" w:hanging="173"/>
      </w:pPr>
      <w:r>
        <w:rPr>
          <w:rFonts w:ascii="Times New Roman" w:hAnsi="Times New Roman" w:eastAsia="Times New Roman"/>
          <w:b w:val="0"/>
          <w:i w:val="0"/>
          <w:color w:val="000000"/>
          <w:sz w:val="22"/>
        </w:rPr>
        <w:t>Human users remain responsible for all official procurement, legal, eligibility and award decisions.</w:t>
      </w:r>
    </w:p>
    <w:p>
      <w:pPr>
        <w:pStyle w:val="ListBullet"/>
        <w:spacing w:after="60" w:line="259" w:lineRule="auto"/>
        <w:ind w:left="360" w:hanging="173"/>
      </w:pPr>
      <w:r>
        <w:rPr>
          <w:rFonts w:ascii="Times New Roman" w:hAnsi="Times New Roman" w:eastAsia="Times New Roman"/>
          <w:b w:val="0"/>
          <w:i w:val="0"/>
          <w:color w:val="000000"/>
          <w:sz w:val="22"/>
        </w:rPr>
        <w:t>The team will have access to a suitable AI language model and document-processing tools for extracting, searching and matching text.</w:t>
      </w:r>
    </w:p>
    <w:p>
      <w:pPr>
        <w:pStyle w:val="ListBullet"/>
        <w:spacing w:after="60" w:line="259" w:lineRule="auto"/>
        <w:ind w:left="360" w:hanging="173"/>
      </w:pPr>
      <w:r>
        <w:rPr>
          <w:rFonts w:ascii="Times New Roman" w:hAnsi="Times New Roman" w:eastAsia="Times New Roman"/>
          <w:b w:val="0"/>
          <w:i w:val="0"/>
          <w:color w:val="000000"/>
          <w:sz w:val="22"/>
        </w:rPr>
        <w:t>The initial prototype can focus on a manageable set of procurement document types and checklist requirements rather than every possible procurement procedure.</w:t>
      </w:r>
    </w:p>
    <w:p>
      <w:pPr>
        <w:keepNext/>
        <w:spacing w:after="100" w:before="120" w:line="240" w:lineRule="auto"/>
        <w:jc w:val="left"/>
      </w:pPr>
      <w:r>
        <w:rPr>
          <w:rFonts w:ascii="Times New Roman" w:hAnsi="Times New Roman" w:eastAsia="Times New Roman"/>
          <w:b/>
          <w:i w:val="0"/>
          <w:color w:val="000000"/>
          <w:sz w:val="24"/>
        </w:rPr>
        <w:t>7. Constraints</w:t>
      </w:r>
    </w:p>
    <w:p>
      <w:pPr>
        <w:spacing w:after="120" w:before="0" w:line="269" w:lineRule="auto"/>
        <w:jc w:val="both"/>
      </w:pPr>
      <w:r>
        <w:rPr>
          <w:rFonts w:ascii="Times New Roman" w:hAnsi="Times New Roman" w:eastAsia="Times New Roman"/>
          <w:b w:val="0"/>
          <w:i w:val="0"/>
          <w:color w:val="000000"/>
          <w:sz w:val="22"/>
        </w:rPr>
        <w:t>The project must operate within the following practical and safety constraints:</w:t>
      </w:r>
    </w:p>
    <w:p>
      <w:pPr>
        <w:pStyle w:val="ListBullet"/>
        <w:spacing w:after="60" w:line="259" w:lineRule="auto"/>
        <w:ind w:left="360" w:hanging="173"/>
      </w:pPr>
      <w:r>
        <w:rPr>
          <w:rFonts w:ascii="Times New Roman" w:hAnsi="Times New Roman" w:eastAsia="Times New Roman"/>
          <w:b w:val="0"/>
          <w:i w:val="0"/>
          <w:color w:val="000000"/>
          <w:sz w:val="22"/>
        </w:rPr>
        <w:t>Data access: Real tender submissions can contain confidential or commercially sensitive information. Development and testing should therefore use public templates together with synthetic or properly anonymized submissions.</w:t>
      </w:r>
    </w:p>
    <w:p>
      <w:pPr>
        <w:pStyle w:val="ListBullet"/>
        <w:spacing w:after="60" w:line="259" w:lineRule="auto"/>
        <w:ind w:left="360" w:hanging="173"/>
      </w:pPr>
      <w:r>
        <w:rPr>
          <w:rFonts w:ascii="Times New Roman" w:hAnsi="Times New Roman" w:eastAsia="Times New Roman"/>
          <w:b w:val="0"/>
          <w:i w:val="0"/>
          <w:color w:val="000000"/>
          <w:sz w:val="22"/>
        </w:rPr>
        <w:t>Document quality: Scanned pages, images, tables, poor formatting and inconsistent file naming can reduce the accuracy of text extraction and evidence matching.</w:t>
      </w:r>
    </w:p>
    <w:p>
      <w:pPr>
        <w:pStyle w:val="ListBullet"/>
        <w:spacing w:after="60" w:line="259" w:lineRule="auto"/>
        <w:ind w:left="360" w:hanging="173"/>
      </w:pPr>
      <w:r>
        <w:rPr>
          <w:rFonts w:ascii="Times New Roman" w:hAnsi="Times New Roman" w:eastAsia="Times New Roman"/>
          <w:b w:val="0"/>
          <w:i w:val="0"/>
          <w:color w:val="000000"/>
          <w:sz w:val="22"/>
        </w:rPr>
        <w:t>Language ambiguity: A submission may satisfy a checklist requirement without using the same wording. The agent may therefore need to flag some cases for human review rather than making a definite claim.</w:t>
      </w:r>
    </w:p>
    <w:p>
      <w:pPr>
        <w:pStyle w:val="ListBullet"/>
        <w:spacing w:after="60" w:line="259" w:lineRule="auto"/>
        <w:ind w:left="360" w:hanging="173"/>
      </w:pPr>
      <w:r>
        <w:rPr>
          <w:rFonts w:ascii="Times New Roman" w:hAnsi="Times New Roman" w:eastAsia="Times New Roman"/>
          <w:b w:val="0"/>
          <w:i w:val="0"/>
          <w:color w:val="000000"/>
          <w:sz w:val="22"/>
        </w:rPr>
        <w:t>Model reliability: AI can miss relevant evidence or incorrectly match unrelated text. Findings must be traceable and easy for the user to verify.</w:t>
      </w:r>
    </w:p>
    <w:p>
      <w:pPr>
        <w:pStyle w:val="ListBullet"/>
        <w:spacing w:after="60" w:line="259" w:lineRule="auto"/>
        <w:ind w:left="360" w:hanging="173"/>
      </w:pPr>
      <w:r>
        <w:rPr>
          <w:rFonts w:ascii="Times New Roman" w:hAnsi="Times New Roman" w:eastAsia="Times New Roman"/>
          <w:b w:val="0"/>
          <w:i w:val="0"/>
          <w:color w:val="000000"/>
          <w:sz w:val="22"/>
        </w:rPr>
        <w:t>Safety boundary: The system must not score or rank bids, decide eligibility, make legal conclusions, recommend contract awards, or make any rights-affecting procurement decision.</w:t>
      </w:r>
    </w:p>
    <w:p>
      <w:pPr>
        <w:pStyle w:val="ListBullet"/>
        <w:spacing w:after="60" w:line="259" w:lineRule="auto"/>
        <w:ind w:left="360" w:hanging="173"/>
      </w:pPr>
      <w:r>
        <w:rPr>
          <w:rFonts w:ascii="Times New Roman" w:hAnsi="Times New Roman" w:eastAsia="Times New Roman"/>
          <w:b w:val="0"/>
          <w:i w:val="0"/>
          <w:color w:val="000000"/>
          <w:sz w:val="22"/>
        </w:rPr>
        <w:t>Time and resources: As an academic prototype, the project may be limited to selected procurement templates, document formats and checklist categories that can reasonably be implemented and tested within the available project period.</w:t>
      </w:r>
    </w:p>
    <w:p>
      <w:pPr>
        <w:pStyle w:val="ListBullet"/>
        <w:spacing w:after="60" w:line="259" w:lineRule="auto"/>
        <w:ind w:left="360" w:hanging="173"/>
      </w:pPr>
      <w:r>
        <w:rPr>
          <w:rFonts w:ascii="Times New Roman" w:hAnsi="Times New Roman" w:eastAsia="Times New Roman"/>
          <w:b w:val="0"/>
          <w:i w:val="0"/>
          <w:color w:val="000000"/>
          <w:sz w:val="22"/>
        </w:rPr>
        <w:t>Human oversight: The system is an assistant. A human reviewer must remain in control of the final interpretation of every completeness finding and of any action taken after the report is produced.</w:t>
      </w:r>
    </w:p>
    <w:p>
      <w:pPr>
        <w:spacing w:after="120" w:before="0" w:line="269" w:lineRule="auto"/>
        <w:jc w:val="both"/>
      </w:pPr>
      <w:r>
        <w:rPr>
          <w:rFonts w:ascii="Times New Roman" w:hAnsi="Times New Roman" w:eastAsia="Times New Roman"/>
          <w:b w:val="0"/>
          <w:i w:val="0"/>
          <w:color w:val="000000"/>
          <w:sz w:val="22"/>
        </w:rPr>
        <w:t>These constraints keep the project technically achievable and ensure that the AI is used for document assistance rather than for decisions that could directly affect bidders or procurement outcomes.</w:t>
      </w:r>
    </w:p>
    <w:sectPr w:rsidR="00FC693F" w:rsidRPr="0006063C" w:rsidSect="00034616">
      <w:headerReference w:type="default" r:id="rId9"/>
      <w:footerReference w:type="default" r:id="rId10"/>
      <w:pgSz w:w="12240" w:h="15840"/>
      <w:pgMar w:top="864" w:right="1008" w:bottom="864" w:left="1008"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 Procurement Document Completeness Agent - Project Charter</dc:title>
  <dc:subject>Project Charter</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