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Week 2 Progress Report</w:t>
      </w:r>
    </w:p>
    <w:p>
      <w:pPr>
        <w:spacing w:line="360" w:lineRule="auto"/>
        <w:jc w:val="both"/>
      </w:pPr>
      <w:r>
        <w:rPr>
          <w:rFonts w:ascii="Times New Roman" w:hAnsi="Times New Roman"/>
          <w:b/>
        </w:rPr>
        <w:t>ProcureCheck: Public Procurement Document-Completeness Agent.</w:t>
      </w:r>
      <w:r>
        <w:rPr>
          <w:rFonts w:ascii="Times New Roman" w:hAnsi="Times New Roman"/>
          <w:b w:val="0"/>
        </w:rPr>
        <w:t xml:space="preserve"> BSE4104, Group H (Evening), Makerere University. Week 2, 11 to 16 September 2026.</w:t>
      </w:r>
    </w:p>
    <w:p>
      <w:pPr>
        <w:pStyle w:val="Heading2"/>
      </w:pPr>
      <w:r>
        <w:rPr>
          <w:rFonts w:ascii="Times New Roman" w:hAnsi="Times New Roman"/>
        </w:rPr>
        <w:t>1. Objective and Work Completed</w:t>
      </w:r>
    </w:p>
    <w:p>
      <w:pPr>
        <w:spacing w:line="360" w:lineRule="auto"/>
        <w:jc w:val="both"/>
      </w:pPr>
      <w:r>
        <w:rPr>
          <w:rFonts w:ascii="Times New Roman" w:hAnsi="Times New Roman"/>
          <w:b w:val="0"/>
        </w:rPr>
        <w:t>Week 2 aimed to build a working model-backed baseline and test it before retrieval was added. All five tasks were completed, as Table 1 shows.</w:t>
      </w:r>
    </w:p>
    <w:p>
      <w:pPr>
        <w:spacing w:after="40"/>
        <w:jc w:val="left"/>
      </w:pPr>
      <w:r>
        <w:rPr>
          <w:rFonts w:ascii="Times New Roman" w:hAnsi="Times New Roman"/>
          <w:b/>
          <w:sz w:val="22"/>
        </w:rPr>
        <w:t xml:space="preserve">Table 1: </w:t>
      </w:r>
      <w:r>
        <w:rPr>
          <w:rFonts w:ascii="Times New Roman" w:hAnsi="Times New Roman"/>
          <w:sz w:val="22"/>
        </w:rPr>
        <w:t>Week 2 tasks, owners and evidence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Task</w:t>
            </w:r>
          </w:p>
        </w:tc>
        <w:tc>
          <w:tcPr>
            <w:tcW w:type="dxa" w:w="3120"/>
          </w:tcPr>
          <w:p>
            <w:pPr>
              <w:spacing w:line="240" w:lineRule="auto" w:after="40"/>
            </w:pPr>
            <w:r>
              <w:rPr>
                <w:rFonts w:ascii="Times New Roman" w:hAnsi="Times New Roman"/>
                <w:b/>
                <w:sz w:val="20"/>
              </w:rPr>
            </w:r>
            <w:r>
              <w:rPr>
                <w:rFonts w:ascii="Times New Roman" w:hAnsi="Times New Roman"/>
                <w:b/>
                <w:sz w:val="20"/>
              </w:rPr>
              <w:t>Owners</w:t>
            </w:r>
          </w:p>
        </w:tc>
        <w:tc>
          <w:tcPr>
            <w:tcW w:type="dxa" w:w="3120"/>
          </w:tcPr>
          <w:p>
            <w:pPr>
              <w:spacing w:line="240" w:lineRule="auto" w:after="40"/>
            </w:pPr>
            <w:r>
              <w:rPr>
                <w:rFonts w:ascii="Times New Roman" w:hAnsi="Times New Roman"/>
                <w:b/>
                <w:sz w:val="20"/>
              </w:rPr>
            </w:r>
            <w:r>
              <w:rPr>
                <w:rFonts w:ascii="Times New Roman" w:hAnsi="Times New Roman"/>
                <w:b/>
                <w:sz w:val="20"/>
              </w:rPr>
              <w:t>Evidence</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Choose and document an accessible model</w:t>
            </w:r>
          </w:p>
        </w:tc>
        <w:tc>
          <w:tcPr>
            <w:tcW w:type="dxa" w:w="3120"/>
          </w:tcPr>
          <w:p>
            <w:pPr>
              <w:spacing w:line="240" w:lineRule="auto" w:after="40"/>
            </w:pPr>
            <w:r>
              <w:rPr>
                <w:rFonts w:ascii="Times New Roman" w:hAnsi="Times New Roman"/>
                <w:b w:val="0"/>
                <w:sz w:val="20"/>
              </w:rPr>
            </w:r>
            <w:r>
              <w:rPr>
                <w:rFonts w:ascii="Times New Roman" w:hAnsi="Times New Roman"/>
                <w:b w:val="0"/>
                <w:sz w:val="20"/>
              </w:rPr>
              <w:t>Isaac Mwesigwa</w:t>
            </w:r>
          </w:p>
        </w:tc>
        <w:tc>
          <w:tcPr>
            <w:tcW w:type="dxa" w:w="3120"/>
          </w:tcPr>
          <w:p>
            <w:pPr>
              <w:spacing w:line="240" w:lineRule="auto" w:after="40"/>
            </w:pPr>
            <w:r>
              <w:rPr>
                <w:rFonts w:ascii="Times New Roman" w:hAnsi="Times New Roman"/>
                <w:b w:val="0"/>
                <w:sz w:val="20"/>
              </w:rPr>
            </w:r>
            <w:r>
              <w:rPr>
                <w:rFonts w:ascii="Times New Roman" w:hAnsi="Times New Roman"/>
                <w:b w:val="0"/>
                <w:sz w:val="20"/>
              </w:rPr>
              <w:t>Accessible Model Documentation</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Integrate the model into the application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Jonathan Katongole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Application code in src/procurecheck/</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Prompt Specification v1.0</w:t>
            </w:r>
          </w:p>
        </w:tc>
        <w:tc>
          <w:tcPr>
            <w:tcW w:type="dxa" w:w="3120"/>
          </w:tcPr>
          <w:p>
            <w:pPr>
              <w:spacing w:line="240" w:lineRule="auto" w:after="40"/>
            </w:pPr>
            <w:r>
              <w:rPr>
                <w:rFonts w:ascii="Times New Roman" w:hAnsi="Times New Roman"/>
                <w:b w:val="0"/>
                <w:sz w:val="20"/>
              </w:rPr>
            </w:r>
            <w:r>
              <w:rPr>
                <w:rFonts w:ascii="Times New Roman" w:hAnsi="Times New Roman"/>
                <w:b w:val="0"/>
                <w:sz w:val="20"/>
              </w:rPr>
              <w:t>Jonathan Katongole, Makmot Johnson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Prompt Specification v1.0 and v2.0</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At least two prompt iterations</w:t>
            </w:r>
          </w:p>
        </w:tc>
        <w:tc>
          <w:tcPr>
            <w:tcW w:type="dxa" w:w="3120"/>
          </w:tcPr>
          <w:p>
            <w:pPr>
              <w:spacing w:line="240" w:lineRule="auto" w:after="40"/>
            </w:pPr>
            <w:r>
              <w:rPr>
                <w:rFonts w:ascii="Times New Roman" w:hAnsi="Times New Roman"/>
                <w:b w:val="0"/>
                <w:sz w:val="20"/>
              </w:rPr>
            </w:r>
            <w:r>
              <w:rPr>
                <w:rFonts w:ascii="Times New Roman" w:hAnsi="Times New Roman"/>
                <w:b w:val="0"/>
                <w:sz w:val="20"/>
              </w:rPr>
              <w:t>Makmot Johnson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Prompt Iteration Record, version history</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At least 10 test cases, expected against actual</w:t>
            </w:r>
          </w:p>
        </w:tc>
        <w:tc>
          <w:tcPr>
            <w:tcW w:type="dxa" w:w="3120"/>
          </w:tcPr>
          <w:p>
            <w:pPr>
              <w:spacing w:line="240" w:lineRule="auto" w:after="40"/>
            </w:pPr>
            <w:r>
              <w:rPr>
                <w:rFonts w:ascii="Times New Roman" w:hAnsi="Times New Roman"/>
                <w:b w:val="0"/>
                <w:sz w:val="20"/>
              </w:rPr>
            </w:r>
            <w:r>
              <w:rPr>
                <w:rFonts w:ascii="Times New Roman" w:hAnsi="Times New Roman"/>
                <w:b w:val="0"/>
                <w:sz w:val="20"/>
              </w:rPr>
              <w:t>Bataringaya Bridget, Jonathan Katongole</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Team test case and 19-case evaluations</w:t>
            </w:r>
          </w:p>
        </w:tc>
      </w:tr>
    </w:tbl>
    <w:p/>
    <w:p>
      <w:pPr>
        <w:pStyle w:val="Heading2"/>
      </w:pPr>
      <w:r>
        <w:rPr>
          <w:rFonts w:ascii="Times New Roman" w:hAnsi="Times New Roman"/>
        </w:rPr>
        <w:t>2. Model and Integration</w:t>
      </w:r>
    </w:p>
    <w:p>
      <w:pPr>
        <w:spacing w:line="360" w:lineRule="auto"/>
        <w:jc w:val="both"/>
      </w:pPr>
      <w:r>
        <w:rPr>
          <w:rFonts w:ascii="Times New Roman" w:hAnsi="Times New Roman"/>
          <w:b w:val="0"/>
        </w:rPr>
        <w:t>Meta Llama 3.1 8B Instruct was selected for free local use, structured output and data control. Google Gemini 1.5 Flash was named as a long-document fallback but is not yet configured. The model runs through Ollama at temperature 0.0. Each request carries the output schema, so answers must match it. The context window was set to 16,384 tokens, because Ollama otherwise truncates at 4,096. A code-level guard refuses scoring, ranking, legal and award requests before any model call.</w:t>
      </w:r>
    </w:p>
    <w:p>
      <w:pPr>
        <w:pStyle w:val="Heading2"/>
      </w:pPr>
      <w:r>
        <w:rPr>
          <w:rFonts w:ascii="Times New Roman" w:hAnsi="Times New Roman"/>
        </w:rPr>
        <w:t>3. Prompt Iterations</w:t>
      </w:r>
    </w:p>
    <w:p>
      <w:pPr>
        <w:spacing w:line="360" w:lineRule="auto"/>
        <w:jc w:val="both"/>
      </w:pPr>
      <w:r>
        <w:rPr>
          <w:rFonts w:ascii="Times New Roman" w:hAnsi="Times New Roman"/>
          <w:b w:val="0"/>
        </w:rPr>
        <w:t>Three versions were measured on the same 19 cases, as Table 2 shows.</w:t>
      </w:r>
    </w:p>
    <w:p>
      <w:pPr>
        <w:spacing w:after="40"/>
        <w:jc w:val="left"/>
      </w:pPr>
      <w:r>
        <w:rPr>
          <w:rFonts w:ascii="Times New Roman" w:hAnsi="Times New Roman"/>
          <w:b/>
          <w:sz w:val="22"/>
        </w:rPr>
        <w:t xml:space="preserve">Table 2: </w:t>
      </w:r>
      <w:r>
        <w:rPr>
          <w:rFonts w:ascii="Times New Roman" w:hAnsi="Times New Roman"/>
          <w:sz w:val="22"/>
        </w:rPr>
        <w:t>Prompt versions and measured results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Version</w:t>
            </w:r>
          </w:p>
        </w:tc>
        <w:tc>
          <w:tcPr>
            <w:tcW w:type="dxa" w:w="3120"/>
          </w:tcPr>
          <w:p>
            <w:pPr>
              <w:spacing w:line="240" w:lineRule="auto" w:after="40"/>
            </w:pPr>
            <w:r>
              <w:rPr>
                <w:rFonts w:ascii="Times New Roman" w:hAnsi="Times New Roman"/>
                <w:b/>
                <w:sz w:val="20"/>
              </w:rPr>
            </w:r>
            <w:r>
              <w:rPr>
                <w:rFonts w:ascii="Times New Roman" w:hAnsi="Times New Roman"/>
                <w:b/>
                <w:sz w:val="20"/>
              </w:rPr>
              <w:t>Change</w:t>
            </w:r>
          </w:p>
        </w:tc>
        <w:tc>
          <w:tcPr>
            <w:tcW w:type="dxa" w:w="3120"/>
          </w:tcPr>
          <w:p>
            <w:pPr>
              <w:spacing w:line="240" w:lineRule="auto" w:after="40"/>
            </w:pPr>
            <w:r>
              <w:rPr>
                <w:rFonts w:ascii="Times New Roman" w:hAnsi="Times New Roman"/>
                <w:b/>
                <w:sz w:val="20"/>
              </w:rPr>
            </w:r>
            <w:r>
              <w:rPr>
                <w:rFonts w:ascii="Times New Roman" w:hAnsi="Times New Roman"/>
                <w:b/>
                <w:sz w:val="20"/>
              </w:rPr>
              <w:t>Cases met</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v1.0</w:t>
            </w:r>
          </w:p>
        </w:tc>
        <w:tc>
          <w:tcPr>
            <w:tcW w:type="dxa" w:w="3120"/>
          </w:tcPr>
          <w:p>
            <w:pPr>
              <w:spacing w:line="240" w:lineRule="auto" w:after="40"/>
            </w:pPr>
            <w:r>
              <w:rPr>
                <w:rFonts w:ascii="Times New Roman" w:hAnsi="Times New Roman"/>
                <w:b w:val="0"/>
                <w:sz w:val="20"/>
              </w:rPr>
            </w:r>
            <w:r>
              <w:rPr>
                <w:rFonts w:ascii="Times New Roman" w:hAnsi="Times New Roman"/>
                <w:b w:val="0"/>
                <w:sz w:val="20"/>
              </w:rPr>
              <w:t>Baseline specification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15 of 19</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v2.0</w:t>
            </w:r>
          </w:p>
        </w:tc>
        <w:tc>
          <w:tcPr>
            <w:tcW w:type="dxa" w:w="3120"/>
          </w:tcPr>
          <w:p>
            <w:pPr>
              <w:spacing w:line="240" w:lineRule="auto" w:after="40"/>
            </w:pPr>
            <w:r>
              <w:rPr>
                <w:rFonts w:ascii="Times New Roman" w:hAnsi="Times New Roman"/>
                <w:b w:val="0"/>
                <w:sz w:val="20"/>
              </w:rPr>
            </w:r>
            <w:r>
              <w:rPr>
                <w:rFonts w:ascii="Times New Roman" w:hAnsi="Times New Roman"/>
                <w:b w:val="0"/>
                <w:sz w:val="20"/>
              </w:rPr>
              <w:t>Decision steps, absence as a normal answer, identity test</w:t>
            </w:r>
          </w:p>
        </w:tc>
        <w:tc>
          <w:tcPr>
            <w:tcW w:type="dxa" w:w="3120"/>
          </w:tcPr>
          <w:p>
            <w:pPr>
              <w:spacing w:line="240" w:lineRule="auto" w:after="40"/>
            </w:pPr>
            <w:r>
              <w:rPr>
                <w:rFonts w:ascii="Times New Roman" w:hAnsi="Times New Roman"/>
                <w:b w:val="0"/>
                <w:sz w:val="20"/>
              </w:rPr>
            </w:r>
            <w:r>
              <w:rPr>
                <w:rFonts w:ascii="Times New Roman" w:hAnsi="Times New Roman"/>
                <w:b w:val="0"/>
                <w:sz w:val="20"/>
              </w:rPr>
              <w:t>17 of 19</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v2.1</w:t>
            </w:r>
          </w:p>
        </w:tc>
        <w:tc>
          <w:tcPr>
            <w:tcW w:type="dxa" w:w="3120"/>
          </w:tcPr>
          <w:p>
            <w:pPr>
              <w:spacing w:line="240" w:lineRule="auto" w:after="40"/>
            </w:pPr>
            <w:r>
              <w:rPr>
                <w:rFonts w:ascii="Times New Roman" w:hAnsi="Times New Roman"/>
                <w:b w:val="0"/>
                <w:sz w:val="20"/>
              </w:rPr>
            </w:r>
            <w:r>
              <w:rPr>
                <w:rFonts w:ascii="Times New Roman" w:hAnsi="Times New Roman"/>
                <w:b w:val="0"/>
                <w:sz w:val="20"/>
              </w:rPr>
              <w:t>v2.0 plus a second call that checks each quotation without the submission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19 of 19</w:t>
            </w:r>
          </w:p>
        </w:tc>
      </w:tr>
    </w:tbl>
    <w:p/>
    <w:p>
      <w:pPr>
        <w:spacing w:line="360" w:lineRule="auto"/>
        <w:jc w:val="both"/>
      </w:pPr>
      <w:r>
        <w:rPr>
          <w:rFonts w:ascii="Times New Roman" w:hAnsi="Times New Roman"/>
          <w:b w:val="0"/>
        </w:rPr>
        <w:t>Version 1.0 never reported a document as absent. Version 2.0 fixed this, but twice quoted real text from the wrong document. Version 2.1 rejected both, while keeping all four correct matches worded differently from the checklist.</w:t>
      </w:r>
    </w:p>
    <w:p>
      <w:pPr>
        <w:pStyle w:val="Heading2"/>
      </w:pPr>
      <w:r>
        <w:rPr>
          <w:rFonts w:ascii="Times New Roman" w:hAnsi="Times New Roman"/>
        </w:rPr>
        <w:t>4. Test Results</w:t>
      </w:r>
    </w:p>
    <w:p>
      <w:pPr>
        <w:spacing w:line="360" w:lineRule="auto"/>
        <w:jc w:val="both"/>
      </w:pPr>
      <w:r>
        <w:rPr>
          <w:rFonts w:ascii="Times New Roman" w:hAnsi="Times New Roman"/>
          <w:b w:val="0"/>
        </w:rPr>
        <w:t>The team's ten cases met expectation in seven, as Table 3 shows.</w:t>
      </w:r>
    </w:p>
    <w:p>
      <w:pPr>
        <w:spacing w:after="40"/>
        <w:jc w:val="left"/>
      </w:pPr>
      <w:r>
        <w:rPr>
          <w:rFonts w:ascii="Times New Roman" w:hAnsi="Times New Roman"/>
          <w:b/>
          <w:sz w:val="22"/>
        </w:rPr>
        <w:t xml:space="preserve">Table 3: </w:t>
      </w:r>
      <w:r>
        <w:rPr>
          <w:rFonts w:ascii="Times New Roman" w:hAnsi="Times New Roman"/>
          <w:sz w:val="22"/>
        </w:rPr>
        <w:t>Team test case results by behaviour</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r>
            <w:r>
              <w:rPr>
                <w:rFonts w:ascii="Times New Roman" w:hAnsi="Times New Roman"/>
                <w:b/>
                <w:sz w:val="20"/>
              </w:rPr>
              <w:t>Behaviour tested</w:t>
            </w:r>
          </w:p>
        </w:tc>
        <w:tc>
          <w:tcPr>
            <w:tcW w:type="dxa" w:w="3120"/>
          </w:tcPr>
          <w:p>
            <w:pPr>
              <w:spacing w:line="240" w:lineRule="auto" w:after="40"/>
            </w:pPr>
            <w:r>
              <w:rPr>
                <w:rFonts w:ascii="Times New Roman" w:hAnsi="Times New Roman"/>
                <w:b/>
                <w:sz w:val="20"/>
              </w:rPr>
            </w:r>
            <w:r>
              <w:rPr>
                <w:rFonts w:ascii="Times New Roman" w:hAnsi="Times New Roman"/>
                <w:b/>
                <w:sz w:val="20"/>
              </w:rPr>
              <w:t>Cases</w:t>
            </w:r>
          </w:p>
        </w:tc>
        <w:tc>
          <w:tcPr>
            <w:tcW w:type="dxa" w:w="3120"/>
          </w:tcPr>
          <w:p>
            <w:pPr>
              <w:spacing w:line="240" w:lineRule="auto" w:after="40"/>
            </w:pPr>
            <w:r>
              <w:rPr>
                <w:rFonts w:ascii="Times New Roman" w:hAnsi="Times New Roman"/>
                <w:b/>
                <w:sz w:val="20"/>
              </w:rPr>
            </w:r>
            <w:r>
              <w:rPr>
                <w:rFonts w:ascii="Times New Roman" w:hAnsi="Times New Roman"/>
                <w:b/>
                <w:sz w:val="20"/>
              </w:rPr>
              <w:t>Met</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Checklist extraction, scoped analysis, clause matching</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TC01 to TC03</w:t>
            </w:r>
          </w:p>
        </w:tc>
        <w:tc>
          <w:tcPr>
            <w:tcW w:type="dxa" w:w="3120"/>
          </w:tcPr>
          <w:p>
            <w:pPr>
              <w:spacing w:line="240" w:lineRule="auto" w:after="40"/>
            </w:pPr>
            <w:r>
              <w:rPr>
                <w:rFonts w:ascii="Times New Roman" w:hAnsi="Times New Roman"/>
                <w:b w:val="0"/>
                <w:sz w:val="20"/>
              </w:rPr>
            </w:r>
            <w:r>
              <w:rPr>
                <w:rFonts w:ascii="Times New Roman" w:hAnsi="Times New Roman"/>
                <w:b w:val="0"/>
                <w:sz w:val="20"/>
              </w:rPr>
              <w:t>3 of 3</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Missing item detection</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TC04, TC05</w:t>
            </w:r>
          </w:p>
        </w:tc>
        <w:tc>
          <w:tcPr>
            <w:tcW w:type="dxa" w:w="3120"/>
          </w:tcPr>
          <w:p>
            <w:pPr>
              <w:spacing w:line="240" w:lineRule="auto" w:after="40"/>
            </w:pPr>
            <w:r>
              <w:rPr>
                <w:rFonts w:ascii="Times New Roman" w:hAnsi="Times New Roman"/>
                <w:b w:val="0"/>
                <w:sz w:val="20"/>
              </w:rPr>
            </w:r>
            <w:r>
              <w:rPr>
                <w:rFonts w:ascii="Times New Roman" w:hAnsi="Times New Roman"/>
                <w:b w:val="0"/>
                <w:sz w:val="20"/>
              </w:rPr>
              <w:t>0 of 2</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Refusal to score, rank, judge legality or recommend award</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TC06 to TC09</w:t>
            </w:r>
          </w:p>
        </w:tc>
        <w:tc>
          <w:tcPr>
            <w:tcW w:type="dxa" w:w="3120"/>
          </w:tcPr>
          <w:p>
            <w:pPr>
              <w:spacing w:line="240" w:lineRule="auto" w:after="40"/>
            </w:pPr>
            <w:r>
              <w:rPr>
                <w:rFonts w:ascii="Times New Roman" w:hAnsi="Times New Roman"/>
                <w:b w:val="0"/>
                <w:sz w:val="20"/>
              </w:rPr>
            </w:r>
            <w:r>
              <w:rPr>
                <w:rFonts w:ascii="Times New Roman" w:hAnsi="Times New Roman"/>
                <w:b w:val="0"/>
                <w:sz w:val="20"/>
              </w:rPr>
              <w:t>4 of 4</w:t>
            </w:r>
          </w:p>
        </w:tc>
      </w:tr>
      <w:tr>
        <w:tc>
          <w:tcPr>
            <w:tcW w:type="dxa" w:w="3120"/>
          </w:tcPr>
          <w:p>
            <w:pPr>
              <w:spacing w:line="240" w:lineRule="auto" w:after="40"/>
            </w:pPr>
            <w:r>
              <w:rPr>
                <w:rFonts w:ascii="Times New Roman" w:hAnsi="Times New Roman"/>
                <w:b w:val="0"/>
                <w:sz w:val="20"/>
              </w:rPr>
            </w:r>
            <w:r>
              <w:rPr>
                <w:rFonts w:ascii="Times New Roman" w:hAnsi="Times New Roman"/>
                <w:b w:val="0"/>
                <w:sz w:val="20"/>
              </w:rPr>
              <w:t>Ambiguous clause sent to human review</w:t>
            </w:r>
          </w:p>
        </w:tc>
        <w:tc>
          <w:tcPr>
            <w:tcW w:type="dxa" w:w="3120"/>
          </w:tcPr>
          <w:p>
            <w:pPr>
              <w:spacing w:line="240" w:lineRule="auto" w:after="40"/>
            </w:pPr>
            <w:r>
              <w:rPr>
                <w:rFonts w:ascii="Times New Roman" w:hAnsi="Times New Roman"/>
                <w:b w:val="0"/>
                <w:sz w:val="20"/>
              </w:rPr>
            </w:r>
            <w:r>
              <w:rPr>
                <w:rFonts w:ascii="Times New Roman" w:hAnsi="Times New Roman"/>
                <w:b w:val="0"/>
                <w:sz w:val="20"/>
              </w:rPr>
              <w:t>TC10</w:t>
            </w:r>
          </w:p>
        </w:tc>
        <w:tc>
          <w:tcPr>
            <w:tcW w:type="dxa" w:w="3120"/>
          </w:tcPr>
          <w:p>
            <w:pPr>
              <w:spacing w:line="240" w:lineRule="auto" w:after="40"/>
            </w:pPr>
            <w:r>
              <w:rPr>
                <w:rFonts w:ascii="Times New Roman" w:hAnsi="Times New Roman"/>
                <w:b w:val="0"/>
                <w:sz w:val="20"/>
              </w:rPr>
            </w:r>
            <w:r>
              <w:rPr>
                <w:rFonts w:ascii="Times New Roman" w:hAnsi="Times New Roman"/>
                <w:b w:val="0"/>
                <w:sz w:val="20"/>
              </w:rPr>
              <w:t>0 of 1</w:t>
            </w:r>
          </w:p>
        </w:tc>
      </w:tr>
    </w:tbl>
    <w:p/>
    <w:p>
      <w:pPr>
        <w:spacing w:line="360" w:lineRule="auto"/>
        <w:jc w:val="both"/>
      </w:pPr>
      <w:r>
        <w:rPr>
          <w:rFonts w:ascii="Times New Roman" w:hAnsi="Times New Roman"/>
          <w:b w:val="0"/>
        </w:rPr>
        <w:t>TC04 and TC05 both missed a signed bid form that was present; their missing items were detected correctly. TC10 reported an ambiguous clause Not Found instead of sending it to a person.</w:t>
      </w:r>
    </w:p>
    <w:p>
      <w:pPr>
        <w:pStyle w:val="Heading2"/>
      </w:pPr>
      <w:r>
        <w:rPr>
          <w:rFonts w:ascii="Times New Roman" w:hAnsi="Times New Roman"/>
        </w:rPr>
        <w:t>5. Limitations and Next Steps</w:t>
      </w:r>
    </w:p>
    <w:p>
      <w:pPr>
        <w:spacing w:line="360" w:lineRule="auto"/>
        <w:jc w:val="both"/>
      </w:pPr>
      <w:r>
        <w:rPr>
          <w:rFonts w:ascii="Times New Roman" w:hAnsi="Times New Roman"/>
          <w:b w:val="0"/>
        </w:rPr>
        <w:t>Tests ran on a CPU-only machine at 91 to 432 seconds per item, on short synthetic submissions. Scanned documents were refused and checks were limited to about 45 pages. Week 3 will add retrieval over a controlled PPDA corpus, investigate the TC04 and TC05 miss, and route uncertain matches such as TC10 to human review.</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