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0"/>
        </w:rPr>
        <w:t>Evaluation of synthetic-submission-docx</w:t>
      </w:r>
    </w:p>
    <w:p>
      <w:pPr>
        <w:jc w:val="center"/>
      </w:pPr>
      <w:r>
        <w:rPr>
          <w:b w:val="0"/>
          <w:sz w:val="28"/>
        </w:rPr>
        <w:t>Expected against actual behaviour</w:t>
      </w:r>
    </w:p>
    <w:p/>
    <w:p>
      <w:pPr>
        <w:jc w:val="center"/>
      </w:pPr>
      <w:r>
        <w:rPr>
          <w:b/>
        </w:rPr>
        <w:t>Public Procurement Document-Completeness Agent</w:t>
      </w:r>
    </w:p>
    <w:p>
      <w:pPr>
        <w:jc w:val="center"/>
      </w:pPr>
      <w:r>
        <w:rPr>
          <w:b w:val="0"/>
        </w:rPr>
        <w:t>BSE4104 AI-Native and Agentic Engineering Capstone</w:t>
      </w:r>
    </w:p>
    <w:p>
      <w:pPr>
        <w:jc w:val="center"/>
      </w:pPr>
      <w:r>
        <w:rPr>
          <w:b w:val="0"/>
        </w:rPr>
        <w:t>Group H (Evening), Makerere University</w:t>
      </w:r>
    </w:p>
    <w:p>
      <w:pPr>
        <w:jc w:val="center"/>
      </w:pPr>
      <w:r>
        <w:rPr>
          <w:b w:val="0"/>
        </w:rPr>
        <w:t>16 September 2026</w:t>
      </w:r>
    </w:p>
    <w:p>
      <w:pPr>
        <w:pStyle w:val="Heading1"/>
      </w:pPr>
      <w:r>
        <w:t>1. Introduction and objectives</w:t>
      </w:r>
    </w:p>
    <w:p>
      <w:r>
        <w:rPr>
          <w:i w:val="0"/>
        </w:rPr>
        <w:t>This report records an evaluation of the Public Procurement Document-Completeness Agent against 1 test case. The objective was to determine, case by case, whether the actual behaviour of the system met the behaviour expected of it.</w:t>
      </w:r>
    </w:p>
    <w:p>
      <w:r>
        <w:rPr>
          <w:i w:val="0"/>
        </w:rPr>
        <w:t>Each expected behaviour was written before the case was run and was not changed afterwards. For every case the report states the expected behaviour, the actual behaviour in full, and an observation describing any difference between the two.</w:t>
      </w:r>
    </w:p>
    <w:p>
      <w:pPr>
        <w:pStyle w:val="Heading1"/>
      </w:pPr>
      <w:r>
        <w:t>2. Methodology</w:t>
      </w:r>
    </w:p>
    <w:p>
      <w:r>
        <w:rPr>
          <w:i w:val="0"/>
        </w:rPr>
        <w:t>Each case was run once through the application, not through the model alone, so the deterministic checks were exercised as well. A case was marked Pass only when every part of the expected behaviour was met.</w:t>
      </w:r>
    </w:p>
    <w:p>
      <w:r>
        <w:rPr>
          <w:b/>
        </w:rPr>
        <w:t xml:space="preserve">Documents tested. </w:t>
      </w:r>
      <w:r>
        <w:rPr>
          <w:i w:val="0"/>
        </w:rPr>
        <w:t>The submission synthetic-submission-docx, one of the documents used for testing.</w:t>
      </w:r>
    </w:p>
    <w:p>
      <w:r>
        <w:rPr>
          <w:i w:val="0"/>
        </w:rPr>
        <w:t>Table 1 records the configuration under which the cases were run.</w:t>
      </w:r>
    </w:p>
    <w:p>
      <w:pPr>
        <w:pStyle w:val="Caption"/>
      </w:pPr>
      <w:r>
        <w:rPr>
          <w:b/>
        </w:rPr>
        <w:t xml:space="preserve">Table </w:t>
      </w:r>
      <w:r>
        <w:fldChar w:fldCharType="begin"/>
      </w:r>
      <w:r>
        <w:instrText xml:space="preserve"> SEQ Table \* ARABIC </w:instrText>
      </w:r>
      <w:r>
        <w:fldChar w:fldCharType="separate"/>
      </w:r>
      <w:r>
        <w:rPr>
          <w:b/>
        </w:rPr>
        <w:t>1</w:t>
      </w:r>
      <w:r>
        <w:fldChar w:fldCharType="end"/>
      </w:r>
      <w:r>
        <w:rPr>
          <w:b/>
        </w:rPr>
        <w:t xml:space="preserve">: </w:t>
      </w:r>
      <w:r>
        <w:t>Configuration of the evaluated run</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2655"/>
          </w:tcPr>
          <w:p>
            <w:pPr>
              <w:spacing w:line="240" w:lineRule="auto" w:after="40"/>
              <w:jc w:val="left"/>
            </w:pPr>
            <w:r/>
            <w:r>
              <w:rPr>
                <w:rFonts w:ascii="Times New Roman" w:hAnsi="Times New Roman"/>
                <w:b/>
                <w:sz w:val="20"/>
              </w:rPr>
              <w:t>Setting</w:t>
            </w:r>
          </w:p>
        </w:tc>
        <w:tc>
          <w:tcPr>
            <w:tcW w:type="dxa" w:w="6371"/>
          </w:tcPr>
          <w:p>
            <w:pPr>
              <w:spacing w:line="240" w:lineRule="auto" w:after="40"/>
              <w:jc w:val="left"/>
            </w:pPr>
            <w:r/>
            <w:r>
              <w:rPr>
                <w:rFonts w:ascii="Times New Roman" w:hAnsi="Times New Roman"/>
                <w:b/>
                <w:sz w:val="20"/>
              </w:rPr>
              <w:t>Value</w:t>
            </w:r>
          </w:p>
        </w:tc>
      </w:tr>
      <w:tr>
        <w:tc>
          <w:tcPr>
            <w:tcW w:type="dxa" w:w="2655"/>
          </w:tcPr>
          <w:p>
            <w:pPr>
              <w:spacing w:line="240" w:lineRule="auto" w:after="40"/>
              <w:jc w:val="left"/>
            </w:pPr>
            <w:r/>
            <w:r>
              <w:rPr>
                <w:rFonts w:ascii="Times New Roman" w:hAnsi="Times New Roman"/>
                <w:b w:val="0"/>
                <w:sz w:val="20"/>
              </w:rPr>
              <w:t>Model</w:t>
            </w:r>
          </w:p>
        </w:tc>
        <w:tc>
          <w:tcPr>
            <w:tcW w:type="dxa" w:w="6371"/>
          </w:tcPr>
          <w:p>
            <w:pPr>
              <w:spacing w:line="240" w:lineRule="auto" w:after="40"/>
              <w:jc w:val="left"/>
            </w:pPr>
            <w:r/>
            <w:r>
              <w:rPr>
                <w:rFonts w:ascii="Times New Roman" w:hAnsi="Times New Roman"/>
                <w:b w:val="0"/>
                <w:sz w:val="20"/>
              </w:rPr>
              <w:t>llama3.1:8b</w:t>
            </w:r>
          </w:p>
        </w:tc>
      </w:tr>
      <w:tr>
        <w:tc>
          <w:tcPr>
            <w:tcW w:type="dxa" w:w="2655"/>
          </w:tcPr>
          <w:p>
            <w:pPr>
              <w:spacing w:line="240" w:lineRule="auto" w:after="40"/>
              <w:jc w:val="left"/>
            </w:pPr>
            <w:r/>
            <w:r>
              <w:rPr>
                <w:rFonts w:ascii="Times New Roman" w:hAnsi="Times New Roman"/>
                <w:b w:val="0"/>
                <w:sz w:val="20"/>
              </w:rPr>
              <w:t>Prompt pipeline</w:t>
            </w:r>
          </w:p>
        </w:tc>
        <w:tc>
          <w:tcPr>
            <w:tcW w:type="dxa" w:w="6371"/>
          </w:tcPr>
          <w:p>
            <w:pPr>
              <w:spacing w:line="240" w:lineRule="auto" w:after="40"/>
              <w:jc w:val="left"/>
            </w:pPr>
            <w:r/>
            <w:r>
              <w:rPr>
                <w:rFonts w:ascii="Times New Roman" w:hAnsi="Times New Roman"/>
                <w:b w:val="0"/>
                <w:sz w:val="20"/>
              </w:rPr>
              <w:t>v2.0-per-item + adjudicator-v1.0</w:t>
            </w:r>
          </w:p>
        </w:tc>
      </w:tr>
      <w:tr>
        <w:tc>
          <w:tcPr>
            <w:tcW w:type="dxa" w:w="2655"/>
          </w:tcPr>
          <w:p>
            <w:pPr>
              <w:spacing w:line="240" w:lineRule="auto" w:after="40"/>
              <w:jc w:val="left"/>
            </w:pPr>
            <w:r/>
            <w:r>
              <w:rPr>
                <w:rFonts w:ascii="Times New Roman" w:hAnsi="Times New Roman"/>
                <w:b w:val="0"/>
                <w:sz w:val="20"/>
              </w:rPr>
              <w:t>Matching method</w:t>
            </w:r>
          </w:p>
        </w:tc>
        <w:tc>
          <w:tcPr>
            <w:tcW w:type="dxa" w:w="6371"/>
          </w:tcPr>
          <w:p>
            <w:pPr>
              <w:spacing w:line="240" w:lineRule="auto" w:after="40"/>
              <w:jc w:val="left"/>
            </w:pPr>
            <w:r/>
            <w:r>
              <w:rPr>
                <w:rFonts w:ascii="Times New Roman" w:hAnsi="Times New Roman"/>
                <w:b w:val="0"/>
                <w:sz w:val="20"/>
              </w:rPr>
              <w:t>one check per checklist item</w:t>
            </w:r>
          </w:p>
        </w:tc>
      </w:tr>
      <w:tr>
        <w:tc>
          <w:tcPr>
            <w:tcW w:type="dxa" w:w="2655"/>
          </w:tcPr>
          <w:p>
            <w:pPr>
              <w:spacing w:line="240" w:lineRule="auto" w:after="40"/>
              <w:jc w:val="left"/>
            </w:pPr>
            <w:r/>
            <w:r>
              <w:rPr>
                <w:rFonts w:ascii="Times New Roman" w:hAnsi="Times New Roman"/>
                <w:b w:val="0"/>
                <w:sz w:val="20"/>
              </w:rPr>
              <w:t>Human review threshold</w:t>
            </w:r>
          </w:p>
        </w:tc>
        <w:tc>
          <w:tcPr>
            <w:tcW w:type="dxa" w:w="6371"/>
          </w:tcPr>
          <w:p>
            <w:pPr>
              <w:spacing w:line="240" w:lineRule="auto" w:after="40"/>
              <w:jc w:val="left"/>
            </w:pPr>
            <w:r/>
            <w:r>
              <w:rPr>
                <w:rFonts w:ascii="Times New Roman" w:hAnsi="Times New Roman"/>
                <w:b w:val="0"/>
                <w:sz w:val="20"/>
              </w:rPr>
              <w:t>0.85</w:t>
            </w:r>
          </w:p>
        </w:tc>
      </w:tr>
      <w:tr>
        <w:tc>
          <w:tcPr>
            <w:tcW w:type="dxa" w:w="2655"/>
          </w:tcPr>
          <w:p>
            <w:pPr>
              <w:spacing w:line="240" w:lineRule="auto" w:after="40"/>
              <w:jc w:val="left"/>
            </w:pPr>
            <w:r/>
            <w:r>
              <w:rPr>
                <w:rFonts w:ascii="Times New Roman" w:hAnsi="Times New Roman"/>
                <w:b w:val="0"/>
                <w:sz w:val="20"/>
              </w:rPr>
              <w:t>Context window</w:t>
            </w:r>
          </w:p>
        </w:tc>
        <w:tc>
          <w:tcPr>
            <w:tcW w:type="dxa" w:w="6371"/>
          </w:tcPr>
          <w:p>
            <w:pPr>
              <w:spacing w:line="240" w:lineRule="auto" w:after="40"/>
              <w:jc w:val="left"/>
            </w:pPr>
            <w:r/>
            <w:r>
              <w:rPr>
                <w:rFonts w:ascii="Times New Roman" w:hAnsi="Times New Roman"/>
                <w:b w:val="0"/>
                <w:sz w:val="20"/>
              </w:rPr>
              <w:t>16,384 tokens</w:t>
            </w:r>
          </w:p>
        </w:tc>
      </w:tr>
      <w:tr>
        <w:tc>
          <w:tcPr>
            <w:tcW w:type="dxa" w:w="2655"/>
          </w:tcPr>
          <w:p>
            <w:pPr>
              <w:spacing w:line="240" w:lineRule="auto" w:after="40"/>
              <w:jc w:val="left"/>
            </w:pPr>
            <w:r/>
            <w:r>
              <w:rPr>
                <w:rFonts w:ascii="Times New Roman" w:hAnsi="Times New Roman"/>
                <w:b w:val="0"/>
                <w:sz w:val="20"/>
              </w:rPr>
              <w:t>Cases run</w:t>
            </w:r>
          </w:p>
        </w:tc>
        <w:tc>
          <w:tcPr>
            <w:tcW w:type="dxa" w:w="6371"/>
          </w:tcPr>
          <w:p>
            <w:pPr>
              <w:spacing w:line="240" w:lineRule="auto" w:after="40"/>
              <w:jc w:val="left"/>
            </w:pPr>
            <w:r/>
            <w:r>
              <w:rPr>
                <w:rFonts w:ascii="Times New Roman" w:hAnsi="Times New Roman"/>
                <w:b w:val="0"/>
                <w:sz w:val="20"/>
              </w:rPr>
              <w:t>1</w:t>
            </w:r>
          </w:p>
        </w:tc>
      </w:tr>
      <w:tr>
        <w:tc>
          <w:tcPr>
            <w:tcW w:type="dxa" w:w="2655"/>
          </w:tcPr>
          <w:p>
            <w:pPr>
              <w:spacing w:line="240" w:lineRule="auto" w:after="40"/>
              <w:jc w:val="left"/>
            </w:pPr>
            <w:r/>
            <w:r>
              <w:rPr>
                <w:rFonts w:ascii="Times New Roman" w:hAnsi="Times New Roman"/>
                <w:b w:val="0"/>
                <w:sz w:val="20"/>
              </w:rPr>
              <w:t>Cases meeting expectation</w:t>
            </w:r>
          </w:p>
        </w:tc>
        <w:tc>
          <w:tcPr>
            <w:tcW w:type="dxa" w:w="6371"/>
          </w:tcPr>
          <w:p>
            <w:pPr>
              <w:spacing w:line="240" w:lineRule="auto" w:after="40"/>
              <w:jc w:val="left"/>
            </w:pPr>
            <w:r/>
            <w:r>
              <w:rPr>
                <w:rFonts w:ascii="Times New Roman" w:hAnsi="Times New Roman"/>
                <w:b w:val="0"/>
                <w:sz w:val="20"/>
              </w:rPr>
              <w:t>1 of 1</w:t>
            </w:r>
          </w:p>
        </w:tc>
      </w:tr>
      <w:tr>
        <w:tc>
          <w:tcPr>
            <w:tcW w:type="dxa" w:w="2655"/>
          </w:tcPr>
          <w:p>
            <w:pPr>
              <w:spacing w:line="240" w:lineRule="auto" w:after="40"/>
              <w:jc w:val="left"/>
            </w:pPr>
            <w:r/>
            <w:r>
              <w:rPr>
                <w:rFonts w:ascii="Times New Roman" w:hAnsi="Times New Roman"/>
                <w:b w:val="0"/>
                <w:sz w:val="20"/>
              </w:rPr>
              <w:t>Date</w:t>
            </w:r>
          </w:p>
        </w:tc>
        <w:tc>
          <w:tcPr>
            <w:tcW w:type="dxa" w:w="6371"/>
          </w:tcPr>
          <w:p>
            <w:pPr>
              <w:spacing w:line="240" w:lineRule="auto" w:after="40"/>
              <w:jc w:val="left"/>
            </w:pPr>
            <w:r/>
            <w:r>
              <w:rPr>
                <w:rFonts w:ascii="Times New Roman" w:hAnsi="Times New Roman"/>
                <w:b w:val="0"/>
                <w:sz w:val="20"/>
              </w:rPr>
              <w:t>16 September 2026</w:t>
            </w:r>
          </w:p>
        </w:tc>
      </w:tr>
    </w:tbl>
    <w:p>
      <w:pPr>
        <w:spacing w:after="0"/>
      </w:pPr>
    </w:p>
    <w:p>
      <w:pPr>
        <w:pStyle w:val="Heading1"/>
      </w:pPr>
      <w:r>
        <w:t>3. Results</w:t>
      </w:r>
    </w:p>
    <w:p>
      <w:r>
        <w:rPr>
          <w:i w:val="0"/>
        </w:rPr>
        <w:t>1 of 1 cases behaved as expected.</w:t>
      </w:r>
    </w:p>
    <w:p>
      <w:r>
        <w:rPr>
          <w:i w:val="0"/>
        </w:rPr>
        <w:t>Table 2 groups the cases by the area of behaviour they tested.</w:t>
      </w:r>
    </w:p>
    <w:p>
      <w:pPr>
        <w:pStyle w:val="Caption"/>
      </w:pPr>
      <w:r>
        <w:rPr>
          <w:b/>
        </w:rPr>
        <w:t xml:space="preserve">Table </w:t>
      </w:r>
      <w:r>
        <w:fldChar w:fldCharType="begin"/>
      </w:r>
      <w:r>
        <w:instrText xml:space="preserve"> SEQ Table \* ARABIC </w:instrText>
      </w:r>
      <w:r>
        <w:fldChar w:fldCharType="separate"/>
      </w:r>
      <w:r>
        <w:rPr>
          <w:b/>
        </w:rPr>
        <w:t>2</w:t>
      </w:r>
      <w:r>
        <w:fldChar w:fldCharType="end"/>
      </w:r>
      <w:r>
        <w:rPr>
          <w:b/>
        </w:rPr>
        <w:t xml:space="preserve">: </w:t>
      </w:r>
      <w:r>
        <w:t>Cases meeting expectation, by area</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6769"/>
          </w:tcPr>
          <w:p>
            <w:pPr>
              <w:spacing w:line="240" w:lineRule="auto" w:after="40"/>
              <w:jc w:val="left"/>
            </w:pPr>
            <w:r/>
            <w:r>
              <w:rPr>
                <w:rFonts w:ascii="Times New Roman" w:hAnsi="Times New Roman"/>
                <w:b/>
                <w:sz w:val="20"/>
              </w:rPr>
              <w:t>Area tested</w:t>
            </w:r>
          </w:p>
        </w:tc>
        <w:tc>
          <w:tcPr>
            <w:tcW w:type="dxa" w:w="2256"/>
          </w:tcPr>
          <w:p>
            <w:pPr>
              <w:spacing w:line="240" w:lineRule="auto" w:after="40"/>
              <w:jc w:val="left"/>
            </w:pPr>
            <w:r/>
            <w:r>
              <w:rPr>
                <w:rFonts w:ascii="Times New Roman" w:hAnsi="Times New Roman"/>
                <w:b/>
                <w:sz w:val="20"/>
              </w:rPr>
              <w:t>As expected</w:t>
            </w:r>
          </w:p>
        </w:tc>
      </w:tr>
      <w:tr>
        <w:tc>
          <w:tcPr>
            <w:tcW w:type="dxa" w:w="6769"/>
          </w:tcPr>
          <w:p>
            <w:pPr>
              <w:spacing w:line="240" w:lineRule="auto" w:after="40"/>
              <w:jc w:val="left"/>
            </w:pPr>
            <w:r/>
            <w:r>
              <w:rPr>
                <w:rFonts w:ascii="Times New Roman" w:hAnsi="Times New Roman"/>
                <w:b w:val="0"/>
                <w:sz w:val="20"/>
              </w:rPr>
              <w:t>Handling different file types</w:t>
            </w:r>
          </w:p>
        </w:tc>
        <w:tc>
          <w:tcPr>
            <w:tcW w:type="dxa" w:w="2256"/>
          </w:tcPr>
          <w:p>
            <w:pPr>
              <w:spacing w:line="240" w:lineRule="auto" w:after="40"/>
              <w:jc w:val="left"/>
            </w:pPr>
            <w:r/>
            <w:r>
              <w:rPr>
                <w:rFonts w:ascii="Times New Roman" w:hAnsi="Times New Roman"/>
                <w:b/>
                <w:color w:val="1E6B2B"/>
                <w:sz w:val="20"/>
              </w:rPr>
              <w:t>1 of 1</w:t>
            </w:r>
          </w:p>
        </w:tc>
      </w:tr>
    </w:tbl>
    <w:p>
      <w:pPr>
        <w:spacing w:after="0"/>
      </w:pPr>
    </w:p>
    <w:p>
      <w:r>
        <w:rPr>
          <w:i w:val="0"/>
        </w:rPr>
        <w:t>Table 3 summarises every case. Section 4 gives the full expected and actual behaviour for each one.</w:t>
      </w:r>
    </w:p>
    <w:p>
      <w:pPr>
        <w:pStyle w:val="Caption"/>
      </w:pPr>
      <w:r>
        <w:rPr>
          <w:b/>
        </w:rPr>
        <w:t xml:space="preserve">Table </w:t>
      </w:r>
      <w:r>
        <w:fldChar w:fldCharType="begin"/>
      </w:r>
      <w:r>
        <w:instrText xml:space="preserve"> SEQ Table \* ARABIC </w:instrText>
      </w:r>
      <w:r>
        <w:fldChar w:fldCharType="separate"/>
      </w:r>
      <w:r>
        <w:rPr>
          <w:b/>
        </w:rPr>
        <w:t>3</w:t>
      </w:r>
      <w:r>
        <w:fldChar w:fldCharType="end"/>
      </w:r>
      <w:r>
        <w:rPr>
          <w:b/>
        </w:rPr>
        <w:t xml:space="preserve">: </w:t>
      </w:r>
      <w:r>
        <w:t>Result of every case</w:t>
      </w:r>
    </w:p>
    <w:tbl>
      <w:tblPr>
        <w:tblStyle w:val="TableGrid"/>
        <w:tblW w:type="auto" w:w="0"/>
        <w:jc w:val="center"/>
        <w:tblLook w:firstColumn="1" w:firstRow="1" w:lastColumn="0" w:lastRow="0" w:noHBand="0" w:noVBand="1" w:val="04A0"/>
      </w:tblPr>
      <w:tblGrid>
        <w:gridCol w:w="2256"/>
        <w:gridCol w:w="2256"/>
        <w:gridCol w:w="2256"/>
        <w:gridCol w:w="2256"/>
      </w:tblGrid>
      <w:tr>
        <w:trPr>
          <w:tblHeader w:val="true"/>
        </w:trPr>
        <w:tc>
          <w:tcPr>
            <w:tcW w:type="dxa" w:w="1111"/>
          </w:tcPr>
          <w:p>
            <w:pPr>
              <w:spacing w:line="240" w:lineRule="auto" w:after="40"/>
              <w:jc w:val="left"/>
            </w:pPr>
            <w:r/>
            <w:r>
              <w:rPr>
                <w:rFonts w:ascii="Times New Roman" w:hAnsi="Times New Roman"/>
                <w:b/>
                <w:sz w:val="20"/>
              </w:rPr>
              <w:t>Case</w:t>
            </w:r>
          </w:p>
        </w:tc>
        <w:tc>
          <w:tcPr>
            <w:tcW w:type="dxa" w:w="2222"/>
          </w:tcPr>
          <w:p>
            <w:pPr>
              <w:spacing w:line="240" w:lineRule="auto" w:after="40"/>
              <w:jc w:val="left"/>
            </w:pPr>
            <w:r/>
            <w:r>
              <w:rPr>
                <w:rFonts w:ascii="Times New Roman" w:hAnsi="Times New Roman"/>
                <w:b/>
                <w:sz w:val="20"/>
              </w:rPr>
              <w:t>Area tested</w:t>
            </w:r>
          </w:p>
        </w:tc>
        <w:tc>
          <w:tcPr>
            <w:tcW w:type="dxa" w:w="4721"/>
          </w:tcPr>
          <w:p>
            <w:pPr>
              <w:spacing w:line="240" w:lineRule="auto" w:after="40"/>
              <w:jc w:val="left"/>
            </w:pPr>
            <w:r/>
            <w:r>
              <w:rPr>
                <w:rFonts w:ascii="Times New Roman" w:hAnsi="Times New Roman"/>
                <w:b/>
                <w:sz w:val="20"/>
              </w:rPr>
              <w:t>Scenario</w:t>
            </w:r>
          </w:p>
        </w:tc>
        <w:tc>
          <w:tcPr>
            <w:tcW w:type="dxa" w:w="972"/>
          </w:tcPr>
          <w:p>
            <w:pPr>
              <w:spacing w:line="240" w:lineRule="auto" w:after="40"/>
              <w:jc w:val="left"/>
            </w:pPr>
            <w:r/>
            <w:r>
              <w:rPr>
                <w:rFonts w:ascii="Times New Roman" w:hAnsi="Times New Roman"/>
                <w:b/>
                <w:sz w:val="20"/>
              </w:rPr>
              <w:t>Result</w:t>
            </w:r>
          </w:p>
        </w:tc>
      </w:tr>
      <w:tr>
        <w:tc>
          <w:tcPr>
            <w:tcW w:type="dxa" w:w="1111"/>
          </w:tcPr>
          <w:p>
            <w:pPr>
              <w:spacing w:line="240" w:lineRule="auto" w:after="40"/>
              <w:jc w:val="left"/>
            </w:pPr>
            <w:r/>
            <w:r>
              <w:rPr>
                <w:rFonts w:ascii="Times New Roman" w:hAnsi="Times New Roman"/>
                <w:b/>
                <w:sz w:val="20"/>
              </w:rPr>
              <w:t>EV-15</w:t>
            </w:r>
          </w:p>
        </w:tc>
        <w:tc>
          <w:tcPr>
            <w:tcW w:type="dxa" w:w="2222"/>
          </w:tcPr>
          <w:p>
            <w:pPr>
              <w:spacing w:line="240" w:lineRule="auto" w:after="40"/>
              <w:jc w:val="left"/>
            </w:pPr>
            <w:r/>
            <w:r>
              <w:rPr>
                <w:rFonts w:ascii="Times New Roman" w:hAnsi="Times New Roman"/>
                <w:b w:val="0"/>
                <w:sz w:val="20"/>
              </w:rPr>
              <w:t>Handling different file types</w:t>
            </w:r>
          </w:p>
        </w:tc>
        <w:tc>
          <w:tcPr>
            <w:tcW w:type="dxa" w:w="4721"/>
          </w:tcPr>
          <w:p>
            <w:pPr>
              <w:spacing w:line="240" w:lineRule="auto" w:after="40"/>
              <w:jc w:val="left"/>
            </w:pPr>
            <w:r/>
            <w:r>
              <w:rPr>
                <w:rFonts w:ascii="Times New Roman" w:hAnsi="Times New Roman"/>
                <w:b w:val="0"/>
                <w:sz w:val="20"/>
              </w:rPr>
              <w:t>Same submission content supplied as a Word .docx file instead of a PDF. Word documents carry no reliable page boundaries without rendering, so the agent must report page 1 rather than invent a page number a reviewer could not verify.</w:t>
            </w:r>
          </w:p>
        </w:tc>
        <w:tc>
          <w:tcPr>
            <w:tcW w:type="dxa" w:w="972"/>
          </w:tcPr>
          <w:p>
            <w:pPr>
              <w:spacing w:line="240" w:lineRule="auto" w:after="40"/>
              <w:jc w:val="left"/>
            </w:pPr>
            <w:r/>
            <w:r>
              <w:rPr>
                <w:rFonts w:ascii="Times New Roman" w:hAnsi="Times New Roman"/>
                <w:b/>
                <w:color w:val="1E6B2B"/>
                <w:sz w:val="20"/>
              </w:rPr>
              <w:t>Pass</w:t>
            </w:r>
          </w:p>
        </w:tc>
      </w:tr>
    </w:tbl>
    <w:p>
      <w:pPr>
        <w:spacing w:after="0"/>
      </w:pPr>
    </w:p>
    <w:p>
      <w:pPr>
        <w:pStyle w:val="Heading1"/>
      </w:pPr>
      <w:r>
        <w:t>4. Case-by-case results</w:t>
      </w:r>
    </w:p>
    <w:p>
      <w:r>
        <w:rPr>
          <w:i w:val="0"/>
        </w:rPr>
        <w:t>Each case below sets the expected behaviour beside what the system actually did. The observation states what the difference, if any, means.</w:t>
      </w:r>
    </w:p>
    <w:p>
      <w:pPr>
        <w:pStyle w:val="Heading2"/>
      </w:pPr>
      <w:r>
        <w:t>4.1 EV-15: Handling different file types</w:t>
      </w:r>
    </w:p>
    <w:p>
      <w:r>
        <w:rPr>
          <w:b/>
        </w:rPr>
        <w:t xml:space="preserve">Acceptance criteria. </w:t>
      </w:r>
      <w:r>
        <w:rPr>
          <w:i w:val="0"/>
        </w:rPr>
        <w:t>AC2, AC3</w:t>
      </w:r>
    </w:p>
    <w:p>
      <w:r>
        <w:rPr>
          <w:b/>
        </w:rPr>
        <w:t xml:space="preserve">Scenario. </w:t>
      </w:r>
      <w:r>
        <w:rPr>
          <w:i w:val="0"/>
        </w:rPr>
        <w:t>Same submission content supplied as a Word .docx file instead of a PDF. Word documents carry no reliable page boundaries without rendering, so the agent must report page 1 rather than invent a page number a reviewer could not verify.</w:t>
      </w:r>
    </w:p>
    <w:p>
      <w:r>
        <w:rPr>
          <w:b/>
        </w:rPr>
        <w:t xml:space="preserve">Document tested. </w:t>
      </w:r>
      <w:r>
        <w:rPr>
          <w:i w:val="0"/>
        </w:rPr>
        <w:t>synthetic-submission-docx</w:t>
      </w:r>
    </w:p>
    <w:p>
      <w:r>
        <w:rPr>
          <w:b/>
        </w:rPr>
        <w:t xml:space="preserve">Expected behaviour. </w:t>
      </w:r>
      <w:r>
        <w:rPr>
          <w:i w:val="0"/>
        </w:rPr>
        <w:t>Found, with page_number 1 and a verbatim snippet</w:t>
      </w:r>
    </w:p>
    <w:p>
      <w:r>
        <w:rPr>
          <w:b/>
        </w:rPr>
        <w:t xml:space="preserve">Actual behaviour. </w:t>
      </w:r>
      <w:r>
        <w:rPr>
          <w:i w:val="0"/>
        </w:rPr>
        <w:t>synthetic-submission.docx: Found, confidence 0.95. The model was given the single page of the submission and located the document in the submission. The file format has no page boundaries, so no page was given. The quotation was confirmed to appear in the submission. The evidence check then compared the quotation with the requirement. It described the quoted passage as "Tax Clearance Certificate" and the requirement as "Tax Clearance Certificate". It judged them to be the same document. Final confidence was 0.95, at or above the 0.85 review threshold. Evidence: No page number, as the file format has no pages: "The bidder encloses a Tax Clearance Certificate issued by the national revenue authority, reference TCC/2026/00417, valid from 01 January 2026 to 31 December 2026. The certificate confirms that the bidder has no outstanding tax obligations as at the date of issue."</w:t>
      </w:r>
    </w:p>
    <w:p>
      <w:r>
        <w:rPr>
          <w:b/>
        </w:rPr>
        <w:t xml:space="preserve">Result. </w:t>
      </w:r>
      <w:r>
        <w:rPr>
          <w:i w:val="0"/>
        </w:rPr>
        <w:t>Pass</w:t>
      </w:r>
    </w:p>
    <w:p>
      <w:r>
        <w:rPr>
          <w:b/>
        </w:rPr>
        <w:t xml:space="preserve">Observation. </w:t>
      </w:r>
      <w:r>
        <w:rPr>
          <w:i w:val="0"/>
        </w:rPr>
        <w:t>Expected Found. The system returned Found. The outcome matched the expectation.</w:t>
      </w:r>
    </w:p>
    <w:p>
      <w:pPr>
        <w:pStyle w:val="Heading1"/>
      </w:pPr>
      <w:r>
        <w:t>5. Limitations</w:t>
      </w:r>
    </w:p>
    <w:p>
      <w:r>
        <w:rPr>
          <w:i w:val="0"/>
        </w:rPr>
        <w:t>The results above are subject to the following limitations.</w:t>
      </w:r>
    </w:p>
    <w:p>
      <w:pPr>
        <w:pStyle w:val="ListBullet"/>
      </w:pPr>
      <w:r>
        <w:t>The machine used for testing has no graphics card, so the model runs on the processor alone. Each check takes roughly three to five minutes. Faster hardware would not change the verdicts, only the time taken.</w:t>
      </w:r>
    </w:p>
    <w:p>
      <w:pPr>
        <w:pStyle w:val="ListBullet"/>
      </w:pPr>
      <w:r>
        <w:t>All submissions used are synthetic and short. A real tender pack is longer, more often scanned, and less tidily written.</w:t>
      </w:r>
    </w:p>
    <w:p>
      <w:pPr>
        <w:pStyle w:val="ListBullet"/>
      </w:pPr>
      <w:r>
        <w:t>Only one checklist of ten items was used. A different checklist, or one written in different language, may produce different results.</w:t>
      </w:r>
    </w:p>
    <w:p>
      <w:pPr>
        <w:pStyle w:val="ListBullet"/>
      </w:pPr>
      <w:r>
        <w:t>The optical character recognition step promised in the architecture document has not been built, so scanned documents cannot be checked at all yet. The system refuses them clearly rather than pretending to read them.</w:t>
      </w:r>
    </w:p>
    <w:p>
      <w:pPr>
        <w:pStyle w:val="ListBullet"/>
      </w:pPr>
      <w:r>
        <w:t>These results describe one specific model at one specific setting. They are a starting point to improve on, not a final measure of what is achievable.</w:t>
      </w:r>
    </w:p>
    <w:sectPr w:rsidR="00FC693F" w:rsidRPr="0006063C" w:rsidSect="00034616">
      <w:footerReference w:type="default" r:id="rId9"/>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sz w:val="24"/>
      </w:rPr>
      <w:t>2</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20" w:line="360" w:lineRule="auto"/>
      <w:jc w:val="left"/>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line="360" w:lineRule="auto"/>
      <w:jc w:val="left"/>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jc w:val="both"/>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80"/>
      <w:jc w:val="left"/>
    </w:pPr>
    <w:rPr>
      <w:rFonts w:ascii="Times New Roman" w:hAnsi="Times New Roman" w:eastAsia="Times New Roman" w:cs="Times New Roman"/>
      <w:b w:val="0"/>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