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Evaluation of long-submission</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15 September 2026</w:t>
      </w:r>
    </w:p>
    <w:p/>
    <w:p>
      <w:r>
        <w:rPr>
          <w:b/>
          <w:sz w:val="26"/>
        </w:rPr>
        <w:t>1 of 1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1</w:t>
            </w:r>
          </w:p>
        </w:tc>
      </w:tr>
      <w:tr>
        <w:tc>
          <w:tcPr>
            <w:tcW w:type="dxa" w:w="4680"/>
          </w:tcPr>
          <w:p>
            <w:pPr>
              <w:spacing w:after="40"/>
            </w:pPr>
            <w:r>
              <w:rPr>
                <w:sz w:val="18"/>
              </w:rPr>
              <w:t>Cases meeting expectation</w:t>
            </w:r>
          </w:p>
        </w:tc>
        <w:tc>
          <w:tcPr>
            <w:tcW w:type="dxa" w:w="4680"/>
          </w:tcPr>
          <w:p>
            <w:pPr>
              <w:spacing w:after="40"/>
            </w:pPr>
            <w:r>
              <w:rPr>
                <w:sz w:val="18"/>
              </w:rPr>
              <w:t>1 of 1</w:t>
            </w:r>
          </w:p>
        </w:tc>
      </w:tr>
      <w:tr>
        <w:tc>
          <w:tcPr>
            <w:tcW w:type="dxa" w:w="4680"/>
          </w:tcPr>
          <w:p>
            <w:pPr>
              <w:spacing w:after="40"/>
            </w:pPr>
            <w:r>
              <w:rPr>
                <w:sz w:val="18"/>
              </w:rPr>
              <w:t>Documents tested</w:t>
            </w:r>
          </w:p>
        </w:tc>
        <w:tc>
          <w:tcPr>
            <w:tcW w:type="dxa" w:w="4680"/>
          </w:tcPr>
          <w:p>
            <w:pPr>
              <w:spacing w:after="40"/>
            </w:pPr>
            <w:r>
              <w:rPr>
                <w:sz w:val="18"/>
              </w:rPr>
              <w:t>A seven-page synthetic tender submission, the same content again as a Word file and as plain text, a scanned image-only version of it, a realistic tender package containing none of the required documents, and a sixty-page document used to test the size limit.</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Handling different file types</w:t>
            </w:r>
          </w:p>
        </w:tc>
        <w:tc>
          <w:tcPr>
            <w:tcW w:type="dxa" w:w="4680"/>
          </w:tcPr>
          <w:p>
            <w:pPr>
              <w:spacing w:after="40"/>
            </w:pPr>
            <w:r>
              <w:rPr>
                <w:b/>
                <w:color w:val="1E6B2B"/>
                <w:sz w:val="18"/>
              </w:rPr>
              <w:t>1 of 1</w:t>
            </w:r>
          </w:p>
        </w:tc>
      </w:tr>
    </w:tbl>
    <w:p>
      <w:r>
        <w:rPr>
          <w:i/>
          <w:sz w:val="18"/>
        </w:rPr>
        <w:t>Table 2: Cases meeting expectation, grouped by area.</w:t>
      </w:r>
    </w:p>
    <w:p>
      <w:pPr>
        <w:pStyle w:val="Heading1"/>
      </w:pPr>
      <w:r>
        <w:t>3.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EV-19</w:t>
            </w:r>
          </w:p>
        </w:tc>
        <w:tc>
          <w:tcPr>
            <w:tcW w:type="dxa" w:w="1560"/>
          </w:tcPr>
          <w:p>
            <w:pPr>
              <w:spacing w:after="40"/>
            </w:pPr>
            <w:r>
              <w:rPr>
                <w:sz w:val="18"/>
              </w:rPr>
              <w:t>Prompt Spec v1.0 Sec. 7</w:t>
            </w:r>
          </w:p>
        </w:tc>
        <w:tc>
          <w:tcPr>
            <w:tcW w:type="dxa" w:w="1560"/>
          </w:tcPr>
          <w:p>
            <w:pPr>
              <w:spacing w:after="40"/>
            </w:pPr>
            <w:r>
              <w:rPr>
                <w:sz w:val="18"/>
              </w:rPr>
              <w:t>A 60-page submission, larger than the configured 16,384-token context window. Silent truncation here would report present documents as missing, so the request must be refused instead.</w:t>
            </w:r>
          </w:p>
        </w:tc>
        <w:tc>
          <w:tcPr>
            <w:tcW w:type="dxa" w:w="1560"/>
          </w:tcPr>
          <w:p>
            <w:pPr>
              <w:spacing w:after="40"/>
            </w:pPr>
            <w:r>
              <w:rPr>
                <w:sz w:val="18"/>
              </w:rPr>
              <w:t>Refused before any model call, with an error naming the token budget and the configured window</w:t>
            </w:r>
          </w:p>
        </w:tc>
        <w:tc>
          <w:tcPr>
            <w:tcW w:type="dxa" w:w="1560"/>
          </w:tcPr>
          <w:p>
            <w:pPr>
              <w:spacing w:after="40"/>
            </w:pPr>
            <w:r>
              <w:rPr>
                <w:sz w:val="18"/>
              </w:rPr>
              <w:t>Refused a 60-page submission before any model call: Checklist plus submission is roughly 21,267 tokens, above the 12,336 token budget of the configured context window (16,384 tokens). Raise PROCURECHECK_CONTEXT_TOKENS if the machine has the memory, or route to the Google Gemini 1.5 Flash fallback described in Prompt Specification v1.0 Sec. 7, which is not yet configured.</w:t>
            </w:r>
          </w:p>
        </w:tc>
        <w:tc>
          <w:tcPr>
            <w:tcW w:type="dxa" w:w="1560"/>
          </w:tcPr>
          <w:p>
            <w:pPr>
              <w:spacing w:after="40"/>
            </w:pPr>
            <w:r>
              <w:rPr>
                <w:b/>
                <w:color w:val="1E6B2B"/>
                <w:sz w:val="18"/>
              </w:rPr>
              <w:t>Pass</w:t>
            </w:r>
          </w:p>
        </w:tc>
      </w:tr>
    </w:tbl>
    <w:p>
      <w:r>
        <w:rPr>
          <w:i/>
          <w:sz w:val="18"/>
        </w:rPr>
        <w:t>Table 3: Expected against actual behaviour, case by case.</w:t>
      </w:r>
    </w:p>
    <w:p>
      <w:pPr>
        <w:pStyle w:val="Heading1"/>
      </w:pPr>
      <w:r>
        <w:t>4.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