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83153"/>
          <w:sz w:val="68"/>
        </w:rPr>
        <w:t>BRIDGING THE GAP LMS</w:t>
      </w:r>
    </w:p>
    <w:p>
      <w:pPr>
        <w:jc w:val="center"/>
      </w:pPr>
      <w:r>
        <w:rPr>
          <w:color w:val="264B73"/>
          <w:sz w:val="42"/>
        </w:rPr>
        <w:t>Architecture Decision Baseline</w:t>
      </w:r>
    </w:p>
    <w:p>
      <w:pPr>
        <w:spacing w:before="360"/>
        <w:jc w:val="center"/>
      </w:pPr>
      <w:r>
        <w:rPr>
          <w:sz w:val="22"/>
        </w:rPr>
        <w:t>A self-contained summary of the decisions established during the LMS redesign discussions</w:t>
      </w:r>
    </w:p>
    <w:p>
      <w:pPr>
        <w:spacing w:before="3000"/>
        <w:jc w:val="center"/>
      </w:pPr>
      <w:r>
        <w:t>Status: Working architecture baseline</w:t>
        <w:br/>
        <w:t>Date: 11 September 2026</w:t>
        <w:br/>
        <w:t>Revision: updated through security threat-model decisions</w:t>
      </w:r>
    </w:p>
    <w:p>
      <w:r>
        <w:br w:type="page"/>
      </w:r>
    </w:p>
    <w:p>
      <w:pPr>
        <w:pStyle w:val="Heading1"/>
      </w:pPr>
      <w:r>
        <w:t>1. Purpose and status of this document</w:t>
      </w:r>
    </w:p>
    <w:p>
      <w:r>
        <w:t>This document captures the current high-level architecture and product decisions for the Bridging the Gap LMS. It is intended to be sufficient to reconstruct the design direction if the original conversation is unavailable. It deliberately avoids low-level implementation details that have not yet been agreed.</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How to read the document</w:t>
            </w:r>
            <w:r>
              <w:br/>
              <w:t>DECIDED items are decisions already agreed. RECOMMENDED items are the current preferred direction but may still be refined. OPEN items identify areas intentionally left for future design.</w:t>
            </w:r>
          </w:p>
        </w:tc>
      </w:tr>
    </w:tbl>
    <w:p>
      <w:pPr>
        <w:spacing w:after="20"/>
      </w:pPr>
    </w:p>
    <w:p>
      <w:pPr>
        <w:pStyle w:val="Heading2"/>
      </w:pPr>
      <w:r>
        <w:t>Project intent</w:t>
      </w:r>
    </w:p>
    <w:p>
      <w:r>
        <w:t>The LMS is part of the BridgingTheGap.eu.com initiative: a vendor-neutral knowledge-sharing initiative focused on Enterprise Application Integration (EAI) and integration architecture. The LMS complements the existing article-based website by providing structured, self-paced learning paths and deeper course material.</w:t>
      </w:r>
    </w:p>
    <w:p>
      <w:pPr>
        <w:pStyle w:val="ListBullet"/>
      </w:pPr>
      <w:r>
        <w:t>Accessibility is a foundational requirement, with particular attention to neurodivergent learners, especially ASD and ADHD.</w:t>
      </w:r>
    </w:p>
    <w:p>
      <w:pPr>
        <w:pStyle w:val="ListBullet"/>
      </w:pPr>
      <w:r>
        <w:t>The initial learning model is self-paced. Instructor-led or cohort-based learning should remain possible later, but it must not drive v1 architecture.</w:t>
      </w:r>
    </w:p>
    <w:p>
      <w:pPr>
        <w:pStyle w:val="ListBullet"/>
      </w:pPr>
      <w:r>
        <w:t>The LMS is open source and self-hostable. AGPLv3 is the current preferred licence for the platform software, subject to final legal review.</w:t>
      </w:r>
    </w:p>
    <w:p>
      <w:pPr>
        <w:pStyle w:val="ListBullet"/>
      </w:pPr>
      <w:r>
        <w:t>Community extensibility is important, but deliberately constrained to prevent a fragmented or insecure plugin ecosystem.</w:t>
      </w:r>
    </w:p>
    <w:p>
      <w:pPr>
        <w:pStyle w:val="ListBullet"/>
      </w:pPr>
      <w:r>
        <w:t>The official BTG instance is one deployment of the same software that other organizations or individuals can install and customize.</w:t>
      </w:r>
    </w:p>
    <w:p>
      <w:pPr>
        <w:pStyle w:val="Heading1"/>
      </w:pPr>
      <w:r>
        <w:t>2. Architectural principles</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Modular monolith first</w:t>
            </w:r>
            <w:r>
              <w:br/>
              <w:t>The platform starts as a modular monolith. Microservices are not a design goal. Internal boundaries, APIs and domain events should make future extraction possible if genuinely needed.</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Accessibility is a platform concern</w:t>
            </w:r>
            <w:r>
              <w:br/>
              <w:t>Accessibility is not a theme or optional add-on. The structure, navigation, authoring checks, learning experience and extension model must preserve accessibility.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Conventional LMS, better defaults</w:t>
            </w:r>
            <w:r>
              <w:br/>
              <w:t>The project is not attempting to invent a completely new neurodivergent learning methodology. It is a conventional LMS with unusually strong cognitive-accessibility defaults and adaptations.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Infrastructure capabilities are replaceable</w:t>
            </w:r>
            <w:r>
              <w:br/>
              <w:t>The LMS depends on abstractions such as StorageProvider, MailProvider and SecretProvider rather than hard-coding cloud products or local filesystems.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Narrow extension surface</w:t>
            </w:r>
            <w:r>
              <w:br/>
              <w:t>Community plugins may extend course widgets and dashboard widgets only. Changes to core LMS behavior belong in the core project.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Immutable published artifacts</w:t>
            </w:r>
            <w:r>
              <w:br/>
              <w:t>A draft is a mutable workspace. A published CourseVersion is an immutable artifact.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AI proposes; humans decide</w:t>
            </w:r>
            <w:r>
              <w:br/>
              <w:t>AI can assist authors, reviewers and maintainers, but generated changes are never committed or published without explicit human approval.</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Portable content</w:t>
            </w:r>
            <w:r>
              <w:br/>
              <w:t>Published courses are exportable/importable and Git-friendly when their licensing and dependencies permit it.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Privacy by design</w:t>
            </w:r>
            <w:r>
              <w:br/>
              <w:t>Pseudonymous learning is supported. The LMS intentionally avoids government-ID verification and unnecessary personal data collection.</w:t>
            </w:r>
          </w:p>
        </w:tc>
      </w:tr>
    </w:tbl>
    <w:p>
      <w:pPr>
        <w:spacing w:after="20"/>
      </w:pPr>
    </w:p>
    <w:p>
      <w:pPr>
        <w:pStyle w:val="Heading1"/>
      </w:pPr>
      <w:r>
        <w:t>3. High-level platform architecture</w:t>
      </w:r>
    </w:p>
    <w:p>
      <w:pPr>
        <w:pStyle w:val="CodeBlock"/>
        <w:keepLines/>
      </w:pPr>
      <w:r>
        <w:t>Internet</w:t>
        <w:br/>
        <w:t xml:space="preserve">   |</w:t>
        <w:br/>
        <w:t>Infrastructure edge (deployment-specific)</w:t>
        <w:br/>
        <w:t>CDN / WAF / reverse proxy / TLS / rate limiting</w:t>
        <w:br/>
        <w:t xml:space="preserve">   |</w:t>
        <w:br/>
        <w:t>Web application / LMS modular monolith</w:t>
        <w:br/>
        <w:t xml:space="preserve">   |-- Identity &amp; OIDC</w:t>
        <w:br/>
        <w:t xml:space="preserve">   |-- Authorization &amp; policy</w:t>
        <w:br/>
        <w:t xml:space="preserve">   |-- Courses / versions / learning paths</w:t>
        <w:br/>
        <w:t xml:space="preserve">   |-- Authoring / review / publishing</w:t>
        <w:br/>
        <w:t xml:space="preserve">   |-- Assessments / progress</w:t>
        <w:br/>
        <w:t xml:space="preserve">   |-- Certificates / badges</w:t>
        <w:br/>
        <w:t xml:space="preserve">   |-- Accessibility preferences &amp; checks</w:t>
        <w:br/>
        <w:t xml:space="preserve">   |-- Community &amp; moderation (course-configurable)</w:t>
        <w:br/>
        <w:t xml:space="preserve">   |-- Widget runtime &amp; registry integration</w:t>
        <w:br/>
        <w:t xml:space="preserve">   |-- Import / export</w:t>
        <w:br/>
        <w:t xml:space="preserve">   |</w:t>
        <w:br/>
        <w:t>Replaceable infrastructure capabilities</w:t>
        <w:br/>
        <w:t xml:space="preserve">   |-- StorageProvider</w:t>
        <w:br/>
        <w:t xml:space="preserve">   |-- MailProvider</w:t>
        <w:br/>
        <w:t xml:space="preserve">   |-- SecretProvider</w:t>
        <w:br/>
        <w:t xml:space="preserve">   |-- AIProvider</w:t>
        <w:br/>
        <w:t xml:space="preserve">   |</w:t>
        <w:br/>
        <w:t>Internal platform capabilities</w:t>
        <w:br/>
        <w:t xml:space="preserve">   |-- PostgreSQL full-text search</w:t>
        <w:br/>
        <w:t xml:space="preserve">   |-- PostgreSQL-backed jobs</w:t>
        <w:br/>
        <w:t xml:space="preserve">   |-- internal caching</w:t>
        <w:br/>
        <w:t xml:space="preserve">   |-- core certificate rendering</w:t>
        <w:br/>
        <w:t xml:space="preserve">   |</w:t>
        <w:br/>
        <w:t>Default persistence recommendation: PostgreSQL + JSONB</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Database direction</w:t>
            </w:r>
            <w:r>
              <w:br/>
              <w:t>Use PostgreSQL for the relational platform model and JSONB for extensible/document-like content. Do not introduce a separate document database without demonstrated access-pattern or scaling needs.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External message broker</w:t>
            </w:r>
            <w:r>
              <w:br/>
              <w:t>No Kafka/RabbitMQ/Solace is required for the modular monolith. Internal domain events may use an in-process dispatcher; reliability-sensitive cases can use a PostgreSQL outbox.</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Cloud usage</w:t>
            </w:r>
            <w:r>
              <w:br/>
              <w:t>Cloud-managed capabilities should be usable wherever appropriate, but through replaceable abstractions. The same core must also support simple self-hosted deployments.</w:t>
            </w:r>
          </w:p>
        </w:tc>
      </w:tr>
    </w:tbl>
    <w:p>
      <w:pPr>
        <w:spacing w:after="20"/>
      </w:pPr>
    </w:p>
    <w:p>
      <w:pPr>
        <w:pStyle w:val="Heading1"/>
      </w:pPr>
      <w:r>
        <w:t>4. Canonical learning-content model</w:t>
      </w:r>
    </w:p>
    <w:p>
      <w:r>
        <w:t>The coarse-grained hierarchy is relational; fine-grained lesson content is document-like. A lesson is the primary persistence and editing boundary.</w:t>
      </w:r>
    </w:p>
    <w:p>
      <w:pPr>
        <w:pStyle w:val="CodeBlock"/>
        <w:keepLines/>
      </w:pPr>
      <w:r>
        <w:t>Course</w:t>
        <w:br/>
        <w:t xml:space="preserve">  -&gt; CourseVersion</w:t>
        <w:br/>
        <w:t xml:space="preserve">       -&gt; Module</w:t>
        <w:br/>
        <w:t xml:space="preserve">            -&gt; Lesson</w:t>
        <w:br/>
        <w:t xml:space="preserve">                 -&gt; blocks (JSON document)</w:t>
        <w:br/>
        <w:t xml:space="preserve">       -&gt; Assessment</w:t>
        <w:br/>
        <w:t xml:space="preserve">       -&gt; Asset</w:t>
        <w:br/>
        <w:t xml:space="preserve">       -&gt; Translation metadata</w:t>
        <w:br/>
        <w:t xml:space="preserve">       -&gt; PluginDependency</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Course</w:t>
            </w:r>
            <w:r>
              <w:br/>
              <w:t>Long-lived identity/container. It has many published versions and at most one active working draft. Learner-facing titles and content belong to versions.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CourseVersion</w:t>
            </w:r>
            <w:r>
              <w:br/>
              <w:t>Published, immutable snapshot of course content and metadata. Version history is never rewritten in place.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Module</w:t>
            </w:r>
            <w:r>
              <w:br/>
              <w:t>Simple organizational container. A module contains multiple lessons but is intentionally not a mini-LMS with complex behavior.</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Lesson</w:t>
            </w:r>
            <w:r>
              <w:br/>
              <w:t>Main learning unit. It has title, description, learning objectives, estimated duration and recommended prerequisites. No lesson difficulty level.</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Prerequisites</w:t>
            </w:r>
            <w:r>
              <w:br/>
              <w:t>Prerequisites are advisory/recommended only. They must not block an adult learner from starting a course.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Blocks</w:t>
            </w:r>
            <w:r>
              <w:br/>
              <w:t>A lesson contains multiple ordered blocks. Blocks are stored inside the lesson JSON document rather than as one relational row per block. Stable block IDs are mandatory for comments, translation tracking, migration and deep linking.</w:t>
            </w:r>
          </w:p>
        </w:tc>
      </w:tr>
    </w:tbl>
    <w:tbl>
      <w:tblPr>
        <w:tblW w:type="auto" w:w="0"/>
        <w:tblLook w:firstColumn="1" w:firstRow="1" w:lastColumn="0" w:lastRow="0" w:noHBand="0" w:noVBand="1" w:val="04A0"/>
      </w:tblPr>
      <w:tblGrid>
        <w:gridCol w:w="1051560"/>
        <w:gridCol w:w="5440680"/>
      </w:tblGrid>
      <w:tr>
        <w:tc>
          <w:tcPr>
            <w:tcW w:type="dxa" w:w="4997"/>
          </w:tcPr>
          <w:p>
            <w:r/>
            <w:r>
              <w:t>DECIDED</w:t>
            </w:r>
          </w:p>
        </w:tc>
        <w:tc>
          <w:tcPr>
            <w:tcW w:type="dxa" w:w="4997"/>
          </w:tcPr>
          <w:p>
            <w:r/>
            <w:r>
              <w:rPr>
                <w:b/>
              </w:rPr>
              <w:t>Block-based learner presentation</w:t>
              <w:br/>
              <w:t>A lesson remains an ordered sequence of discrete content blocks (text, image, video, code, callout, assessment, etc.). Learners may choose Focus presentation, which shows one block at a time to reduce visual/cognitive load, or Continuous presentation, which renders the lesson as a normal scrolling sequence. This is a presentation choice, not a different content model.</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Block-level resume position</w:t>
              <w:br/>
              <w:t>LessonProgress records the last relevant block stable key so a learner can resume at the same point. Focus mode may display an unobtrusive position such as “3 of 9”; progress must remain informative rather than gamified or pressuring.</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Relational/document boundary</w:t>
            </w:r>
            <w:r>
              <w:br/>
              <w:t>Course, CourseVersion, Module, Lesson, Assessment, Asset and translation/dependency metadata are relational. Lesson blocks, widget configuration and flexible assessment configuration are JSON/document structures.</w:t>
            </w:r>
          </w:p>
        </w:tc>
      </w:tr>
    </w:tbl>
    <w:p>
      <w:pPr>
        <w:spacing w:after="20"/>
      </w:pPr>
    </w:p>
    <w:p>
      <w:pPr>
        <w:pStyle w:val="Heading1"/>
      </w:pPr>
      <w:r>
        <w:t>5. Assessments and completion</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Knowledge checks vs formal assessments</w:t>
            </w:r>
            <w:r>
              <w:br/>
              <w:t>Informal lesson-level knowledge checks are blocks. Formal assessments are separate tracked objects with deterministic scoring and completion consequences.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Automatic evaluation</w:t>
            </w:r>
            <w:r>
              <w:br/>
              <w:t>Learner assessment is deterministic and limited to structured/closed question types. AI is not used to grade learners. AI may help authors create and review questions, but every proposal requires human approval.</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Backend evaluators</w:t>
            </w:r>
            <w:r>
              <w:br/>
              <w:t>The LMS core evaluates only supported structured question types. Community widgets cannot inject evaluator code and there is no arbitrary code, lab or essay-grading execution path.</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Completion semantics</w:t>
            </w:r>
            <w:r>
              <w:br/>
              <w:t>Do not infer learning from time-on-page. Completion should rely on explicit lesson completion and/or configured formal assessment conditions.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Supported assessment types</w:t>
            </w:r>
            <w:r>
              <w:br/>
              <w:t>Initial formal and informal question types are single choice, multiple choice, true/false, matching, ordering and categorization/grouping. Diagram/hotspot questions may be considered later only with an accessible equivalent.</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No subjective learner grading</w:t>
            </w:r>
            <w:r>
              <w:br/>
              <w:t>Do not support essays, free-text subjective grading, AI grading, code execution or infrastructure-lab evaluation as learner assessment mechanisms.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Attempts and timers</w:t>
            </w:r>
            <w:r>
              <w:br/>
              <w:t>Unlimited attempts and no time limit are the preferred defaults for self-paced learning. Attempt limits and timers may be configurable exceptions, but should be clearly disclosed before an assessment begins.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Assessment feedback</w:t>
            </w:r>
            <w:r>
              <w:br/>
              <w:t>Questions should support explanatory feedback so an assessment remains a learning mechanism. Per-answer explanations are useful but optional to avoid excessive author workload.</w:t>
            </w:r>
          </w:p>
        </w:tc>
      </w:tr>
    </w:tbl>
    <w:p>
      <w:pPr>
        <w:pStyle w:val="Heading1"/>
      </w:pPr>
      <w:r>
        <w:t>6. Accessibility and AI</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Accessibility baseline</w:t>
            </w:r>
            <w:r>
              <w:br/>
              <w:t>WCAG should be the baseline, but the platform must go beyond formal compliance by reducing cognitive load, preserving predictable navigation, avoiding surprise behavior, supporting reduced visual stimulation and making progress clear without pressure.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Author workload</w:t>
            </w:r>
            <w:r>
              <w:br/>
              <w:t>Do not require every author to create multiple representations of every lesson. One canonical lesson representation is sufficient; additional forms are optional or AI-assisted.</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AI scope</w:t>
            </w:r>
            <w:r>
              <w:br/>
              <w:t>Initial AI functionality is authoring assistance only, not a learner-facing AI tutor.</w:t>
            </w:r>
          </w:p>
        </w:tc>
      </w:tr>
    </w:tbl>
    <w:p>
      <w:pPr>
        <w:spacing w:after="20"/>
      </w:pPr>
    </w:p>
    <w:p>
      <w:r>
        <w:t>Agreed AI-assistance examples:</w:t>
      </w:r>
    </w:p>
    <w:p>
      <w:pPr>
        <w:pStyle w:val="ListBullet"/>
      </w:pPr>
      <w:r>
        <w:t>clarity/wording suggestions</w:t>
      </w:r>
    </w:p>
    <w:p>
      <w:pPr>
        <w:pStyle w:val="ListBullet"/>
      </w:pPr>
      <w:r>
        <w:t>accessibility and cognitive-load review</w:t>
      </w:r>
    </w:p>
    <w:p>
      <w:pPr>
        <w:pStyle w:val="ListBullet"/>
      </w:pPr>
      <w:r>
        <w:t>alt-text suggestions</w:t>
      </w:r>
    </w:p>
    <w:p>
      <w:pPr>
        <w:pStyle w:val="ListBullet"/>
      </w:pPr>
      <w:r>
        <w:t>quiz candidates</w:t>
      </w:r>
    </w:p>
    <w:p>
      <w:pPr>
        <w:pStyle w:val="ListBullet"/>
      </w:pPr>
      <w:r>
        <w:t>glossary/acronym suggestions</w:t>
      </w:r>
    </w:p>
    <w:p>
      <w:pPr>
        <w:pStyle w:val="ListBullet"/>
      </w:pPr>
      <w:r>
        <w:t>translation update suggestions</w:t>
      </w:r>
    </w:p>
    <w:p>
      <w:pPr>
        <w:pStyle w:val="ListBullet"/>
      </w:pPr>
      <w:r>
        <w:t>version changelog generation</w:t>
      </w:r>
    </w:p>
    <w:p>
      <w:pPr>
        <w:pStyle w:val="ListBullet"/>
      </w:pPr>
      <w:r>
        <w:t>course-version migration mapping suggestions</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AI governance</w:t>
            </w:r>
            <w:r>
              <w:br/>
              <w:t>Every AI-generated change is a proposal. An author/maintainer/reviewer must explicitly accept, modify or reject it.</w:t>
            </w:r>
          </w:p>
        </w:tc>
      </w:tr>
    </w:tbl>
    <w:p>
      <w:pPr>
        <w:spacing w:after="20"/>
      </w:pPr>
    </w:p>
    <w:p>
      <w:pPr>
        <w:pStyle w:val="Heading1"/>
      </w:pPr>
      <w:r>
        <w:t>7. Authoring, collaboration, review and publishing</w:t>
      </w:r>
    </w:p>
    <w:p>
      <w:pPr>
        <w:pStyle w:val="CodeBlock"/>
        <w:keepLines/>
      </w:pPr>
      <w:r>
        <w:t>EDITABLE DRAFT</w:t>
        <w:br/>
        <w:t xml:space="preserve">  -&gt; submit for review</w:t>
        <w:br/>
        <w:t>IN REVIEW (content frozen)</w:t>
        <w:br/>
        <w:t xml:space="preserve">  -&gt; changes requested -&gt; EDITABLE DRAFT</w:t>
        <w:br/>
        <w:t xml:space="preserve">  -&gt; approved</w:t>
        <w:br/>
        <w:t>APPROVED</w:t>
        <w:br/>
        <w:t xml:space="preserve">  -&gt; publish</w:t>
        <w:br/>
        <w:t>IMMUTABLE COURSE VERSION</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Draft vs publication</w:t>
            </w:r>
            <w:r>
              <w:br/>
              <w:t>A draft is a workspace. A CourseVersion is an artifact. The content model is shared, while authoring metadata is stored separately and never leaks into learner-facing exports by default.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Multiple authors</w:t>
            </w:r>
            <w:r>
              <w:br/>
              <w:t>Courses support multiple authors and multiple maintainers.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Course-scoped roles</w:t>
            </w:r>
            <w:r>
              <w:br/>
              <w:t>Maintainer, Author, Reviewer and Translator are course-scoped roles. A person may hold multiple roles simultaneously.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Collaborative editing</w:t>
            </w:r>
            <w:r>
              <w:br/>
              <w:t>Use lesson/assessment-level edit locks rather than real-time collaborative merging. Locks are renewable leases, visible in the UI, enforceable server-side, automatically expiring and force-unlockable by maintainers/admins with audit logging.</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Review freeze</w:t>
            </w:r>
            <w:r>
              <w:br/>
              <w:t>Submitting a draft for review freezes content editing. This ensures reviewers and authors operate against exactly the same content.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Comments and suggestions</w:t>
            </w:r>
            <w:r>
              <w:br/>
              <w:t>Comments are discussions; suggestions propose concrete content changes. Both can target course/module/lesson/block/assessment/asset identities. Threads remain historically accessible after publication.</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Review history retention</w:t>
            </w:r>
            <w:r>
              <w:br/>
              <w:t>Review comments and decisions do not disappear after publication. They remain available to authorized maintainers/authors as provenance, but are not learner-facing course content.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Draft revisions</w:t>
            </w:r>
            <w:r>
              <w:br/>
              <w:t>Do not store a full course copy for every edit. Prefer deltas plus periodic/full snapshots at meaningful boundaries such as review submission. Published versions remain permanent.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Temporary assets</w:t>
            </w:r>
            <w:r>
              <w:br/>
              <w:t>Draft uploads are draft assets. Only referenced assets are promoted into the published immutable CourseVersion; unused draft assets can later be garbage-collected.</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Changelogs</w:t>
            </w:r>
            <w:r>
              <w:br/>
              <w:t>Every published version has a human-approved change summary. AI should generate a proposed changelog from the diff, which the author/maintainer accepts or edits.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Migration mapping</w:t>
            </w:r>
            <w:r>
              <w:br/>
              <w:t>Learners are never migrated automatically to a new version. Stable IDs handle simple progress mapping; AI can propose mappings for renamed/split/merged content, which maintainers approve.</w:t>
            </w:r>
          </w:p>
        </w:tc>
      </w:tr>
    </w:tbl>
    <w:p>
      <w:pPr>
        <w:spacing w:after="20"/>
      </w:pPr>
    </w:p>
    <w:p>
      <w:pPr>
        <w:pStyle w:val="Heading1"/>
      </w:pPr>
      <w:r>
        <w:t>8. Versioning and translations</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Enrollment and version migration</w:t>
              <w:br/>
              <w:t>An Enrollment is one learner participation in exactly one immutable CourseVersion and is never repointed to another version. Moving to a newer version creates a new Enrollment. Progress transfer is explicit, conservative and provenance-tracked; the previous Enrollment remains historical.</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Version immutability</w:t>
            </w:r>
            <w:r>
              <w:br/>
              <w:t>Even typo fixes produce a new published version rather than mutating an existing published version.</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Version numbering</w:t>
            </w:r>
            <w:r>
              <w:br/>
              <w:t>Use a SemVer-like scheme. The LMS may suggest patch/minor/major bumps, but humans decide.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Translation model</w:t>
            </w:r>
            <w:r>
              <w:br/>
              <w:t>Translations are derived content trees linked to a specific source CourseVersion. A translation can lag behind the source, and the learner must be able to see which source version it represents.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Translation granularity</w:t>
            </w:r>
            <w:r>
              <w:br/>
              <w:t>Stable block IDs and source revisions allow the system to mark individual translated blocks/lessons as current, changed or needing review.</w:t>
            </w:r>
          </w:p>
        </w:tc>
      </w:tr>
    </w:tbl>
    <w:p>
      <w:pPr>
        <w:spacing w:after="20"/>
      </w:pPr>
    </w:p>
    <w:p>
      <w:pPr>
        <w:pStyle w:val="Heading1"/>
      </w:pPr>
      <w:r>
        <w:t>9. Platform licensing, course licensing and portability</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Platform licence</w:t>
            </w:r>
            <w:r>
              <w:br/>
              <w:t>AGPLv3 is the current preferred licence for the LMS software, subject to final legal review.</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Course licence</w:t>
            </w:r>
            <w:r>
              <w:br/>
              <w:t>Course/content licensing is independent from the software licence and belongs to each CourseVersion. Content should use appropriate content licences (for example Creative Commons) or an explicit custom/all-rights-reserved policy.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Asset provenance</w:t>
            </w:r>
            <w:r>
              <w:br/>
              <w:t>Individual assets can have licences/restrictions different from the course text. Asset metadata must capture provenance, attribution, redistribution and modification constraints.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Forking</w:t>
            </w:r>
            <w:r>
              <w:br/>
              <w:t>Forking is not globally enabled by the platform. Whether derivative/reuse actions are legally and functionally available depends on the CourseVersion and asset licences; hiding a UI button does not alter underlying licence rights.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Course portability</w:t>
            </w:r>
            <w:r>
              <w:br/>
              <w:t>A course can be exported from one compliant LMS instance and imported into another when licensing, schema compatibility and dependency rules allow it. Import creates a draft, never an immediately published course.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Git friendliness</w:t>
            </w:r>
            <w:r>
              <w:br/>
              <w:t>The canonical course model must support lossless export/import to a human-readable Git-friendly package. Git is an equal authoring/interchange workflow, not the production publication mechanism.</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Course dependencies</w:t>
              <w:br/>
              <w:t>Course packages declare LMS/package compatibility and portability-critical metadata. The schema must be able to declare future required/optional widget dependencies without making the Widget Platform a v1 requirement. Exact package syntax remains deferred.</w:t>
            </w:r>
          </w:p>
        </w:tc>
      </w:tr>
    </w:tbl>
    <w:p>
      <w:pPr>
        <w:spacing w:after="20"/>
      </w:pPr>
    </w:p>
    <w:p>
      <w:pPr>
        <w:pStyle w:val="Heading1"/>
      </w:pPr>
      <w:r>
        <w:t>10. Planned extension model: widgets (post-v1)</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Planned extension boundary</w:t>
              <w:br/>
              <w:t>The future extension surface is deliberately narrow: community extensions may add course widgets and dashboard widgets only. Changes to authentication, RBAC, persistence, enrollment, publication, routing or other core behavior belong in the LMS core.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runtime isolation</w:t>
              <w:br/>
              <w:t>When the Widget Platform is introduced, widgets run as sandboxed browser components (preferably isolated iframes on a separate origin) and cannot access LMS cookies, OIDC tokens, parent DOM, database, filesystem or other plugins.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capability bridge</w:t>
              <w:br/>
              <w:t>When widgets are introduced, they interact with the LMS only through a constrained, independently versioned capability bridge for selected operations such as locale/theme access, widget-local learner state and permitted progress reporting.</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persistence</w:t>
              <w:br/>
              <w:t>Widget state, when supported, is stored by the LMS through bounded WidgetState APIs. Plugins receive no direct database access and state size/depth are quota-limited.</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rendering boundary</w:t>
              <w:br/>
              <w:t>A future widget renders only inside its allocated surface. It cannot create global navigation, parent-page overlays, intercept global shortcuts or otherwise take over LMS chrome.</w:t>
            </w:r>
          </w:p>
        </w:tc>
      </w:tr>
    </w:tbl>
    <w:p>
      <w:pPr>
        <w:spacing w:after="20"/>
      </w:pPr>
    </w:p>
    <w:p>
      <w:pPr>
        <w:pStyle w:val="Heading1"/>
      </w:pPr>
      <w:r>
        <w:t>11. Future widget network access and plugin trust</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network default</w:t>
              <w:br/>
              <w:t>Future widgets have outbound network access denied by default. A widget must declare required/optional external origins and the installation administrator decides whether to allow them.</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external-destination policy</w:t>
              <w:br/>
              <w:t>Prefer explicit HTTPS origins/hostnames and prohibit unrestricted wildcards. Localhost, loopback, link-local, private-network and cloud-metadata access are denied unless an administrator explicitly overrides policy.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authenticated external calls</w:t>
              <w:br/>
              <w:t>Secrets/API keys are never exposed to browser widgets. Authenticated external calls use controlled, task-specific LMS broker capabilities where needed; there is no generic proxy.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trust levels</w:t>
              <w:br/>
              <w:t>The future plugin trust model is BTG Owned, BTG Approved and Unknown, with Revoked as a safety state.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signing/registry</w:t>
              <w:br/>
              <w:t>Use publisher signing plus a registry/trust attestation model. BTG Approved status is awarded after manual review and is version-specific; signing proves publisher identity, not safety.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official BTG widget policy</w:t>
              <w:br/>
              <w:t>Once the Widget Platform exists, the official BTG LMS accepts BTG Owned and BTG Approved widget versions only. Self-hosted installations may explicitly allow Unknown versions at their own risk.</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package vs widget trust</w:t>
              <w:br/>
              <w:t>Course manifests may eventually declare widget dependencies, but widget trust is installation-specific and cannot be dictated by a course author. Course import never auto-installs executable extensions.</w:t>
            </w:r>
          </w:p>
        </w:tc>
      </w:tr>
    </w:tbl>
    <w:p>
      <w:pPr>
        <w:spacing w:after="20"/>
      </w:pPr>
    </w:p>
    <w:p>
      <w:pPr>
        <w:pStyle w:val="Heading1"/>
      </w:pPr>
      <w:r>
        <w:t>12. Identity and authentication</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Account model</w:t>
            </w:r>
            <w:r>
              <w:br/>
              <w:t>The LMS owns a stable internal User account. Local credentials, passkeys and OIDC identities are authentication methods linked to that account, not separate LMS users.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Pseudonymity</w:t>
            </w:r>
            <w:r>
              <w:br/>
              <w:t>Learners may use a public pseudonym such as KafkaFan42. Public profile identity is separate from a private certificate display name.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 government-ID verification</w:t>
            </w:r>
            <w:r>
              <w:br/>
              <w:t>Do not introduce external identity-verification levels that require processing passports, national IDs or equivalent data.</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Certificates and identity</w:t>
            </w:r>
            <w:r>
              <w:br/>
              <w:t>Named certificates may require a verified email and explicit certificate name, but must not claim government-grade identity verification.</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Generic OIDC</w:t>
            </w:r>
            <w:r>
              <w:br/>
              <w:t>OIDC integration is protocol-generic. Each configured provider also has admin-controlled presentation metadata (display name, button label, icon/preset, order and visibility), allowing familiar UI such as “Continue with Google” while keeping the backend generic.</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Account linking</w:t>
            </w:r>
            <w:r>
              <w:br/>
              <w:t>Do not auto-merge accounts merely because OIDC and an existing account return the same email. A logged-in user explicitly links an additional authentication method.</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OIDC role mapping</w:t>
            </w:r>
            <w:r>
              <w:br/>
              <w:t>External OIDC providers do not assign LMS roles by default. Enterprise self-hosters may explicitly configure claim-to-role mapping, with a clear security warning.</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MFA direction</w:t>
            </w:r>
            <w:r>
              <w:br/>
              <w:t>Passkeys/WebAuthn, TOTP and recovery codes should be supported. Stronger MFA policy is appropriate for administrators and publishing-capable maintainers.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Session model</w:t>
            </w:r>
            <w:r>
              <w:br/>
              <w:t>Prefer secure opaque sessions using HttpOnly/SameSite cookies; support expiry, idle timeout, revocation and session listing.</w:t>
            </w:r>
          </w:p>
        </w:tc>
      </w:tr>
    </w:tbl>
    <w:p>
      <w:pPr>
        <w:spacing w:after="20"/>
      </w:pPr>
    </w:p>
    <w:p>
      <w:pPr>
        <w:pStyle w:val="Heading1"/>
      </w:pPr>
      <w:r>
        <w:t>13. Authorization model</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Authorization strategy</w:t>
            </w:r>
            <w:r>
              <w:br/>
              <w:t>Use RBAC for coarse capabilities plus resource/state/policy checks for context-sensitive decisions. Avoid a generic full ABAC language unless later requirements justify it.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Global roles</w:t>
            </w:r>
            <w:r>
              <w:br/>
              <w:t>Keep global roles small: Anonymous, Registered User, Author, Administrator, and later possibly Moderator. Reviewer/Translator/Maintainer are course-scoped.</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Permissions</w:t>
            </w:r>
            <w:r>
              <w:br/>
              <w:t>Roles are human-friendly bundles over explicit backend permissions such as lesson.edit, review.approve and course.publish. Normal users should work with roles, not dozens of permission checkboxes.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Server enforcement</w:t>
            </w:r>
            <w:r>
              <w:br/>
              <w:t>Locks, draft state, ownership, course membership and other authorization decisions must be enforced by backend APIs, never by UI alone.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Independent review policy</w:t>
            </w:r>
            <w:r>
              <w:br/>
              <w:t>For the official BTG instance, publication should require at least one reviewer who is independent of the material they are approving. Self-hosters may relax this for single-person deployments.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Learner privacy</w:t>
            </w:r>
            <w:r>
              <w:br/>
              <w:t>Course authors normally receive aggregate analytics rather than automatically receiving detailed individual learner histories. Individual progress access should be a distinct, more restricted capability.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Audit log</w:t>
            </w:r>
            <w:r>
              <w:br/>
              <w:t>Security-significant actions such as role changes, publication, plugin trust changes, force unlocks and certificate actions require an audit trail separate from ordinary draft revision history.</w:t>
            </w:r>
          </w:p>
        </w:tc>
      </w:tr>
    </w:tbl>
    <w:p>
      <w:pPr>
        <w:spacing w:after="20"/>
      </w:pPr>
    </w:p>
    <w:p>
      <w:pPr>
        <w:pStyle w:val="Heading1"/>
      </w:pPr>
      <w:r>
        <w:t>14. Deployment and infrastructure abstractions</w:t>
      </w:r>
    </w:p>
    <w:p>
      <w:r>
        <w:t>The LMS should move as much infrastructure responsibility as practical to the deployment environment, while retaining portable capability interfaces. No specific cloud is required.</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StorageProvider</w:t>
            </w:r>
            <w:r>
              <w:br/>
              <w:t>Local filesystem, database-backed storage, S3-compatible storage, Azure Blob, custom implementations.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SecretProvider</w:t>
            </w:r>
            <w:r>
              <w:br/>
              <w:t>Environment/file secrets for simple deployments and managed secret stores for cloud deployments. The core depends on the abstraction rather than a specific product.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MailProvider</w:t>
            </w:r>
            <w:r>
              <w:br/>
              <w:t>SMTP, AWS SES, Azure or other mail transports.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CertificateRenderer</w:t>
            </w:r>
            <w:r>
              <w:br/>
              <w:t>Certificate rendering is a core LMS capability with configurable templates; it is not an infrastructure-provider abstraction.</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AIProvider</w:t>
            </w:r>
            <w:r>
              <w:br/>
              <w:t>Replaceable provider; the authoring domain depends on a generic AI-assistance interface.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JobProvider</w:t>
            </w:r>
            <w:r>
              <w:br/>
              <w:t>Do not introduce a JobProvider abstraction initially. Background jobs use PostgreSQL-backed/internal job processing.</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CacheProvider</w:t>
            </w:r>
            <w:r>
              <w:br/>
              <w:t>Caching remains an internal implementation concern. Do not expose a cache-provider abstraction unless a concrete future requirement justifies it.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SearchProvider</w:t>
            </w:r>
            <w:r>
              <w:br/>
              <w:t>Use PostgreSQL search initially. Do not introduce a SearchProvider abstraction until a demonstrated requirement justifies an external search engine.</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Local storage choice</w:t>
            </w:r>
            <w:r>
              <w:br/>
              <w:t>The platform must not prohibit local-disk or database storage if that is what a self-hoster needs. Storage location is an implementation selected through configuration.</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Simple deployment</w:t>
            </w:r>
            <w:r>
              <w:br/>
              <w:t>A simple self-hosted deployment should remain easy (for example LMS + PostgreSQL + chosen storage implementation). Kubernetes must not be mandatory.</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FFF3CD"/>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Scale-out compatibility</w:t>
            </w:r>
            <w:r>
              <w:br/>
              <w:t>Core application behavior should not depend on local process memory or local persistent disk in ways that prevent multiple LMS instances behind infrastructure load balancing when a deployment scales.</w:t>
            </w:r>
          </w:p>
        </w:tc>
      </w:tr>
    </w:tbl>
    <w:p>
      <w:pPr>
        <w:spacing w:after="20"/>
      </w:pPr>
    </w:p>
    <w:p>
      <w:pPr>
        <w:pStyle w:val="Heading1"/>
      </w:pPr>
      <w:r>
        <w:t>15. Certificates, badges and relationship to BridgingTheGap.eu.com</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Certificates</w:t>
              <w:br/>
              <w:t>Certificates reference an exact completed Enrollment and exact CourseVersion and preserve an immutable metadata snapshot so later course renaming does not alter historical credentials. Certificates are durable DB records rendered dynamically; revocation changes status/history rather than rewriting the original achievement.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Badges and Open Badges 3.0</w:t>
              <w:br/>
              <w:t>Badge definitions and awarded badge credentials are separate concepts. BTG LMS should be designed for native Open Badges 3.0 interoperability: internal BadgeDefinition maps cleanly to an Achievement and an issued badge can be exported/signed as an OpenBadgeCredential. Internal domain models remain independent from the JSON-LD wire format.</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Website vs LMS content</w:t>
            </w:r>
            <w:r>
              <w:br/>
              <w:t>The knowledge website and LMS should know about each other but do not need to share the same content store. Articles can link to structured courses (“learn more / start from the beginning”) and the LMS can reference relevant articles.</w:t>
            </w:r>
          </w:p>
        </w:tc>
      </w:tr>
    </w:tbl>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Learning paths</w:t>
            </w:r>
            <w:r>
              <w:br/>
              <w:t>LearningPath is separate from Course and references reusable courses in an advisory order. A course may appear in multiple learning paths.</w:t>
            </w:r>
          </w:p>
        </w:tc>
      </w:tr>
    </w:tbl>
    <w:p>
      <w:pPr>
        <w:spacing w:after="20"/>
      </w:pPr>
    </w:p>
    <w:p>
      <w:pPr>
        <w:pStyle w:val="Heading1"/>
      </w:pPr>
      <w:r>
        <w:t>16. Community and moderation</w:t>
      </w:r>
    </w:p>
    <w:p>
      <w:pPr/>
      <w:r>
        <w:t>Community features support learning but are not the center of the LMS. They are course-scoped, optional and deliberately restrained to avoid turning the platform into a social network.</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Per-course community policy</w:t>
            </w:r>
            <w:r>
              <w:br/>
              <w:t>Each course decides whether community features are disabled, Q&amp;A-only, or discussion plus Q&amp;A. A read-only mode may be added later. Learners must not be forced into social interaction to consume a course.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Learner presentation preference</w:t>
            </w:r>
            <w:r>
              <w:br/>
              <w:t>Even when a course enables community features, an individual learner may minimize or hide community surfaces in their own experience.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Community scope</w:t>
            </w:r>
            <w:r>
              <w:br/>
              <w:t>Initial community capabilities are course/lesson Q&amp;A and discussions, replies, mentions, official answers, pin/lock actions, reporting and moderation. Private messaging, live chat, followers, global feeds, reputation systems, leaderboards and cross-instance federation are out of scope initially.</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Course-scoped moderation</w:t>
            </w:r>
            <w:r>
              <w:br/>
              <w:t>Course authors/maintainers may moderate discussion within their own courses, including hiding inappropriate content, locking threads and marking official answers. Global suspension, cross-course moderation and account-level actions require global Moderator/Administrator authority.</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Community identity</w:t>
            </w:r>
            <w:r>
              <w:br/>
              <w:t>Community surfaces use the public profile/pseudonym, never the private certificate identity, email address or OIDC details unless the user explicitly exposes separate profile information.</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Moderation records</w:t>
            </w:r>
            <w:r>
              <w:br/>
              <w:t>Reports and moderation actions are explicit records with auditable state. Hidden content is retained for moderation/review rather than immediately hard-deleted.</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Notification philosophy</w:t>
            </w:r>
            <w:r>
              <w:br/>
              <w:t>Community notifications should default to direct, meaningful events such as replies, mentions and official announcements. General activity notifications should be off by default or digestible later to avoid cognitive overload.</w:t>
            </w:r>
          </w:p>
        </w:tc>
      </w:tr>
    </w:tbl>
    <w:p>
      <w:pPr>
        <w:pStyle w:val="Heading1"/>
      </w:pPr>
      <w:r>
        <w:t>17. Analytics and privacy</w:t>
      </w:r>
    </w:p>
    <w:p>
      <w:pPr/>
      <w:r>
        <w:t>Analytics are intentionally privacy-preserving. The platform collects what it needs to provide learning and improve course quality, but does not expose individual learner surveillance to course authors.</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No external telemetry</w:t>
            </w:r>
            <w:r>
              <w:br/>
              <w:t>The LMS never sends product telemetry or installation analytics back to Bridging the Gap or any other project-operated endpoint. There is no opt-in phone-home mode.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Author analytics</w:t>
            </w:r>
            <w:r>
              <w:br/>
              <w:t>Course authors and maintainers do not receive individual learner progress or raw learner-level analytics. Their view is aggregated and qualitative.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Qualitative learning signals</w:t>
            </w:r>
            <w:r>
              <w:br/>
              <w:t>Authors see threshold-based statements such as “this question causes difficulty for many learners,” not learner counts or raw percentages. Percentage thresholds and minimum sample size are configured globally by the installation.</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Minimum aggregation threshold</w:t>
            </w:r>
            <w:r>
              <w:br/>
              <w:t>The platform must suppress learning signals when the contributing cohort is too small. The global minimum cannot be configured to a value that effectively reveals individual learner behavior.</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Learner visibility</w:t>
            </w:r>
            <w:r>
              <w:br/>
              <w:t>Learners may see detailed information about their own progress and attempts.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Analytics opt-out</w:t>
            </w:r>
            <w:r>
              <w:br/>
              <w:t>Learners can opt out of non-essential analytics. Operational data required to provide progress, assessment and certificate functionality remains governed separately.</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Analytics retention</w:t>
            </w:r>
            <w:r>
              <w:br/>
              <w:t>Retention of analytics/event data is configurable at installation level.</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Analytics export</w:t>
            </w:r>
            <w:r>
              <w:br/>
              <w:t>Course authors/maintainers cannot export learner-level analytics. Reporting available to them remains aggregate/qualitative.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No invasive behavior tracking</w:t>
            </w:r>
            <w:r>
              <w:br/>
              <w:t>Do not collect surveillance-style telemetry such as mouse movement, paragraph-level dwell time, continuous scroll tracking or keystroke behavior for learning analytics.</w:t>
            </w:r>
          </w:p>
        </w:tc>
      </w:tr>
    </w:tbl>
    <w:p>
      <w:pPr>
        <w:pStyle w:val="Heading1"/>
      </w:pPr>
      <w:r>
        <w:t>18. Security baseline and threat model</w:t>
      </w:r>
    </w:p>
    <w:p>
      <w:pPr/>
      <w:r>
        <w:t>The LMS core is the trust anchor. Browsers, imported packages, uploaded files, community widgets, external identity providers, external AI services and external URLs are treated as untrusted or limited-trust inputs.</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Defense in depth</w:t>
            </w:r>
            <w:r>
              <w:br/>
              <w:t>Security controls exist at infrastructure and application layers. The application must remain safe without assuming that a WAF, CDN or managed cloud service is present.</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Content rendering security</w:t>
            </w:r>
            <w:r>
              <w:br/>
              <w:t>Author/imported content is structured content, not arbitrary executable HTML. Rendering uses sanitization and a strong CSP; arbitrary inline scripts and unrestricted iframe embeds are prohibited.</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Import quarantine</w:t>
            </w:r>
            <w:r>
              <w:br/>
              <w:t>Course packages are untrusted input. Imports are quarantined, validated and created as drafts; they never execute code, install plugins automatically or become published without normal review.</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Import validation</w:t>
            </w:r>
            <w:r>
              <w:br/>
              <w:t>Validate archive size/file count/nesting, path traversal, schema/version, checksums, supported file types, asset metadata, dependency declarations and structural limits. Protect against archive bombs and hostile paths.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Upload safety</w:t>
            </w:r>
            <w:r>
              <w:br/>
              <w:t>Uploaded assets are type/size validated and isolated. HTML is not a generic course asset. SVG requires strict sanitization/isolation because it can contain active content and external references.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isolation</w:t>
              <w:br/>
              <w:t>When the Widget Platform is introduced, assume a community widget may be hostile. It runs in a sandboxed iframe, preferably on a separate origin, cannot access LMS cookies/tokens/parent DOM/other widgets, and communicates only through schema-validated capability APIs.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capabilities</w:t>
              <w:br/>
              <w:t>Future widget permissions remain narrow: theme/locale, limited course context, own state and permitted progress reporting. Widgets receive no learner email, certificate identity, OIDC details or general LMS API access.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widget-scoped identity</w:t>
              <w:br/>
              <w:t>If a future widget needs a learner identifier, use a scoped pseudonymous identifier so plugins cannot easily correlate users across widgets/courses/installations.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Short-lived scoped credentials</w:t>
            </w:r>
            <w:r>
              <w:br/>
              <w:t>Use short-lived, purpose-scoped tokens/capabilities where useful for widget APIs, password resets, verification, external broker calls and API operations. Normal browser authentication prefers revocable opaque server-side sessions rather than long-lived browser tokens.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Step-up authentication</w:t>
            </w:r>
            <w:r>
              <w:br/>
              <w:t>High-risk privileged operations require recent re-authentication. A short-lived elevated authorization context may follow successful step-up authentication.</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Privileged MFA</w:t>
            </w:r>
            <w:r>
              <w:br/>
              <w:t>MFA is required for Maintainer, Moderator and Administrator roles on the official BTG instance; privileged operations receive stricter session/step-up controls. Author MFA remains at least strongly recommended and may be tightened later.</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Privilege containment</w:t>
            </w:r>
            <w:r>
              <w:br/>
              <w:t>A compromised Maintainer is limited to courses they maintain; a Moderator to moderation scope; an Administrator cannot bypass immutable published-version/history rules. Critical privilege changes and security actions are audited.</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RECOMMENDED</w:t>
            </w:r>
          </w:p>
        </w:tc>
        <w:tc>
          <w:tcPr>
            <w:tcW w:type="dxa" w:w="4997"/>
            <w:shd w:fill="F8FAFC"/>
            <w:tcMar>
              <w:top w:w="130" w:type="dxa"/>
              <w:start w:w="140" w:type="dxa"/>
              <w:bottom w:w="130" w:type="dxa"/>
              <w:end w:w="140" w:type="dxa"/>
            </w:tcMar>
            <w:vAlign w:val="center"/>
          </w:tcPr>
          <w:p>
            <w:r>
              <w:rPr>
                <w:b/>
              </w:rPr>
              <w:t>Two-person critical administration</w:t>
            </w:r>
            <w:r>
              <w:br/>
              <w:t>For the official BTG instance, consider two-person approval for a very small set of platform-critical operations such as granting a new Administrator or changing plugin trust/signing policy. Self-hosted single-person installations may disable it.</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supply-chain trust</w:t>
              <w:br/>
              <w:t>Future widget signatures prove publisher identity, not safety. BTG approval is a separate, version-specific attestation. Package versions are immutable; changed permissions/network origins require renewed review/approval.</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Future widget revocation</w:t>
              <w:br/>
              <w:t>A future widget version can be marked revoked/unsafe. The official BTG instance disables revoked versions. Registry synchronization, if implemented, is one-way and never reports installed-widget data back to BTG.</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Secret handling</w:t>
            </w:r>
            <w:r>
              <w:br/>
              <w:t>Secrets are never stored in course content, exposed to widgets, written to normal logs or embedded in client code. SecretProvider isolates storage/access for server-side trusted components.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AI trust boundary</w:t>
            </w:r>
            <w:r>
              <w:br/>
              <w:t>AI providers are external processors. Send only content needed for the authoring task; do not send learner/authentication/security data by default. AI output is always untrusted suggestion data requiring human approval.</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Authorization enforcement</w:t>
            </w:r>
            <w:r>
              <w:br/>
              <w:t>Authorization is centralized and server-side. UI restrictions never replace backend permission, state, ownership, lock and policy checks.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Audit and security notifications</w:t>
            </w:r>
            <w:r>
              <w:br/>
              <w:t>Security-significant actions are append-oriented/audited and can generate notifications for events such as role grants, identity linking, MFA changes, plugin approval, OIDC configuration changes and publication.</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Logging hygiene</w:t>
            </w:r>
            <w:r>
              <w:br/>
              <w:t>Never log passwords, tokens, session cookies, API keys or unnecessary request bodies/PII. Errors should use correlation IDs and safe user-facing messages.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RECOMMENDED</w:t>
            </w:r>
          </w:p>
        </w:tc>
        <w:tc>
          <w:tcPr>
            <w:tcW w:type="dxa" w:w="4997"/>
            <w:shd w:fill="F8FAFC"/>
            <w:tcMar>
              <w:top w:w="130" w:type="dxa"/>
              <w:start w:w="140" w:type="dxa"/>
              <w:bottom w:w="130" w:type="dxa"/>
              <w:end w:w="140" w:type="dxa"/>
            </w:tcMar>
            <w:vAlign w:val="center"/>
          </w:tcPr>
          <w:p>
            <w:r>
              <w:rPr>
                <w:b/>
              </w:rPr>
              <w:t>Build and dependency security</w:t>
            </w:r>
            <w:r>
              <w:br/>
              <w:t>Use locked dependencies, vulnerability/dependency scanning, SBOMs, secret scanning, static analysis, signed releases and hardened non-root container images as part of the project release process.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Database least privilege</w:t>
            </w:r>
            <w:r>
              <w:br/>
              <w:t>Runtime database access uses a dedicated least-privilege identity. Schema migrations may use a separate elevated database identity.</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Recovery posture</w:t>
            </w:r>
            <w:r>
              <w:br/>
              <w:t>Security includes recoverability: revoke sessions/tokens, suspend compromised accounts, inspect audit history, review affected publications/configuration, rotate secrets/keys when required, and maintain tested database/storage backups.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rPr>
              <w:t>DECIDED</w:t>
            </w:r>
          </w:p>
        </w:tc>
        <w:tc>
          <w:tcPr>
            <w:tcW w:type="dxa" w:w="4997"/>
            <w:shd w:fill="F8FAFC"/>
            <w:tcMar>
              <w:top w:w="130" w:type="dxa"/>
              <w:start w:w="140" w:type="dxa"/>
              <w:bottom w:w="130" w:type="dxa"/>
              <w:end w:w="140" w:type="dxa"/>
            </w:tcMar>
            <w:vAlign w:val="center"/>
          </w:tcPr>
          <w:p>
            <w:r>
              <w:rPr>
                <w:b/>
              </w:rPr>
              <w:t>Safe self-hosting defaults</w:t>
            </w:r>
            <w:r>
              <w:br/>
              <w:t>The reference deployment should fail or warn loudly on insecure production configuration (for example weak/default secrets) and provide local security-health diagnostics without sending any information externally.</w:t>
            </w:r>
          </w:p>
        </w:tc>
      </w:tr>
    </w:tbl>
    <w:p>
      <w:pPr>
        <w:pStyle w:val="Heading1"/>
      </w:pPr>
      <w:r>
        <w:t>19. Upgrade and migration model</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Release and schema versioning</w:t>
            </w:r>
            <w:r>
              <w:br/>
              <w:t>Use semantic versioning for the LMS application. Database schema, public API, widget API and course-package schema have independent version lifecycles and must not be conflated with the application version.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Supported upgrade paths</w:t>
            </w:r>
            <w:r>
              <w:br/>
              <w:t>Only documented source-to-target version ranges are supported. Very old installations may require one or more intermediate upgrades rather than an arbitrary direct jump.</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Explicit migrations</w:t>
            </w:r>
            <w:r>
              <w:br/>
              <w:t>Do not blindly run migrations from every application replica at startup. Provide an explicit migration/upgrade command or job and enforce a database migration lock so only one migration process executes.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Forward-only migration strategy</w:t>
            </w:r>
            <w:r>
              <w:br/>
              <w:t>Normal database migrations are forward-only. After a schema/data migration, rollback means restoring a consistent backup and redeploying the previous compatible application version rather than relying on reverse migrations.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Historical semantic integrity</w:t>
            </w:r>
            <w:r>
              <w:br/>
              <w:t>Platform migrations may change how data is stored, but must not silently change the semantic meaning of immutable published CourseVersions, learner attempts, certificate records or audit history.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Maintenance mode</w:t>
            </w:r>
            <w:r>
              <w:br/>
              <w:t>Support read-only or full maintenance mode for migrations that cannot safely run while writes continue. Zero-downtime upgrades are not a v1 requirement.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DECIDED</w:t>
            </w:r>
          </w:p>
        </w:tc>
        <w:tc>
          <w:tcPr>
            <w:tcW w:type="dxa" w:w="4997"/>
            <w:shd w:fill="F8FAFC"/>
            <w:tcMar>
              <w:top w:w="130" w:type="dxa"/>
              <w:start w:w="140" w:type="dxa"/>
              <w:bottom w:w="130" w:type="dxa"/>
              <w:end w:w="140" w:type="dxa"/>
            </w:tcMar>
            <w:vAlign w:val="center"/>
          </w:tcPr>
          <w:p>
            <w:r>
              <w:rPr>
                <w:b/>
              </w:rPr>
              <w:t>Upgrade preflight</w:t>
              <w:br/>
              <w:t>Provide an upgrade-check capability that validates application/schema compatibility, migration requirements and configuration compatibility before applying an upgrade. Once the Widget Platform exists, installed-widget compatibility is added to the same preflight rather than being a v1 requirement.</w:t>
            </w:r>
          </w:p>
        </w:tc>
      </w:tr>
    </w:tbl>
    <w:p/>
    <w:p>
      <w:pPr>
        <w:pStyle w:val="Heading1"/>
      </w:pPr>
      <w:r>
        <w:t>20. Backup, restore and disaster recovery</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Responsibility boundary</w:t>
            </w:r>
            <w:r>
              <w:br/>
              <w:t>The LMS defines what must be recoverable, how consistency is achieved and how restoration is validated; backup execution, retention, replication and encryption belong primarily to deployment infrastructure.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Backup set</w:t>
            </w:r>
            <w:r>
              <w:br/>
              <w:t>A recoverable installation includes PostgreSQL, durable StorageProvider data and external deployment configuration/secret references. Secrets are not automatically embedded into LMS backup archives.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Consistency model</w:t>
            </w:r>
            <w:r>
              <w:br/>
              <w:t>Portable application-consistent backups may use a short read-only/maintenance boundary while DB and storage are captured. Cloud/infrastructure deployments may use native consistent snapshots/PITR where they can guarantee equivalent consistency.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Restore process</w:t>
            </w:r>
            <w:r>
              <w:br/>
              <w:t>Restore PostgreSQL and durable storage, restore external configuration/secrets, then run a restore/integrity check before normal traffic resumes. Prefer restoring with the same LMS version that created the backup and then upgrading normally.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Certificate durability</w:t>
            </w:r>
            <w:r>
              <w:br/>
              <w:t>Certificates are immutable database records rendered dynamically on a webpage. No PDF artifact is required for backup. If PDFs are introduced later, they remain reconstructable output generated from certificate metadata.</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Restore verification</w:t>
            </w:r>
            <w:r>
              <w:br/>
              <w:t>A backup is not considered trustworthy merely because a job completed. Deployments should periodically test restoration. The LMS should provide integrity/restore-check tooling for schema, assets, course-version integrity and required dependencies.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RPO/RTO</w:t>
            </w:r>
            <w:r>
              <w:br/>
              <w:t>Recovery point and recovery time objectives are deployment policy, not hard-coded product requirements. The architecture must support both small self-hosted and more resilient cloud deployments.</w:t>
            </w:r>
          </w:p>
        </w:tc>
      </w:tr>
    </w:tbl>
    <w:p/>
    <w:p>
      <w:pPr>
        <w:pStyle w:val="Heading1"/>
      </w:pPr>
      <w:r>
        <w:t>21. Observability and diagnostics</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Local-only observability</w:t>
            </w:r>
            <w:r>
              <w:br/>
              <w:t>Logs, metrics, health information, audit/security records and diagnostic bundles stay inside the installation. There is no outbound observability or telemetry channel to BTG.</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Structured logging</w:t>
            </w:r>
            <w:r>
              <w:br/>
              <w:t>Use structured operational logs with correlation IDs. Never log passwords, session cookies, tokens, API keys or unnecessary learner/content payloads. Log destinations are infrastructure concerns.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Metrics</w:t>
            </w:r>
            <w:r>
              <w:br/>
              <w:t>Expose local Prometheus-compatible metrics for operational health such as request latency/errors, DB usage, job queue state and provider failures. Avoid PII/high-cardinality learner dimensions.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Health and readiness</w:t>
            </w:r>
            <w:r>
              <w:br/>
              <w:t>Expose separate liveness and readiness endpoints. Readiness checks critical dependencies such as PostgreSQL, schema compatibility and storage; optional provider failure should generally degrade functionality rather than make the whole LMS unavailable.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Job diagnostics</w:t>
            </w:r>
            <w:r>
              <w:br/>
              <w:t>DB-backed background jobs expose queued/running/retrying/failed state, bounded retry behavior and correlation to originating requests where applicable.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Audit separation</w:t>
            </w:r>
            <w:r>
              <w:br/>
              <w:t>Operational logs answer why the system failed; audit/security logs answer who did what. They have separate retention/security requirements.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Diagnostics bundle</w:t>
            </w:r>
            <w:r>
              <w:br/>
              <w:t>Provide a local sanitized diagnostics command/bundle containing versions, health results, provider status, installed widget metadata and sanitized recent errors, never secrets or learner/course content. Sharing is always an explicit administrator action.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OpenTelemetry roadmap</w:t>
            </w:r>
            <w:r>
              <w:br/>
              <w:t>Do not require OpenTelemetry/distributed tracing in v1. Treat it as a high-priority future capability once flows become difficult to diagnose with structured logs, correlation IDs and metrics alone.</w:t>
            </w:r>
          </w:p>
        </w:tc>
      </w:tr>
    </w:tbl>
    <w:p/>
    <w:p>
      <w:pPr>
        <w:pStyle w:val="Heading1"/>
      </w:pPr>
      <w:r>
        <w:t>22. API and integration architecture</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Three API surfaces</w:t>
            </w:r>
            <w:r>
              <w:br/>
              <w:t>Separate internal application API, sandboxed Widget API and external integration API. They may share service-layer implementation but have different authentication, stability and permission contracts.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API-first meaning</w:t>
            </w:r>
            <w:r>
              <w:br/>
              <w:t>Core capabilities are implemented behind explicit application/service contracts. API-first does not mean every internal endpoint is automatically a permanent public API.</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Business-operation contracts</w:t>
            </w:r>
            <w:r>
              <w:br/>
              <w:t>External/public APIs expose use cases and state transitions rather than raw database CRUD. For example, publish/submit/import are explicit operations that execute authorization, validation, review and audit rules.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Authoring as a first-class service</w:t>
            </w:r>
            <w:r>
              <w:br/>
              <w:t>Authoring operations such as draft creation, lesson/assessment updates, review submission and import/export are proper application services used by UI/automation rather than UI-only logic.</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Protocols</w:t>
            </w:r>
            <w:r>
              <w:br/>
              <w:t>Use REST/REST-like APIs for commands/resources. Use SSE initially for server-to-browser collaboration/status where suitable, with WebSocket available later if genuinely bidirectional real-time interaction is required. Use signed webhooks for external event delivery.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Public API versioning</w:t>
            </w:r>
            <w:r>
              <w:br/>
              <w:t>Use explicit major API paths such as /api/v1. Breaking public-contract changes create a new major API version; non-breaking additions stay in the existing version. Public API lifecycle is independent from LMS release versions.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Service identities</w:t>
            </w:r>
            <w:r>
              <w:br/>
              <w:t>External automation uses dedicated service accounts with scoped authorization rather than human credentials. Preferred authentication is OAuth2-style client credentials/short-lived access tokens and/or mTLS; static long-lived API tokens may exist as a simple fallback with hashing, expiry, rotation and revocation.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Widget authentication</w:t>
            </w:r>
            <w:r>
              <w:br/>
              <w:t>Widgets never use service-account credentials. They use very short-lived, narrowly scoped capability tokens or a mediated bridge tied to widget instance, course context and permitted operations.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API scopes and policy</w:t>
            </w:r>
            <w:r>
              <w:br/>
              <w:t>Token scopes provide a coarse capability ceiling; normal authorization policy still decides whether the identity may act on the specific resource. Avoid mirroring every fine-grained internal permission as an external scope.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Rate limits and expensive work</w:t>
            </w:r>
            <w:r>
              <w:br/>
              <w:t>Apply configurable category-based rate limits and concurrency/job quotas. Authentication and expensive operations are stricter than normal reads; clients receive standard retry behavior such as HTTP 429 where appropriate.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Import/export automation</w:t>
            </w:r>
            <w:r>
              <w:br/>
              <w:t>Course import/export is automatable through supported APIs and asynchronous jobs. Import remains subject to the normal quarantine, validation, review and plugin-dependency rules.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Public API growth strategy</w:t>
            </w:r>
            <w:r>
              <w:br/>
              <w:t>Start with a small public/stable surface while the web application may use additional internal endpoints. Promoting an operation to the public API is an explicit compatibility decision.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GraphQL</w:t>
            </w:r>
            <w:r>
              <w:br/>
              <w:t>Do not introduce GraphQL without a concrete need. REST/REST-like APIs plus SSE/WebSocket/webhooks fit the current platform model.</w:t>
            </w:r>
          </w:p>
        </w:tc>
      </w:tr>
    </w:tbl>
    <w:p/>
    <w:p>
      <w:pPr>
        <w:pStyle w:val="Heading1"/>
      </w:pPr>
      <w:r>
        <w:t>23. Notifications</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Notification categories</w:t>
            </w:r>
            <w:r>
              <w:br/>
              <w:t>Separate transactional/security, authoring/workflow and community notifications. Security/transactional notifications may be mandatory where required; workflow/community notifications are user-configurable.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Channels in v1</w:t>
            </w:r>
            <w:r>
              <w:br/>
              <w:t>Support both in-app and email notifications in v1. Delivery happens asynchronously through the DB-backed job mechanism so triggering user actions are not blocked by mail delivery.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Quiet defaults</w:t>
            </w:r>
            <w:r>
              <w:br/>
              <w:t>Defaults should avoid cognitive overload: direct replies, mentions, security and important course announcements may be enabled; general discussion activity should be off or digest-oriented by default.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Notification preferences</w:t>
            </w:r>
            <w:r>
              <w:br/>
              <w:t>Preferences are grouped by meaningful category and may support immediate/digest/off where allowed. Critical security/account notifications cannot simply be disabled by user preference.</w:t>
            </w:r>
          </w:p>
        </w:tc>
      </w:tr>
    </w:tbl>
    <w:p/>
    <w:p>
      <w:pPr>
        <w:pStyle w:val="Heading1"/>
      </w:pPr>
      <w:r>
        <w:t>24. Search and discovery</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Discovery philosophy</w:t>
            </w:r>
            <w:r>
              <w:br/>
              <w:t>Discovery uses explicit metadata, editorial structure and learner choices rather than behavioral profiling or opaque recommendation engines.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Search implementation</w:t>
            </w:r>
            <w:r>
              <w:br/>
              <w:t>Start with PostgreSQL full-text search. Index course/module/lesson titles, descriptions, learning objectives, topics/tags, authors and translated content where appropriate.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Topics and tags</w:t>
            </w:r>
            <w:r>
              <w:br/>
              <w:t>Use a controlled central topic taxonomy for stable catalog/navigation structure and free-form tags for specific technologies/concepts. Topics are governed centrally; tags remain flexible.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Learning paths</w:t>
            </w:r>
            <w:r>
              <w:br/>
              <w:t>Learning paths are editorial/advisory collections of reusable courses, not algorithmically personalized sequences or mandatory gates.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Multilingual discovery</w:t>
            </w:r>
            <w:r>
              <w:br/>
              <w:t>Search the learner-selected language first and fall back to source/other available languages with clear indication when the result language differs.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 behavioral recommendation engine</w:t>
            </w:r>
            <w:r>
              <w:br/>
              <w:t>Do not use collaborative filtering, hidden user clustering or surveillance-derived recommendations. Any simple suggestions should be deterministic from explicit metadata, learning paths or the learner’s own declared/completed content.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BTG website relationship</w:t>
            </w:r>
            <w:r>
              <w:br/>
              <w:t>The LMS and bridgingthegap.eu.com link to each other explicitly. They do not need a shared content store; articles can link to relevant courses and courses to related reading.</w:t>
            </w:r>
          </w:p>
        </w:tc>
      </w:tr>
    </w:tbl>
    <w:p/>
    <w:p>
      <w:pPr>
        <w:pStyle w:val="Heading1"/>
      </w:pPr>
      <w:r>
        <w:t>25. Formal accessibility baseline</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WCAG baseline</w:t>
            </w:r>
            <w:r>
              <w:br/>
              <w:t>Target WCAG 2.2 AA as the minimum baseline for the core LMS and for widgets/themes seeking BTG Approved status.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Cognitive accessibility</w:t>
            </w:r>
            <w:r>
              <w:br/>
              <w:t>Go beyond WCAG with predictable structure, explicit instructions, reduced visual/cognitive load, no forced autoplay/animation, no default time pressure, optional focus/low-distraction presentation, quiet social/notification defaults and automatic progress preservation.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 diagnosis modes</w:t>
            </w:r>
            <w:r>
              <w:br/>
              <w:t>Do not create an “ADHD mode” or “ASD mode.” Expose concrete learner preferences such as reduced motion, reduced clutter, content density, font scale, reading width and community visibility.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Interaction predictability</w:t>
            </w:r>
            <w:r>
              <w:br/>
              <w:t>Avoid unexpected navigation, focus stealing, keyboard traps, automatic submission, hidden timeouts and surprise modal/audio behavior. Form labels/errors and assessment rules must be explicit and accessible.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Authoring accessibility safeguards</w:t>
            </w:r>
            <w:r>
              <w:br/>
              <w:t>Use deterministic authoring checks for objectively testable issues and AI suggestions for cognitive/accessibility improvements. Classify findings as blocking errors, warnings or suggestions; AI never autonomously changes/publishes content.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Accessible assessments/widgets</w:t>
            </w:r>
            <w:r>
              <w:br/>
              <w:t>Matching/ordering/interactive question types and widgets must have keyboard/screen-reader accessible equivalents. BTG Approved widgets undergo both security and accessibility review.</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Learner preference precedence</w:t>
            </w:r>
            <w:r>
              <w:br/>
              <w:t>Accessibility preferences belong to the learner and take precedence over themes/branding/course presentation where the setting is learner-owned.</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Definition of Done</w:t>
            </w:r>
            <w:r>
              <w:br/>
              <w:t>Feature completion includes keyboard/focus behavior, semantic/screen-reader consideration, zoom/text scaling, reduced-motion behavior, accessible error states and automated/manual accessibility checks as appropriate.</w:t>
            </w:r>
          </w:p>
        </w:tc>
      </w:tr>
    </w:tbl>
    <w:p/>
    <w:p>
      <w:pPr>
        <w:pStyle w:val="Heading1"/>
      </w:pPr>
      <w:r>
        <w:t>26. Governance and project stewardship</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Three governance layers</w:t>
            </w:r>
            <w:r>
              <w:br/>
              <w:t>Separate open-source project governance, official BTG instance governance and course/content governance. Self-hosters may define different instance policies while hard platform invariants remain unchanged.</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Content trust labels</w:t>
            </w:r>
            <w:r>
              <w:br/>
              <w:t>Distinguish BTG Official, BTG Reviewed and Community content where useful. BTG Official content has BTG stewardship; BTG Reviewed is community content reviewed by BTG; Community is not presented as BTG-reviewed.</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Publishing authority</w:t>
            </w:r>
            <w:r>
              <w:br/>
              <w:t>Global author eligibility does not grant edit/publish rights to every course. Course-scoped membership remains mandatory. Publishing on the official BTG instance may require additional platform approval beyond being able to author a course.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Topic governance</w:t>
            </w:r>
            <w:r>
              <w:br/>
              <w:t>Topics are centrally curated taxonomy; tags are author-defined and may later be normalized/merged administratively.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Deprecation over deletion</w:t>
            </w:r>
            <w:r>
              <w:br/>
              <w:t>Courses use ACTIVE/DEPRECATED/ARCHIVED semantics. Deprecation keeps material accessible but no longer recommended; archived content is preserved for history/certificates and removed from normal discovery.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Open review criteria</w:t>
            </w:r>
            <w:r>
              <w:br/>
              <w:t>BTG plugin/widget approval criteria should be published and cover security, accessibility, permissions/network, functional sanity and licensing.</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 popularity governance</w:t>
            </w:r>
            <w:r>
              <w:br/>
              <w:t>Do not use follower counts, reputation, upvotes/downvotes, leaderboards or popularity rankings as governance mechanisms by default.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Security disclosure process</w:t>
            </w:r>
            <w:r>
              <w:br/>
              <w:t>Establish a private vulnerability-reporting and coordinated disclosure process early because the LMS is internet-facing.</w:t>
            </w:r>
          </w:p>
        </w:tc>
      </w:tr>
    </w:tbl>
    <w:p/>
    <w:p>
      <w:pPr>
        <w:pStyle w:val="Heading1"/>
      </w:pPr>
      <w:r>
        <w:t>27. Data lifecycle and retention</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Retention by category</w:t>
            </w:r>
            <w:r>
              <w:br/>
              <w:t>Do not use one global retention value. Separate permanent/historical data, configurable-retention operational/personal data and short-lived temporary/security tokens.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Historical artifacts</w:t>
            </w:r>
            <w:r>
              <w:br/>
              <w:t>Published CourseVersions, publication provenance/review records required for history, certificate issuance/revocation records and necessary authorship attribution are retained as historical artifacts and are not silently rewritten by retention cleanup.</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Draft retention</w:t>
            </w:r>
            <w:r>
              <w:br/>
              <w:t>Current drafts remain. Detailed revisions/comments for unpublished work may be compacted or purged according to configurable policy; inactive/abandoned drafts receive warning/grace periods before cleanup.</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Temporary asset cleanup</w:t>
            </w:r>
            <w:r>
              <w:br/>
              <w:t>Unreferenced draft assets, import extraction files and generated temporary/reconstructable files are garbage-collected after configurable grace periods.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Learner/account lifecycle</w:t>
            </w:r>
            <w:r>
              <w:br/>
              <w:t>Learner progress, attempts and widget state are retained according to instance policy while needed. Account deletion removes/anonymizes personal learner state as required while preserving only necessary historical/tombstone references.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Community deletion behavior</w:t>
            </w:r>
            <w:r>
              <w:br/>
              <w:t>Community content may be anonymized rather than automatically destroying useful discussions when an account is deleted, subject to privacy/legal policy and explicit content-removal cases.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Backup retention relationship</w:t>
            </w:r>
            <w:r>
              <w:br/>
              <w:t>Deleted data may persist in backups until normal backup expiry; backups are not retroactively edited. Restoring older backups should reconcile deletion/tombstone state before returning to normal operation where practical.</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Instance-level retention policy</w:t>
            </w:r>
            <w:r>
              <w:br/>
              <w:t>Security/audit, operational logs, job history, widget state and analytics retention are administrator-level settings rather than course-level choices.</w:t>
            </w:r>
          </w:p>
        </w:tc>
      </w:tr>
    </w:tbl>
    <w:p/>
    <w:p>
      <w:pPr>
        <w:pStyle w:val="Heading1"/>
      </w:pPr>
      <w:r>
        <w:t>28. Configuration and policy management</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Configuration layers</w:t>
            </w:r>
            <w:r>
              <w:br/>
              <w:t>Separate deployment configuration, instance policy, course configuration and user preferences. Treat architectural invariants as a fifth category that is deliberately not configurable.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Deployment configuration</w:t>
            </w:r>
            <w:r>
              <w:br/>
              <w:t>Database/provider/runtime/bootstrap settings live primarily in environment/config/SecretProvider because the application needs them before DB-backed administration is available.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Instance policy</w:t>
            </w:r>
            <w:r>
              <w:br/>
              <w:t>Store typed administrator policy such as review rules, plugin trust, analytics thresholds, retention, registration and MFA requirements in PostgreSQL with validation and audit history.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Course configuration limits</w:t>
            </w:r>
            <w:r>
              <w:br/>
              <w:t>Courses may configure legitimate course-level behavior such as community mode and assessment settings, but cannot weaken instance security/privacy limits or platform invariants.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User preference limits</w:t>
            </w:r>
            <w:r>
              <w:br/>
              <w:t>Users control their accessibility/presentation/notification preferences, but preferences cannot override mandatory security policy such as required MFA.</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Architectural invariants</w:t>
            </w:r>
            <w:r>
              <w:br/>
              <w:t>Do not expose configuration switches for rules such as published-version immutability, server-side authorization, no plugin DB/session access, no automatic learner migration, no external telemetry or AI autonomous publication.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Sensitive policy changes</w:t>
            </w:r>
            <w:r>
              <w:br/>
              <w:t>Classify sensitive/critical configuration changes for step-up authentication, audit, warnings/notifications and potentially two-person approval on the official BTG instance.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Non-secret config portability</w:t>
            </w:r>
            <w:r>
              <w:br/>
              <w:t>Support export/import/dry-run validation of non-secret instance policy/configuration. Secrets remain references rather than exported values.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Feature flags</w:t>
            </w:r>
            <w:r>
              <w:br/>
              <w:t>Keep development/rollout feature flags separate from durable product configuration; long-lived flags should become real settings or be removed.</w:t>
            </w:r>
          </w:p>
        </w:tc>
      </w:tr>
    </w:tbl>
    <w:p/>
    <w:p>
      <w:pPr>
        <w:pStyle w:val="Heading1"/>
      </w:pPr>
      <w:r>
        <w:t>29. Theming and branding</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Theme boundary</w:t>
            </w:r>
            <w:r>
              <w:br/>
              <w:t>Themes may change presentation/branding but not application behavior, semantics, navigation structure, authorization-driven visibility or course/assessment logic.</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Declarative themes</w:t>
            </w:r>
            <w:r>
              <w:br/>
              <w:t>Prefer design tokens and approved assets over arbitrary CSS/JavaScript. Community themes should be declarative and non-executable.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Branding separation</w:t>
            </w:r>
            <w:r>
              <w:br/>
              <w:t>Instance branding (name, logo, favicon, support/legal links) is distinct from theme implementation so self-hosters can rebrand without forking the frontend.</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Accessibility precedence</w:t>
            </w:r>
            <w:r>
              <w:br/>
              <w:t>Accessibility requirements and learner-owned accessibility preferences override theme/branding choices where they conflict.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Built-in fallback</w:t>
            </w:r>
            <w:r>
              <w:br/>
              <w:t>The default accessible core theme is always available and cannot be removed; a broken/incompatible custom theme must never make administration/recovery unreachable.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Theme compatibility/trust</w:t>
            </w:r>
            <w:r>
              <w:br/>
              <w:t>Themes are versioned against compatible LMS ranges. BTG Approved themes must pass accessibility validation; the official instance uses owned/approved themes according to policy.</w:t>
            </w:r>
          </w:p>
        </w:tc>
      </w:tr>
    </w:tbl>
    <w:p/>
    <w:p>
      <w:pPr>
        <w:pStyle w:val="Heading1"/>
      </w:pPr>
      <w:r>
        <w:t>30. Installation and bootstrap</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V1 deployment scope</w:t>
            </w:r>
            <w:r>
              <w:br/>
              <w:t>Keep v1 installation intentionally small: Docker Compose reference deployment, PostgreSQL, one simple storage implementation, SMTP, environment/file secrets, CLI migrations, CLI first-admin creation, health endpoints, doctor command and secure production defaults.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First administrator</w:t>
            </w:r>
            <w:r>
              <w:br/>
              <w:t>Create the first administrator through an explicit local/server-side CLI command, not a public “become the first admin” web route.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Bootstrap separation</w:t>
            </w:r>
            <w:r>
              <w:br/>
              <w:t>Infrastructure bootstrap is CLI/config-driven; once the core is running, instance policy/branding can be configured through the admin UI.</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 production default secrets</w:t>
            </w:r>
            <w:r>
              <w:br/>
              <w:t>Production startup must reject known/default/insecure critical secrets. Development and production modes may differ for convenience, but production enforces secure cookie/CSP/error behavior.</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Reference deployment minimalism</w:t>
            </w:r>
            <w:r>
              <w:br/>
              <w:t>Redis/MinIO/Kubernetes are not mandatory v1 dependencies. PostgreSQL handles jobs/search/internal coordination; storage choice determines whether an additional service is needed.</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Future-ready not future-heavy</w:t>
            </w:r>
            <w:r>
              <w:br/>
              <w:t>Design provider/process boundaries so S3/Azure storage, managed secrets/mail, separate workers, Helm/Kubernetes, cloud deployment templates and multi-arch images can be added later without making them v1 requirements.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 automatic demo content</w:t>
            </w:r>
            <w:r>
              <w:br/>
              <w:t>Production installations start clean. Demo/sample content, if provided, is an explicit development/test action rather than automatically installed.</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No automatic update phone-home</w:t>
            </w:r>
            <w:r>
              <w:br/>
              <w:t>The LMS displays its own version but does not automatically contact BTG to discover updates in v1.</w:t>
            </w:r>
          </w:p>
        </w:tc>
      </w:tr>
    </w:tbl>
    <w:p/>
    <w:p>
      <w:pPr>
        <w:pStyle w:val="Heading1"/>
      </w:pPr>
      <w:r>
        <w:t>31. Release and distribution policy</w:t>
      </w:r>
    </w:p>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Stable release model</w:t>
            </w:r>
            <w:r>
              <w:br/>
              <w:t>Use semantic versioning and one primary stable production channel. A development/nightly channel may exist for contributors but is not the production recommendation.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Compatibility contracts</w:t>
            </w:r>
            <w:r>
              <w:br/>
              <w:t>Application, public API, widget API and course-package schemas are independently versioned. Compatibility is an explicit contract rather than an accidental property of implementation.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Stable release quality gate</w:t>
            </w:r>
            <w:r>
              <w:br/>
              <w:t>A release is stable only after required DB migration/upgrade, security, accessibility and compatibility checks pass and appropriate release/upgrade notes exist.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Breaking-change policy</w:t>
            </w:r>
            <w:r>
              <w:br/>
              <w:t>Breaking public contracts normally require a major version/new API version and clear upgrade/deprecation guidance. Avoid silent breaking changes in minor releases.</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RECOMMENDED</w:t>
            </w:r>
          </w:p>
        </w:tc>
        <w:tc>
          <w:tcPr>
            <w:tcW w:type="dxa" w:w="4997"/>
            <w:shd w:fill="F8FAFC"/>
            <w:tcMar>
              <w:top w:w="130" w:type="dxa"/>
              <w:start w:w="140" w:type="dxa"/>
              <w:bottom w:w="130" w:type="dxa"/>
              <w:end w:w="140" w:type="dxa"/>
            </w:tcMar>
            <w:vAlign w:val="center"/>
          </w:tcPr>
          <w:p>
            <w:r>
              <w:rPr>
                <w:b/>
              </w:rPr>
              <w:t>Support window</w:t>
            </w:r>
            <w:r>
              <w:br/>
              <w:t>Document supported release windows and backport security fixes only to supported branches. Do not promise an LTS policy until maintainer capacity makes it sustainable.</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DECIDED</w:t>
            </w:r>
          </w:p>
        </w:tc>
        <w:tc>
          <w:tcPr>
            <w:tcW w:type="dxa" w:w="4997"/>
            <w:shd w:fill="F8FAFC"/>
            <w:tcMar>
              <w:top w:w="130" w:type="dxa"/>
              <w:start w:w="140" w:type="dxa"/>
              <w:bottom w:w="130" w:type="dxa"/>
              <w:end w:w="140" w:type="dxa"/>
            </w:tcMar>
            <w:vAlign w:val="center"/>
          </w:tcPr>
          <w:p>
            <w:r>
              <w:rPr>
                <w:b/>
              </w:rPr>
              <w:t>V1 distribution artifacts</w:t>
            </w:r>
            <w:r>
              <w:br/>
              <w:t>V1 focuses on source releases, official container image, Docker Compose/config examples, checksums/signatures where practical, release notes and upgrade notes. Helm/cloud packaging can follow later.</w:t>
            </w:r>
          </w:p>
        </w:tc>
      </w:tr>
    </w:tbl>
    <w:p/>
    <w:p>
      <w:pPr>
        <w:pStyle w:val="Heading1"/>
      </w:pPr>
      <w:r>
        <w:t>32. Implementation-ready module architecture</w:t>
      </w:r>
    </w:p>
    <w:p>
      <w:pPr/>
      <w:r>
        <w:t>The modular monolith is organized by business capability rather than by technical layers. Each module owns its data and invariants, exposes explicit application/domain services, and interacts with other modules through narrow contracts and domain events. Cross-cutting modules consume events instead of becoming synchronous dependencies of every business operation.</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V1 module set</w:t>
              <w:br/>
              <w:t>V1 core modules are Identity &amp; Access; Courses; Authoring; Publishing; Assessments; Learning Progress; Certificates &amp; Badges; Community &amp; Moderation; Notifications; Search &amp; Discovery; Administration; Audit &amp; Security; and Infrastructure Adapters. The Widget Platform is planned post-v1 architecture.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Dependency direction</w:t>
              <w:br/>
              <w:t>Core domain modules depend on lower-level capabilities, not on outer orchestration modules. Administration may orchestrate multiple modules, but core domains do not depend back on Administration. Cross-cutting concerns such as Notifications, Search and Audit react to domain events rather than being called synchronously everywhere.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Published-content boundary</w:t>
              <w:br/>
              <w:t>Courses owns the immutable learner-facing model. Authoring owns mutable workspaces and collaboration. Publishing is the controlled gate that validates an exact approved draft revision and creates an immutable CourseVersion. Publishing never repairs content silently; validation failures return to Authoring.</w:t>
            </w:r>
          </w:p>
        </w:tc>
      </w:tr>
    </w:tbl>
    <w:p>
      <w:pPr>
        <w:pStyle w:val="Heading2"/>
      </w:pPr>
      <w:r>
        <w:t>32.1 Identity &amp; Access</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Identity ownership</w:t>
              <w:br/>
              <w:t>Identity &amp; Access owns User, PublicProfile, UserEmail, authentication identities, sessions, global roles, service accounts/credentials and generic OIDC provider configuration. Stable internal user IDs are independent from email or external usernames.</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Authorization engine</w:t>
              <w:br/>
              <w:t>Use coarse global RBAC plus resource/state policy checks. The central authorization service evaluates capabilities; domain modules contribute resource-specific policies rather than Identity hard-coding every domain rule. Backend enforcement is authoritative.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Session and machine identity</w:t>
              <w:br/>
              <w:t>Normal browser authentication uses revocable opaque server-side sessions. Service accounts are distinct machine identities with scoped credentials. Step-up authentication produces a short-lived elevated authorization context for sensitive actions.</w:t>
            </w:r>
          </w:p>
        </w:tc>
      </w:tr>
    </w:tbl>
    <w:p>
      <w:pPr>
        <w:pStyle w:val="Heading2"/>
      </w:pPr>
      <w:r>
        <w:t>32.2 Courses</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Courses ownership</w:t>
              <w:br/>
              <w:t>Courses owns Course, immutable CourseVersion, Module, Lesson, published Asset metadata, published translations, recommended prerequisites and future dependency declarations. Lesson content is stored as JSONB with stable block identities; coarse entities remain relational.</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Stable identities</w:t>
              <w:br/>
              <w:t>Version-specific database IDs and stable conceptual keys are separate. Stable keys support translations, version diffs, progress transfer, comments, analytics and deep links across versions without making published artifacts mutable.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Course membership boundary</w:t>
              <w:br/>
              <w:t>Current Maintainer/Author/Reviewer/Translator memberships are authoring/governance data, not published course data. Published versions snapshot contributor attribution so historical authorship survives account or team changes.</w:t>
            </w:r>
          </w:p>
        </w:tc>
      </w:tr>
    </w:tbl>
    <w:p>
      <w:pPr>
        <w:pStyle w:val="Heading2"/>
      </w:pPr>
      <w:r>
        <w:t>32.3 Authoring</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Authoring ownership</w:t>
              <w:br/>
              <w:t>Authoring owns CourseDraft, mutable draft modules/lessons/assessments, course memberships, draft revisions, comments, suggestions, edit locks, review state, DraftAsset and translation work-in-progress.</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Collaboration model</w:t>
              <w:br/>
              <w:t>Use server-enforced lesson/assessment/course-metadata edit leases rather than real-time merge editing. Other collaborators may view locked content; locks heartbeat/expire and maintainers may force-unlock with audit.</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Revisions and suggestions</w:t>
              <w:br/>
              <w:t>Autosave is encouraged but does not create a full snapshot on every keystroke. Use deltas/coalesced revisions plus periodic/meaningful snapshots. Human and AI suggestions use the same proposal mechanism; AI never commits changes directly.</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Review model</w:t>
              <w:br/>
              <w:t>Submitting for review freezes the exact draft revision. Review comments target that snapshot. APPROVED or CHANGES_REQUESTED decisions are explicit; requested changes return the workspace to editing. Publication provenance retains review history.</w:t>
            </w:r>
          </w:p>
        </w:tc>
      </w:tr>
    </w:tbl>
    <w:p>
      <w:pPr>
        <w:pStyle w:val="Heading2"/>
      </w:pPr>
      <w:r>
        <w:t>32.4 Publishing</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Publication boundary</w:t>
              <w:br/>
              <w:t>Publishing owns publication attempts and orchestration, not course content. It validates authorization, exact approved revision, structure, accessibility, assessments, assets, licensing/provenance, version semantics and other enabled platform rules before atomically creating the immutable CourseVersion.</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Publication attempts</w:t>
              <w:br/>
              <w:t>Each publish request records the draft/revision/review/version and structured validation result. Failed attempts leave no partially published artifact. Publication may run as a DB-backed asynchronous job and expose status via normal application mechanisms.</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Lifecycle and emergency withdrawal</w:t>
              <w:br/>
              <w:t>Published versions may be deprecated or archived without changing their content. A privileged audited WITHDRAWN state is available for serious security, privacy or legal incidents and prevents normal learner access while retaining historical evidence.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V1 widget handling</w:t>
              <w:br/>
              <w:t>V1 Publishing validates only supported built-in block types; it does not implement external-widget dependency validation. The validation pipeline is structured so a future WidgetDependency validator can be added without redesigning publication.</w:t>
            </w:r>
          </w:p>
        </w:tc>
      </w:tr>
    </w:tbl>
    <w:p>
      <w:pPr>
        <w:pStyle w:val="Heading2"/>
      </w:pPr>
      <w:r>
        <w:t>32.5 Assessments</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Assessment ownership</w:t>
              <w:br/>
              <w:t>Assessments owns published deterministic question definitions and evaluation/scoring logic. Authoring creates/edit drafts; Learning Progress owns learner attempt history. Published assessments are tied to an exact CourseVersion.</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Deterministic scoring</w:t>
              <w:br/>
              <w:t>V1 structured types are single choice, multiple choice, true/false, matching, ordering and categorization. Scoring is intentionally simple and deterministic; exact correctness is preferred over clever partial-credit rules in v1.</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Accessible interaction</w:t>
              <w:br/>
              <w:t>Matching, ordering and categorization must have keyboard/screen-reader-operable alternatives and cannot depend on drag-and-drop alone. Timers remain off and attempts unlimited by default.</w:t>
            </w:r>
          </w:p>
        </w:tc>
      </w:tr>
    </w:tbl>
    <w:p>
      <w:pPr>
        <w:pStyle w:val="Heading2"/>
      </w:pPr>
      <w:r>
        <w:t>32.6 Learning Progress</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Enrollment model</w:t>
              <w:br/>
              <w:t>Enrollment represents one learner participation in exactly one CourseVersion. A user/course pair may therefore have multiple Enrollments over time. Enrollment status may be ENROLLED, IN_PROGRESS, COMPLETED or ABANDONED; an Enrollment is never repointed to another CourseVersion.</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Retake and resume behavior</w:t>
              <w:br/>
              <w:t>If an abandoned Enrollment targets an older still-available version, the learner may resume that version or start the current version. Starting the current version creates a new Enrollment. WITHDRAWN versions cannot be resumed; deprecated-version resume is policy-controlled.</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Progress transfer</w:t>
              <w:br/>
              <w:t>Starting/migrating to a newer CourseVersion may optionally transfer compatible progress using stable keys plus publisher-approved mappings. Transfer is explicit and provenance-tracked (for example LEARNER vs TRANSFERRED completion source); changed lessons/assessments are conservatively repeated. A fresh retake transfers nothing.</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Attempts and completion</w:t>
              <w:br/>
              <w:t>Learning Progress owns LessonProgress, AssessmentAttempt, CourseCompletion and version-migration choice/history. Attempts store the submitted result snapshot against the exact CourseVersion. Completion uses explicit lesson/assessment rules, not time-on-page.</w:t>
            </w:r>
          </w:p>
        </w:tc>
      </w:tr>
    </w:tbl>
    <w:p>
      <w:pPr>
        <w:pStyle w:val="Heading2"/>
      </w:pPr>
      <w:r>
        <w:t>32.7 Certificates &amp; Badges</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Certificate achievement record</w:t>
              <w:br/>
              <w:t>A Certificate references the exact completed Enrollment and CourseVersion and snapshots holder/course/issuer metadata at issuance. The durable source of truth is the DB record rendered on a verification page; future PDF output is generated on demand. Revocation is recorded rather than rewriting/deleting history.</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Open Badges 3.0 interoperability</w:t>
              <w:br/>
              <w:t>Credential architecture targets Open Badges 3.0 interoperability. Internal CredentialIssuer, BadgeDefinition and BadgeCredential models remain domain-oriented, while an interoperability mapper can produce/sign OpenBadgeCredential JSON-LD. Formal 1EdTech certification is not a v1 requirement.</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Credential privacy</w:t>
              <w:br/>
              <w:t>Public verification exposes only what is necessary to validate the credential. Certificate identity remains separate from community PublicProfile/pseudonym, email and OIDC identities.</w:t>
            </w:r>
          </w:p>
        </w:tc>
      </w:tr>
    </w:tbl>
    <w:p>
      <w:pPr>
        <w:pStyle w:val="Heading2"/>
      </w:pPr>
      <w:r>
        <w:t>32.8 Community &amp; Moderation</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Community scope and ownership</w:t>
              <w:br/>
              <w:t>Community owns course/lesson discussion, Q&amp;A, announcements, reports and moderation records. It is outside immutable CourseVersion content and is never included in portable course exports. Threads may carry optional CourseVersion context while remaining anchored to the logical Course for continuity.</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Moderation scopes</w:t>
              <w:br/>
              <w:t>Course Maintainers may moderate their own course community (hide, lock, pin, official answers). Global Moderators handle cross-course reports and platform community enforcement. Account suspension remains an Identity operation invoked through authorized policy.</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Non-social design</w:t>
              <w:br/>
              <w:t>No private messaging, followers, reputation points, public contribution scores, leaderboards, live chat or federation in v1. Learners may minimize/hide community surfaces and ordinary community notifications follow quiet defaults.</w:t>
            </w:r>
          </w:p>
        </w:tc>
      </w:tr>
    </w:tbl>
    <w:p>
      <w:pPr>
        <w:pStyle w:val="Heading2"/>
      </w:pPr>
      <w:r>
        <w:t>32.9 Notifications</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Notification responsibility</w:t>
              <w:br/>
              <w:t>Domain modules emit semantic events; Notifications determines recipient relevance, preference, instance policy, localization and delivery channel. V1 channels are in-app and email, with asynchronous DB-backed delivery and retries.</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Notification policy</w:t>
              <w:br/>
              <w:t>Separate transactional/security, workflow and community categories. Security-critical messages may be mandatory. Workflow/community preferences support immediate/digest/off where allowed, with quiet community defaults and no engagement-pressure design.</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Templates and payloads</w:t>
              <w:br/>
              <w:t>Notification types/templates are application-defined and localized; domain modules do not produce final human-readable strings. Payloads contain minimal references/data and never arbitrary HTML or unnecessary sensitive content.</w:t>
            </w:r>
          </w:p>
        </w:tc>
      </w:tr>
    </w:tbl>
    <w:p>
      <w:pPr>
        <w:pStyle w:val="Heading2"/>
      </w:pPr>
      <w:r>
        <w:t>32.10 Search &amp; Discovery</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Search implementation</w:t>
              <w:br/>
              <w:t>V1 uses PostgreSQL full-text search as a reconstructable projection over published course metadata/content. No SearchProvider abstraction or external search engine is required initially.</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Discovery model</w:t>
              <w:br/>
              <w:t>Use centrally curated Topics, flexible Tags and editorial LearningPaths. Ranking and related-course suggestions are deterministic and metadata-based; no behavioral profiling, collaborative filtering or opaque personalized recommendation engine.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Multilingual behavior</w:t>
              <w:br/>
              <w:t>Prefer results in the learner-selected language and clearly indicate source-language fallbacks. Search filters include language/topic/tag/learning path and other explicit course metadata.</w:t>
            </w:r>
          </w:p>
        </w:tc>
      </w:tr>
    </w:tbl>
    <w:p>
      <w:pPr>
        <w:pStyle w:val="Heading2"/>
      </w:pPr>
      <w:r>
        <w:t>32.11 Administration</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Administration boundary</w:t>
              <w:br/>
              <w:t>Administration owns instance-level orchestration/configuration surfaces such as branding, typed policies, feature flags, taxonomy administration and operational status views. It does not own or directly mutate users, courses, credentials or notifications; it calls the owning module.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Typed policy model</w:t>
              <w:br/>
              <w:t>Prefer typed policy objects (for example RegistrationPolicy, ReviewPolicy, MfaPolicy, CommunityPolicy, AnalyticsPolicy, RetentionPolicy, NotificationPolicy and CertificatePolicy) over one arbitrary settings map. Policy changes are validated, audited and classified NORMAL/SENSITIVE/CRITICAL.</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Operational dashboard</w:t>
              <w:br/>
              <w:t>Administration may show summarized local health, schema/version/provider/job status without becoming a second observability database. Critical administrative actions use step-up authentication and may later support two-person approval on the official BTG instance.</w:t>
            </w:r>
          </w:p>
        </w:tc>
      </w:tr>
    </w:tbl>
    <w:p>
      <w:pPr>
        <w:pStyle w:val="Heading2"/>
      </w:pPr>
      <w:r>
        <w:t>32.12 Audit &amp; Security</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Audit model</w:t>
              <w:br/>
              <w:t>Audit stores append-oriented records of important actor/action/resource/outcome facts with correlation IDs. It is distinct from operational logs and learner analytics; it does not become a second copy of application data or request bodies.</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Security events and enforcement</w:t>
              <w:br/>
              <w:t>Security events, step-up requirements and privileged-action classification are explicit. Domain modules still own their operations; Security provides reusable policy checks and incident support rather than acting as a god-proxy for every command.</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Tamper resistance</w:t>
              <w:br/>
              <w:t>Self-hosting means a server/DB super-administrator cannot be made cryptographically powerless. Target append-only application paths, least-privilege DB permissions and practical tamper evidence; stronger external logging/checkpointing may be added for deployments with compliance needs.</w:t>
            </w:r>
          </w:p>
        </w:tc>
      </w:tr>
    </w:tbl>
    <w:p>
      <w:pPr>
        <w:pStyle w:val="Heading2"/>
      </w:pPr>
      <w:r>
        <w:t>32.13 Infrastructure Adapters</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Capability ports</w:t>
              <w:br/>
              <w:t>Domain/application modules depend on capabilities such as StorageProvider, MailProvider, SecretProvider, AIProvider and DB-backed job processing; infrastructure supplies implementations. PostgreSQL itself is an explicit architectural choice rather than hidden behind a generic DatabaseProvider.</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V1 infrastructure implementations</w:t>
              <w:br/>
              <w:t>V1 keeps infrastructure small: PostgreSQL, one simple durable storage implementation (filesystem or DB-backed), SMTP, environment/file secrets, DB-backed jobs and optional AI integration. Redis, message broker, external search and Kubernetes are not mandatory.</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Runtime primitives</w:t>
              <w:br/>
              <w:t>Infrastructure also provides testable runtime primitives such as Clock, ID generation, transactions, advisory locks and correlation context. Storage adapters handle bytes/references, not business entities.</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Scaling path</w:t>
              <w:br/>
              <w:t>A small instance may run web and background jobs together. The same application/image can later run separate web and worker processes without turning the modular monolith into microservices.</w:t>
            </w:r>
          </w:p>
        </w:tc>
      </w:tr>
    </w:tbl>
    <w:p>
      <w:pPr>
        <w:pStyle w:val="Heading2"/>
      </w:pPr>
      <w:r>
        <w:t>32.14 Planned Widget Platform (post-v1)</w:t>
      </w:r>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Not a v1 feature</w:t>
              <w:br/>
              <w:t>V1 ships only built-in content/media/assessment block types and no third-party executable frontend extension system. Widget registry, installation, signing/trust UI, capability API, widget state and sandbox runtime are not required to launch the LMS.</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Future-ready seams</w:t>
              <w:br/>
              <w:t>The lesson block model, package schema/versioning and rendering architecture must preserve a clean future extension seam so a sandboxed widget block type can be introduced without redesigning CourseVersion or lesson persistence.</w:t>
            </w:r>
          </w:p>
        </w:tc>
      </w:tr>
    </w:tbl>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Future security boundary</w:t>
              <w:br/>
              <w:t>When implemented, widgets use separate-origin sandboxing, explicit capabilities, deny-by-default networking, scoped pseudonymous learner identity, bounded state, version-specific trust/approval and no executable server-side plugin code or automatic installation from course packages.</w:t>
            </w:r>
          </w:p>
        </w:tc>
      </w:tr>
    </w:tbl>
    <w:p>
      <w:pPr>
        <w:pStyle w:val="Heading1"/>
      </w:pPr>
      <w:r>
        <w:t>33. Technology stack and implementation tooling</w:t>
      </w:r>
    </w:p>
    <w:p>
      <w:pPr/>
      <w:r>
        <w:t>The technology stack is chosen to preserve the architecture already defined: a lightweight self-hostable modular monolith, explicit PostgreSQL usage, a statically built frontend, accessibility-first UI primitives, and strong automated verification without adding infrastructure that the product does not need.</w:t>
      </w: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Backend language</w:t>
              <w:br/>
              <w:t>Use Go for the LMS backend. The main reasons are a small operational footprint, single-binary distribution, straightforward concurrency/background workers, strong standard-library support and good contributor accessibility. Rust remains technically attractive but would impose more implementation/contributor complexity; Java/Spring is not required for this application.</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HTTP stack</w:t>
              <w:br/>
              <w:t>Use the Go standard net/http stack with chi as the router/middleware layer. Prefer standard-library compatibility and explicit middleware over a larger web framework; LMS throughput does not justify a fasthttp-style framework.</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Database access</w:t>
              <w:br/>
              <w:t>Use pgx for PostgreSQL connectivity and sqlc for typed generated query code. SQL remains explicitly authored and PostgreSQL-specific features such as JSONB, full-text search, advisory locks and SKIP LOCKED remain first-class. Generated sqlc records are persistence DTOs and do not automatically become domain models.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Database migrations</w:t>
              <w:br/>
              <w:t>Use Goose for forward-only SQL migrations, invoked through explicit LMS CLI commands. Production server startup checks schema compatibility but does not silently run migrations.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Frontend framework</w:t>
              <w:br/>
              <w:t>Use Vue 3 with TypeScript and Vite. Do not require Nuxt for v1; production frontend assets are compiled statically and served/embedded by the Go application. Vue was selected from several viable choices partly because project maintainers already have strong Vue experience.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Accessible UI foundation</w:t>
              <w:br/>
              <w:t>Build a BTG-owned component/design-system layer using native semantic HTML first and Reka UI for complex accessible interaction primitives such as dialogs, menus, tabs, comboboxes and focus-managed overlays. Do not adopt a visual framework such as Vuetify/PrimeVue as the product design system wholesale.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Frontend state</w:t>
              <w:br/>
              <w:t>Use Vue reactivity for local UI state. TanStack Query is the preferred server-state library when caching, invalidation, retries, deduplication or background refresh justify it, but it is not mandatory for the earliest screens. Introduce Pinia only if genuine cross-screen client-owned state appears.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Forms and API contract</w:t>
              <w:br/>
              <w:t>Own BTG form components and visible-label/error-summary patterns rather than delegating the form UX to a full form framework. OpenAPI is the Go/Vue contract; generate TypeScript contract types with openapi-typescript and keep a small explicit frontend API layer.</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Text-block editing</w:t>
              <w:br/>
              <w:t>Use Tiptap inside text blocks only. A lesson remains a BTG block sequence; Tiptap does not own the entire lesson document. Store/render a constrained validated structured representation rather than arbitrary author HTML.</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Backend testing</w:t>
              <w:br/>
              <w:t>Use Go standard tests for domain/application logic, native Go fuzzing selectively for untrusted parsers/validators, and Testcontainers with real PostgreSQL for sqlc repositories, migrations, transactions, locks, background-job claiming and PostgreSQL-specific behavior. Do not substitute SQLite/mocked SQL for these integration semantics.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Frontend and browser testing</w:t>
              <w:br/>
              <w:t>Use Vitest + Vue Testing Library (with Vue Test Utils underneath) for Vue component/semantic tests. Use Playwright for critical end-to-end workflows and real keyboard/focus/browser behavior. Use @axe-core/playwright for automated WCAG checks on important dynamic UI states.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Accessibility verification</w:t>
              <w:br/>
              <w:t>Automated accessibility tooling is necessary but insufficient. WCAG 2.2 AA automated checks are complemented by explicit Playwright keyboard/cognitive-behavior tests and a manual release checklist covering screen-reader smoke tests, keyboard-only flows, reflow/zoom, reduced motion and BTG cognitive-accessibility principles.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Architecture and security checks</w:t>
              <w:br/>
              <w:t>CI must enforce the allowed Go module import graph with a small repository-owned architecture checker and should detect cross-module SQL writes. Run go vet, golangci-lint, govulncheck and selected race/fuzz suites; authorization is covered by an explicit role/resource/state matrix.</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Logging and metrics</w:t>
              <w:br/>
              <w:t>Use the Go standard log/slog package for structured logging (JSON in production, human-readable in development), correlation/request IDs throughout request/job flows, and Prometheus client_golang for local scrape-only operational metrics. Do not introduce OpenTelemetry in v1.</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Health and diagnostics</w:t>
              <w:br/>
              <w:t>Provide cheap liveness, dependency-aware readiness and richer authenticated admin status. Ship lms doctor for configuration/dependency validation and lms diagnostics for an explicitly generated sanitized support bundle. Diagnostics never upload themselves or include secrets, learner content or private credential data.</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API errors</w:t>
              <w:br/>
              <w:t>Return consistent RFC 9457-style Problem Details responses with a request/correlation reference. Raw Go errors, stack traces and internal exception details are never exposed to normal users.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Build and packaging</w:t>
              <w:br/>
              <w:t>Use pnpm for frontend dependency management, Vite for frontend builds and Make as the human-facing task runner. Production builds compile Vue to static assets and embed them in the Go executable, yielding one LMS binary/container plus PostgreSQL and configured external capabilities such as SMTP/storage.</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CLI and process model</w:t>
              <w:br/>
              <w:t>One btg-lms executable provides subcommands such as serve, worker, migrate, upgrade-check, doctor, diagnostics and admin create. Small installations may run web and DB-backed workers in one process; larger installations can run the same image/binary as separate web and worker processes.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Container and platforms</w:t>
              <w:br/>
              <w:t>Publish a minimal non-root OCI container and support Linux amd64 and arm64 early. The final runtime image contains no Node/Go build toolchain. The reference deployment remains Docker Compose plus PostgreSQL; Kubernetes/Helm stay future-ready rather than v1 requirements.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CI/CD and release automation</w:t>
              <w:br/>
              <w:t>Use GitHub Actions for the reference open-source pipeline. PR gates cover generation drift, unit/component tests, lint/static analysis, PostgreSQL integration tests, critical Chromium Playwright/axe flows and architecture checks. Nightly/release pipelines add race/fuzz, broader browser coverage, upgrade tests and vulnerability scanning. Git tags drive SemVer releases and GHCR images.</w:t>
            </w:r>
          </w:p>
        </w:tc>
      </w:tr>
    </w:tbl>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
              <w:t>DECIDED</w:t>
            </w:r>
          </w:p>
        </w:tc>
        <w:tc>
          <w:tcPr>
            <w:tcW w:type="dxa" w:w="4997"/>
            <w:shd w:fill="F8FAFC"/>
            <w:tcMar>
              <w:top w:w="130" w:type="dxa"/>
              <w:start w:w="140" w:type="dxa"/>
              <w:bottom w:w="130" w:type="dxa"/>
              <w:end w:w="140" w:type="dxa"/>
            </w:tcMar>
            <w:vAlign w:val="center"/>
          </w:tcPr>
          <w:p>
            <w:r/>
            <w:r>
              <w:rPr>
                <w:b/>
              </w:rPr>
              <w:t>Supply-chain checks</w:t>
              <w:br/>
              <w:t>Use govulncheck for Go vulnerability reachability, Trivy for container/filesystem scanning and Gitleaks for accidental secret detection. Generate checksums for releases; SBOM generation and container/release signing are desirable early maturity improvements but do not block core v1 functionality.</w:t>
            </w:r>
          </w:p>
        </w:tc>
      </w:tr>
    </w:tbl>
    <w:p>
      <w:pPr>
        <w:pStyle w:val="Heading1"/>
      </w:pPr>
      <w:r>
        <w:t>34. Topics intentionally not settled yet</w:t>
      </w:r>
    </w:p>
    <w:p>
      <w:pPr/>
      <w:r>
        <w:t>The following areas remain intentionally open. Their architectural constraints are defined, but exact contracts, schemas and parameter values should be settled during implementation as concrete module interfaces emerge:</w:t>
      </w:r>
    </w:p>
    <w:p>
      <w:pPr>
        <w:spacing w:after="20"/>
      </w:pPr>
    </w:p>
    <w:p>
      <w:pPr>
        <w:spacing w:after="20"/>
      </w:pPr>
    </w:p>
    <w:p>
      <w:pPr>
        <w:spacing w:after="20"/>
      </w:pPr>
    </w:p>
    <w:p>
      <w:pPr>
        <w:spacing w:after="20"/>
      </w:pPr>
    </w:p>
    <w:p>
      <w:pPr>
        <w:spacing w:after="20"/>
      </w:pPr>
    </w:p>
    <w:p>
      <w:pPr>
        <w:spacing w:after="20"/>
      </w:pPr>
    </w:p>
    <w:p>
      <w:pPr>
        <w:spacing w:after="20"/>
      </w:pPr>
    </w:p>
    <w:p>
      <w:pPr>
        <w:spacing w:after="20"/>
      </w:pPr>
    </w:p>
    <w:p>
      <w:pPr>
        <w:spacing w:after="20"/>
      </w:pPr>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OPEN</w:t>
            </w:r>
          </w:p>
        </w:tc>
        <w:tc>
          <w:tcPr>
            <w:tcW w:type="dxa" w:w="4997"/>
            <w:shd w:fill="F8FAFC"/>
            <w:tcMar>
              <w:top w:w="130" w:type="dxa"/>
              <w:start w:w="140" w:type="dxa"/>
              <w:bottom w:w="130" w:type="dxa"/>
              <w:end w:w="140" w:type="dxa"/>
            </w:tcMar>
            <w:vAlign w:val="center"/>
          </w:tcPr>
          <w:p>
            <w:r>
              <w:rPr>
                <w:b/>
              </w:rPr>
              <w:t>Exact infrastructure-provider contracts</w:t>
            </w:r>
            <w:r>
              <w:br/>
              <w:t>Define concrete interfaces/configuration for StorageProvider, MailProvider, SecretProvider and AIProvider and decide which implementations ship in the first release. The abstraction boundary is decided; method/config details are not.</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OPEN</w:t>
            </w:r>
          </w:p>
        </w:tc>
        <w:tc>
          <w:tcPr>
            <w:tcW w:type="dxa" w:w="4997"/>
            <w:shd w:fill="F8FAFC"/>
            <w:tcMar>
              <w:top w:w="130" w:type="dxa"/>
              <w:start w:w="140" w:type="dxa"/>
              <w:bottom w:w="130" w:type="dxa"/>
              <w:end w:w="140" w:type="dxa"/>
            </w:tcMar>
            <w:vAlign w:val="center"/>
          </w:tcPr>
          <w:p>
            <w:r>
              <w:rPr>
                <w:b/>
              </w:rPr>
              <w:t>Exact course package syntax</w:t>
            </w:r>
            <w:r>
              <w:br/>
              <w:t>The portable Git-friendly package requirements are settled, but exact YAML/file layout, package schema and canonical serialization should wait until module/API boundaries are implementation-ready.</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OPEN</w:t>
            </w:r>
          </w:p>
        </w:tc>
        <w:tc>
          <w:tcPr>
            <w:tcW w:type="dxa" w:w="4997"/>
            <w:shd w:fill="F8FAFC"/>
            <w:tcMar>
              <w:top w:w="130" w:type="dxa"/>
              <w:start w:w="140" w:type="dxa"/>
              <w:bottom w:w="130" w:type="dxa"/>
              <w:end w:w="140" w:type="dxa"/>
            </w:tcMar>
            <w:vAlign w:val="center"/>
          </w:tcPr>
          <w:p>
            <w:r>
              <w:rPr>
                <w:b/>
              </w:rPr>
              <w:t>Exact public API contracts</w:t>
            </w:r>
            <w:r>
              <w:br/>
              <w:t>The API architecture, surfaces, authentication and versioning approach are settled; concrete resource/operation schemas and the initial public v1 endpoint list remain implementation design.</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t>OPEN</w:t>
            </w:r>
          </w:p>
        </w:tc>
        <w:tc>
          <w:tcPr>
            <w:tcW w:type="dxa" w:w="4997"/>
            <w:shd w:fill="F8FAFC"/>
            <w:tcMar>
              <w:top w:w="130" w:type="dxa"/>
              <w:start w:w="140" w:type="dxa"/>
              <w:bottom w:w="130" w:type="dxa"/>
              <w:end w:w="140" w:type="dxa"/>
            </w:tcMar>
            <w:vAlign w:val="center"/>
          </w:tcPr>
          <w:p>
            <w:r>
              <w:rPr>
                <w:b/>
              </w:rPr>
              <w:t>Detailed module contracts</w:t>
              <w:br/>
              <w:t>The major ownership/dependency map, language/toolchain and high-level Go package-by-capability structure are decided. Exact exported interfaces, command/query DTOs, repository contracts and sub-package names remain implementation work.</w:t>
            </w:r>
          </w:p>
        </w:tc>
      </w:tr>
    </w:tbl>
    <w:p/>
    <w:tbl>
      <w:tblPr>
        <w:tblW w:type="auto" w:w="0"/>
        <w:jc w:val="center"/>
        <w:tblLayout w:type="fixed"/>
        <w:tblLook w:firstColumn="1" w:firstRow="1" w:lastColumn="0" w:lastRow="0" w:noHBand="0" w:noVBand="1" w:val="04A0"/>
      </w:tblPr>
      <w:tblGrid>
        <w:gridCol w:w="1656"/>
        <w:gridCol w:w="8568"/>
      </w:tblGrid>
      <w:tr>
        <w:trPr>
          <w:cantSplit/>
        </w:trPr>
        <w:tc>
          <w:tcPr>
            <w:tcW w:type="dxa" w:w="4997"/>
            <w:shd w:fill="E7EEF8"/>
            <w:tcMar>
              <w:top w:w="130" w:type="dxa"/>
              <w:start w:w="140" w:type="dxa"/>
              <w:bottom w:w="130" w:type="dxa"/>
              <w:end w:w="140" w:type="dxa"/>
            </w:tcMar>
            <w:vAlign w:val="center"/>
          </w:tcPr>
          <w:p>
            <w:r>
              <w:rPr>
                <w:b/>
                <w:sz w:val="16"/>
              </w:rPr>
              <w:t>OPEN</w:t>
            </w:r>
          </w:p>
        </w:tc>
        <w:tc>
          <w:tcPr>
            <w:tcW w:type="dxa" w:w="4997"/>
            <w:shd w:fill="F8FAFC"/>
            <w:tcMar>
              <w:top w:w="130" w:type="dxa"/>
              <w:start w:w="140" w:type="dxa"/>
              <w:bottom w:w="130" w:type="dxa"/>
              <w:end w:w="140" w:type="dxa"/>
            </w:tcMar>
            <w:vAlign w:val="center"/>
          </w:tcPr>
          <w:p>
            <w:r>
              <w:rPr>
                <w:b/>
              </w:rPr>
              <w:t>Security parameter values/runbooks</w:t>
            </w:r>
            <w:r>
              <w:br/>
              <w:t>Exact session durations, password/hash parameters, CSP directives, rate-limit numbers, malware-scanning integration and incident-response runbooks remain detailed security implementation work.</w:t>
            </w:r>
          </w:p>
        </w:tc>
      </w:tr>
    </w:tbl>
    <w:p/>
    <w:tbl>
      <w:tblPr>
        <w:tblW w:type="auto" w:w="0"/>
        <w:tblLook w:firstColumn="1" w:firstRow="1" w:lastColumn="0" w:lastRow="0" w:noHBand="0" w:noVBand="1" w:val="04A0"/>
      </w:tblPr>
      <w:tblGrid>
        <w:gridCol w:w="1051560"/>
        <w:gridCol w:w="5440680"/>
      </w:tblGrid>
      <w:tr>
        <w:tc>
          <w:tcPr>
            <w:tcW w:type="dxa" w:w="4997"/>
          </w:tcPr>
          <w:p>
            <w:r>
              <w:t>DECIDED</w:t>
            </w:r>
          </w:p>
        </w:tc>
        <w:tc>
          <w:tcPr>
            <w:tcW w:type="dxa" w:w="4997"/>
          </w:tcPr>
          <w:p>
            <w:r>
              <w:rPr>
                <w:b/>
              </w:rPr>
              <w:t>Implementation snapshot</w:t>
              <w:br/>
              <w:t>V1 is a modular monolith with the 13 core modules defined in section 32. Enrollment is version-specific and repeatable; Open Badges 3.0 is the credential interoperability target; Widgets are explicitly post-v1 planned architecture.</w:t>
            </w:r>
          </w:p>
        </w:tc>
      </w:tr>
    </w:tbl>
    <w:p>
      <w:pPr>
        <w:pStyle w:val="Heading1"/>
      </w:pPr>
      <w:r>
        <w:t>35. Quick reconstruction checklist</w:t>
      </w:r>
    </w:p>
    <w:p>
      <w:r>
        <w:t>If the project has to be resumed only from this document, the following summary captures the intended direction:</w:t>
      </w:r>
    </w:p>
    <w:p>
      <w:pPr>
        <w:pStyle w:val="ListBullet"/>
      </w:pPr>
      <w:r>
        <w:t>Modular monolith; PostgreSQL + JSONB; no external broker required initially.</w:t>
      </w:r>
    </w:p>
    <w:p>
      <w:pPr>
        <w:pStyle w:val="ListBullet"/>
      </w:pPr>
      <w:r>
        <w:t>Course -&gt; immutable CourseVersion -&gt; Module -&gt; Lesson -&gt; blocks-in-JSON. Blocks are not separate DB rows by default.</w:t>
      </w:r>
    </w:p>
    <w:p>
      <w:pPr>
        <w:pStyle w:val="ListBullet"/>
      </w:pPr>
      <w:r>
        <w:t>Drafts are mutable workspaces with locks, comments, suggestions, review history, AI proposals and temporary assets. Publication creates an immutable artifact.</w:t>
      </w:r>
    </w:p>
    <w:p>
      <w:pPr>
        <w:pStyle w:val="ListBullet"/>
      </w:pPr>
      <w:r>
        <w:t>Multiple authors/maintainers; course-scoped Author/Maintainer/Reviewer/Translator roles; one person can have multiple roles.</w:t>
      </w:r>
    </w:p>
    <w:p>
      <w:pPr>
        <w:pStyle w:val="ListBullet"/>
      </w:pPr>
      <w:r>
        <w:t>Review freezes the draft; independent review is preferred on the official BTG instance.</w:t>
      </w:r>
    </w:p>
    <w:p>
      <w:pPr>
        <w:pStyle w:val="ListBullet"/>
      </w:pPr>
      <w:r>
        <w:t>Learners never auto-migrate course versions; AI may propose changelogs and migration maps, humans approve them.</w:t>
      </w:r>
    </w:p>
    <w:p>
      <w:pPr>
        <w:pStyle w:val="ListBullet"/>
      </w:pPr>
      <w:r>
        <w:t>Translations are derived trees tied to a source version and can visibly lag behind.</w:t>
      </w:r>
    </w:p>
    <w:p>
      <w:pPr>
        <w:pStyle w:val="ListBullet"/>
      </w:pPr>
      <w:r>
        <w:t>V1 has no third-party executable widget/plugin runtime; only built-in block types ship initially. The planned post-v1 extension surface is sandboxed course/dashboard widgets only, never backend/core plugins.</w:t>
      </w:r>
    </w:p>
    <w:p>
      <w:pPr>
        <w:pStyle w:val="ListBullet"/>
      </w:pPr>
      <w:r>
        <w:t>Future Widget Platform: registry/signing and version-specific trust use BTG Owned, BTG Approved and Unknown (plus Revoked safety state); official BTG permits only Owned/Approved versions.</w:t>
      </w:r>
    </w:p>
    <w:p>
      <w:pPr>
        <w:pStyle w:val="ListBullet"/>
      </w:pPr>
      <w:r>
        <w:t>Future Widget Platform: network access is deny-by-default and explicitly declared/approved by origin; authenticated calls keep secrets server-side.</w:t>
      </w:r>
    </w:p>
    <w:p>
      <w:pPr>
        <w:pStyle w:val="ListBullet"/>
      </w:pPr>
      <w:r>
        <w:t>Generic OIDC backend with provider-specific presentation; LMS account is separate from authentication identities.</w:t>
      </w:r>
    </w:p>
    <w:p>
      <w:pPr>
        <w:pStyle w:val="ListBullet"/>
      </w:pPr>
      <w:r>
        <w:t>Pseudonymous public identity is supported; no external/government ID verification.</w:t>
      </w:r>
    </w:p>
    <w:p>
      <w:pPr>
        <w:pStyle w:val="ListBullet"/>
      </w:pPr>
      <w:r>
        <w:t>RBAC + policy checks; backend enforcement; authors see qualitative aggregate analytics only, never individual learner histories or raw counts/percentages.</w:t>
      </w:r>
    </w:p>
    <w:p>
      <w:pPr>
        <w:pStyle w:val="ListBullet"/>
      </w:pPr>
      <w:r>
        <w:t>Infrastructure-first deployment with only StorageProvider, MailProvider, SecretProvider and AIProvider as current replaceable infrastructure abstractions. PostgreSQL handles search/jobs initially; caching and certificate rendering stay internal.</w:t>
      </w:r>
    </w:p>
    <w:p>
      <w:pPr>
        <w:pStyle w:val="ListBullet"/>
      </w:pPr>
      <w:r>
        <w:t>AGPLv3 is the preferred platform licence; course and asset licensing is separate and version-specific.</w:t>
      </w:r>
    </w:p>
    <w:p>
      <w:pPr>
        <w:pStyle w:val="ListBullet"/>
      </w:pPr>
      <w:r>
        <w:t>Course portability and Git-friendly lossless import/export are first-class requirements.</w:t>
      </w:r>
    </w:p>
    <w:p>
      <w:pPr>
        <w:pStyle w:val="ListBullet"/>
      </w:pPr>
      <w:r>
        <w:t>AI is authoring assistance only at first, and never publishes autonomously.</w:t>
      </w:r>
    </w:p>
    <w:p>
      <w:pPr>
        <w:pStyle w:val="ListBullet"/>
      </w:pPr>
      <w:r>
        <w:t>Community is per-course and optional: disabled, Q&amp;A-only, or discussion + Q&amp;A. Learners may further minimize/hide community surfaces. No private messaging/global social network initially.</w:t>
      </w:r>
    </w:p>
    <w:p>
      <w:pPr>
        <w:pStyle w:val="ListBullet"/>
      </w:pPr>
      <w:r>
        <w:t>Learner assessment is closed, structured and deterministic; no essays, AI grading, code/lab execution or subjective automatic evaluation. AI assists authors with question creation/review only.</w:t>
      </w:r>
    </w:p>
    <w:p>
      <w:pPr>
        <w:pStyle w:val="ListBullet"/>
      </w:pPr>
      <w:r>
        <w:t>No external telemetry under any circumstances. Non-essential analytics are opt-out; author analytics are qualitative signals based on global percentage thresholds and minimum sample size.</w:t>
      </w:r>
    </w:p>
    <w:p>
      <w:pPr>
        <w:pStyle w:val="ListBullet"/>
      </w:pPr>
      <w:r>
        <w:t>Security treats imports, uploads, browsers, external IdPs and AI as untrusted/limited-trust; future widgets are treated the same and sandboxed. Imports are quarantined; privileged actions use MFA/step-up controls and strong audit trails.</w:t>
      </w:r>
    </w:p>
    <w:p>
      <w:pPr>
        <w:pStyle w:val="ListBullet"/>
      </w:pPr>
      <w:r>
        <w:t>Upgrades use SemVer, explicit forward-only migration commands/jobs, documented supported upgrade paths, preflight compatibility checks and backup-based rollback; published historical semantics remain immutable.</w:t>
      </w:r>
    </w:p>
    <w:p>
      <w:pPr>
        <w:pStyle w:val="ListBullet"/>
      </w:pPr>
      <w:r>
        <w:t>Backup execution is infrastructure-owned; the LMS defines the consistent backup set and restore/integrity validation. Certificates are DB records rendered dynamically, not durable PDF files.</w:t>
      </w:r>
    </w:p>
    <w:p>
      <w:pPr>
        <w:pStyle w:val="ListBullet"/>
      </w:pPr>
      <w:r>
        <w:t>Observability is entirely local: structured logs with correlation IDs, Prometheus-compatible metrics, health/readiness, audit/security logs, DB-job diagnostics and sanitized diagnostics bundles. OpenTelemetry is a high-priority future capability, not v1.</w:t>
      </w:r>
    </w:p>
    <w:p>
      <w:pPr>
        <w:pStyle w:val="ListBullet"/>
      </w:pPr>
      <w:r>
        <w:t>API architecture separates internal application and external integration surfaces in v1; a separately versioned Widget API is a planned post-v1 surface. REST/REST-like operations are primary; SSE supports browser collaboration/status and signed webhooks support external event delivery. Service accounts use scoped credentials; future widgets use short-lived capabilities.</w:t>
      </w:r>
    </w:p>
    <w:p>
      <w:pPr>
        <w:pStyle w:val="ListBullet"/>
      </w:pPr>
      <w:r>
        <w:t>Notifications support in-app + email in v1 with quiet defaults, digest/user controls and mandatory critical security/account notices where needed.</w:t>
      </w:r>
    </w:p>
    <w:p>
      <w:pPr>
        <w:pStyle w:val="ListBullet"/>
      </w:pPr>
      <w:r>
        <w:t>Search/discovery uses PostgreSQL full-text search, controlled topics, free tags, editorial learning paths and multilingual metadata. No behavioral profiling or opaque recommendation engine.</w:t>
      </w:r>
    </w:p>
    <w:p>
      <w:pPr>
        <w:pStyle w:val="ListBullet"/>
      </w:pPr>
      <w:r>
        <w:t>Accessibility targets WCAG 2.2 AA plus explicit cognitive/predictability requirements. No ASD/ADHD modes; expose concrete learner preferences. Accessibility is part of the Definition of Done and BTG approval reviews.</w:t>
      </w:r>
    </w:p>
    <w:p>
      <w:pPr>
        <w:pStyle w:val="ListBullet"/>
      </w:pPr>
      <w:r>
        <w:t>Governance distinguishes project, official-instance and course/content authority. Content may be BTG Official, BTG Reviewed or Community; topics are curated; deprecation/archival is preferred over deletion.</w:t>
      </w:r>
    </w:p>
    <w:p>
      <w:pPr>
        <w:pStyle w:val="ListBullet"/>
      </w:pPr>
      <w:r>
        <w:t>Retention is category-based: immutable published/certificate history is preserved; operational/personal/draft/community/job/analytics data follows configurable lifecycle rules and privacy deletion/tombstone handling. Future widget state follows the same configurable lifecycle model when introduced.</w:t>
      </w:r>
    </w:p>
    <w:p>
      <w:pPr>
        <w:pStyle w:val="ListBullet"/>
      </w:pPr>
      <w:r>
        <w:t>Configuration is layered into deployment config, instance policy, course config, user preferences and non-configurable architectural invariants. Lower layers cannot weaken higher security/privacy/accessibility constraints.</w:t>
      </w:r>
    </w:p>
    <w:p>
      <w:pPr>
        <w:pStyle w:val="ListBullet"/>
      </w:pPr>
      <w:r>
        <w:t>Themes are declarative presentation/branding only, built on design tokens/assets; no executable JS/arbitrary core behavior. A built-in accessible fallback theme is always available.</w:t>
      </w:r>
    </w:p>
    <w:p>
      <w:pPr>
        <w:pStyle w:val="ListBullet"/>
      </w:pPr>
      <w:r>
        <w:t>V1 bootstrap is intentionally small: Docker Compose, PostgreSQL, simple storage, SMTP, env/file secrets, CLI migration/first-admin, health endpoints and doctor tooling. Cloud/Kubernetes/advanced packaging are future-ready, not v1 requirements.</w:t>
      </w:r>
    </w:p>
    <w:p>
      <w:pPr>
        <w:pStyle w:val="ListBullet"/>
      </w:pPr>
      <w:r>
        <w:t>Releases use SemVer with a stable channel and explicit compatibility/deprecation contracts. LTS/support-window promises remain dependent on maintainer capacity.</w:t>
      </w:r>
    </w:p>
    <w:p>
      <w:pPr>
        <w:pStyle w:val="ListBullet"/>
      </w:pPr>
      <w:r>
        <w:t>Implementation stack: Go + net/http/chi; PostgreSQL through pgx + sqlc; Goose migrations; DB-backed workers; no ORM or application broker required.</w:t>
      </w:r>
    </w:p>
    <w:p>
      <w:pPr>
        <w:pStyle w:val="ListBullet"/>
      </w:pPr>
      <w:r>
        <w:t>Frontend stack: Vue 3 + TypeScript + Vite; BTG-owned components built on semantic HTML and Reka UI; no Nuxt/runtime Node dependency in v1.</w:t>
      </w:r>
    </w:p>
    <w:p>
      <w:pPr>
        <w:pStyle w:val="ListBullet"/>
      </w:pPr>
      <w:r>
        <w:t>OpenAPI is the frontend/backend contract; TypeScript types are generated with openapi-typescript. Tiptap is confined to text-block editing and is not the lesson persistence model.</w:t>
      </w:r>
    </w:p>
    <w:p>
      <w:pPr>
        <w:pStyle w:val="ListBullet"/>
      </w:pPr>
      <w:r>
        <w:t>Lessons are discrete ordered blocks. Learners can choose Focus presentation (one block at a time) or Continuous scrolling presentation; resume state retains the last block stable key.</w:t>
      </w:r>
    </w:p>
    <w:p>
      <w:pPr>
        <w:pStyle w:val="ListBullet"/>
      </w:pPr>
      <w:r>
        <w:t>Testing: Go unit/table tests and selective fuzzing; Testcontainers with real PostgreSQL; Vitest + Vue Testing Library; Playwright + axe-core; manual screen-reader/keyboard/reflow/cognitive-accessibility release checks.</w:t>
      </w:r>
    </w:p>
    <w:p>
      <w:pPr>
        <w:pStyle w:val="ListBullet"/>
      </w:pPr>
      <w:r>
        <w:t>Observability implementation: slog structured logs, correlation IDs, Prometheus-compatible local metrics, explicit live/ready health endpoints, RFC 9457-style API errors, lms doctor and sanitized lms diagnostics. OpenTelemetry stays post-v1.</w:t>
      </w:r>
    </w:p>
    <w:p>
      <w:pPr>
        <w:pStyle w:val="ListBullet"/>
      </w:pPr>
      <w:r>
        <w:t>Build/release: pnpm + Vite + Make; Vue assets embedded into one Go executable; one binary provides serve/worker/migrate/upgrade-check/doctor/diagnostics/admin commands; Linux amd64/arm64 OCI releases via GitHub Actions/GHCR.</w:t>
      </w:r>
    </w:p>
    <w:p>
      <w:pPr>
        <w:pStyle w:val="Heading1"/>
      </w:pPr>
      <w:r>
        <w:t>Appendix A. Decision status legend</w:t>
      </w:r>
    </w:p>
    <w:tbl>
      <w:tblPr>
        <w:tblStyle w:val="TableGrid"/>
        <w:tblW w:type="auto" w:w="0"/>
        <w:jc w:val="center"/>
        <w:tblLook w:firstColumn="1" w:firstRow="1" w:lastColumn="0" w:lastRow="0" w:noHBand="0" w:noVBand="1" w:val="04A0"/>
      </w:tblPr>
      <w:tblGrid>
        <w:gridCol w:w="4997"/>
        <w:gridCol w:w="4997"/>
      </w:tblGrid>
      <w:tr>
        <w:tc>
          <w:tcPr>
            <w:tcW w:type="dxa" w:w="4997"/>
            <w:tcMar>
              <w:top w:w="100" w:type="dxa"/>
              <w:start w:w="120" w:type="dxa"/>
              <w:bottom w:w="100" w:type="dxa"/>
              <w:end w:w="120" w:type="dxa"/>
            </w:tcMar>
            <w:shd w:fill="D9E6F2"/>
          </w:tcPr>
          <w:p>
            <w:r>
              <w:rPr>
                <w:b/>
              </w:rPr>
              <w:t>Status</w:t>
            </w:r>
          </w:p>
        </w:tc>
        <w:tc>
          <w:tcPr>
            <w:tcW w:type="dxa" w:w="4997"/>
            <w:tcMar>
              <w:top w:w="100" w:type="dxa"/>
              <w:start w:w="120" w:type="dxa"/>
              <w:bottom w:w="100" w:type="dxa"/>
              <w:end w:w="120" w:type="dxa"/>
            </w:tcMar>
            <w:shd w:fill="D9E6F2"/>
          </w:tcPr>
          <w:p>
            <w:r>
              <w:rPr>
                <w:b/>
              </w:rPr>
              <w:t>Meaning</w:t>
            </w:r>
          </w:p>
        </w:tc>
      </w:tr>
      <w:tr>
        <w:tc>
          <w:tcPr>
            <w:tcW w:type="dxa" w:w="4997"/>
            <w:tcMar>
              <w:top w:w="100" w:type="dxa"/>
              <w:start w:w="120" w:type="dxa"/>
              <w:bottom w:w="100" w:type="dxa"/>
              <w:end w:w="120" w:type="dxa"/>
            </w:tcMar>
          </w:tcPr>
          <w:p>
            <w:r>
              <w:t>DECIDED</w:t>
            </w:r>
          </w:p>
        </w:tc>
        <w:tc>
          <w:tcPr>
            <w:tcW w:type="dxa" w:w="4997"/>
            <w:tcMar>
              <w:top w:w="100" w:type="dxa"/>
              <w:start w:w="120" w:type="dxa"/>
              <w:bottom w:w="100" w:type="dxa"/>
              <w:end w:w="120" w:type="dxa"/>
            </w:tcMar>
          </w:tcPr>
          <w:p>
            <w:r>
              <w:t>Agreed architecture/product decision; treat as baseline unless deliberately revisited.</w:t>
            </w:r>
          </w:p>
        </w:tc>
      </w:tr>
      <w:tr>
        <w:tc>
          <w:tcPr>
            <w:tcW w:type="dxa" w:w="4997"/>
            <w:tcMar>
              <w:top w:w="100" w:type="dxa"/>
              <w:start w:w="120" w:type="dxa"/>
              <w:bottom w:w="100" w:type="dxa"/>
              <w:end w:w="120" w:type="dxa"/>
            </w:tcMar>
          </w:tcPr>
          <w:p>
            <w:r>
              <w:t>RECOMMENDED</w:t>
            </w:r>
          </w:p>
        </w:tc>
        <w:tc>
          <w:tcPr>
            <w:tcW w:type="dxa" w:w="4997"/>
            <w:tcMar>
              <w:top w:w="100" w:type="dxa"/>
              <w:start w:w="120" w:type="dxa"/>
              <w:bottom w:w="100" w:type="dxa"/>
              <w:end w:w="120" w:type="dxa"/>
            </w:tcMar>
          </w:tcPr>
          <w:p>
            <w:r>
              <w:t>Preferred current direction; still open to refinement during detailed design.</w:t>
            </w:r>
          </w:p>
        </w:tc>
      </w:tr>
      <w:tr>
        <w:tc>
          <w:tcPr>
            <w:tcW w:type="dxa" w:w="4997"/>
            <w:tcMar>
              <w:top w:w="100" w:type="dxa"/>
              <w:start w:w="120" w:type="dxa"/>
              <w:bottom w:w="100" w:type="dxa"/>
              <w:end w:w="120" w:type="dxa"/>
            </w:tcMar>
          </w:tcPr>
          <w:p>
            <w:r>
              <w:t>OPEN</w:t>
            </w:r>
          </w:p>
        </w:tc>
        <w:tc>
          <w:tcPr>
            <w:tcW w:type="dxa" w:w="4997"/>
            <w:tcMar>
              <w:top w:w="100" w:type="dxa"/>
              <w:start w:w="120" w:type="dxa"/>
              <w:bottom w:w="100" w:type="dxa"/>
              <w:end w:w="120" w:type="dxa"/>
            </w:tcMar>
          </w:tcPr>
          <w:p>
            <w:r>
              <w:t>Important design area intentionally deferred.</w:t>
            </w:r>
          </w:p>
        </w:tc>
      </w:tr>
    </w:tbl>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Bridging the Gap LMS - Architecture Decision Baseline</w:t>
    </w:r>
  </w:p>
  <w:p>
    <w:pPr>
      <w:jc w:val="right"/>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4B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8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1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