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C95" w:rsidRPr="006E530E" w:rsidRDefault="00963F6B" w:rsidP="005604C5">
      <w:pPr>
        <w:spacing w:line="480" w:lineRule="auto"/>
        <w:jc w:val="center"/>
        <w:rPr>
          <w:rFonts w:ascii="Times New Roman" w:hAnsi="Times New Roman" w:cs="Times New Roman"/>
          <w:u w:val="single"/>
        </w:rPr>
      </w:pPr>
      <w:r w:rsidRPr="006E530E">
        <w:rPr>
          <w:rFonts w:ascii="Times New Roman" w:hAnsi="Times New Roman" w:cs="Times New Roman"/>
          <w:u w:val="single"/>
        </w:rPr>
        <w:t>The Pharisees Through Separate Lenses</w:t>
      </w:r>
    </w:p>
    <w:p w:rsidR="00683608" w:rsidRDefault="00B42251" w:rsidP="005604C5">
      <w:pPr>
        <w:spacing w:line="480" w:lineRule="auto"/>
        <w:rPr>
          <w:rFonts w:ascii="Times New Roman" w:hAnsi="Times New Roman" w:cs="Times New Roman"/>
        </w:rPr>
      </w:pPr>
      <w:r>
        <w:rPr>
          <w:rFonts w:ascii="Times New Roman" w:hAnsi="Times New Roman" w:cs="Times New Roman"/>
        </w:rPr>
        <w:tab/>
      </w:r>
      <w:r w:rsidR="006E530E" w:rsidRPr="00A06C34">
        <w:rPr>
          <w:rFonts w:ascii="Times New Roman" w:hAnsi="Times New Roman" w:cs="Times New Roman"/>
        </w:rPr>
        <w:t xml:space="preserve">Matthew 12:14 reads “But the Pharisees went out and conspired against him, how to destroy him.” </w:t>
      </w:r>
      <w:r w:rsidR="006E530E">
        <w:rPr>
          <w:rFonts w:ascii="Times New Roman" w:hAnsi="Times New Roman" w:cs="Times New Roman"/>
        </w:rPr>
        <w:t>The nature of the relationship between Jesus and the Pharisees in the 1</w:t>
      </w:r>
      <w:r w:rsidR="006E530E" w:rsidRPr="006E530E">
        <w:rPr>
          <w:rFonts w:ascii="Times New Roman" w:hAnsi="Times New Roman" w:cs="Times New Roman"/>
          <w:vertAlign w:val="superscript"/>
        </w:rPr>
        <w:t>st</w:t>
      </w:r>
      <w:r w:rsidR="006E530E">
        <w:rPr>
          <w:rFonts w:ascii="Times New Roman" w:hAnsi="Times New Roman" w:cs="Times New Roman"/>
        </w:rPr>
        <w:t xml:space="preserve"> century CE has set the tone for the nature of the relationship between Christianity and Judaism. Throughout the New Testament (NT) the Pharisees are portrayed as </w:t>
      </w:r>
      <w:r w:rsidR="00C442DA">
        <w:rPr>
          <w:rFonts w:ascii="Times New Roman" w:hAnsi="Times New Roman" w:cs="Times New Roman"/>
        </w:rPr>
        <w:t>meticulous</w:t>
      </w:r>
      <w:r w:rsidR="006E530E">
        <w:rPr>
          <w:rFonts w:ascii="Times New Roman" w:hAnsi="Times New Roman" w:cs="Times New Roman"/>
        </w:rPr>
        <w:t>, self-righteous, wealthy hypocrites. As a Christian, I always assumed that the Pharisees were just that. They were th</w:t>
      </w:r>
      <w:r w:rsidR="00C442DA">
        <w:rPr>
          <w:rFonts w:ascii="Times New Roman" w:hAnsi="Times New Roman" w:cs="Times New Roman"/>
        </w:rPr>
        <w:t>is</w:t>
      </w:r>
      <w:r w:rsidR="006E530E">
        <w:rPr>
          <w:rFonts w:ascii="Times New Roman" w:hAnsi="Times New Roman" w:cs="Times New Roman"/>
        </w:rPr>
        <w:t xml:space="preserve"> horrible embodiment of an unspoken rivalry between Christianity and Judaism. However, the Pharisees were none of those things. The traditional Christian view of the Pharisees is not only complicated and contradictory, but also problematic and untrue. </w:t>
      </w:r>
      <w:r w:rsidR="006E530E" w:rsidRPr="00AC35AC">
        <w:rPr>
          <w:rFonts w:ascii="Times New Roman" w:hAnsi="Times New Roman" w:cs="Times New Roman"/>
        </w:rPr>
        <w:t>The Pharisees were a s</w:t>
      </w:r>
      <w:r w:rsidR="00826C16" w:rsidRPr="00AC35AC">
        <w:rPr>
          <w:rFonts w:ascii="Times New Roman" w:hAnsi="Times New Roman" w:cs="Times New Roman"/>
        </w:rPr>
        <w:t>mall s</w:t>
      </w:r>
      <w:r w:rsidR="006E530E" w:rsidRPr="00AC35AC">
        <w:rPr>
          <w:rFonts w:ascii="Times New Roman" w:hAnsi="Times New Roman" w:cs="Times New Roman"/>
        </w:rPr>
        <w:t>ect</w:t>
      </w:r>
      <w:r w:rsidR="00AD08C6" w:rsidRPr="00AC35AC">
        <w:rPr>
          <w:rFonts w:ascii="Times New Roman" w:hAnsi="Times New Roman" w:cs="Times New Roman"/>
        </w:rPr>
        <w:t xml:space="preserve"> striving to</w:t>
      </w:r>
      <w:r w:rsidR="006E530E" w:rsidRPr="00AC35AC">
        <w:rPr>
          <w:rFonts w:ascii="Times New Roman" w:hAnsi="Times New Roman" w:cs="Times New Roman"/>
        </w:rPr>
        <w:t xml:space="preserve"> liv</w:t>
      </w:r>
      <w:r w:rsidR="00AD08C6" w:rsidRPr="00AC35AC">
        <w:rPr>
          <w:rFonts w:ascii="Times New Roman" w:hAnsi="Times New Roman" w:cs="Times New Roman"/>
        </w:rPr>
        <w:t>e</w:t>
      </w:r>
      <w:r w:rsidR="006E530E" w:rsidRPr="00AC35AC">
        <w:rPr>
          <w:rFonts w:ascii="Times New Roman" w:hAnsi="Times New Roman" w:cs="Times New Roman"/>
        </w:rPr>
        <w:t xml:space="preserve"> a </w:t>
      </w:r>
      <w:r w:rsidR="00C442DA" w:rsidRPr="00AC35AC">
        <w:rPr>
          <w:rFonts w:ascii="Times New Roman" w:hAnsi="Times New Roman" w:cs="Times New Roman"/>
        </w:rPr>
        <w:t xml:space="preserve">precise </w:t>
      </w:r>
      <w:r w:rsidR="006E530E" w:rsidRPr="00AC35AC">
        <w:rPr>
          <w:rFonts w:ascii="Times New Roman" w:hAnsi="Times New Roman" w:cs="Times New Roman"/>
        </w:rPr>
        <w:t xml:space="preserve">lifestyle </w:t>
      </w:r>
      <w:r w:rsidR="00826C16" w:rsidRPr="00AC35AC">
        <w:rPr>
          <w:rFonts w:ascii="Times New Roman" w:hAnsi="Times New Roman" w:cs="Times New Roman"/>
        </w:rPr>
        <w:t xml:space="preserve">while </w:t>
      </w:r>
      <w:r w:rsidR="006E530E" w:rsidRPr="00AC35AC">
        <w:rPr>
          <w:rFonts w:ascii="Times New Roman" w:hAnsi="Times New Roman" w:cs="Times New Roman"/>
        </w:rPr>
        <w:t>occupying the same streets and shop</w:t>
      </w:r>
      <w:r w:rsidR="00621A64" w:rsidRPr="00AC35AC">
        <w:rPr>
          <w:rFonts w:ascii="Times New Roman" w:hAnsi="Times New Roman" w:cs="Times New Roman"/>
        </w:rPr>
        <w:t>s</w:t>
      </w:r>
      <w:r w:rsidR="00826C16" w:rsidRPr="00AC35AC">
        <w:rPr>
          <w:rFonts w:ascii="Times New Roman" w:hAnsi="Times New Roman" w:cs="Times New Roman"/>
        </w:rPr>
        <w:t xml:space="preserve"> as Jews with</w:t>
      </w:r>
      <w:r w:rsidR="00AC35AC" w:rsidRPr="00AC35AC">
        <w:rPr>
          <w:rFonts w:ascii="Times New Roman" w:hAnsi="Times New Roman" w:cs="Times New Roman"/>
        </w:rPr>
        <w:t xml:space="preserve"> disparate </w:t>
      </w:r>
      <w:r w:rsidR="00826C16" w:rsidRPr="00AC35AC">
        <w:rPr>
          <w:rFonts w:ascii="Times New Roman" w:hAnsi="Times New Roman" w:cs="Times New Roman"/>
        </w:rPr>
        <w:t>priorities.</w:t>
      </w:r>
      <w:r w:rsidR="006E530E" w:rsidRPr="00AC35AC">
        <w:rPr>
          <w:rFonts w:ascii="Times New Roman" w:hAnsi="Times New Roman" w:cs="Times New Roman"/>
        </w:rPr>
        <w:t xml:space="preserve"> A</w:t>
      </w:r>
      <w:r w:rsidR="006E530E">
        <w:rPr>
          <w:rFonts w:ascii="Times New Roman" w:hAnsi="Times New Roman" w:cs="Times New Roman"/>
        </w:rPr>
        <w:t xml:space="preserve"> more accurate representation of who the Pharisees were completely reframes them in relationship to Jesus, and, therefore, in relationship to Christianity as a whole. </w:t>
      </w:r>
      <w:r w:rsidR="00DC35A9">
        <w:rPr>
          <w:rFonts w:ascii="Times New Roman" w:hAnsi="Times New Roman" w:cs="Times New Roman"/>
        </w:rPr>
        <w:t xml:space="preserve">Moreover, it completely changes </w:t>
      </w:r>
      <w:r w:rsidR="00622F41">
        <w:rPr>
          <w:rFonts w:ascii="Times New Roman" w:hAnsi="Times New Roman" w:cs="Times New Roman"/>
        </w:rPr>
        <w:t xml:space="preserve">the interpretation of </w:t>
      </w:r>
      <w:r w:rsidR="00DC35A9">
        <w:rPr>
          <w:rFonts w:ascii="Times New Roman" w:hAnsi="Times New Roman" w:cs="Times New Roman"/>
        </w:rPr>
        <w:t xml:space="preserve">each </w:t>
      </w:r>
      <w:r w:rsidR="00AD08C6">
        <w:rPr>
          <w:rFonts w:ascii="Times New Roman" w:hAnsi="Times New Roman" w:cs="Times New Roman"/>
        </w:rPr>
        <w:t>book</w:t>
      </w:r>
      <w:r w:rsidR="00DC35A9">
        <w:rPr>
          <w:rFonts w:ascii="Times New Roman" w:hAnsi="Times New Roman" w:cs="Times New Roman"/>
        </w:rPr>
        <w:t xml:space="preserve"> of the NT, each book from Josephus, and each piece of oral Torah given to </w:t>
      </w:r>
      <w:r w:rsidR="00FF4589">
        <w:rPr>
          <w:rFonts w:ascii="Times New Roman" w:hAnsi="Times New Roman" w:cs="Times New Roman"/>
        </w:rPr>
        <w:t>bring</w:t>
      </w:r>
      <w:r w:rsidR="00AD08C6">
        <w:rPr>
          <w:rFonts w:ascii="Times New Roman" w:hAnsi="Times New Roman" w:cs="Times New Roman"/>
        </w:rPr>
        <w:t xml:space="preserve"> both of these</w:t>
      </w:r>
      <w:r w:rsidR="00FF4589">
        <w:rPr>
          <w:rFonts w:ascii="Times New Roman" w:hAnsi="Times New Roman" w:cs="Times New Roman"/>
        </w:rPr>
        <w:t xml:space="preserve"> timeless </w:t>
      </w:r>
      <w:r w:rsidR="002B78C9">
        <w:rPr>
          <w:rFonts w:ascii="Times New Roman" w:hAnsi="Times New Roman" w:cs="Times New Roman"/>
        </w:rPr>
        <w:t xml:space="preserve">religious </w:t>
      </w:r>
      <w:r w:rsidR="00FF4589">
        <w:rPr>
          <w:rFonts w:ascii="Times New Roman" w:hAnsi="Times New Roman" w:cs="Times New Roman"/>
        </w:rPr>
        <w:t xml:space="preserve">communities </w:t>
      </w:r>
      <w:r w:rsidR="00DC35A9">
        <w:rPr>
          <w:rFonts w:ascii="Times New Roman" w:hAnsi="Times New Roman" w:cs="Times New Roman"/>
        </w:rPr>
        <w:t>closer to God</w:t>
      </w:r>
      <w:r w:rsidR="00FF4589">
        <w:rPr>
          <w:rFonts w:ascii="Times New Roman" w:hAnsi="Times New Roman" w:cs="Times New Roman"/>
        </w:rPr>
        <w:t>.</w:t>
      </w:r>
    </w:p>
    <w:p w:rsidR="002B78C9" w:rsidRDefault="002B78C9" w:rsidP="005604C5">
      <w:pPr>
        <w:spacing w:line="480" w:lineRule="auto"/>
        <w:rPr>
          <w:rFonts w:ascii="Times New Roman" w:hAnsi="Times New Roman" w:cs="Times New Roman"/>
        </w:rPr>
      </w:pPr>
      <w:r>
        <w:rPr>
          <w:rFonts w:ascii="Times New Roman" w:hAnsi="Times New Roman" w:cs="Times New Roman"/>
        </w:rPr>
        <w:tab/>
        <w:t>I vividly remember one Tuesday sitting around a large table at Bible study talking about the Pharisees. I wasn’t really sure what they looked like or who they were, I only had the Bible in front of me and the words of the adults around me. I imagined a group of about 10 to 15 older men. They had bushy beards and long robes. They moved in a sort of</w:t>
      </w:r>
      <w:r w:rsidR="008D1AA4">
        <w:rPr>
          <w:rFonts w:ascii="Times New Roman" w:hAnsi="Times New Roman" w:cs="Times New Roman"/>
        </w:rPr>
        <w:t xml:space="preserve"> triangle</w:t>
      </w:r>
      <w:r>
        <w:rPr>
          <w:rFonts w:ascii="Times New Roman" w:hAnsi="Times New Roman" w:cs="Times New Roman"/>
        </w:rPr>
        <w:t xml:space="preserve"> formation with eyes darting everywhere </w:t>
      </w:r>
      <w:r w:rsidR="00622F41">
        <w:rPr>
          <w:rFonts w:ascii="Times New Roman" w:hAnsi="Times New Roman" w:cs="Times New Roman"/>
        </w:rPr>
        <w:t xml:space="preserve">searching </w:t>
      </w:r>
      <w:r>
        <w:rPr>
          <w:rFonts w:ascii="Times New Roman" w:hAnsi="Times New Roman" w:cs="Times New Roman"/>
        </w:rPr>
        <w:t xml:space="preserve">for impurity. It was like they were waiting for someone, anyone, to do something wrong so that they could be accused and punished according to a strict, made up </w:t>
      </w:r>
      <w:r w:rsidR="00307EE6">
        <w:rPr>
          <w:rFonts w:ascii="Times New Roman" w:hAnsi="Times New Roman" w:cs="Times New Roman"/>
        </w:rPr>
        <w:t>Law</w:t>
      </w:r>
      <w:r>
        <w:rPr>
          <w:rFonts w:ascii="Times New Roman" w:hAnsi="Times New Roman" w:cs="Times New Roman"/>
        </w:rPr>
        <w:t xml:space="preserve"> that claimed to be Biblical. </w:t>
      </w:r>
    </w:p>
    <w:p w:rsidR="007535F1" w:rsidRDefault="002B78C9" w:rsidP="007535F1">
      <w:pPr>
        <w:spacing w:line="480" w:lineRule="auto"/>
      </w:pPr>
      <w:r>
        <w:lastRenderedPageBreak/>
        <w:tab/>
        <w:t>I</w:t>
      </w:r>
      <w:r w:rsidR="00622F41">
        <w:t xml:space="preserve"> got all of this</w:t>
      </w:r>
      <w:r>
        <w:t xml:space="preserve">, like many Christians, </w:t>
      </w:r>
      <w:r w:rsidR="00622F41">
        <w:t xml:space="preserve">from </w:t>
      </w:r>
      <w:r>
        <w:t xml:space="preserve">assumptions based on the text in front of me. </w:t>
      </w:r>
      <w:r w:rsidR="007535F1">
        <w:t xml:space="preserve">I inadvertently brought myself into a long-standing tradition of distaste and distrust. The Pharisees </w:t>
      </w:r>
      <w:r w:rsidR="00835A87">
        <w:t xml:space="preserve">are quickly deemed “hypocrites” and “a brood </w:t>
      </w:r>
      <w:r w:rsidR="007535F1">
        <w:t xml:space="preserve">of </w:t>
      </w:r>
      <w:r w:rsidR="00835A87">
        <w:t>vipers</w:t>
      </w:r>
      <w:r w:rsidR="00622F41">
        <w:t>.</w:t>
      </w:r>
      <w:r w:rsidR="00731D0F">
        <w:t>”</w:t>
      </w:r>
      <w:r w:rsidR="00835A87">
        <w:rPr>
          <w:rStyle w:val="FootnoteReference"/>
          <w:rFonts w:ascii="Times New Roman" w:hAnsi="Times New Roman" w:cs="Times New Roman"/>
        </w:rPr>
        <w:footnoteReference w:id="1"/>
      </w:r>
      <w:r w:rsidR="00835A87">
        <w:t xml:space="preserve"> </w:t>
      </w:r>
      <w:r>
        <w:t>It seems as though they thought everyone around them was constantly impure</w:t>
      </w:r>
      <w:r w:rsidR="00DA29D5">
        <w:t>.</w:t>
      </w:r>
      <w:r w:rsidR="00692DD2">
        <w:rPr>
          <w:rStyle w:val="FootnoteReference"/>
          <w:rFonts w:ascii="Times New Roman" w:hAnsi="Times New Roman" w:cs="Times New Roman"/>
        </w:rPr>
        <w:footnoteReference w:id="2"/>
      </w:r>
      <w:r>
        <w:t xml:space="preserve"> </w:t>
      </w:r>
      <w:r w:rsidR="00835A87">
        <w:t xml:space="preserve">Some would </w:t>
      </w:r>
      <w:r w:rsidR="00DA29D5">
        <w:t xml:space="preserve">go so far as to </w:t>
      </w:r>
      <w:r w:rsidR="00835A87">
        <w:t>say that they had “a hatred of other peoples</w:t>
      </w:r>
      <w:r w:rsidR="00731D0F">
        <w:t>.”</w:t>
      </w:r>
      <w:r w:rsidR="00835A87">
        <w:rPr>
          <w:rStyle w:val="FootnoteReference"/>
          <w:rFonts w:ascii="Times New Roman" w:hAnsi="Times New Roman" w:cs="Times New Roman"/>
        </w:rPr>
        <w:footnoteReference w:id="3"/>
      </w:r>
      <w:r w:rsidR="00835A87">
        <w:t xml:space="preserve"> In a similar vein, they have been known for their exclusivity</w:t>
      </w:r>
      <w:r w:rsidR="00622F41">
        <w:t>,</w:t>
      </w:r>
      <w:r w:rsidR="00835A87">
        <w:t xml:space="preserve"> as they were only men. There is a famous prayer by Rabbi Judah which precisely pulls together </w:t>
      </w:r>
      <w:r w:rsidR="003358C2">
        <w:t xml:space="preserve">the Pharisaic distaste for other groups: </w:t>
      </w:r>
      <w:r w:rsidR="00731D0F">
        <w:t>“</w:t>
      </w:r>
      <w:r w:rsidR="003358C2" w:rsidRPr="003358C2">
        <w:t>Blessed be Thou for not having made me a gentile, a woman, or an ignoramus."</w:t>
      </w:r>
      <w:r w:rsidR="003358C2">
        <w:rPr>
          <w:rStyle w:val="FootnoteReference"/>
          <w:rFonts w:ascii="Times New Roman" w:hAnsi="Times New Roman" w:cs="Times New Roman"/>
        </w:rPr>
        <w:footnoteReference w:id="4"/>
      </w:r>
      <w:r w:rsidR="00DA29D5">
        <w:t xml:space="preserve"> </w:t>
      </w:r>
    </w:p>
    <w:p w:rsidR="002A61E2" w:rsidRDefault="002A61E2" w:rsidP="002A61E2">
      <w:pPr>
        <w:spacing w:line="480" w:lineRule="auto"/>
      </w:pPr>
      <w:r>
        <w:tab/>
        <w:t xml:space="preserve">The Pharisees are also set against Jesus in their hopes for </w:t>
      </w:r>
      <w:r w:rsidRPr="007521B4">
        <w:t>fellow Jews</w:t>
      </w:r>
      <w:r>
        <w:t xml:space="preserve">.  They abandoned “love [and] mercy” </w:t>
      </w:r>
      <w:r w:rsidR="00EA74FE">
        <w:t xml:space="preserve">for their neighbors, </w:t>
      </w:r>
      <w:r>
        <w:t>considering themselves to be the only true form of Judaism. They believed themselves to have taken over the position as chosen community of God. They were “uncharitable and proud”</w:t>
      </w:r>
      <w:r w:rsidR="00AF29EB">
        <w:t xml:space="preserve"> to be set apart.</w:t>
      </w:r>
      <w:r>
        <w:rPr>
          <w:rStyle w:val="FootnoteReference"/>
        </w:rPr>
        <w:footnoteReference w:id="5"/>
      </w:r>
      <w:r>
        <w:t xml:space="preserve"> On the other hand, Jesus is noted for his love of all mankind,</w:t>
      </w:r>
      <w:r w:rsidR="00513AB9">
        <w:rPr>
          <w:rStyle w:val="FootnoteReference"/>
        </w:rPr>
        <w:footnoteReference w:id="6"/>
      </w:r>
      <w:r w:rsidR="00513AB9">
        <w:t xml:space="preserve"> his last breath spent on begging for forgiveness of the sin of the world.</w:t>
      </w:r>
    </w:p>
    <w:p w:rsidR="00683608" w:rsidRDefault="00DA29D5" w:rsidP="007535F1">
      <w:pPr>
        <w:spacing w:line="480" w:lineRule="auto"/>
        <w:ind w:firstLine="720"/>
      </w:pPr>
      <w:r>
        <w:t xml:space="preserve">The motives of the Pharisees </w:t>
      </w:r>
      <w:r w:rsidR="005604C5">
        <w:t>are</w:t>
      </w:r>
      <w:r>
        <w:t xml:space="preserve"> also regularly </w:t>
      </w:r>
      <w:r w:rsidR="005604C5">
        <w:t xml:space="preserve">villainized in comparison to those of Jesus. The Pharisees </w:t>
      </w:r>
      <w:r w:rsidR="007535F1">
        <w:t xml:space="preserve">“sought the glory of men,” as opposed to the glory of God. They became enthralled with processes of sanctification, which gave them a reputation of piety. Sadly, </w:t>
      </w:r>
      <w:r w:rsidR="00513AB9">
        <w:t xml:space="preserve">according to traditional opinion, </w:t>
      </w:r>
      <w:r w:rsidR="007535F1">
        <w:t xml:space="preserve">maintenance of this reputation became the basis for their actions. </w:t>
      </w:r>
      <w:r w:rsidR="008368D7">
        <w:t>More generally, focus on what the Pharisees actually believed is overtaken by the motives assigned to them and particularity with which they lived.</w:t>
      </w:r>
    </w:p>
    <w:p w:rsidR="00683608" w:rsidRDefault="00AF6B35" w:rsidP="00AF6B35">
      <w:pPr>
        <w:spacing w:line="480" w:lineRule="auto"/>
        <w:ind w:firstLine="720"/>
        <w:rPr>
          <w:rFonts w:ascii="Times New Roman" w:hAnsi="Times New Roman" w:cs="Times New Roman"/>
        </w:rPr>
      </w:pPr>
      <w:r>
        <w:lastRenderedPageBreak/>
        <w:t>This traditional view of the Pharisees is problematic for many reasons. It blindly</w:t>
      </w:r>
      <w:r>
        <w:rPr>
          <w:rFonts w:ascii="Times New Roman" w:hAnsi="Times New Roman" w:cs="Times New Roman"/>
        </w:rPr>
        <w:t xml:space="preserve"> sets Christianity against Judaism, it uses sources without acknowledging their contexts, and it refuses to take into account the rhetoric of </w:t>
      </w:r>
      <w:r w:rsidR="002477FC">
        <w:rPr>
          <w:rFonts w:ascii="Times New Roman" w:hAnsi="Times New Roman" w:cs="Times New Roman"/>
        </w:rPr>
        <w:t>an ancient writer.</w:t>
      </w:r>
      <w:r w:rsidR="008368D7">
        <w:rPr>
          <w:rFonts w:ascii="Times New Roman" w:hAnsi="Times New Roman" w:cs="Times New Roman"/>
        </w:rPr>
        <w:t xml:space="preserve"> There are three main sources to consider in analysis of who the Pharisees were and what they believed: Josephus, the New Testament, and </w:t>
      </w:r>
      <w:r w:rsidR="002C4E8F">
        <w:rPr>
          <w:rFonts w:ascii="Times New Roman" w:hAnsi="Times New Roman" w:cs="Times New Roman"/>
        </w:rPr>
        <w:t>rabbinic literature</w:t>
      </w:r>
      <w:r w:rsidR="008368D7">
        <w:rPr>
          <w:rFonts w:ascii="Times New Roman" w:hAnsi="Times New Roman" w:cs="Times New Roman"/>
        </w:rPr>
        <w:t>.</w:t>
      </w:r>
      <w:r w:rsidR="002C4E8F">
        <w:rPr>
          <w:rStyle w:val="FootnoteReference"/>
          <w:rFonts w:ascii="Times New Roman" w:hAnsi="Times New Roman" w:cs="Times New Roman"/>
        </w:rPr>
        <w:footnoteReference w:id="7"/>
      </w:r>
      <w:r w:rsidR="008368D7">
        <w:rPr>
          <w:rFonts w:ascii="Times New Roman" w:hAnsi="Times New Roman" w:cs="Times New Roman"/>
        </w:rPr>
        <w:t xml:space="preserve"> </w:t>
      </w:r>
      <w:r w:rsidR="002C4E8F">
        <w:rPr>
          <w:rFonts w:ascii="Times New Roman" w:hAnsi="Times New Roman" w:cs="Times New Roman"/>
        </w:rPr>
        <w:t>Each source comes with its own set of problems.</w:t>
      </w:r>
    </w:p>
    <w:p w:rsidR="002C4E8F" w:rsidRDefault="002C4E8F" w:rsidP="004D5167">
      <w:pPr>
        <w:spacing w:line="480" w:lineRule="auto"/>
        <w:ind w:firstLine="720"/>
        <w:rPr>
          <w:rFonts w:ascii="Times New Roman" w:hAnsi="Times New Roman" w:cs="Times New Roman"/>
        </w:rPr>
      </w:pPr>
      <w:r>
        <w:rPr>
          <w:rFonts w:ascii="Times New Roman" w:hAnsi="Times New Roman" w:cs="Times New Roman"/>
        </w:rPr>
        <w:t>The New Testament, and more specifically those who have interpreted it over time, intend to set the Pharisees as opposite to Jesus. From the Christian perspective, the “conflict stories” played out in accusations</w:t>
      </w:r>
      <w:r w:rsidR="004D5167">
        <w:rPr>
          <w:rFonts w:ascii="Times New Roman" w:hAnsi="Times New Roman" w:cs="Times New Roman"/>
        </w:rPr>
        <w:t>, short anecdotes,</w:t>
      </w:r>
      <w:r w:rsidR="00BA33FE">
        <w:rPr>
          <w:rFonts w:ascii="Times New Roman" w:hAnsi="Times New Roman" w:cs="Times New Roman"/>
        </w:rPr>
        <w:t xml:space="preserve"> and </w:t>
      </w:r>
      <w:r>
        <w:rPr>
          <w:rFonts w:ascii="Times New Roman" w:hAnsi="Times New Roman" w:cs="Times New Roman"/>
        </w:rPr>
        <w:t>parables</w:t>
      </w:r>
      <w:r w:rsidR="00BA33FE">
        <w:rPr>
          <w:rFonts w:ascii="Times New Roman" w:hAnsi="Times New Roman" w:cs="Times New Roman"/>
        </w:rPr>
        <w:t xml:space="preserve"> “</w:t>
      </w:r>
      <w:r w:rsidR="00BA33FE" w:rsidRPr="00BA33FE">
        <w:rPr>
          <w:rFonts w:ascii="Times New Roman" w:hAnsi="Times New Roman" w:cs="Times New Roman"/>
        </w:rPr>
        <w:t>revealed his adversaries’ falseness</w:t>
      </w:r>
      <w:r w:rsidR="00BA33FE">
        <w:rPr>
          <w:rFonts w:ascii="Times New Roman" w:hAnsi="Times New Roman" w:cs="Times New Roman"/>
        </w:rPr>
        <w:t>.”</w:t>
      </w:r>
      <w:r>
        <w:rPr>
          <w:rFonts w:ascii="Times New Roman" w:hAnsi="Times New Roman" w:cs="Times New Roman"/>
        </w:rPr>
        <w:t xml:space="preserve"> </w:t>
      </w:r>
      <w:r w:rsidR="00BA33FE">
        <w:rPr>
          <w:rFonts w:ascii="Times New Roman" w:hAnsi="Times New Roman" w:cs="Times New Roman"/>
        </w:rPr>
        <w:t xml:space="preserve">Of course, from the Jewish perspective </w:t>
      </w:r>
      <w:r w:rsidR="007B5B9F">
        <w:rPr>
          <w:rFonts w:ascii="Times New Roman" w:hAnsi="Times New Roman" w:cs="Times New Roman"/>
        </w:rPr>
        <w:t xml:space="preserve">it is “misleadingly </w:t>
      </w:r>
      <w:proofErr w:type="spellStart"/>
      <w:r w:rsidR="007B5B9F">
        <w:rPr>
          <w:rFonts w:ascii="Times New Roman" w:hAnsi="Times New Roman" w:cs="Times New Roman"/>
        </w:rPr>
        <w:t>defam</w:t>
      </w:r>
      <w:proofErr w:type="spellEnd"/>
      <w:r w:rsidR="007B5B9F">
        <w:rPr>
          <w:rFonts w:ascii="Times New Roman" w:hAnsi="Times New Roman" w:cs="Times New Roman"/>
        </w:rPr>
        <w:t>[</w:t>
      </w:r>
      <w:proofErr w:type="spellStart"/>
      <w:r w:rsidR="007B5B9F">
        <w:rPr>
          <w:rFonts w:ascii="Times New Roman" w:hAnsi="Times New Roman" w:cs="Times New Roman"/>
        </w:rPr>
        <w:t>ing</w:t>
      </w:r>
      <w:proofErr w:type="spellEnd"/>
      <w:r w:rsidR="007B5B9F">
        <w:rPr>
          <w:rFonts w:ascii="Times New Roman" w:hAnsi="Times New Roman" w:cs="Times New Roman"/>
        </w:rPr>
        <w:t>]” the Pharisees.</w:t>
      </w:r>
      <w:r w:rsidR="004D5167">
        <w:rPr>
          <w:rStyle w:val="FootnoteReference"/>
          <w:rFonts w:ascii="Times New Roman" w:hAnsi="Times New Roman" w:cs="Times New Roman"/>
        </w:rPr>
        <w:footnoteReference w:id="8"/>
      </w:r>
      <w:r w:rsidR="007B5B9F">
        <w:rPr>
          <w:rFonts w:ascii="Times New Roman" w:hAnsi="Times New Roman" w:cs="Times New Roman"/>
        </w:rPr>
        <w:t xml:space="preserve"> </w:t>
      </w:r>
      <w:r w:rsidR="004D5167">
        <w:rPr>
          <w:rFonts w:ascii="Times New Roman" w:hAnsi="Times New Roman" w:cs="Times New Roman"/>
        </w:rPr>
        <w:t xml:space="preserve">The problem lies in the completely and totally subjective nature of parables. They are meant to be </w:t>
      </w:r>
      <w:r w:rsidR="00DE2DB6">
        <w:rPr>
          <w:rFonts w:ascii="Times New Roman" w:hAnsi="Times New Roman" w:cs="Times New Roman"/>
        </w:rPr>
        <w:t>allegorical;</w:t>
      </w:r>
      <w:r w:rsidR="004D5167">
        <w:rPr>
          <w:rFonts w:ascii="Times New Roman" w:hAnsi="Times New Roman" w:cs="Times New Roman"/>
        </w:rPr>
        <w:t xml:space="preserve"> they are meant to be </w:t>
      </w:r>
      <w:r w:rsidR="00DE2DB6">
        <w:rPr>
          <w:rFonts w:ascii="Times New Roman" w:hAnsi="Times New Roman" w:cs="Times New Roman"/>
        </w:rPr>
        <w:t>small examples to be applied across</w:t>
      </w:r>
      <w:r w:rsidR="00C872DE">
        <w:rPr>
          <w:rFonts w:ascii="Times New Roman" w:hAnsi="Times New Roman" w:cs="Times New Roman"/>
        </w:rPr>
        <w:t xml:space="preserve"> broad</w:t>
      </w:r>
      <w:r w:rsidR="00DE2DB6">
        <w:rPr>
          <w:rFonts w:ascii="Times New Roman" w:hAnsi="Times New Roman" w:cs="Times New Roman"/>
        </w:rPr>
        <w:t xml:space="preserve"> circumstances. When applying or interpreting parables it is easy to manipulate them.</w:t>
      </w:r>
      <w:r w:rsidR="00DE2DB6">
        <w:rPr>
          <w:rStyle w:val="FootnoteReference"/>
          <w:rFonts w:ascii="Times New Roman" w:hAnsi="Times New Roman" w:cs="Times New Roman"/>
        </w:rPr>
        <w:footnoteReference w:id="9"/>
      </w:r>
      <w:r w:rsidR="00DE2DB6">
        <w:rPr>
          <w:rFonts w:ascii="Times New Roman" w:hAnsi="Times New Roman" w:cs="Times New Roman"/>
        </w:rPr>
        <w:t xml:space="preserve"> The parable becomes like putty in the hands of a child when given to interpreters with an agenda, stated or hidden. Further, the rhetorical strategy of the authors of the Gospels must be considered. The Latin </w:t>
      </w:r>
      <w:proofErr w:type="spellStart"/>
      <w:r w:rsidR="00DE2DB6" w:rsidRPr="00DE2DB6">
        <w:rPr>
          <w:rFonts w:ascii="Times New Roman" w:hAnsi="Times New Roman" w:cs="Times New Roman"/>
          <w:i/>
          <w:iCs/>
        </w:rPr>
        <w:t>v</w:t>
      </w:r>
      <w:r w:rsidR="00A9778C">
        <w:rPr>
          <w:rFonts w:ascii="Times New Roman" w:hAnsi="Times New Roman" w:cs="Times New Roman"/>
          <w:i/>
          <w:iCs/>
        </w:rPr>
        <w:t>itupera</w:t>
      </w:r>
      <w:r w:rsidR="00DE2DB6" w:rsidRPr="00DE2DB6">
        <w:rPr>
          <w:rFonts w:ascii="Times New Roman" w:hAnsi="Times New Roman" w:cs="Times New Roman"/>
          <w:i/>
          <w:iCs/>
        </w:rPr>
        <w:t>tio</w:t>
      </w:r>
      <w:proofErr w:type="spellEnd"/>
      <w:r w:rsidR="00DE2DB6">
        <w:rPr>
          <w:rFonts w:ascii="Times New Roman" w:hAnsi="Times New Roman" w:cs="Times New Roman"/>
        </w:rPr>
        <w:t xml:space="preserve"> is used to name the strategy of description of an enemy using “</w:t>
      </w:r>
      <w:r w:rsidR="00DE2DB6" w:rsidRPr="00DE2DB6">
        <w:rPr>
          <w:rFonts w:ascii="Times New Roman" w:hAnsi="Times New Roman" w:cs="Times New Roman"/>
        </w:rPr>
        <w:t>stereotypical pejorative expressions</w:t>
      </w:r>
      <w:r w:rsidR="00DE2DB6">
        <w:rPr>
          <w:rFonts w:ascii="Times New Roman" w:hAnsi="Times New Roman" w:cs="Times New Roman"/>
        </w:rPr>
        <w:t>.”</w:t>
      </w:r>
      <w:r w:rsidR="009C35C6">
        <w:rPr>
          <w:rFonts w:ascii="Times New Roman" w:hAnsi="Times New Roman" w:cs="Times New Roman"/>
          <w:vertAlign w:val="superscript"/>
        </w:rPr>
        <w:t>9</w:t>
      </w:r>
      <w:r w:rsidR="00DE2DB6">
        <w:rPr>
          <w:rFonts w:ascii="Times New Roman" w:hAnsi="Times New Roman" w:cs="Times New Roman"/>
          <w:vertAlign w:val="superscript"/>
        </w:rPr>
        <w:t xml:space="preserve"> </w:t>
      </w:r>
      <w:r w:rsidR="00DE2DB6">
        <w:rPr>
          <w:rFonts w:ascii="Times New Roman" w:hAnsi="Times New Roman" w:cs="Times New Roman"/>
        </w:rPr>
        <w:t xml:space="preserve">The goal in using these negative stereotypes is not to further describe the Pharisees, but rather just to identify them as opponents. </w:t>
      </w:r>
      <w:proofErr w:type="spellStart"/>
      <w:r w:rsidR="00DE2DB6" w:rsidRPr="00DE2DB6">
        <w:rPr>
          <w:rFonts w:ascii="Times New Roman" w:hAnsi="Times New Roman" w:cs="Times New Roman"/>
          <w:i/>
          <w:iCs/>
        </w:rPr>
        <w:t>V</w:t>
      </w:r>
      <w:r w:rsidR="00A9778C">
        <w:rPr>
          <w:rFonts w:ascii="Times New Roman" w:hAnsi="Times New Roman" w:cs="Times New Roman"/>
          <w:i/>
          <w:iCs/>
        </w:rPr>
        <w:t>itupera</w:t>
      </w:r>
      <w:r w:rsidR="00DE2DB6" w:rsidRPr="00DE2DB6">
        <w:rPr>
          <w:rFonts w:ascii="Times New Roman" w:hAnsi="Times New Roman" w:cs="Times New Roman"/>
          <w:i/>
          <w:iCs/>
        </w:rPr>
        <w:t>tio</w:t>
      </w:r>
      <w:proofErr w:type="spellEnd"/>
      <w:r w:rsidR="00DE2DB6">
        <w:rPr>
          <w:rFonts w:ascii="Times New Roman" w:hAnsi="Times New Roman" w:cs="Times New Roman"/>
        </w:rPr>
        <w:t xml:space="preserve"> is common across the Gospels and the rest of the NT</w:t>
      </w:r>
      <w:r w:rsidR="009C35C6">
        <w:rPr>
          <w:rFonts w:ascii="Times New Roman" w:hAnsi="Times New Roman" w:cs="Times New Roman"/>
        </w:rPr>
        <w:t>.</w:t>
      </w:r>
      <w:r w:rsidR="009C35C6">
        <w:rPr>
          <w:rFonts w:ascii="Times New Roman" w:hAnsi="Times New Roman" w:cs="Times New Roman"/>
          <w:vertAlign w:val="superscript"/>
        </w:rPr>
        <w:t>9</w:t>
      </w:r>
      <w:r w:rsidR="00DE2DB6">
        <w:rPr>
          <w:rFonts w:ascii="Times New Roman" w:hAnsi="Times New Roman" w:cs="Times New Roman"/>
        </w:rPr>
        <w:t xml:space="preserve"> </w:t>
      </w:r>
      <w:r w:rsidR="009C35C6">
        <w:rPr>
          <w:rFonts w:ascii="Times New Roman" w:hAnsi="Times New Roman" w:cs="Times New Roman"/>
        </w:rPr>
        <w:t xml:space="preserve">It </w:t>
      </w:r>
      <w:r w:rsidR="00DE2DB6">
        <w:rPr>
          <w:rFonts w:ascii="Times New Roman" w:hAnsi="Times New Roman" w:cs="Times New Roman"/>
        </w:rPr>
        <w:t>should</w:t>
      </w:r>
      <w:r w:rsidR="009C35C6">
        <w:rPr>
          <w:rFonts w:ascii="Times New Roman" w:hAnsi="Times New Roman" w:cs="Times New Roman"/>
        </w:rPr>
        <w:t>, at the very least,</w:t>
      </w:r>
      <w:r w:rsidR="00DE2DB6">
        <w:rPr>
          <w:rFonts w:ascii="Times New Roman" w:hAnsi="Times New Roman" w:cs="Times New Roman"/>
        </w:rPr>
        <w:t xml:space="preserve"> </w:t>
      </w:r>
      <w:r w:rsidR="00A9778C">
        <w:rPr>
          <w:rFonts w:ascii="Times New Roman" w:hAnsi="Times New Roman" w:cs="Times New Roman"/>
        </w:rPr>
        <w:t xml:space="preserve">be </w:t>
      </w:r>
      <w:r w:rsidR="009C35C6">
        <w:rPr>
          <w:rFonts w:ascii="Times New Roman" w:hAnsi="Times New Roman" w:cs="Times New Roman"/>
        </w:rPr>
        <w:t>noted before considering the NT as a source of accurate information about the Pharisees.</w:t>
      </w:r>
    </w:p>
    <w:p w:rsidR="00A9778C" w:rsidRDefault="00A9778C" w:rsidP="004D5167">
      <w:pPr>
        <w:spacing w:line="480" w:lineRule="auto"/>
        <w:ind w:firstLine="720"/>
        <w:rPr>
          <w:rFonts w:ascii="Times New Roman" w:hAnsi="Times New Roman" w:cs="Times New Roman"/>
        </w:rPr>
      </w:pPr>
      <w:r>
        <w:rPr>
          <w:rFonts w:ascii="Times New Roman" w:hAnsi="Times New Roman" w:cs="Times New Roman"/>
        </w:rPr>
        <w:t xml:space="preserve">The Jewish Midrash is not very thorough in describing the Pharisees by name, </w:t>
      </w:r>
      <w:r w:rsidR="003E4F1A">
        <w:rPr>
          <w:rFonts w:ascii="Times New Roman" w:hAnsi="Times New Roman" w:cs="Times New Roman"/>
        </w:rPr>
        <w:t xml:space="preserve">but these rabbis consider themselves to be </w:t>
      </w:r>
      <w:r>
        <w:rPr>
          <w:rFonts w:ascii="Times New Roman" w:hAnsi="Times New Roman" w:cs="Times New Roman"/>
        </w:rPr>
        <w:t>descendants of the Pharisees.</w:t>
      </w:r>
      <w:r>
        <w:rPr>
          <w:rStyle w:val="FootnoteReference"/>
          <w:rFonts w:ascii="Times New Roman" w:hAnsi="Times New Roman" w:cs="Times New Roman"/>
        </w:rPr>
        <w:footnoteReference w:id="10"/>
      </w:r>
      <w:r>
        <w:rPr>
          <w:rFonts w:ascii="Times New Roman" w:hAnsi="Times New Roman" w:cs="Times New Roman"/>
        </w:rPr>
        <w:t xml:space="preserve"> At face value, a source from </w:t>
      </w:r>
      <w:r>
        <w:rPr>
          <w:rFonts w:ascii="Times New Roman" w:hAnsi="Times New Roman" w:cs="Times New Roman"/>
        </w:rPr>
        <w:lastRenderedPageBreak/>
        <w:t xml:space="preserve">descendants seems valid, but these rabbis are distant descendants. At the earliest they are removed from the life of Jesus by </w:t>
      </w:r>
      <w:r w:rsidR="003E4F1A">
        <w:rPr>
          <w:rFonts w:ascii="Times New Roman" w:hAnsi="Times New Roman" w:cs="Times New Roman"/>
        </w:rPr>
        <w:t xml:space="preserve">about </w:t>
      </w:r>
      <w:r>
        <w:rPr>
          <w:rFonts w:ascii="Times New Roman" w:hAnsi="Times New Roman" w:cs="Times New Roman"/>
        </w:rPr>
        <w:t>50 years. Most of the rabbinic literature was not written until 100 to 200 years after the Pharisees were an active social group.</w:t>
      </w:r>
      <w:r w:rsidR="003E4F1A">
        <w:rPr>
          <w:rFonts w:ascii="Times New Roman" w:hAnsi="Times New Roman" w:cs="Times New Roman"/>
        </w:rPr>
        <w:t xml:space="preserve"> Therefore, to depend on the rabbinic literature to describe who the Pharisees </w:t>
      </w:r>
      <w:proofErr w:type="gramStart"/>
      <w:r w:rsidR="00C872DE">
        <w:rPr>
          <w:rFonts w:ascii="Times New Roman" w:hAnsi="Times New Roman" w:cs="Times New Roman"/>
        </w:rPr>
        <w:t>were</w:t>
      </w:r>
      <w:proofErr w:type="gramEnd"/>
      <w:r w:rsidR="003E4F1A">
        <w:rPr>
          <w:rFonts w:ascii="Times New Roman" w:hAnsi="Times New Roman" w:cs="Times New Roman"/>
        </w:rPr>
        <w:t xml:space="preserve"> is to take information and throw it back in time.</w:t>
      </w:r>
      <w:r w:rsidR="003E4F1A">
        <w:rPr>
          <w:rStyle w:val="FootnoteReference"/>
          <w:rFonts w:ascii="Times New Roman" w:hAnsi="Times New Roman" w:cs="Times New Roman"/>
        </w:rPr>
        <w:footnoteReference w:id="11"/>
      </w:r>
    </w:p>
    <w:p w:rsidR="003E4F1A" w:rsidRDefault="003E4F1A" w:rsidP="00975A24">
      <w:pPr>
        <w:spacing w:line="480" w:lineRule="auto"/>
        <w:ind w:firstLine="720"/>
        <w:rPr>
          <w:rFonts w:ascii="Times New Roman" w:hAnsi="Times New Roman" w:cs="Times New Roman"/>
        </w:rPr>
      </w:pPr>
      <w:r>
        <w:rPr>
          <w:rFonts w:ascii="Times New Roman" w:hAnsi="Times New Roman" w:cs="Times New Roman"/>
        </w:rPr>
        <w:t xml:space="preserve">Josephus </w:t>
      </w:r>
      <w:r w:rsidR="00975A24">
        <w:rPr>
          <w:rFonts w:ascii="Times New Roman" w:hAnsi="Times New Roman" w:cs="Times New Roman"/>
        </w:rPr>
        <w:t xml:space="preserve">was of a priestly family. The priests were an entire social class that capitalized on their foreknowledge and understanding of the </w:t>
      </w:r>
      <w:r w:rsidR="00307EE6">
        <w:rPr>
          <w:rFonts w:ascii="Times New Roman" w:hAnsi="Times New Roman" w:cs="Times New Roman"/>
        </w:rPr>
        <w:t>Law</w:t>
      </w:r>
      <w:r w:rsidR="00975A24">
        <w:rPr>
          <w:rFonts w:ascii="Times New Roman" w:hAnsi="Times New Roman" w:cs="Times New Roman"/>
        </w:rPr>
        <w:t xml:space="preserve">, for they were the ones to interpret the </w:t>
      </w:r>
      <w:r w:rsidR="00307EE6">
        <w:rPr>
          <w:rFonts w:ascii="Times New Roman" w:hAnsi="Times New Roman" w:cs="Times New Roman"/>
        </w:rPr>
        <w:t>Law</w:t>
      </w:r>
      <w:r w:rsidR="00975A24">
        <w:rPr>
          <w:rFonts w:ascii="Times New Roman" w:hAnsi="Times New Roman" w:cs="Times New Roman"/>
        </w:rPr>
        <w:t xml:space="preserve"> for the people</w:t>
      </w:r>
      <w:r w:rsidR="00975A24">
        <w:rPr>
          <w:rStyle w:val="FootnoteReference"/>
          <w:rFonts w:ascii="Times New Roman" w:hAnsi="Times New Roman" w:cs="Times New Roman"/>
        </w:rPr>
        <w:footnoteReference w:id="12"/>
      </w:r>
      <w:r w:rsidR="00975A24">
        <w:rPr>
          <w:rFonts w:ascii="Times New Roman" w:hAnsi="Times New Roman" w:cs="Times New Roman"/>
        </w:rPr>
        <w:t xml:space="preserve"> as well as advise </w:t>
      </w:r>
      <w:r w:rsidR="005D3904">
        <w:rPr>
          <w:rFonts w:ascii="Times New Roman" w:hAnsi="Times New Roman" w:cs="Times New Roman"/>
        </w:rPr>
        <w:t>those in power.</w:t>
      </w:r>
      <w:r w:rsidR="005D3904">
        <w:rPr>
          <w:rStyle w:val="FootnoteReference"/>
          <w:rFonts w:ascii="Times New Roman" w:hAnsi="Times New Roman" w:cs="Times New Roman"/>
        </w:rPr>
        <w:footnoteReference w:id="13"/>
      </w:r>
      <w:r w:rsidR="00975A24">
        <w:rPr>
          <w:rFonts w:ascii="Times New Roman" w:hAnsi="Times New Roman" w:cs="Times New Roman"/>
        </w:rPr>
        <w:t xml:space="preserve"> The Pharisees were claiming the ability to speak to God to receive foreknowledge. They were also known as the interpreters of the </w:t>
      </w:r>
      <w:r w:rsidR="00307EE6">
        <w:rPr>
          <w:rFonts w:ascii="Times New Roman" w:hAnsi="Times New Roman" w:cs="Times New Roman"/>
        </w:rPr>
        <w:t>Law</w:t>
      </w:r>
      <w:r w:rsidR="00975A24">
        <w:rPr>
          <w:rFonts w:ascii="Times New Roman" w:hAnsi="Times New Roman" w:cs="Times New Roman"/>
        </w:rPr>
        <w:t>. Their new presence as a social and political power was a threat to the priestly class</w:t>
      </w:r>
      <w:r w:rsidR="005D3904">
        <w:rPr>
          <w:rFonts w:ascii="Times New Roman" w:hAnsi="Times New Roman" w:cs="Times New Roman"/>
        </w:rPr>
        <w:t>’</w:t>
      </w:r>
      <w:r w:rsidR="00975A24">
        <w:rPr>
          <w:rFonts w:ascii="Times New Roman" w:hAnsi="Times New Roman" w:cs="Times New Roman"/>
        </w:rPr>
        <w:t xml:space="preserve"> </w:t>
      </w:r>
      <w:r w:rsidR="005D3904">
        <w:rPr>
          <w:rFonts w:ascii="Times New Roman" w:hAnsi="Times New Roman" w:cs="Times New Roman"/>
        </w:rPr>
        <w:t xml:space="preserve">status </w:t>
      </w:r>
      <w:r w:rsidR="00975A24">
        <w:rPr>
          <w:rFonts w:ascii="Times New Roman" w:hAnsi="Times New Roman" w:cs="Times New Roman"/>
        </w:rPr>
        <w:t>as those closest to God. Josephus’ family, his livelihood, and his entire class was under an inadvertent siege by the Pharisees.</w:t>
      </w:r>
      <w:r w:rsidR="005D3904">
        <w:rPr>
          <w:rStyle w:val="FootnoteReference"/>
          <w:rFonts w:ascii="Times New Roman" w:hAnsi="Times New Roman" w:cs="Times New Roman"/>
        </w:rPr>
        <w:footnoteReference w:id="14"/>
      </w:r>
      <w:r w:rsidR="00975A24">
        <w:rPr>
          <w:rFonts w:ascii="Times New Roman" w:hAnsi="Times New Roman" w:cs="Times New Roman"/>
        </w:rPr>
        <w:t xml:space="preserve"> How could he speak highly, or maybe even accurately, of a group </w:t>
      </w:r>
      <w:r w:rsidR="005D3904">
        <w:rPr>
          <w:rFonts w:ascii="Times New Roman" w:hAnsi="Times New Roman" w:cs="Times New Roman"/>
        </w:rPr>
        <w:t>attacking his existence?</w:t>
      </w:r>
    </w:p>
    <w:p w:rsidR="005D3904" w:rsidRDefault="008B6A4C" w:rsidP="00975A24">
      <w:pPr>
        <w:spacing w:line="480" w:lineRule="auto"/>
        <w:ind w:firstLine="720"/>
        <w:rPr>
          <w:rFonts w:ascii="Times New Roman" w:hAnsi="Times New Roman" w:cs="Times New Roman"/>
        </w:rPr>
      </w:pPr>
      <w:r>
        <w:rPr>
          <w:rFonts w:ascii="Times New Roman" w:hAnsi="Times New Roman" w:cs="Times New Roman"/>
        </w:rPr>
        <w:t xml:space="preserve">All of these misconceptions and complicated sources can be condensed into a few core beliefs, but we really don’t know much. We don’t have writing by the Pharisees themselves, nor extensive writing </w:t>
      </w:r>
      <w:r w:rsidR="00C872DE">
        <w:rPr>
          <w:rFonts w:ascii="Times New Roman" w:hAnsi="Times New Roman" w:cs="Times New Roman"/>
        </w:rPr>
        <w:t xml:space="preserve">by an outside source </w:t>
      </w:r>
      <w:r>
        <w:rPr>
          <w:rFonts w:ascii="Times New Roman" w:hAnsi="Times New Roman" w:cs="Times New Roman"/>
        </w:rPr>
        <w:t xml:space="preserve">similar to that of Josephus on the Essenes. </w:t>
      </w:r>
      <w:r w:rsidR="00C872DE">
        <w:rPr>
          <w:rFonts w:ascii="Times New Roman" w:hAnsi="Times New Roman" w:cs="Times New Roman"/>
        </w:rPr>
        <w:t>Although, t</w:t>
      </w:r>
      <w:r>
        <w:rPr>
          <w:rFonts w:ascii="Times New Roman" w:hAnsi="Times New Roman" w:cs="Times New Roman"/>
        </w:rPr>
        <w:t xml:space="preserve">he name “Pharisees” is </w:t>
      </w:r>
      <w:r w:rsidR="00C872DE">
        <w:rPr>
          <w:rFonts w:ascii="Times New Roman" w:hAnsi="Times New Roman" w:cs="Times New Roman"/>
        </w:rPr>
        <w:t xml:space="preserve">fairly </w:t>
      </w:r>
      <w:r>
        <w:rPr>
          <w:rFonts w:ascii="Times New Roman" w:hAnsi="Times New Roman" w:cs="Times New Roman"/>
        </w:rPr>
        <w:t>telling in itself. This was a name given to the sect by other Jews in the time period. It comes from the Hebrew verb “</w:t>
      </w:r>
      <w:proofErr w:type="spellStart"/>
      <w:r>
        <w:rPr>
          <w:rFonts w:ascii="Times New Roman" w:hAnsi="Times New Roman" w:cs="Times New Roman"/>
        </w:rPr>
        <w:t>parash</w:t>
      </w:r>
      <w:proofErr w:type="spellEnd"/>
      <w:r>
        <w:rPr>
          <w:rFonts w:ascii="Times New Roman" w:hAnsi="Times New Roman" w:cs="Times New Roman"/>
        </w:rPr>
        <w:t xml:space="preserve">” or “to separate.” This plays on two levels. On one hand, the Pharisees were a sect that intentionally separated themselves from their neighbors through many daily practices. On the other hand, they worked to separate the </w:t>
      </w:r>
      <w:r w:rsidR="00307EE6">
        <w:rPr>
          <w:rFonts w:ascii="Times New Roman" w:hAnsi="Times New Roman" w:cs="Times New Roman"/>
        </w:rPr>
        <w:t>Law</w:t>
      </w:r>
      <w:r>
        <w:rPr>
          <w:rFonts w:ascii="Times New Roman" w:hAnsi="Times New Roman" w:cs="Times New Roman"/>
        </w:rPr>
        <w:t xml:space="preserve">. </w:t>
      </w:r>
      <w:r>
        <w:rPr>
          <w:rFonts w:ascii="Times New Roman" w:hAnsi="Times New Roman" w:cs="Times New Roman"/>
        </w:rPr>
        <w:lastRenderedPageBreak/>
        <w:t>They looked to make it more exact.</w:t>
      </w:r>
      <w:r>
        <w:rPr>
          <w:rStyle w:val="FootnoteReference"/>
          <w:rFonts w:ascii="Times New Roman" w:hAnsi="Times New Roman" w:cs="Times New Roman"/>
        </w:rPr>
        <w:footnoteReference w:id="15"/>
      </w:r>
      <w:r>
        <w:rPr>
          <w:rFonts w:ascii="Times New Roman" w:hAnsi="Times New Roman" w:cs="Times New Roman"/>
        </w:rPr>
        <w:t xml:space="preserve"> However, this is not the name used within the group. </w:t>
      </w:r>
      <w:r w:rsidR="00327DEF">
        <w:rPr>
          <w:rFonts w:ascii="Times New Roman" w:hAnsi="Times New Roman" w:cs="Times New Roman"/>
        </w:rPr>
        <w:t>The group</w:t>
      </w:r>
      <w:r>
        <w:rPr>
          <w:rFonts w:ascii="Times New Roman" w:hAnsi="Times New Roman" w:cs="Times New Roman"/>
        </w:rPr>
        <w:t xml:space="preserve"> we now call the</w:t>
      </w:r>
      <w:r w:rsidR="00327DEF">
        <w:rPr>
          <w:rFonts w:ascii="Times New Roman" w:hAnsi="Times New Roman" w:cs="Times New Roman"/>
        </w:rPr>
        <w:t xml:space="preserve"> Pharisees called themselves the “</w:t>
      </w:r>
      <w:proofErr w:type="spellStart"/>
      <w:r w:rsidR="00327DEF">
        <w:rPr>
          <w:rFonts w:ascii="Times New Roman" w:hAnsi="Times New Roman" w:cs="Times New Roman"/>
        </w:rPr>
        <w:t>Habhurim</w:t>
      </w:r>
      <w:proofErr w:type="spellEnd"/>
      <w:r w:rsidR="00327DEF">
        <w:rPr>
          <w:rFonts w:ascii="Times New Roman" w:hAnsi="Times New Roman" w:cs="Times New Roman"/>
        </w:rPr>
        <w:t>” or the “brothers” or “companions.”</w:t>
      </w:r>
      <w:r w:rsidR="00327DEF">
        <w:rPr>
          <w:rStyle w:val="FootnoteReference"/>
          <w:rFonts w:ascii="Times New Roman" w:hAnsi="Times New Roman" w:cs="Times New Roman"/>
        </w:rPr>
        <w:footnoteReference w:id="16"/>
      </w:r>
    </w:p>
    <w:p w:rsidR="00AC6B70" w:rsidRDefault="005F786B" w:rsidP="00717C6F">
      <w:pPr>
        <w:spacing w:line="480" w:lineRule="auto"/>
        <w:ind w:firstLine="720"/>
        <w:rPr>
          <w:rFonts w:ascii="Times New Roman" w:hAnsi="Times New Roman" w:cs="Times New Roman"/>
        </w:rPr>
      </w:pPr>
      <w:r>
        <w:rPr>
          <w:rFonts w:ascii="Times New Roman" w:hAnsi="Times New Roman" w:cs="Times New Roman"/>
        </w:rPr>
        <w:t>The</w:t>
      </w:r>
      <w:r w:rsidR="002D6D52">
        <w:rPr>
          <w:rFonts w:ascii="Times New Roman" w:hAnsi="Times New Roman" w:cs="Times New Roman"/>
        </w:rPr>
        <w:t xml:space="preserve"> Pharisees existed striving within “a style of life, not a profession</w:t>
      </w:r>
      <w:r w:rsidR="006D675A">
        <w:rPr>
          <w:rFonts w:ascii="Times New Roman" w:hAnsi="Times New Roman" w:cs="Times New Roman"/>
        </w:rPr>
        <w:t>.</w:t>
      </w:r>
      <w:r w:rsidR="002D6D52">
        <w:rPr>
          <w:rFonts w:ascii="Times New Roman" w:hAnsi="Times New Roman" w:cs="Times New Roman"/>
        </w:rPr>
        <w:t>”</w:t>
      </w:r>
      <w:r w:rsidR="002D6D52">
        <w:rPr>
          <w:rStyle w:val="FootnoteReference"/>
          <w:rFonts w:ascii="Times New Roman" w:hAnsi="Times New Roman" w:cs="Times New Roman"/>
        </w:rPr>
        <w:footnoteReference w:id="17"/>
      </w:r>
      <w:r w:rsidR="006D675A">
        <w:rPr>
          <w:rFonts w:ascii="Times New Roman" w:hAnsi="Times New Roman" w:cs="Times New Roman"/>
        </w:rPr>
        <w:t xml:space="preserve"> </w:t>
      </w:r>
      <w:r w:rsidR="00A377B3">
        <w:rPr>
          <w:rFonts w:ascii="Times New Roman" w:hAnsi="Times New Roman" w:cs="Times New Roman"/>
        </w:rPr>
        <w:t xml:space="preserve">They did not wake up in the morning and begin wandering around </w:t>
      </w:r>
      <w:r w:rsidR="00717C6F">
        <w:rPr>
          <w:rFonts w:ascii="Times New Roman" w:hAnsi="Times New Roman" w:cs="Times New Roman"/>
        </w:rPr>
        <w:t xml:space="preserve">in a triangle formation </w:t>
      </w:r>
      <w:r w:rsidR="00A377B3">
        <w:rPr>
          <w:rFonts w:ascii="Times New Roman" w:hAnsi="Times New Roman" w:cs="Times New Roman"/>
        </w:rPr>
        <w:t>searching for people to accuse</w:t>
      </w:r>
      <w:r w:rsidR="00307EE6">
        <w:rPr>
          <w:rFonts w:ascii="Times New Roman" w:hAnsi="Times New Roman" w:cs="Times New Roman"/>
        </w:rPr>
        <w:t xml:space="preserve"> or crucify</w:t>
      </w:r>
      <w:r w:rsidR="00A377B3">
        <w:rPr>
          <w:rFonts w:ascii="Times New Roman" w:hAnsi="Times New Roman" w:cs="Times New Roman"/>
        </w:rPr>
        <w:t xml:space="preserve">. They did not wake up in the morning to study. They woke up in the morning as every other Jew did. They began farming or </w:t>
      </w:r>
      <w:r w:rsidR="00307EE6">
        <w:rPr>
          <w:rFonts w:ascii="Times New Roman" w:hAnsi="Times New Roman" w:cs="Times New Roman"/>
        </w:rPr>
        <w:t>doing some sort of simple trade to keep their families alive. However, in every act of farming or tent making they acted a certain way. They ate certain things. It was not that they were Pharisees living Pharisaic lives, but rather Jews living a specific lifestyle aimed at a greater understanding</w:t>
      </w:r>
      <w:r w:rsidR="007678FC">
        <w:rPr>
          <w:rFonts w:ascii="Times New Roman" w:hAnsi="Times New Roman" w:cs="Times New Roman"/>
        </w:rPr>
        <w:t xml:space="preserve"> of and interaction</w:t>
      </w:r>
      <w:r w:rsidR="00307EE6">
        <w:rPr>
          <w:rFonts w:ascii="Times New Roman" w:hAnsi="Times New Roman" w:cs="Times New Roman"/>
        </w:rPr>
        <w:t xml:space="preserve"> </w:t>
      </w:r>
      <w:r w:rsidR="007678FC">
        <w:rPr>
          <w:rFonts w:ascii="Times New Roman" w:hAnsi="Times New Roman" w:cs="Times New Roman"/>
        </w:rPr>
        <w:t>with</w:t>
      </w:r>
      <w:r w:rsidR="00307EE6">
        <w:rPr>
          <w:rFonts w:ascii="Times New Roman" w:hAnsi="Times New Roman" w:cs="Times New Roman"/>
        </w:rPr>
        <w:t xml:space="preserve"> the Law.</w:t>
      </w:r>
      <w:r w:rsidR="00717C6F">
        <w:rPr>
          <w:rFonts w:ascii="Times New Roman" w:hAnsi="Times New Roman" w:cs="Times New Roman"/>
        </w:rPr>
        <w:t xml:space="preserve"> </w:t>
      </w:r>
    </w:p>
    <w:p w:rsidR="00AC6B70" w:rsidRDefault="00717C6F" w:rsidP="00AC6B70">
      <w:pPr>
        <w:spacing w:line="480" w:lineRule="auto"/>
        <w:ind w:firstLine="720"/>
        <w:rPr>
          <w:rFonts w:ascii="Times New Roman" w:hAnsi="Times New Roman" w:cs="Times New Roman"/>
        </w:rPr>
      </w:pPr>
      <w:r>
        <w:rPr>
          <w:rFonts w:ascii="Times New Roman" w:hAnsi="Times New Roman" w:cs="Times New Roman"/>
        </w:rPr>
        <w:t xml:space="preserve">In the </w:t>
      </w:r>
      <w:r w:rsidR="00AC6B70">
        <w:rPr>
          <w:rFonts w:ascii="Times New Roman" w:hAnsi="Times New Roman" w:cs="Times New Roman"/>
        </w:rPr>
        <w:t xml:space="preserve">broadest </w:t>
      </w:r>
      <w:r>
        <w:rPr>
          <w:rFonts w:ascii="Times New Roman" w:hAnsi="Times New Roman" w:cs="Times New Roman"/>
        </w:rPr>
        <w:t>sense,</w:t>
      </w:r>
      <w:r>
        <w:rPr>
          <w:rFonts w:ascii="Times New Roman" w:hAnsi="Times New Roman" w:cs="Times New Roman"/>
        </w:rPr>
        <w:t xml:space="preserve"> the only difference between the Pharisees and other Jews was their attention to “Oral Law.”</w:t>
      </w:r>
      <w:r w:rsidR="00E96C35">
        <w:rPr>
          <w:rStyle w:val="FootnoteReference"/>
          <w:rFonts w:ascii="Times New Roman" w:hAnsi="Times New Roman" w:cs="Times New Roman"/>
        </w:rPr>
        <w:footnoteReference w:id="18"/>
      </w:r>
      <w:r>
        <w:rPr>
          <w:rFonts w:ascii="Times New Roman" w:hAnsi="Times New Roman" w:cs="Times New Roman"/>
        </w:rPr>
        <w:t xml:space="preserve"> Oral Law is the tradition and law surrounding the Torah, but not in the Torah. Some say that these traditions were also given to Moses on Mt. Sinai</w:t>
      </w:r>
      <w:r w:rsidR="00AC6B70">
        <w:rPr>
          <w:rFonts w:ascii="Times New Roman" w:hAnsi="Times New Roman" w:cs="Times New Roman"/>
        </w:rPr>
        <w:t>, but not written down</w:t>
      </w:r>
      <w:r>
        <w:rPr>
          <w:rFonts w:ascii="Times New Roman" w:hAnsi="Times New Roman" w:cs="Times New Roman"/>
        </w:rPr>
        <w:t>.</w:t>
      </w:r>
      <w:r>
        <w:rPr>
          <w:rStyle w:val="FootnoteReference"/>
          <w:rFonts w:ascii="Times New Roman" w:hAnsi="Times New Roman" w:cs="Times New Roman"/>
        </w:rPr>
        <w:footnoteReference w:id="19"/>
      </w:r>
      <w:r>
        <w:rPr>
          <w:rFonts w:ascii="Times New Roman" w:hAnsi="Times New Roman" w:cs="Times New Roman"/>
        </w:rPr>
        <w:t xml:space="preserve"> Others say that they are the interpretations </w:t>
      </w:r>
      <w:r w:rsidR="00AC6B70">
        <w:rPr>
          <w:rFonts w:ascii="Times New Roman" w:hAnsi="Times New Roman" w:cs="Times New Roman"/>
        </w:rPr>
        <w:t xml:space="preserve">by </w:t>
      </w:r>
      <w:r>
        <w:rPr>
          <w:rFonts w:ascii="Times New Roman" w:hAnsi="Times New Roman" w:cs="Times New Roman"/>
        </w:rPr>
        <w:t>“fathers” beginning “from Moses to the great Pharisees of Herod’s early rule.”</w:t>
      </w:r>
      <w:r w:rsidR="00D92C5A">
        <w:rPr>
          <w:rStyle w:val="FootnoteReference"/>
          <w:rFonts w:ascii="Times New Roman" w:hAnsi="Times New Roman" w:cs="Times New Roman"/>
        </w:rPr>
        <w:footnoteReference w:id="20"/>
      </w:r>
      <w:r>
        <w:rPr>
          <w:rFonts w:ascii="Times New Roman" w:hAnsi="Times New Roman" w:cs="Times New Roman"/>
        </w:rPr>
        <w:t xml:space="preserve"> </w:t>
      </w:r>
      <w:r w:rsidR="00E344A5">
        <w:rPr>
          <w:rFonts w:ascii="Times New Roman" w:hAnsi="Times New Roman" w:cs="Times New Roman"/>
        </w:rPr>
        <w:t>In either case, the Oral Law was considered equal to the Written Law.</w:t>
      </w:r>
      <w:r w:rsidR="00E344A5">
        <w:rPr>
          <w:rStyle w:val="FootnoteReference"/>
          <w:rFonts w:ascii="Times New Roman" w:hAnsi="Times New Roman" w:cs="Times New Roman"/>
        </w:rPr>
        <w:footnoteReference w:id="21"/>
      </w:r>
      <w:r w:rsidR="00AC6B70">
        <w:rPr>
          <w:rFonts w:ascii="Times New Roman" w:hAnsi="Times New Roman" w:cs="Times New Roman"/>
        </w:rPr>
        <w:t xml:space="preserve"> </w:t>
      </w:r>
      <w:r w:rsidR="00E344A5">
        <w:rPr>
          <w:rFonts w:ascii="Times New Roman" w:hAnsi="Times New Roman" w:cs="Times New Roman"/>
        </w:rPr>
        <w:t xml:space="preserve">These two types of Law come together </w:t>
      </w:r>
      <w:r w:rsidR="00DF7C1E">
        <w:rPr>
          <w:rFonts w:ascii="Times New Roman" w:hAnsi="Times New Roman" w:cs="Times New Roman"/>
        </w:rPr>
        <w:t xml:space="preserve">to make up the core of </w:t>
      </w:r>
      <w:r w:rsidR="00AC6B70">
        <w:rPr>
          <w:rFonts w:ascii="Times New Roman" w:hAnsi="Times New Roman" w:cs="Times New Roman"/>
        </w:rPr>
        <w:t xml:space="preserve">the </w:t>
      </w:r>
      <w:r w:rsidR="00DF7C1E">
        <w:rPr>
          <w:rFonts w:ascii="Times New Roman" w:hAnsi="Times New Roman" w:cs="Times New Roman"/>
        </w:rPr>
        <w:t xml:space="preserve">Pharisaic beliefs. </w:t>
      </w:r>
      <w:r>
        <w:rPr>
          <w:rFonts w:ascii="Times New Roman" w:hAnsi="Times New Roman" w:cs="Times New Roman"/>
        </w:rPr>
        <w:t xml:space="preserve">The idea was to please God </w:t>
      </w:r>
      <w:r w:rsidR="00D92C5A">
        <w:rPr>
          <w:rFonts w:ascii="Times New Roman" w:hAnsi="Times New Roman" w:cs="Times New Roman"/>
        </w:rPr>
        <w:t>by</w:t>
      </w:r>
      <w:r w:rsidR="00AC6B70">
        <w:rPr>
          <w:rFonts w:ascii="Times New Roman" w:hAnsi="Times New Roman" w:cs="Times New Roman"/>
        </w:rPr>
        <w:t>,</w:t>
      </w:r>
      <w:r w:rsidR="00D92C5A">
        <w:rPr>
          <w:rFonts w:ascii="Times New Roman" w:hAnsi="Times New Roman" w:cs="Times New Roman"/>
        </w:rPr>
        <w:t xml:space="preserve"> </w:t>
      </w:r>
      <w:r>
        <w:rPr>
          <w:rFonts w:ascii="Times New Roman" w:hAnsi="Times New Roman" w:cs="Times New Roman"/>
        </w:rPr>
        <w:t>f</w:t>
      </w:r>
      <w:r w:rsidR="00D92C5A">
        <w:rPr>
          <w:rFonts w:ascii="Times New Roman" w:hAnsi="Times New Roman" w:cs="Times New Roman"/>
        </w:rPr>
        <w:t>irst</w:t>
      </w:r>
      <w:r w:rsidR="00AC6B70">
        <w:rPr>
          <w:rFonts w:ascii="Times New Roman" w:hAnsi="Times New Roman" w:cs="Times New Roman"/>
        </w:rPr>
        <w:t>,</w:t>
      </w:r>
      <w:r w:rsidR="00D92C5A">
        <w:rPr>
          <w:rFonts w:ascii="Times New Roman" w:hAnsi="Times New Roman" w:cs="Times New Roman"/>
        </w:rPr>
        <w:t xml:space="preserve"> defining</w:t>
      </w:r>
      <w:r>
        <w:rPr>
          <w:rFonts w:ascii="Times New Roman" w:hAnsi="Times New Roman" w:cs="Times New Roman"/>
        </w:rPr>
        <w:t xml:space="preserve"> the Law</w:t>
      </w:r>
      <w:r w:rsidR="00DF7C1E">
        <w:rPr>
          <w:rFonts w:ascii="Times New Roman" w:hAnsi="Times New Roman" w:cs="Times New Roman"/>
        </w:rPr>
        <w:t xml:space="preserve"> specifically </w:t>
      </w:r>
      <w:r w:rsidR="00D92C5A">
        <w:rPr>
          <w:rFonts w:ascii="Times New Roman" w:hAnsi="Times New Roman" w:cs="Times New Roman"/>
        </w:rPr>
        <w:t>and, second, by strictly carrying out each letter or syllable</w:t>
      </w:r>
      <w:r w:rsidR="00AC6B70">
        <w:rPr>
          <w:rFonts w:ascii="Times New Roman" w:hAnsi="Times New Roman" w:cs="Times New Roman"/>
        </w:rPr>
        <w:t xml:space="preserve">. </w:t>
      </w:r>
      <w:r w:rsidR="00BF48D3">
        <w:rPr>
          <w:rFonts w:ascii="Times New Roman" w:hAnsi="Times New Roman" w:cs="Times New Roman"/>
        </w:rPr>
        <w:t xml:space="preserve">The technical term is “covenantal </w:t>
      </w:r>
      <w:proofErr w:type="spellStart"/>
      <w:r w:rsidR="00BF48D3">
        <w:rPr>
          <w:rFonts w:ascii="Times New Roman" w:hAnsi="Times New Roman" w:cs="Times New Roman"/>
        </w:rPr>
        <w:t>nomism</w:t>
      </w:r>
      <w:proofErr w:type="spellEnd"/>
      <w:r w:rsidR="00BF48D3">
        <w:rPr>
          <w:rFonts w:ascii="Times New Roman" w:hAnsi="Times New Roman" w:cs="Times New Roman"/>
        </w:rPr>
        <w:t>,” literally law of the covenant.</w:t>
      </w:r>
      <w:r w:rsidR="00DA051B">
        <w:rPr>
          <w:rStyle w:val="FootnoteReference"/>
          <w:rFonts w:ascii="Times New Roman" w:hAnsi="Times New Roman" w:cs="Times New Roman"/>
        </w:rPr>
        <w:footnoteReference w:id="22"/>
      </w:r>
      <w:r w:rsidR="00BF48D3">
        <w:rPr>
          <w:rFonts w:ascii="Times New Roman" w:hAnsi="Times New Roman" w:cs="Times New Roman"/>
        </w:rPr>
        <w:t xml:space="preserve"> </w:t>
      </w:r>
      <w:r w:rsidR="00AC6B70">
        <w:rPr>
          <w:rFonts w:ascii="Times New Roman" w:hAnsi="Times New Roman" w:cs="Times New Roman"/>
        </w:rPr>
        <w:t xml:space="preserve">The Pharisees were not trying to make a life out of attacking other Jews, </w:t>
      </w:r>
      <w:r w:rsidR="00AC6B70">
        <w:rPr>
          <w:rFonts w:ascii="Times New Roman" w:hAnsi="Times New Roman" w:cs="Times New Roman"/>
        </w:rPr>
        <w:lastRenderedPageBreak/>
        <w:t>or even out of only studying the Law. They wanted to figure out how to best serve the God</w:t>
      </w:r>
      <w:r w:rsidR="00BF48D3">
        <w:rPr>
          <w:rFonts w:ascii="Times New Roman" w:hAnsi="Times New Roman" w:cs="Times New Roman"/>
        </w:rPr>
        <w:t xml:space="preserve"> that </w:t>
      </w:r>
      <w:r w:rsidR="00DA051B">
        <w:rPr>
          <w:rFonts w:ascii="Times New Roman" w:hAnsi="Times New Roman" w:cs="Times New Roman"/>
        </w:rPr>
        <w:t>gave</w:t>
      </w:r>
      <w:r w:rsidR="00BF48D3">
        <w:rPr>
          <w:rFonts w:ascii="Times New Roman" w:hAnsi="Times New Roman" w:cs="Times New Roman"/>
        </w:rPr>
        <w:t xml:space="preserve"> them </w:t>
      </w:r>
      <w:r w:rsidR="00DA051B">
        <w:rPr>
          <w:rFonts w:ascii="Times New Roman" w:hAnsi="Times New Roman" w:cs="Times New Roman"/>
        </w:rPr>
        <w:t xml:space="preserve">the Law </w:t>
      </w:r>
      <w:r w:rsidR="00BF48D3">
        <w:rPr>
          <w:rFonts w:ascii="Times New Roman" w:hAnsi="Times New Roman" w:cs="Times New Roman"/>
        </w:rPr>
        <w:t>for His covenant</w:t>
      </w:r>
      <w:r w:rsidR="00AC6B70">
        <w:rPr>
          <w:rFonts w:ascii="Times New Roman" w:hAnsi="Times New Roman" w:cs="Times New Roman"/>
        </w:rPr>
        <w:t xml:space="preserve">. </w:t>
      </w:r>
    </w:p>
    <w:p w:rsidR="009A03B6" w:rsidRPr="007C7C12" w:rsidRDefault="009A03B6" w:rsidP="00AC6B70">
      <w:pPr>
        <w:spacing w:line="480" w:lineRule="auto"/>
        <w:ind w:firstLine="720"/>
        <w:rPr>
          <w:rFonts w:ascii="Times New Roman" w:hAnsi="Times New Roman" w:cs="Times New Roman"/>
        </w:rPr>
      </w:pPr>
      <w:r>
        <w:rPr>
          <w:rFonts w:ascii="Times New Roman" w:hAnsi="Times New Roman" w:cs="Times New Roman"/>
        </w:rPr>
        <w:t>The Pharisees are also known for their belief in free will and resurrection, or life after death. The Pharisees had an impressive ability to combine</w:t>
      </w:r>
      <w:r w:rsidR="00EB3D38">
        <w:rPr>
          <w:rFonts w:ascii="Times New Roman" w:hAnsi="Times New Roman" w:cs="Times New Roman"/>
        </w:rPr>
        <w:t xml:space="preserve"> a belief in God’s divine providence while also believing that people maintain free will. They combine the two so that God knows all that will happen, and He has instructed </w:t>
      </w:r>
      <w:r w:rsidR="000045D8">
        <w:rPr>
          <w:rFonts w:ascii="Times New Roman" w:hAnsi="Times New Roman" w:cs="Times New Roman"/>
        </w:rPr>
        <w:t xml:space="preserve">us </w:t>
      </w:r>
      <w:r w:rsidR="00EB3D38">
        <w:rPr>
          <w:rFonts w:ascii="Times New Roman" w:hAnsi="Times New Roman" w:cs="Times New Roman"/>
        </w:rPr>
        <w:t>in a certain way, but people have the choice to follow God. There is evidence for this outlook across Judaism, but it’s not very solid. Sadducees firmly disagreed, we are unsure of common Judaism’s exact stance, and both the Essenes and the Pharisees “accept both: election by grace, obedience by free will</w:t>
      </w:r>
      <w:r w:rsidR="00A06C34">
        <w:rPr>
          <w:rFonts w:ascii="Times New Roman" w:hAnsi="Times New Roman" w:cs="Times New Roman"/>
        </w:rPr>
        <w:t>.”</w:t>
      </w:r>
      <w:r w:rsidR="00A06C34">
        <w:rPr>
          <w:rStyle w:val="FootnoteReference"/>
          <w:rFonts w:ascii="Times New Roman" w:hAnsi="Times New Roman" w:cs="Times New Roman"/>
        </w:rPr>
        <w:footnoteReference w:id="23"/>
      </w:r>
      <w:r w:rsidR="00A06C34">
        <w:rPr>
          <w:rFonts w:ascii="Times New Roman" w:hAnsi="Times New Roman" w:cs="Times New Roman"/>
        </w:rPr>
        <w:t xml:space="preserve"> </w:t>
      </w:r>
      <w:r w:rsidR="007C7C12">
        <w:rPr>
          <w:rFonts w:ascii="Times New Roman" w:hAnsi="Times New Roman" w:cs="Times New Roman"/>
        </w:rPr>
        <w:t xml:space="preserve">The Pharisees held tightly to a belief in resurrection. They did not acknowledge </w:t>
      </w:r>
      <w:r w:rsidR="007C7C12">
        <w:rPr>
          <w:rFonts w:ascii="Times New Roman" w:hAnsi="Times New Roman" w:cs="Times New Roman"/>
          <w:i/>
          <w:iCs/>
        </w:rPr>
        <w:t xml:space="preserve">the </w:t>
      </w:r>
      <w:r w:rsidR="007C7C12">
        <w:rPr>
          <w:rFonts w:ascii="Times New Roman" w:hAnsi="Times New Roman" w:cs="Times New Roman"/>
        </w:rPr>
        <w:t xml:space="preserve">resurrection. Resurrection in the eyes of the Pharisees is a future event in which all of those who have died after a life of piety will be brought to life in a heavenly paradise on Earth. Of course, this puts them in the perfect position for both misunderstanding and opposing the Christian idea that Jesus was resurrected after three days. </w:t>
      </w:r>
      <w:r w:rsidR="007C7C12">
        <w:rPr>
          <w:rFonts w:ascii="Times New Roman" w:hAnsi="Times New Roman" w:cs="Times New Roman"/>
        </w:rPr>
        <w:t>Th</w:t>
      </w:r>
      <w:r w:rsidR="007C7C12">
        <w:rPr>
          <w:rFonts w:ascii="Times New Roman" w:hAnsi="Times New Roman" w:cs="Times New Roman"/>
        </w:rPr>
        <w:t xml:space="preserve">e Pharisees believed the event of resurrection </w:t>
      </w:r>
      <w:r w:rsidR="007C7C12">
        <w:rPr>
          <w:rFonts w:ascii="Times New Roman" w:hAnsi="Times New Roman" w:cs="Times New Roman"/>
        </w:rPr>
        <w:t xml:space="preserve">will be set off </w:t>
      </w:r>
      <w:r w:rsidR="007C7C12">
        <w:rPr>
          <w:rFonts w:ascii="Times New Roman" w:hAnsi="Times New Roman" w:cs="Times New Roman"/>
        </w:rPr>
        <w:t xml:space="preserve">by the </w:t>
      </w:r>
      <w:r w:rsidR="007C7C12">
        <w:rPr>
          <w:rFonts w:ascii="Times New Roman" w:hAnsi="Times New Roman" w:cs="Times New Roman"/>
        </w:rPr>
        <w:t xml:space="preserve">Messianic Age, beginning only when the Law is observed perfectly. </w:t>
      </w:r>
      <w:r w:rsidR="007C7C12">
        <w:rPr>
          <w:rFonts w:ascii="Times New Roman" w:hAnsi="Times New Roman" w:cs="Times New Roman"/>
        </w:rPr>
        <w:t>Therefore, the basic question is not if pious believers are brought back to life, but whether or not Jesus began the Messianic Age. The Pharisees would say absolutely not.</w:t>
      </w:r>
      <w:r w:rsidR="007C7C12">
        <w:rPr>
          <w:rStyle w:val="FootnoteReference"/>
          <w:rFonts w:ascii="Times New Roman" w:hAnsi="Times New Roman" w:cs="Times New Roman"/>
        </w:rPr>
        <w:footnoteReference w:id="24"/>
      </w:r>
    </w:p>
    <w:p w:rsidR="00DE2DB6" w:rsidRDefault="00EB3EB9" w:rsidP="00DA0A90">
      <w:pPr>
        <w:spacing w:line="480" w:lineRule="auto"/>
        <w:ind w:firstLine="720"/>
        <w:rPr>
          <w:rFonts w:ascii="Times New Roman" w:hAnsi="Times New Roman" w:cs="Times New Roman"/>
        </w:rPr>
      </w:pPr>
      <w:r>
        <w:rPr>
          <w:rFonts w:ascii="Times New Roman" w:hAnsi="Times New Roman" w:cs="Times New Roman"/>
        </w:rPr>
        <w:t xml:space="preserve">Much of the traditional Christian view of the Pharisees is simply a caricature </w:t>
      </w:r>
      <w:r w:rsidR="00DA0A90">
        <w:rPr>
          <w:rFonts w:ascii="Times New Roman" w:hAnsi="Times New Roman" w:cs="Times New Roman"/>
        </w:rPr>
        <w:t xml:space="preserve">built out of </w:t>
      </w:r>
      <w:proofErr w:type="spellStart"/>
      <w:r w:rsidR="00DA0A90">
        <w:rPr>
          <w:rFonts w:ascii="Times New Roman" w:hAnsi="Times New Roman" w:cs="Times New Roman"/>
          <w:i/>
          <w:iCs/>
        </w:rPr>
        <w:t>vituperatio</w:t>
      </w:r>
      <w:proofErr w:type="spellEnd"/>
      <w:r w:rsidR="00DA0A90">
        <w:rPr>
          <w:rFonts w:ascii="Times New Roman" w:hAnsi="Times New Roman" w:cs="Times New Roman"/>
          <w:i/>
          <w:iCs/>
        </w:rPr>
        <w:t xml:space="preserve">. </w:t>
      </w:r>
      <w:r w:rsidR="00DA0A90">
        <w:rPr>
          <w:rFonts w:ascii="Times New Roman" w:hAnsi="Times New Roman" w:cs="Times New Roman"/>
        </w:rPr>
        <w:t>These were normal people; they took part in every day life. If someone like Paul, a well-known Pharisee, was persecuting Christians, he must have come into contact with them. He must have touched the growing Christian populations in town centers.</w:t>
      </w:r>
      <w:r w:rsidR="00DA0A90">
        <w:rPr>
          <w:rStyle w:val="FootnoteReference"/>
          <w:rFonts w:ascii="Times New Roman" w:hAnsi="Times New Roman" w:cs="Times New Roman"/>
        </w:rPr>
        <w:footnoteReference w:id="25"/>
      </w:r>
      <w:r w:rsidR="00DA0A90">
        <w:rPr>
          <w:rFonts w:ascii="Times New Roman" w:hAnsi="Times New Roman" w:cs="Times New Roman"/>
        </w:rPr>
        <w:t xml:space="preserve"> They travelled “</w:t>
      </w:r>
      <w:r w:rsidR="00DA0A90" w:rsidRPr="00DA0A90">
        <w:rPr>
          <w:rFonts w:ascii="Times New Roman" w:hAnsi="Times New Roman" w:cs="Times New Roman"/>
        </w:rPr>
        <w:t xml:space="preserve">cross sea </w:t>
      </w:r>
      <w:r w:rsidR="00DA0A90" w:rsidRPr="00DA0A90">
        <w:rPr>
          <w:rFonts w:ascii="Times New Roman" w:hAnsi="Times New Roman" w:cs="Times New Roman"/>
        </w:rPr>
        <w:lastRenderedPageBreak/>
        <w:t>and land to make a single convert</w:t>
      </w:r>
      <w:r w:rsidR="00DA0A90">
        <w:rPr>
          <w:rFonts w:ascii="Times New Roman" w:hAnsi="Times New Roman" w:cs="Times New Roman"/>
        </w:rPr>
        <w:t>”</w:t>
      </w:r>
      <w:r w:rsidR="00DA0A90">
        <w:rPr>
          <w:rStyle w:val="FootnoteReference"/>
          <w:rFonts w:ascii="Times New Roman" w:hAnsi="Times New Roman" w:cs="Times New Roman"/>
        </w:rPr>
        <w:footnoteReference w:id="26"/>
      </w:r>
      <w:r w:rsidR="00DA0A90">
        <w:rPr>
          <w:rFonts w:ascii="Times New Roman" w:hAnsi="Times New Roman" w:cs="Times New Roman"/>
        </w:rPr>
        <w:t xml:space="preserve"> so they must have intermingled with common, unclean Jews. Moreover, throughout the Gospels the Pharisees seemingly run into Jesus. They must be in the synagogues, streets, Temple, or shops to meet him in these places.</w:t>
      </w:r>
      <w:r w:rsidR="00DA0A90">
        <w:rPr>
          <w:rStyle w:val="FootnoteReference"/>
          <w:rFonts w:ascii="Times New Roman" w:hAnsi="Times New Roman" w:cs="Times New Roman"/>
        </w:rPr>
        <w:footnoteReference w:id="27"/>
      </w:r>
      <w:r w:rsidR="00A01395">
        <w:rPr>
          <w:rFonts w:ascii="Times New Roman" w:hAnsi="Times New Roman" w:cs="Times New Roman"/>
        </w:rPr>
        <w:t xml:space="preserve"> How could they possibly be as hypocritical, spiteful, arrogant, and </w:t>
      </w:r>
      <w:r w:rsidR="00A01395">
        <w:rPr>
          <w:rFonts w:ascii="Times New Roman" w:hAnsi="Times New Roman" w:cs="Times New Roman"/>
        </w:rPr>
        <w:t>separatist</w:t>
      </w:r>
      <w:r w:rsidR="00A01395">
        <w:rPr>
          <w:rFonts w:ascii="Times New Roman" w:hAnsi="Times New Roman" w:cs="Times New Roman"/>
        </w:rPr>
        <w:t xml:space="preserve"> as they are portrayed when they spend every day living alongside the common peopl</w:t>
      </w:r>
      <w:r w:rsidR="007D0EFB">
        <w:rPr>
          <w:rFonts w:ascii="Times New Roman" w:hAnsi="Times New Roman" w:cs="Times New Roman"/>
        </w:rPr>
        <w:t>e?</w:t>
      </w:r>
    </w:p>
    <w:p w:rsidR="00CD66E2" w:rsidRDefault="00E25C50" w:rsidP="00DA0A90">
      <w:pPr>
        <w:spacing w:line="480" w:lineRule="auto"/>
        <w:ind w:firstLine="720"/>
        <w:rPr>
          <w:rFonts w:ascii="Times New Roman" w:hAnsi="Times New Roman" w:cs="Times New Roman"/>
        </w:rPr>
      </w:pPr>
      <w:r>
        <w:rPr>
          <w:rFonts w:ascii="Times New Roman" w:hAnsi="Times New Roman" w:cs="Times New Roman"/>
        </w:rPr>
        <w:t xml:space="preserve">Some claim that Jesus </w:t>
      </w:r>
      <w:r w:rsidR="0046460C">
        <w:rPr>
          <w:rFonts w:ascii="Times New Roman" w:hAnsi="Times New Roman" w:cs="Times New Roman"/>
        </w:rPr>
        <w:t xml:space="preserve">himself </w:t>
      </w:r>
      <w:r>
        <w:rPr>
          <w:rFonts w:ascii="Times New Roman" w:hAnsi="Times New Roman" w:cs="Times New Roman"/>
        </w:rPr>
        <w:t xml:space="preserve">was a Pharisee. While the evidence for this is not very convincing, Jesus absolutely spent time alongside the Pharisees. He held similar beliefs in terms of who God is, what life looks like after death, and </w:t>
      </w:r>
      <w:r w:rsidR="0079226E">
        <w:rPr>
          <w:rFonts w:ascii="Times New Roman" w:hAnsi="Times New Roman" w:cs="Times New Roman"/>
        </w:rPr>
        <w:t xml:space="preserve">the need for consistent, daily, actions of faith. The main difference and cause for strife between Jesus and the Pharisees was Jesus’ claim to be a prophet. Jesus was not only content with calling himself a prophet, but also in completely changing the interpretation of the Law as given to Moses. </w:t>
      </w:r>
      <w:r w:rsidR="00427552">
        <w:rPr>
          <w:rFonts w:ascii="Times New Roman" w:hAnsi="Times New Roman" w:cs="Times New Roman"/>
        </w:rPr>
        <w:t>The Pharisee</w:t>
      </w:r>
      <w:r w:rsidR="0046460C">
        <w:rPr>
          <w:rFonts w:ascii="Times New Roman" w:hAnsi="Times New Roman" w:cs="Times New Roman"/>
        </w:rPr>
        <w:t>s</w:t>
      </w:r>
      <w:r w:rsidR="00427552">
        <w:rPr>
          <w:rFonts w:ascii="Times New Roman" w:hAnsi="Times New Roman" w:cs="Times New Roman"/>
        </w:rPr>
        <w:t xml:space="preserve"> worked to understand the Law as given. They looked to clarify. They made more precise. Jesus came to change the Law. Jesus made judgements about what of the Law was needed and what was not. The Pharisees put attention to the detail of the given Law above all else. Jesus put people above the Law. He wanted to bring individuals closer to God, not to keep a community inside of a covenant based on Laws with God.</w:t>
      </w:r>
      <w:r w:rsidR="0079226E">
        <w:rPr>
          <w:rStyle w:val="FootnoteReference"/>
          <w:rFonts w:ascii="Times New Roman" w:hAnsi="Times New Roman" w:cs="Times New Roman"/>
        </w:rPr>
        <w:footnoteReference w:id="28"/>
      </w:r>
    </w:p>
    <w:p w:rsidR="00A011E8" w:rsidRDefault="00427552" w:rsidP="00DA0A90">
      <w:pPr>
        <w:spacing w:line="480" w:lineRule="auto"/>
        <w:ind w:firstLine="720"/>
        <w:rPr>
          <w:rFonts w:ascii="Times New Roman" w:hAnsi="Times New Roman" w:cs="Times New Roman"/>
        </w:rPr>
      </w:pPr>
      <w:r w:rsidRPr="00A011E8">
        <w:rPr>
          <w:rFonts w:ascii="Times New Roman" w:hAnsi="Times New Roman" w:cs="Times New Roman"/>
          <w:i/>
          <w:iCs/>
        </w:rPr>
        <w:t xml:space="preserve">At that time Jesus went through the </w:t>
      </w:r>
      <w:r w:rsidRPr="00A011E8">
        <w:rPr>
          <w:rFonts w:ascii="Times New Roman" w:hAnsi="Times New Roman" w:cs="Times New Roman"/>
          <w:i/>
          <w:iCs/>
        </w:rPr>
        <w:t>grain fields</w:t>
      </w:r>
      <w:r w:rsidRPr="00A011E8">
        <w:rPr>
          <w:rFonts w:ascii="Times New Roman" w:hAnsi="Times New Roman" w:cs="Times New Roman"/>
          <w:i/>
          <w:iCs/>
        </w:rPr>
        <w:t xml:space="preserve"> on the sabbath; his disciples were hungry, and they began to pluck heads of grain and to eat. When the Pharisees saw it, they said to him, “Look, your disciples are doing what is not lawful to do on the sabbath.” He said to them, “Have you not read what David did when he and his companions were hungry?</w:t>
      </w:r>
      <w:r>
        <w:rPr>
          <w:rFonts w:ascii="Times New Roman" w:hAnsi="Times New Roman" w:cs="Times New Roman"/>
        </w:rPr>
        <w:t>”</w:t>
      </w:r>
      <w:r>
        <w:rPr>
          <w:rStyle w:val="FootnoteReference"/>
          <w:rFonts w:ascii="Times New Roman" w:hAnsi="Times New Roman" w:cs="Times New Roman"/>
        </w:rPr>
        <w:footnoteReference w:id="29"/>
      </w:r>
      <w:r>
        <w:rPr>
          <w:rFonts w:ascii="Times New Roman" w:hAnsi="Times New Roman" w:cs="Times New Roman"/>
        </w:rPr>
        <w:t xml:space="preserve"> </w:t>
      </w:r>
    </w:p>
    <w:p w:rsidR="00427552" w:rsidRDefault="00427552" w:rsidP="00DA0A90">
      <w:pPr>
        <w:spacing w:line="480" w:lineRule="auto"/>
        <w:ind w:firstLine="720"/>
        <w:rPr>
          <w:rFonts w:ascii="Times New Roman" w:hAnsi="Times New Roman" w:cs="Times New Roman"/>
        </w:rPr>
      </w:pPr>
      <w:r>
        <w:rPr>
          <w:rFonts w:ascii="Times New Roman" w:hAnsi="Times New Roman" w:cs="Times New Roman"/>
        </w:rPr>
        <w:lastRenderedPageBreak/>
        <w:t xml:space="preserve">The Pharisees are upset here not because of the physical work that the disciples are doing, but because they are breaking the Law given by God. The basis of their relationship with God, the Law, is being called into question. Jesus </w:t>
      </w:r>
      <w:r w:rsidR="00E917EC">
        <w:rPr>
          <w:rFonts w:ascii="Times New Roman" w:hAnsi="Times New Roman" w:cs="Times New Roman"/>
        </w:rPr>
        <w:t xml:space="preserve">is calling upon the stories of the Old Testament. He is using the people as an explanation. He is putting the needs of the people above the Law. It’s how Jesus interacts with God. </w:t>
      </w:r>
    </w:p>
    <w:p w:rsidR="00E917EC" w:rsidRDefault="00E917EC" w:rsidP="00E917EC">
      <w:pPr>
        <w:spacing w:line="480" w:lineRule="auto"/>
        <w:ind w:firstLine="720"/>
        <w:rPr>
          <w:rFonts w:ascii="Times New Roman" w:hAnsi="Times New Roman" w:cs="Times New Roman"/>
        </w:rPr>
      </w:pPr>
      <w:r>
        <w:rPr>
          <w:rFonts w:ascii="Times New Roman" w:hAnsi="Times New Roman" w:cs="Times New Roman"/>
        </w:rPr>
        <w:t>In reality, the Pharisees were not evil. They were not wealthy, nor were they overly meticulous. The Pharisees were working to remain close to God. Frequently, yes, they did speak against Jesus. However, it is not with malicious intent. Just as we wouldn’t expect Jesus to be sharp tongued in his response, we should not make the Pharisee’s tone so sharp. It was not that these people were competing or arguing, but rather engaging in dialogue. It was two different ways to God communicating what they think is best. It is no different than a meeting of different sects of Christianity today. There is not malicious intent, but rather a quarrel so that others will be saved or brought into the covenant with God.</w:t>
      </w:r>
    </w:p>
    <w:p w:rsidR="00683608" w:rsidRDefault="00E917EC" w:rsidP="007B4689">
      <w:pPr>
        <w:spacing w:line="480" w:lineRule="auto"/>
        <w:rPr>
          <w:rFonts w:ascii="Times New Roman" w:hAnsi="Times New Roman" w:cs="Times New Roman"/>
        </w:rPr>
      </w:pPr>
      <w:r>
        <w:rPr>
          <w:rFonts w:ascii="Times New Roman" w:hAnsi="Times New Roman" w:cs="Times New Roman"/>
        </w:rPr>
        <w:tab/>
        <w:t>In the Talmud, Jesus is called a “bastard” and a “sorcerer.”</w:t>
      </w:r>
      <w:r>
        <w:rPr>
          <w:rStyle w:val="FootnoteReference"/>
          <w:rFonts w:ascii="Times New Roman" w:hAnsi="Times New Roman" w:cs="Times New Roman"/>
        </w:rPr>
        <w:footnoteReference w:id="30"/>
      </w:r>
      <w:r>
        <w:rPr>
          <w:rFonts w:ascii="Times New Roman" w:hAnsi="Times New Roman" w:cs="Times New Roman"/>
        </w:rPr>
        <w:t xml:space="preserve"> In the NT, the Pharisees are considered harsh and separatist. Understanding who the Pharisees actually were takes what looks like diametrically opposed groups and brings them into a conversation with one another. Understanding that the people considered the representatives of Judaism were not attacking the representative of Christianity calms the modern tension between these two belief systems. </w:t>
      </w:r>
      <w:r w:rsidR="007B4689">
        <w:rPr>
          <w:rFonts w:ascii="Times New Roman" w:hAnsi="Times New Roman" w:cs="Times New Roman"/>
        </w:rPr>
        <w:t xml:space="preserve">Without knowing who the Pharisees were, I put 10 to 15 old men in a triangle formation with uneasy glances and horrible posture into the New Testament. Now, I’ve put a group of farmers and merchants standing in town discussing the Law just as I stand and discuss religion with my peers in front of the library. This research has drastically </w:t>
      </w:r>
      <w:r w:rsidR="007B4689">
        <w:rPr>
          <w:rFonts w:ascii="Times New Roman" w:hAnsi="Times New Roman" w:cs="Times New Roman"/>
        </w:rPr>
        <w:t>change</w:t>
      </w:r>
      <w:r w:rsidR="007B4689">
        <w:rPr>
          <w:rFonts w:ascii="Times New Roman" w:hAnsi="Times New Roman" w:cs="Times New Roman"/>
        </w:rPr>
        <w:t>d</w:t>
      </w:r>
      <w:r w:rsidR="007B4689">
        <w:rPr>
          <w:rFonts w:ascii="Times New Roman" w:hAnsi="Times New Roman" w:cs="Times New Roman"/>
        </w:rPr>
        <w:t xml:space="preserve"> </w:t>
      </w:r>
      <w:r w:rsidR="007B4689">
        <w:rPr>
          <w:rFonts w:ascii="Times New Roman" w:hAnsi="Times New Roman" w:cs="Times New Roman"/>
        </w:rPr>
        <w:t xml:space="preserve">my </w:t>
      </w:r>
      <w:r w:rsidR="007B4689">
        <w:rPr>
          <w:rFonts w:ascii="Times New Roman" w:hAnsi="Times New Roman" w:cs="Times New Roman"/>
        </w:rPr>
        <w:t xml:space="preserve">interpretation of </w:t>
      </w:r>
      <w:r w:rsidR="007B4689">
        <w:rPr>
          <w:rFonts w:ascii="Times New Roman" w:hAnsi="Times New Roman" w:cs="Times New Roman"/>
        </w:rPr>
        <w:t xml:space="preserve">many </w:t>
      </w:r>
      <w:r w:rsidR="007B4689">
        <w:rPr>
          <w:rFonts w:ascii="Times New Roman" w:hAnsi="Times New Roman" w:cs="Times New Roman"/>
        </w:rPr>
        <w:lastRenderedPageBreak/>
        <w:t>book</w:t>
      </w:r>
      <w:r w:rsidR="007B4689">
        <w:rPr>
          <w:rFonts w:ascii="Times New Roman" w:hAnsi="Times New Roman" w:cs="Times New Roman"/>
        </w:rPr>
        <w:t>s</w:t>
      </w:r>
      <w:r w:rsidR="007B4689">
        <w:rPr>
          <w:rFonts w:ascii="Times New Roman" w:hAnsi="Times New Roman" w:cs="Times New Roman"/>
        </w:rPr>
        <w:t xml:space="preserve"> of the N</w:t>
      </w:r>
      <w:r w:rsidR="007B4689">
        <w:rPr>
          <w:rFonts w:ascii="Times New Roman" w:hAnsi="Times New Roman" w:cs="Times New Roman"/>
        </w:rPr>
        <w:t xml:space="preserve">ew </w:t>
      </w:r>
      <w:r w:rsidR="007B4689">
        <w:rPr>
          <w:rFonts w:ascii="Times New Roman" w:hAnsi="Times New Roman" w:cs="Times New Roman"/>
        </w:rPr>
        <w:t>T</w:t>
      </w:r>
      <w:r w:rsidR="007B4689">
        <w:rPr>
          <w:rFonts w:ascii="Times New Roman" w:hAnsi="Times New Roman" w:cs="Times New Roman"/>
        </w:rPr>
        <w:t>estament</w:t>
      </w:r>
      <w:r w:rsidR="007B4689">
        <w:rPr>
          <w:rFonts w:ascii="Times New Roman" w:hAnsi="Times New Roman" w:cs="Times New Roman"/>
        </w:rPr>
        <w:t xml:space="preserve">, </w:t>
      </w:r>
      <w:r w:rsidR="007B4689">
        <w:rPr>
          <w:rFonts w:ascii="Times New Roman" w:hAnsi="Times New Roman" w:cs="Times New Roman"/>
        </w:rPr>
        <w:t xml:space="preserve">many statements </w:t>
      </w:r>
      <w:r w:rsidR="007B4689">
        <w:rPr>
          <w:rFonts w:ascii="Times New Roman" w:hAnsi="Times New Roman" w:cs="Times New Roman"/>
        </w:rPr>
        <w:t xml:space="preserve">from Josephus, and </w:t>
      </w:r>
      <w:r w:rsidR="007B4689">
        <w:rPr>
          <w:rFonts w:ascii="Times New Roman" w:hAnsi="Times New Roman" w:cs="Times New Roman"/>
        </w:rPr>
        <w:t xml:space="preserve">many </w:t>
      </w:r>
      <w:r w:rsidR="007B4689">
        <w:rPr>
          <w:rFonts w:ascii="Times New Roman" w:hAnsi="Times New Roman" w:cs="Times New Roman"/>
        </w:rPr>
        <w:t>piece</w:t>
      </w:r>
      <w:r w:rsidR="007B4689">
        <w:rPr>
          <w:rFonts w:ascii="Times New Roman" w:hAnsi="Times New Roman" w:cs="Times New Roman"/>
        </w:rPr>
        <w:t>s</w:t>
      </w:r>
      <w:r w:rsidR="007B4689">
        <w:rPr>
          <w:rFonts w:ascii="Times New Roman" w:hAnsi="Times New Roman" w:cs="Times New Roman"/>
        </w:rPr>
        <w:t xml:space="preserve"> of oral Torah </w:t>
      </w:r>
      <w:r w:rsidR="007B4689">
        <w:rPr>
          <w:rFonts w:ascii="Times New Roman" w:hAnsi="Times New Roman" w:cs="Times New Roman"/>
        </w:rPr>
        <w:t>each documented with the purpose of</w:t>
      </w:r>
      <w:r w:rsidR="007B4689">
        <w:rPr>
          <w:rFonts w:ascii="Times New Roman" w:hAnsi="Times New Roman" w:cs="Times New Roman"/>
        </w:rPr>
        <w:t xml:space="preserve"> bring</w:t>
      </w:r>
      <w:r w:rsidR="007B4689">
        <w:rPr>
          <w:rFonts w:ascii="Times New Roman" w:hAnsi="Times New Roman" w:cs="Times New Roman"/>
        </w:rPr>
        <w:t>ing</w:t>
      </w:r>
      <w:r w:rsidR="007B4689">
        <w:rPr>
          <w:rFonts w:ascii="Times New Roman" w:hAnsi="Times New Roman" w:cs="Times New Roman"/>
        </w:rPr>
        <w:t xml:space="preserve"> both of these timeless religious communities closer to God.</w:t>
      </w:r>
    </w:p>
    <w:p w:rsidR="00683608" w:rsidRDefault="00683608"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A754B0" w:rsidRDefault="00A754B0" w:rsidP="00E917EC">
      <w:pPr>
        <w:spacing w:line="480" w:lineRule="auto"/>
        <w:rPr>
          <w:rFonts w:ascii="Times New Roman" w:hAnsi="Times New Roman" w:cs="Times New Roman"/>
        </w:rPr>
      </w:pPr>
    </w:p>
    <w:p w:rsidR="00683608" w:rsidRDefault="00683608" w:rsidP="00E917EC">
      <w:pPr>
        <w:spacing w:line="480" w:lineRule="auto"/>
        <w:rPr>
          <w:rFonts w:ascii="Times New Roman" w:hAnsi="Times New Roman" w:cs="Times New Roman"/>
        </w:rPr>
      </w:pPr>
    </w:p>
    <w:p w:rsidR="00683608" w:rsidRDefault="00683608" w:rsidP="00E917EC">
      <w:pPr>
        <w:spacing w:line="480" w:lineRule="auto"/>
        <w:rPr>
          <w:rFonts w:ascii="Times New Roman" w:hAnsi="Times New Roman" w:cs="Times New Roman"/>
        </w:rPr>
      </w:pPr>
    </w:p>
    <w:p w:rsidR="00B42251" w:rsidRDefault="00B42251" w:rsidP="00B42251">
      <w:pPr>
        <w:rPr>
          <w:rFonts w:ascii="Times New Roman" w:hAnsi="Times New Roman" w:cs="Times New Roman"/>
        </w:rPr>
      </w:pPr>
    </w:p>
    <w:p w:rsidR="00731D9E" w:rsidRDefault="00731D9E" w:rsidP="00B42251">
      <w:pPr>
        <w:rPr>
          <w:rFonts w:ascii="Times New Roman" w:hAnsi="Times New Roman" w:cs="Times New Roman"/>
        </w:rPr>
      </w:pPr>
    </w:p>
    <w:p w:rsidR="00B42251" w:rsidRPr="009178DE" w:rsidRDefault="00B42251" w:rsidP="00B42251">
      <w:pPr>
        <w:jc w:val="center"/>
        <w:rPr>
          <w:rFonts w:ascii="Times New Roman" w:hAnsi="Times New Roman" w:cs="Times New Roman"/>
          <w:u w:val="single"/>
        </w:rPr>
      </w:pPr>
      <w:r w:rsidRPr="009178DE">
        <w:rPr>
          <w:rFonts w:ascii="Times New Roman" w:hAnsi="Times New Roman" w:cs="Times New Roman"/>
          <w:u w:val="single"/>
        </w:rPr>
        <w:t>Works Cited</w:t>
      </w:r>
    </w:p>
    <w:p w:rsidR="00683608" w:rsidRPr="009178DE" w:rsidRDefault="00683608" w:rsidP="00B42251">
      <w:pPr>
        <w:jc w:val="center"/>
        <w:rPr>
          <w:rFonts w:ascii="Times New Roman" w:hAnsi="Times New Roman" w:cs="Times New Roman"/>
          <w:u w:val="single"/>
        </w:rPr>
      </w:pPr>
    </w:p>
    <w:p w:rsidR="00295EEC" w:rsidRPr="009178DE" w:rsidRDefault="00295EEC" w:rsidP="00295EEC">
      <w:pPr>
        <w:rPr>
          <w:rFonts w:ascii="Times New Roman" w:hAnsi="Times New Roman" w:cs="Times New Roman"/>
          <w:i/>
          <w:iCs/>
        </w:rPr>
      </w:pPr>
      <w:r w:rsidRPr="009178DE">
        <w:rPr>
          <w:rFonts w:ascii="Times New Roman" w:hAnsi="Times New Roman" w:cs="Times New Roman"/>
        </w:rPr>
        <w:t>Culbertson, Philip L. 1982. “Changing Christian Images of the Pharisees</w:t>
      </w:r>
      <w:r w:rsidRPr="009178DE">
        <w:rPr>
          <w:rFonts w:ascii="Times New Roman" w:hAnsi="Times New Roman" w:cs="Times New Roman"/>
          <w:i/>
          <w:iCs/>
        </w:rPr>
        <w:t xml:space="preserve">.” Anglican Theological </w:t>
      </w:r>
    </w:p>
    <w:p w:rsidR="00295EEC" w:rsidRDefault="00295EEC" w:rsidP="00295EEC">
      <w:pPr>
        <w:ind w:left="720"/>
        <w:rPr>
          <w:rFonts w:ascii="Times New Roman" w:hAnsi="Times New Roman" w:cs="Times New Roman"/>
        </w:rPr>
      </w:pPr>
      <w:r w:rsidRPr="009178DE">
        <w:rPr>
          <w:rFonts w:ascii="Times New Roman" w:hAnsi="Times New Roman" w:cs="Times New Roman"/>
          <w:i/>
          <w:iCs/>
        </w:rPr>
        <w:t>Review</w:t>
      </w:r>
      <w:r w:rsidRPr="009178DE">
        <w:rPr>
          <w:rFonts w:ascii="Times New Roman" w:hAnsi="Times New Roman" w:cs="Times New Roman"/>
        </w:rPr>
        <w:t xml:space="preserve"> 64 (4): 539–61. </w:t>
      </w:r>
      <w:hyperlink r:id="rId7" w:history="1">
        <w:r w:rsidRPr="009178DE">
          <w:rPr>
            <w:rStyle w:val="Hyperlink"/>
            <w:rFonts w:ascii="Times New Roman" w:hAnsi="Times New Roman" w:cs="Times New Roman"/>
            <w:color w:val="auto"/>
          </w:rPr>
          <w:t>http://search.ebscohost.com.libproxy.furman.edu/login.aspx?direct=true&amp;db=rfh&amp;AN=ATLA0000796609&amp;site=ehost-live</w:t>
        </w:r>
      </w:hyperlink>
      <w:r w:rsidRPr="009178DE">
        <w:rPr>
          <w:rFonts w:ascii="Times New Roman" w:hAnsi="Times New Roman" w:cs="Times New Roman"/>
        </w:rPr>
        <w:t>.</w:t>
      </w:r>
    </w:p>
    <w:p w:rsidR="00A011E8" w:rsidRPr="009178DE" w:rsidRDefault="00A011E8" w:rsidP="00295EEC">
      <w:pPr>
        <w:ind w:left="720"/>
        <w:rPr>
          <w:rFonts w:ascii="Times New Roman" w:hAnsi="Times New Roman" w:cs="Times New Roman"/>
        </w:rPr>
      </w:pPr>
    </w:p>
    <w:p w:rsidR="00295EEC" w:rsidRPr="009178DE" w:rsidRDefault="00295EEC" w:rsidP="00295EEC">
      <w:pPr>
        <w:rPr>
          <w:rFonts w:ascii="Times New Roman" w:hAnsi="Times New Roman" w:cs="Times New Roman"/>
          <w:i/>
          <w:iCs/>
        </w:rPr>
      </w:pPr>
      <w:r w:rsidRPr="009178DE">
        <w:rPr>
          <w:rFonts w:ascii="Times New Roman" w:hAnsi="Times New Roman" w:cs="Times New Roman"/>
        </w:rPr>
        <w:t xml:space="preserve">McCready, Wayne O., and Adele </w:t>
      </w:r>
      <w:proofErr w:type="spellStart"/>
      <w:r w:rsidRPr="009178DE">
        <w:rPr>
          <w:rFonts w:ascii="Times New Roman" w:hAnsi="Times New Roman" w:cs="Times New Roman"/>
        </w:rPr>
        <w:t>Reinhartz</w:t>
      </w:r>
      <w:proofErr w:type="spellEnd"/>
      <w:r w:rsidRPr="009178DE">
        <w:rPr>
          <w:rFonts w:ascii="Times New Roman" w:hAnsi="Times New Roman" w:cs="Times New Roman"/>
        </w:rPr>
        <w:t xml:space="preserve">, eds. </w:t>
      </w:r>
      <w:r w:rsidRPr="009178DE">
        <w:rPr>
          <w:rFonts w:ascii="Times New Roman" w:hAnsi="Times New Roman" w:cs="Times New Roman"/>
          <w:i/>
          <w:iCs/>
        </w:rPr>
        <w:t>Common Judaism Explorations in Second-</w:t>
      </w:r>
    </w:p>
    <w:p w:rsidR="00295EEC" w:rsidRDefault="00295EEC" w:rsidP="00295EEC">
      <w:pPr>
        <w:ind w:firstLine="720"/>
        <w:rPr>
          <w:rFonts w:ascii="Times New Roman" w:hAnsi="Times New Roman" w:cs="Times New Roman"/>
        </w:rPr>
      </w:pPr>
      <w:r w:rsidRPr="009178DE">
        <w:rPr>
          <w:rFonts w:ascii="Times New Roman" w:hAnsi="Times New Roman" w:cs="Times New Roman"/>
          <w:i/>
          <w:iCs/>
        </w:rPr>
        <w:t>Temple Judaism.</w:t>
      </w:r>
      <w:r w:rsidRPr="009178DE">
        <w:rPr>
          <w:rFonts w:ascii="Times New Roman" w:hAnsi="Times New Roman" w:cs="Times New Roman"/>
        </w:rPr>
        <w:t xml:space="preserve"> Minneapolis, MN: Fortress Press, 2011.</w:t>
      </w:r>
    </w:p>
    <w:p w:rsidR="00A011E8" w:rsidRPr="009178DE" w:rsidRDefault="00A011E8" w:rsidP="00295EEC">
      <w:pPr>
        <w:ind w:firstLine="720"/>
        <w:rPr>
          <w:rFonts w:ascii="Times New Roman" w:hAnsi="Times New Roman" w:cs="Times New Roman"/>
        </w:rPr>
      </w:pPr>
    </w:p>
    <w:p w:rsidR="006E530E" w:rsidRPr="00A011E8" w:rsidRDefault="006E530E" w:rsidP="006E530E">
      <w:pPr>
        <w:rPr>
          <w:rFonts w:ascii="Times New Roman" w:hAnsi="Times New Roman" w:cs="Times New Roman"/>
        </w:rPr>
      </w:pPr>
      <w:r w:rsidRPr="00A011E8">
        <w:rPr>
          <w:rFonts w:ascii="Times New Roman" w:hAnsi="Times New Roman" w:cs="Times New Roman"/>
        </w:rPr>
        <w:t>New Revised Standard Version</w:t>
      </w:r>
    </w:p>
    <w:p w:rsidR="00A011E8" w:rsidRPr="00A011E8" w:rsidRDefault="00A011E8" w:rsidP="006E530E">
      <w:pPr>
        <w:rPr>
          <w:rFonts w:ascii="Times New Roman" w:hAnsi="Times New Roman" w:cs="Times New Roman"/>
        </w:rPr>
      </w:pPr>
    </w:p>
    <w:p w:rsidR="00295EEC" w:rsidRPr="00A011E8" w:rsidRDefault="00295EEC" w:rsidP="00295EEC">
      <w:pPr>
        <w:rPr>
          <w:rFonts w:ascii="Times New Roman" w:hAnsi="Times New Roman" w:cs="Times New Roman"/>
        </w:rPr>
      </w:pPr>
      <w:r w:rsidRPr="00A011E8">
        <w:rPr>
          <w:rFonts w:ascii="Times New Roman" w:hAnsi="Times New Roman" w:cs="Times New Roman"/>
        </w:rPr>
        <w:t xml:space="preserve">Phipps, William E. 1977. “Jesus, the Prophetic Pharisee.” </w:t>
      </w:r>
      <w:r w:rsidRPr="00A011E8">
        <w:rPr>
          <w:rFonts w:ascii="Times New Roman" w:hAnsi="Times New Roman" w:cs="Times New Roman"/>
          <w:i/>
          <w:iCs/>
        </w:rPr>
        <w:t>Journal of Ecumenical Studies</w:t>
      </w:r>
      <w:r w:rsidRPr="00A011E8">
        <w:rPr>
          <w:rFonts w:ascii="Times New Roman" w:hAnsi="Times New Roman" w:cs="Times New Roman"/>
        </w:rPr>
        <w:t xml:space="preserve"> 14 (1): </w:t>
      </w:r>
    </w:p>
    <w:p w:rsidR="00295EEC" w:rsidRPr="00A011E8" w:rsidRDefault="00295EEC" w:rsidP="00295EEC">
      <w:pPr>
        <w:ind w:left="720"/>
        <w:rPr>
          <w:rFonts w:ascii="Times New Roman" w:hAnsi="Times New Roman" w:cs="Times New Roman"/>
        </w:rPr>
      </w:pPr>
      <w:r w:rsidRPr="00A011E8">
        <w:rPr>
          <w:rFonts w:ascii="Times New Roman" w:hAnsi="Times New Roman" w:cs="Times New Roman"/>
        </w:rPr>
        <w:t xml:space="preserve">17–31. </w:t>
      </w:r>
      <w:hyperlink r:id="rId8" w:history="1">
        <w:r w:rsidR="00A011E8" w:rsidRPr="00A011E8">
          <w:rPr>
            <w:rStyle w:val="Hyperlink"/>
            <w:rFonts w:ascii="Times New Roman" w:hAnsi="Times New Roman" w:cs="Times New Roman"/>
            <w:color w:val="auto"/>
          </w:rPr>
          <w:t>http://search.ebscohost.com.libproxy.furman.edu/login.aspx?direct=true&amp;db=rfh&amp;AN=ATLA0000763537&amp;site=ehost-live</w:t>
        </w:r>
      </w:hyperlink>
      <w:r w:rsidRPr="00A011E8">
        <w:rPr>
          <w:rFonts w:ascii="Times New Roman" w:hAnsi="Times New Roman" w:cs="Times New Roman"/>
        </w:rPr>
        <w:t>.</w:t>
      </w:r>
    </w:p>
    <w:p w:rsidR="00A011E8" w:rsidRPr="00A011E8" w:rsidRDefault="00A011E8" w:rsidP="00295EEC">
      <w:pPr>
        <w:ind w:left="720"/>
        <w:rPr>
          <w:rFonts w:ascii="Times New Roman" w:hAnsi="Times New Roman" w:cs="Times New Roman"/>
        </w:rPr>
      </w:pPr>
    </w:p>
    <w:p w:rsidR="00295EEC" w:rsidRPr="00A011E8" w:rsidRDefault="00295EEC" w:rsidP="00295EEC">
      <w:pPr>
        <w:rPr>
          <w:rFonts w:ascii="Times New Roman" w:hAnsi="Times New Roman" w:cs="Times New Roman"/>
        </w:rPr>
      </w:pPr>
      <w:r w:rsidRPr="00A011E8">
        <w:rPr>
          <w:rFonts w:ascii="Times New Roman" w:hAnsi="Times New Roman" w:cs="Times New Roman"/>
        </w:rPr>
        <w:t>Reilly, Wendell Stephen. 1939. “Our</w:t>
      </w:r>
      <w:bookmarkStart w:id="0" w:name="_GoBack"/>
      <w:bookmarkEnd w:id="0"/>
      <w:r w:rsidRPr="00A011E8">
        <w:rPr>
          <w:rFonts w:ascii="Times New Roman" w:hAnsi="Times New Roman" w:cs="Times New Roman"/>
        </w:rPr>
        <w:t xml:space="preserve"> Lord and the Pharisees.” </w:t>
      </w:r>
      <w:r w:rsidRPr="00A011E8">
        <w:rPr>
          <w:rFonts w:ascii="Times New Roman" w:hAnsi="Times New Roman" w:cs="Times New Roman"/>
          <w:i/>
          <w:iCs/>
        </w:rPr>
        <w:t>The Catholic Biblical Quarterly</w:t>
      </w:r>
      <w:r w:rsidRPr="00A011E8">
        <w:rPr>
          <w:rFonts w:ascii="Times New Roman" w:hAnsi="Times New Roman" w:cs="Times New Roman"/>
        </w:rPr>
        <w:t xml:space="preserve"> 1 </w:t>
      </w:r>
    </w:p>
    <w:p w:rsidR="00B42251" w:rsidRPr="00A011E8" w:rsidRDefault="00295EEC" w:rsidP="00295EEC">
      <w:pPr>
        <w:ind w:left="720"/>
        <w:rPr>
          <w:rFonts w:ascii="Times New Roman" w:hAnsi="Times New Roman" w:cs="Times New Roman"/>
        </w:rPr>
      </w:pPr>
      <w:r w:rsidRPr="00A011E8">
        <w:rPr>
          <w:rFonts w:ascii="Times New Roman" w:hAnsi="Times New Roman" w:cs="Times New Roman"/>
        </w:rPr>
        <w:t xml:space="preserve">(1): 64–68. </w:t>
      </w:r>
      <w:r w:rsidRPr="00A011E8">
        <w:rPr>
          <w:rFonts w:ascii="Times New Roman" w:hAnsi="Times New Roman" w:cs="Times New Roman"/>
        </w:rPr>
        <w:fldChar w:fldCharType="begin"/>
      </w:r>
      <w:r w:rsidRPr="00A011E8">
        <w:rPr>
          <w:rFonts w:ascii="Times New Roman" w:hAnsi="Times New Roman" w:cs="Times New Roman"/>
        </w:rPr>
        <w:instrText xml:space="preserve"> HYPERLINK "http://search.ebscohost.com.libproxy.furman.edu/login.aspx?direct=true&amp;db=rfh&amp;AN=ATLA0001276756&amp;site=ehost-live" </w:instrText>
      </w:r>
      <w:r w:rsidRPr="00A011E8">
        <w:rPr>
          <w:rFonts w:ascii="Times New Roman" w:hAnsi="Times New Roman" w:cs="Times New Roman"/>
        </w:rPr>
        <w:fldChar w:fldCharType="separate"/>
      </w:r>
      <w:r w:rsidRPr="00A011E8">
        <w:rPr>
          <w:rStyle w:val="Hyperlink"/>
          <w:rFonts w:ascii="Times New Roman" w:hAnsi="Times New Roman" w:cs="Times New Roman"/>
          <w:color w:val="auto"/>
        </w:rPr>
        <w:t>http://search.ebscohost.com.libproxy.furman.edu/login.aspx?direct</w:t>
      </w:r>
      <w:r w:rsidRPr="00A011E8">
        <w:rPr>
          <w:rStyle w:val="Hyperlink"/>
          <w:rFonts w:ascii="Times New Roman" w:hAnsi="Times New Roman" w:cs="Times New Roman"/>
          <w:color w:val="auto"/>
        </w:rPr>
        <w:t>=</w:t>
      </w:r>
      <w:r w:rsidRPr="00A011E8">
        <w:rPr>
          <w:rStyle w:val="Hyperlink"/>
          <w:rFonts w:ascii="Times New Roman" w:hAnsi="Times New Roman" w:cs="Times New Roman"/>
          <w:color w:val="auto"/>
        </w:rPr>
        <w:t>true&amp;db=rfh&amp;AN=ATLA0001276756&amp;site=ehost-live</w:t>
      </w:r>
      <w:r w:rsidRPr="00A011E8">
        <w:rPr>
          <w:rFonts w:ascii="Times New Roman" w:hAnsi="Times New Roman" w:cs="Times New Roman"/>
        </w:rPr>
        <w:fldChar w:fldCharType="end"/>
      </w:r>
      <w:r w:rsidRPr="00A011E8">
        <w:rPr>
          <w:rFonts w:ascii="Times New Roman" w:hAnsi="Times New Roman" w:cs="Times New Roman"/>
        </w:rPr>
        <w:t>.</w:t>
      </w:r>
    </w:p>
    <w:p w:rsidR="00A011E8" w:rsidRPr="00A011E8" w:rsidRDefault="00A011E8" w:rsidP="00295EEC">
      <w:pPr>
        <w:ind w:left="720"/>
        <w:rPr>
          <w:rFonts w:ascii="Times New Roman" w:hAnsi="Times New Roman" w:cs="Times New Roman"/>
        </w:rPr>
      </w:pPr>
    </w:p>
    <w:p w:rsidR="00295EEC" w:rsidRPr="00A011E8" w:rsidRDefault="00295EEC" w:rsidP="00295EEC">
      <w:pPr>
        <w:rPr>
          <w:rFonts w:ascii="Times New Roman" w:hAnsi="Times New Roman" w:cs="Times New Roman"/>
        </w:rPr>
      </w:pPr>
      <w:r w:rsidRPr="00A011E8">
        <w:rPr>
          <w:rFonts w:ascii="Times New Roman" w:hAnsi="Times New Roman" w:cs="Times New Roman"/>
        </w:rPr>
        <w:t xml:space="preserve">Sanders, E. P. </w:t>
      </w:r>
      <w:r w:rsidRPr="00A011E8">
        <w:rPr>
          <w:rFonts w:ascii="Times New Roman" w:hAnsi="Times New Roman" w:cs="Times New Roman"/>
          <w:i/>
          <w:iCs/>
        </w:rPr>
        <w:t>Judaism: Practice and Belief, 63 BCE-66 CE.</w:t>
      </w:r>
      <w:r w:rsidRPr="00A011E8">
        <w:rPr>
          <w:rFonts w:ascii="Times New Roman" w:hAnsi="Times New Roman" w:cs="Times New Roman"/>
        </w:rPr>
        <w:t xml:space="preserve"> Minneapolis: Fortress, 2016.</w:t>
      </w:r>
    </w:p>
    <w:p w:rsidR="00A011E8" w:rsidRPr="00A011E8" w:rsidRDefault="00A011E8" w:rsidP="00295EEC">
      <w:pPr>
        <w:rPr>
          <w:rFonts w:ascii="Times New Roman" w:hAnsi="Times New Roman" w:cs="Times New Roman"/>
        </w:rPr>
      </w:pPr>
    </w:p>
    <w:p w:rsidR="00295EEC" w:rsidRPr="00A011E8" w:rsidRDefault="00295EEC" w:rsidP="00295EEC">
      <w:pPr>
        <w:rPr>
          <w:rFonts w:ascii="Times New Roman" w:hAnsi="Times New Roman" w:cs="Times New Roman"/>
        </w:rPr>
      </w:pPr>
      <w:proofErr w:type="spellStart"/>
      <w:r w:rsidRPr="00A011E8">
        <w:rPr>
          <w:rFonts w:ascii="Times New Roman" w:hAnsi="Times New Roman" w:cs="Times New Roman"/>
        </w:rPr>
        <w:t>Thurén</w:t>
      </w:r>
      <w:proofErr w:type="spellEnd"/>
      <w:r w:rsidRPr="00A011E8">
        <w:rPr>
          <w:rFonts w:ascii="Times New Roman" w:hAnsi="Times New Roman" w:cs="Times New Roman"/>
        </w:rPr>
        <w:t xml:space="preserve">, Lauri. 2014. “Jesus the Victimizer?” </w:t>
      </w:r>
      <w:r w:rsidRPr="00A011E8">
        <w:rPr>
          <w:rFonts w:ascii="Times New Roman" w:hAnsi="Times New Roman" w:cs="Times New Roman"/>
          <w:i/>
          <w:iCs/>
        </w:rPr>
        <w:t>Approaching Religion</w:t>
      </w:r>
      <w:r w:rsidRPr="00A011E8">
        <w:rPr>
          <w:rFonts w:ascii="Times New Roman" w:hAnsi="Times New Roman" w:cs="Times New Roman"/>
        </w:rPr>
        <w:t xml:space="preserve"> 4 (2): 37–50. </w:t>
      </w:r>
    </w:p>
    <w:p w:rsidR="00692DD2" w:rsidRPr="00A011E8" w:rsidRDefault="00295EEC" w:rsidP="00DA0A90">
      <w:pPr>
        <w:ind w:left="720"/>
        <w:rPr>
          <w:rFonts w:ascii="Times New Roman" w:hAnsi="Times New Roman" w:cs="Times New Roman"/>
        </w:rPr>
      </w:pPr>
      <w:hyperlink r:id="rId9" w:history="1">
        <w:r w:rsidRPr="00A011E8">
          <w:rPr>
            <w:rStyle w:val="Hyperlink"/>
            <w:rFonts w:ascii="Times New Roman" w:hAnsi="Times New Roman" w:cs="Times New Roman"/>
            <w:color w:val="auto"/>
          </w:rPr>
          <w:t>http://search.ebscohost.com.libproxy.furman.edu/login.aspx?direct=true&amp;db=rfh&amp;AN=ATLAiFZU180328001850&amp;site=ehost-live</w:t>
        </w:r>
      </w:hyperlink>
      <w:r w:rsidRPr="00A011E8">
        <w:rPr>
          <w:rFonts w:ascii="Times New Roman" w:hAnsi="Times New Roman" w:cs="Times New Roman"/>
        </w:rPr>
        <w:t>.</w:t>
      </w:r>
    </w:p>
    <w:p w:rsidR="00692DD2" w:rsidRPr="00A011E8" w:rsidRDefault="00692DD2" w:rsidP="00295EEC">
      <w:pPr>
        <w:rPr>
          <w:rFonts w:ascii="Times New Roman" w:hAnsi="Times New Roman" w:cs="Times New Roman"/>
        </w:rPr>
      </w:pPr>
    </w:p>
    <w:sectPr w:rsidR="00692DD2" w:rsidRPr="00A011E8" w:rsidSect="00963F6B">
      <w:headerReference w:type="even" r:id="rId10"/>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6D5" w:rsidRDefault="001036D5" w:rsidP="00963F6B">
      <w:r>
        <w:separator/>
      </w:r>
    </w:p>
  </w:endnote>
  <w:endnote w:type="continuationSeparator" w:id="0">
    <w:p w:rsidR="001036D5" w:rsidRDefault="001036D5" w:rsidP="00963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6D5" w:rsidRDefault="001036D5" w:rsidP="00963F6B">
      <w:r>
        <w:separator/>
      </w:r>
    </w:p>
  </w:footnote>
  <w:footnote w:type="continuationSeparator" w:id="0">
    <w:p w:rsidR="001036D5" w:rsidRDefault="001036D5" w:rsidP="00963F6B">
      <w:r>
        <w:continuationSeparator/>
      </w:r>
    </w:p>
  </w:footnote>
  <w:footnote w:id="1">
    <w:p w:rsidR="00A377B3" w:rsidRPr="005604C5" w:rsidRDefault="00A377B3">
      <w:pPr>
        <w:pStyle w:val="FootnoteText"/>
        <w:rPr>
          <w:rFonts w:ascii="Times New Roman" w:hAnsi="Times New Roman" w:cs="Times New Roman"/>
        </w:rPr>
      </w:pPr>
      <w:r w:rsidRPr="005604C5">
        <w:rPr>
          <w:rStyle w:val="FootnoteReference"/>
          <w:rFonts w:ascii="Times New Roman" w:hAnsi="Times New Roman" w:cs="Times New Roman"/>
        </w:rPr>
        <w:footnoteRef/>
      </w:r>
      <w:r w:rsidRPr="005604C5">
        <w:rPr>
          <w:rFonts w:ascii="Times New Roman" w:hAnsi="Times New Roman" w:cs="Times New Roman"/>
        </w:rPr>
        <w:t xml:space="preserve"> Culbertson, “Changing Images” 539</w:t>
      </w:r>
    </w:p>
  </w:footnote>
  <w:footnote w:id="2">
    <w:p w:rsidR="00A377B3" w:rsidRPr="005604C5" w:rsidRDefault="00A377B3" w:rsidP="00835A87">
      <w:pPr>
        <w:pStyle w:val="FootnoteText"/>
        <w:rPr>
          <w:rFonts w:ascii="Times New Roman" w:hAnsi="Times New Roman" w:cs="Times New Roman"/>
          <w:color w:val="000000" w:themeColor="text1"/>
        </w:rPr>
      </w:pPr>
      <w:r w:rsidRPr="005604C5">
        <w:rPr>
          <w:rStyle w:val="FootnoteReference"/>
          <w:rFonts w:ascii="Times New Roman" w:hAnsi="Times New Roman" w:cs="Times New Roman"/>
        </w:rPr>
        <w:footnoteRef/>
      </w:r>
      <w:r w:rsidRPr="005604C5">
        <w:rPr>
          <w:rFonts w:ascii="Times New Roman" w:hAnsi="Times New Roman" w:cs="Times New Roman"/>
        </w:rPr>
        <w:t xml:space="preserve"> </w:t>
      </w:r>
      <w:r w:rsidRPr="005604C5">
        <w:rPr>
          <w:rFonts w:ascii="Times New Roman" w:hAnsi="Times New Roman" w:cs="Times New Roman"/>
          <w:color w:val="000000" w:themeColor="text1"/>
        </w:rPr>
        <w:t>Reilly, “Our Lord” 64</w:t>
      </w:r>
    </w:p>
  </w:footnote>
  <w:footnote w:id="3">
    <w:p w:rsidR="00A377B3" w:rsidRPr="005604C5" w:rsidRDefault="00A377B3" w:rsidP="005604C5">
      <w:pPr>
        <w:pStyle w:val="FootnoteText"/>
      </w:pPr>
      <w:r w:rsidRPr="005604C5">
        <w:rPr>
          <w:rStyle w:val="FootnoteReference"/>
          <w:rFonts w:ascii="Times New Roman" w:hAnsi="Times New Roman" w:cs="Times New Roman"/>
        </w:rPr>
        <w:footnoteRef/>
      </w:r>
      <w:r w:rsidRPr="005604C5">
        <w:t xml:space="preserve"> Reilly, 65</w:t>
      </w:r>
    </w:p>
  </w:footnote>
  <w:footnote w:id="4">
    <w:p w:rsidR="00A377B3" w:rsidRPr="005604C5" w:rsidRDefault="00A377B3">
      <w:pPr>
        <w:pStyle w:val="FootnoteText"/>
        <w:rPr>
          <w:rFonts w:ascii="Times New Roman" w:hAnsi="Times New Roman" w:cs="Times New Roman"/>
        </w:rPr>
      </w:pPr>
      <w:r w:rsidRPr="005604C5">
        <w:rPr>
          <w:rStyle w:val="FootnoteReference"/>
          <w:rFonts w:ascii="Times New Roman" w:hAnsi="Times New Roman" w:cs="Times New Roman"/>
        </w:rPr>
        <w:footnoteRef/>
      </w:r>
      <w:r w:rsidRPr="005604C5">
        <w:rPr>
          <w:rFonts w:ascii="Times New Roman" w:hAnsi="Times New Roman" w:cs="Times New Roman"/>
        </w:rPr>
        <w:t xml:space="preserve"> Phipps, “Prophetic Pharisee” 24</w:t>
      </w:r>
    </w:p>
  </w:footnote>
  <w:footnote w:id="5">
    <w:p w:rsidR="00A377B3" w:rsidRDefault="00A377B3">
      <w:pPr>
        <w:pStyle w:val="FootnoteText"/>
      </w:pPr>
      <w:r>
        <w:rPr>
          <w:rStyle w:val="FootnoteReference"/>
        </w:rPr>
        <w:footnoteRef/>
      </w:r>
      <w:r>
        <w:t xml:space="preserve"> Reilly, 64-65</w:t>
      </w:r>
    </w:p>
  </w:footnote>
  <w:footnote w:id="6">
    <w:p w:rsidR="00A377B3" w:rsidRDefault="00A377B3" w:rsidP="00513AB9">
      <w:pPr>
        <w:pStyle w:val="FootnoteText"/>
      </w:pPr>
      <w:r>
        <w:rPr>
          <w:rStyle w:val="FootnoteReference"/>
        </w:rPr>
        <w:footnoteRef/>
      </w:r>
      <w:r>
        <w:t xml:space="preserve"> Reilly, 66</w:t>
      </w:r>
    </w:p>
  </w:footnote>
  <w:footnote w:id="7">
    <w:p w:rsidR="00A377B3" w:rsidRDefault="00A377B3">
      <w:pPr>
        <w:pStyle w:val="FootnoteText"/>
      </w:pPr>
      <w:r>
        <w:rPr>
          <w:rStyle w:val="FootnoteReference"/>
        </w:rPr>
        <w:footnoteRef/>
      </w:r>
      <w:r>
        <w:t xml:space="preserve"> Sanders, “Judaism: Practice and Belief” 413</w:t>
      </w:r>
    </w:p>
  </w:footnote>
  <w:footnote w:id="8">
    <w:p w:rsidR="00A377B3" w:rsidRDefault="00A377B3">
      <w:pPr>
        <w:pStyle w:val="FootnoteText"/>
      </w:pPr>
      <w:r>
        <w:rPr>
          <w:rStyle w:val="FootnoteReference"/>
        </w:rPr>
        <w:footnoteRef/>
      </w:r>
      <w:r>
        <w:t xml:space="preserve"> </w:t>
      </w:r>
      <w:proofErr w:type="spellStart"/>
      <w:r w:rsidRPr="00683608">
        <w:rPr>
          <w:rFonts w:ascii="Times New Roman" w:hAnsi="Times New Roman" w:cs="Times New Roman"/>
          <w:color w:val="000000" w:themeColor="text1"/>
        </w:rPr>
        <w:t>Thurén</w:t>
      </w:r>
      <w:proofErr w:type="spellEnd"/>
      <w:r>
        <w:rPr>
          <w:rFonts w:ascii="Times New Roman" w:hAnsi="Times New Roman" w:cs="Times New Roman"/>
          <w:color w:val="000000" w:themeColor="text1"/>
        </w:rPr>
        <w:t>, “Jesus the Victimizer?” 37</w:t>
      </w:r>
    </w:p>
  </w:footnote>
  <w:footnote w:id="9">
    <w:p w:rsidR="00A377B3" w:rsidRDefault="00A377B3">
      <w:pPr>
        <w:pStyle w:val="FootnoteText"/>
      </w:pPr>
      <w:r>
        <w:rPr>
          <w:rStyle w:val="FootnoteReference"/>
        </w:rPr>
        <w:footnoteRef/>
      </w:r>
      <w:r>
        <w:t xml:space="preserve"> </w:t>
      </w:r>
      <w:proofErr w:type="spellStart"/>
      <w:r w:rsidRPr="00683608">
        <w:rPr>
          <w:rFonts w:ascii="Times New Roman" w:hAnsi="Times New Roman" w:cs="Times New Roman"/>
          <w:color w:val="000000" w:themeColor="text1"/>
        </w:rPr>
        <w:t>Thurén</w:t>
      </w:r>
      <w:proofErr w:type="spellEnd"/>
      <w:r>
        <w:rPr>
          <w:rFonts w:ascii="Times New Roman" w:hAnsi="Times New Roman" w:cs="Times New Roman"/>
          <w:color w:val="000000" w:themeColor="text1"/>
        </w:rPr>
        <w:t>, 38</w:t>
      </w:r>
    </w:p>
  </w:footnote>
  <w:footnote w:id="10">
    <w:p w:rsidR="00A377B3" w:rsidRDefault="00A377B3">
      <w:pPr>
        <w:pStyle w:val="FootnoteText"/>
      </w:pPr>
      <w:r>
        <w:rPr>
          <w:rStyle w:val="FootnoteReference"/>
        </w:rPr>
        <w:footnoteRef/>
      </w:r>
      <w:r>
        <w:t xml:space="preserve"> Sanders, “Judaism: Practice and Belief” 423</w:t>
      </w:r>
    </w:p>
  </w:footnote>
  <w:footnote w:id="11">
    <w:p w:rsidR="00A377B3" w:rsidRDefault="00A377B3">
      <w:pPr>
        <w:pStyle w:val="FootnoteText"/>
      </w:pPr>
      <w:r>
        <w:rPr>
          <w:rStyle w:val="FootnoteReference"/>
        </w:rPr>
        <w:footnoteRef/>
      </w:r>
      <w:r>
        <w:t xml:space="preserve"> Sanders, </w:t>
      </w:r>
      <w:r w:rsidR="00A06C34">
        <w:t xml:space="preserve">“Judaism: Practice and Belief” </w:t>
      </w:r>
      <w:r>
        <w:t>413</w:t>
      </w:r>
    </w:p>
  </w:footnote>
  <w:footnote w:id="12">
    <w:p w:rsidR="00A377B3" w:rsidRDefault="00A377B3">
      <w:pPr>
        <w:pStyle w:val="FootnoteText"/>
      </w:pPr>
      <w:r>
        <w:rPr>
          <w:rStyle w:val="FootnoteReference"/>
        </w:rPr>
        <w:footnoteRef/>
      </w:r>
      <w:r>
        <w:t xml:space="preserve"> Nehemiah 8:1-9</w:t>
      </w:r>
    </w:p>
  </w:footnote>
  <w:footnote w:id="13">
    <w:p w:rsidR="00A377B3" w:rsidRDefault="00A377B3">
      <w:pPr>
        <w:pStyle w:val="FootnoteText"/>
      </w:pPr>
      <w:r>
        <w:rPr>
          <w:rStyle w:val="FootnoteReference"/>
        </w:rPr>
        <w:footnoteRef/>
      </w:r>
      <w:r>
        <w:t xml:space="preserve"> </w:t>
      </w:r>
      <w:r w:rsidRPr="00683608">
        <w:rPr>
          <w:rFonts w:ascii="Times New Roman" w:hAnsi="Times New Roman" w:cs="Times New Roman"/>
          <w:color w:val="000000" w:themeColor="text1"/>
        </w:rPr>
        <w:t>McCready</w:t>
      </w:r>
      <w:r>
        <w:rPr>
          <w:rFonts w:ascii="Times New Roman" w:hAnsi="Times New Roman" w:cs="Times New Roman"/>
          <w:color w:val="000000" w:themeColor="text1"/>
        </w:rPr>
        <w:t xml:space="preserve"> and </w:t>
      </w:r>
      <w:proofErr w:type="spellStart"/>
      <w:r>
        <w:rPr>
          <w:rFonts w:ascii="Times New Roman" w:hAnsi="Times New Roman" w:cs="Times New Roman"/>
          <w:color w:val="000000" w:themeColor="text1"/>
        </w:rPr>
        <w:t>Reinhartz</w:t>
      </w:r>
      <w:proofErr w:type="spellEnd"/>
      <w:r>
        <w:rPr>
          <w:rFonts w:ascii="Times New Roman" w:hAnsi="Times New Roman" w:cs="Times New Roman"/>
          <w:color w:val="000000" w:themeColor="text1"/>
        </w:rPr>
        <w:t>, “Common Judaism” 82</w:t>
      </w:r>
    </w:p>
  </w:footnote>
  <w:footnote w:id="14">
    <w:p w:rsidR="00A377B3" w:rsidRDefault="00A377B3">
      <w:pPr>
        <w:pStyle w:val="FootnoteText"/>
      </w:pPr>
      <w:r>
        <w:rPr>
          <w:rStyle w:val="FootnoteReference"/>
        </w:rPr>
        <w:footnoteRef/>
      </w:r>
      <w:r>
        <w:t xml:space="preserve"> McCready and </w:t>
      </w:r>
      <w:proofErr w:type="spellStart"/>
      <w:r>
        <w:t>Reinhartz</w:t>
      </w:r>
      <w:proofErr w:type="spellEnd"/>
      <w:r>
        <w:t>, 86</w:t>
      </w:r>
    </w:p>
  </w:footnote>
  <w:footnote w:id="15">
    <w:p w:rsidR="00A377B3" w:rsidRDefault="00A377B3">
      <w:pPr>
        <w:pStyle w:val="FootnoteText"/>
      </w:pPr>
      <w:r>
        <w:rPr>
          <w:rStyle w:val="FootnoteReference"/>
        </w:rPr>
        <w:footnoteRef/>
      </w:r>
      <w:r>
        <w:t xml:space="preserve"> Culbertson, “Changing Christian Images” 540</w:t>
      </w:r>
    </w:p>
  </w:footnote>
  <w:footnote w:id="16">
    <w:p w:rsidR="00A377B3" w:rsidRDefault="00A377B3">
      <w:pPr>
        <w:pStyle w:val="FootnoteText"/>
      </w:pPr>
      <w:r>
        <w:rPr>
          <w:rStyle w:val="FootnoteReference"/>
        </w:rPr>
        <w:footnoteRef/>
      </w:r>
      <w:r>
        <w:t xml:space="preserve"> Reilly, “Our Lord” 65</w:t>
      </w:r>
    </w:p>
  </w:footnote>
  <w:footnote w:id="17">
    <w:p w:rsidR="00A377B3" w:rsidRDefault="00A377B3">
      <w:pPr>
        <w:pStyle w:val="FootnoteText"/>
      </w:pPr>
      <w:r>
        <w:rPr>
          <w:rStyle w:val="FootnoteReference"/>
        </w:rPr>
        <w:footnoteRef/>
      </w:r>
      <w:r>
        <w:t xml:space="preserve"> Culbertson, “Changing Christian Images” 541</w:t>
      </w:r>
    </w:p>
  </w:footnote>
  <w:footnote w:id="18">
    <w:p w:rsidR="00E96C35" w:rsidRDefault="00E96C35">
      <w:pPr>
        <w:pStyle w:val="FootnoteText"/>
      </w:pPr>
      <w:r>
        <w:rPr>
          <w:rStyle w:val="FootnoteReference"/>
        </w:rPr>
        <w:footnoteRef/>
      </w:r>
      <w:r>
        <w:t xml:space="preserve"> Culbertson, 542</w:t>
      </w:r>
    </w:p>
  </w:footnote>
  <w:footnote w:id="19">
    <w:p w:rsidR="00717C6F" w:rsidRDefault="00717C6F">
      <w:pPr>
        <w:pStyle w:val="FootnoteText"/>
      </w:pPr>
      <w:r>
        <w:rPr>
          <w:rStyle w:val="FootnoteReference"/>
        </w:rPr>
        <w:footnoteRef/>
      </w:r>
      <w:r>
        <w:t xml:space="preserve"> </w:t>
      </w:r>
      <w:r w:rsidR="00D92C5A">
        <w:t>Culbertson, 541</w:t>
      </w:r>
    </w:p>
  </w:footnote>
  <w:footnote w:id="20">
    <w:p w:rsidR="00D92C5A" w:rsidRDefault="00D92C5A">
      <w:pPr>
        <w:pStyle w:val="FootnoteText"/>
      </w:pPr>
      <w:r>
        <w:rPr>
          <w:rStyle w:val="FootnoteReference"/>
        </w:rPr>
        <w:footnoteRef/>
      </w:r>
      <w:r>
        <w:t xml:space="preserve"> Sanders, “Judaism: Practice and Belief” 421-423</w:t>
      </w:r>
    </w:p>
  </w:footnote>
  <w:footnote w:id="21">
    <w:p w:rsidR="00E344A5" w:rsidRDefault="00E344A5">
      <w:pPr>
        <w:pStyle w:val="FootnoteText"/>
      </w:pPr>
      <w:r>
        <w:rPr>
          <w:rStyle w:val="FootnoteReference"/>
        </w:rPr>
        <w:footnoteRef/>
      </w:r>
      <w:r>
        <w:t xml:space="preserve"> Culbertson, “Changing Christian Images” 540</w:t>
      </w:r>
    </w:p>
  </w:footnote>
  <w:footnote w:id="22">
    <w:p w:rsidR="00DA051B" w:rsidRDefault="00DA051B">
      <w:pPr>
        <w:pStyle w:val="FootnoteText"/>
      </w:pPr>
      <w:r>
        <w:rPr>
          <w:rStyle w:val="FootnoteReference"/>
        </w:rPr>
        <w:footnoteRef/>
      </w:r>
      <w:r>
        <w:t xml:space="preserve"> Lecture 4/4/19</w:t>
      </w:r>
    </w:p>
  </w:footnote>
  <w:footnote w:id="23">
    <w:p w:rsidR="00A06C34" w:rsidRDefault="00A06C34">
      <w:pPr>
        <w:pStyle w:val="FootnoteText"/>
      </w:pPr>
      <w:r>
        <w:rPr>
          <w:rStyle w:val="FootnoteReference"/>
        </w:rPr>
        <w:footnoteRef/>
      </w:r>
      <w:r>
        <w:t xml:space="preserve"> Sanders, “Judaism: Practice and Belief” 417-419</w:t>
      </w:r>
    </w:p>
  </w:footnote>
  <w:footnote w:id="24">
    <w:p w:rsidR="007C7C12" w:rsidRDefault="007C7C12">
      <w:pPr>
        <w:pStyle w:val="FootnoteText"/>
      </w:pPr>
      <w:r>
        <w:rPr>
          <w:rStyle w:val="FootnoteReference"/>
        </w:rPr>
        <w:footnoteRef/>
      </w:r>
      <w:r>
        <w:t xml:space="preserve"> Phipps, “Prophetic Pharisee” 549-550</w:t>
      </w:r>
    </w:p>
  </w:footnote>
  <w:footnote w:id="25">
    <w:p w:rsidR="00DA0A90" w:rsidRDefault="00DA0A90" w:rsidP="00DA0A90">
      <w:pPr>
        <w:pStyle w:val="FootnoteText"/>
      </w:pPr>
      <w:r>
        <w:rPr>
          <w:rStyle w:val="FootnoteReference"/>
        </w:rPr>
        <w:footnoteRef/>
      </w:r>
      <w:r>
        <w:t xml:space="preserve"> Sanders, “Judaism: Practice and Belief” 428</w:t>
      </w:r>
    </w:p>
  </w:footnote>
  <w:footnote w:id="26">
    <w:p w:rsidR="00DA0A90" w:rsidRDefault="00DA0A90">
      <w:pPr>
        <w:pStyle w:val="FootnoteText"/>
      </w:pPr>
      <w:r>
        <w:rPr>
          <w:rStyle w:val="FootnoteReference"/>
        </w:rPr>
        <w:footnoteRef/>
      </w:r>
      <w:r>
        <w:t xml:space="preserve"> Matthew 23:15</w:t>
      </w:r>
    </w:p>
  </w:footnote>
  <w:footnote w:id="27">
    <w:p w:rsidR="00DA0A90" w:rsidRDefault="00DA0A90">
      <w:pPr>
        <w:pStyle w:val="FootnoteText"/>
      </w:pPr>
      <w:r>
        <w:rPr>
          <w:rStyle w:val="FootnoteReference"/>
        </w:rPr>
        <w:footnoteRef/>
      </w:r>
      <w:r>
        <w:t xml:space="preserve"> </w:t>
      </w:r>
      <w:r w:rsidR="004D5582">
        <w:t>Sanders, “Judaism: Practice and Belief” 429</w:t>
      </w:r>
    </w:p>
  </w:footnote>
  <w:footnote w:id="28">
    <w:p w:rsidR="0079226E" w:rsidRDefault="0079226E">
      <w:pPr>
        <w:pStyle w:val="FootnoteText"/>
      </w:pPr>
      <w:r>
        <w:rPr>
          <w:rStyle w:val="FootnoteReference"/>
        </w:rPr>
        <w:footnoteRef/>
      </w:r>
      <w:r>
        <w:t xml:space="preserve"> Phipps, “Prophetic Pharisee” 25-30</w:t>
      </w:r>
    </w:p>
  </w:footnote>
  <w:footnote w:id="29">
    <w:p w:rsidR="00427552" w:rsidRDefault="00427552">
      <w:pPr>
        <w:pStyle w:val="FootnoteText"/>
      </w:pPr>
      <w:r>
        <w:rPr>
          <w:rStyle w:val="FootnoteReference"/>
        </w:rPr>
        <w:footnoteRef/>
      </w:r>
      <w:r>
        <w:t xml:space="preserve"> Matthew 12:1-3</w:t>
      </w:r>
    </w:p>
  </w:footnote>
  <w:footnote w:id="30">
    <w:p w:rsidR="00E917EC" w:rsidRDefault="00E917EC">
      <w:pPr>
        <w:pStyle w:val="FootnoteText"/>
      </w:pPr>
      <w:r>
        <w:rPr>
          <w:rStyle w:val="FootnoteReference"/>
        </w:rPr>
        <w:footnoteRef/>
      </w:r>
      <w:r>
        <w:t xml:space="preserve"> Phipps, “Prophetic Pharisee” 29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5548300"/>
      <w:docPartObj>
        <w:docPartGallery w:val="Page Numbers (Top of Page)"/>
        <w:docPartUnique/>
      </w:docPartObj>
    </w:sdtPr>
    <w:sdtContent>
      <w:p w:rsidR="00A377B3" w:rsidRDefault="00A377B3" w:rsidP="00A377B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377B3" w:rsidRDefault="00A377B3" w:rsidP="00963F6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775549010"/>
      <w:docPartObj>
        <w:docPartGallery w:val="Page Numbers (Top of Page)"/>
        <w:docPartUnique/>
      </w:docPartObj>
    </w:sdtPr>
    <w:sdtContent>
      <w:p w:rsidR="00A377B3" w:rsidRPr="00692DD2" w:rsidRDefault="00A377B3" w:rsidP="00A377B3">
        <w:pPr>
          <w:pStyle w:val="Header"/>
          <w:framePr w:wrap="none" w:vAnchor="text" w:hAnchor="margin" w:xAlign="right" w:y="1"/>
          <w:rPr>
            <w:rStyle w:val="PageNumber"/>
            <w:rFonts w:ascii="Times New Roman" w:hAnsi="Times New Roman" w:cs="Times New Roman"/>
          </w:rPr>
        </w:pPr>
        <w:r w:rsidRPr="00692DD2">
          <w:rPr>
            <w:rStyle w:val="PageNumber"/>
            <w:rFonts w:ascii="Times New Roman" w:hAnsi="Times New Roman" w:cs="Times New Roman"/>
          </w:rPr>
          <w:fldChar w:fldCharType="begin"/>
        </w:r>
        <w:r w:rsidRPr="00692DD2">
          <w:rPr>
            <w:rStyle w:val="PageNumber"/>
            <w:rFonts w:ascii="Times New Roman" w:hAnsi="Times New Roman" w:cs="Times New Roman"/>
          </w:rPr>
          <w:instrText xml:space="preserve"> PAGE </w:instrText>
        </w:r>
        <w:r w:rsidRPr="00692DD2">
          <w:rPr>
            <w:rStyle w:val="PageNumber"/>
            <w:rFonts w:ascii="Times New Roman" w:hAnsi="Times New Roman" w:cs="Times New Roman"/>
          </w:rPr>
          <w:fldChar w:fldCharType="separate"/>
        </w:r>
        <w:r w:rsidRPr="00692DD2">
          <w:rPr>
            <w:rStyle w:val="PageNumber"/>
            <w:rFonts w:ascii="Times New Roman" w:hAnsi="Times New Roman" w:cs="Times New Roman"/>
            <w:noProof/>
          </w:rPr>
          <w:t>1</w:t>
        </w:r>
        <w:r w:rsidRPr="00692DD2">
          <w:rPr>
            <w:rStyle w:val="PageNumber"/>
            <w:rFonts w:ascii="Times New Roman" w:hAnsi="Times New Roman" w:cs="Times New Roman"/>
          </w:rPr>
          <w:fldChar w:fldCharType="end"/>
        </w:r>
      </w:p>
    </w:sdtContent>
  </w:sdt>
  <w:p w:rsidR="00A377B3" w:rsidRDefault="00A377B3" w:rsidP="00963F6B">
    <w:pPr>
      <w:pStyle w:val="Header"/>
      <w:ind w:right="360"/>
    </w:pPr>
  </w:p>
  <w:p w:rsidR="00A377B3" w:rsidRDefault="00A377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77B3" w:rsidRDefault="00A377B3" w:rsidP="00963F6B">
    <w:pPr>
      <w:pStyle w:val="Header"/>
      <w:jc w:val="right"/>
      <w:rPr>
        <w:rFonts w:ascii="Times New Roman" w:hAnsi="Times New Roman" w:cs="Times New Roman"/>
      </w:rPr>
    </w:pPr>
    <w:r>
      <w:rPr>
        <w:rFonts w:ascii="Times New Roman" w:hAnsi="Times New Roman" w:cs="Times New Roman"/>
      </w:rPr>
      <w:t>Brienna DiPietro</w:t>
    </w:r>
  </w:p>
  <w:p w:rsidR="00A377B3" w:rsidRDefault="00A377B3" w:rsidP="00963F6B">
    <w:pPr>
      <w:pStyle w:val="Header"/>
      <w:jc w:val="right"/>
      <w:rPr>
        <w:rFonts w:ascii="Times New Roman" w:hAnsi="Times New Roman" w:cs="Times New Roman"/>
      </w:rPr>
    </w:pPr>
    <w:r>
      <w:rPr>
        <w:rFonts w:ascii="Times New Roman" w:hAnsi="Times New Roman" w:cs="Times New Roman"/>
      </w:rPr>
      <w:t>REL-252</w:t>
    </w:r>
  </w:p>
  <w:p w:rsidR="00A377B3" w:rsidRDefault="00A377B3" w:rsidP="00963F6B">
    <w:pPr>
      <w:pStyle w:val="Header"/>
      <w:jc w:val="right"/>
      <w:rPr>
        <w:rFonts w:ascii="Times New Roman" w:hAnsi="Times New Roman" w:cs="Times New Roman"/>
      </w:rPr>
    </w:pPr>
    <w:r>
      <w:rPr>
        <w:rFonts w:ascii="Times New Roman" w:hAnsi="Times New Roman" w:cs="Times New Roman"/>
      </w:rPr>
      <w:t>Final Paper</w:t>
    </w:r>
  </w:p>
  <w:p w:rsidR="00A377B3" w:rsidRDefault="00A377B3" w:rsidP="00963F6B">
    <w:pPr>
      <w:pStyle w:val="Header"/>
      <w:jc w:val="right"/>
      <w:rPr>
        <w:rFonts w:ascii="Times New Roman" w:hAnsi="Times New Roman" w:cs="Times New Roman"/>
      </w:rPr>
    </w:pPr>
    <w:r>
      <w:rPr>
        <w:rFonts w:ascii="Times New Roman" w:hAnsi="Times New Roman" w:cs="Times New Roman"/>
      </w:rPr>
      <w:t>4/18/19</w:t>
    </w:r>
  </w:p>
  <w:p w:rsidR="00A377B3" w:rsidRPr="00963F6B" w:rsidRDefault="00A377B3" w:rsidP="00963F6B">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18"/>
    <w:rsid w:val="00003DD2"/>
    <w:rsid w:val="000045D8"/>
    <w:rsid w:val="001036D5"/>
    <w:rsid w:val="002477FC"/>
    <w:rsid w:val="00295EEC"/>
    <w:rsid w:val="002A61E2"/>
    <w:rsid w:val="002B78C9"/>
    <w:rsid w:val="002C4E8F"/>
    <w:rsid w:val="002D6D52"/>
    <w:rsid w:val="00307EE6"/>
    <w:rsid w:val="00327DEF"/>
    <w:rsid w:val="003358C2"/>
    <w:rsid w:val="003E4F1A"/>
    <w:rsid w:val="00404E14"/>
    <w:rsid w:val="00427552"/>
    <w:rsid w:val="00463F40"/>
    <w:rsid w:val="0046460C"/>
    <w:rsid w:val="004A5F92"/>
    <w:rsid w:val="004D5167"/>
    <w:rsid w:val="004D5582"/>
    <w:rsid w:val="00513AB9"/>
    <w:rsid w:val="005604C5"/>
    <w:rsid w:val="005D3904"/>
    <w:rsid w:val="005F786B"/>
    <w:rsid w:val="00621A64"/>
    <w:rsid w:val="00622F41"/>
    <w:rsid w:val="00683608"/>
    <w:rsid w:val="00692DD2"/>
    <w:rsid w:val="006D675A"/>
    <w:rsid w:val="006E530E"/>
    <w:rsid w:val="00703442"/>
    <w:rsid w:val="00717C6F"/>
    <w:rsid w:val="00731D0F"/>
    <w:rsid w:val="00731D9E"/>
    <w:rsid w:val="00741518"/>
    <w:rsid w:val="007521B4"/>
    <w:rsid w:val="007535F1"/>
    <w:rsid w:val="007678FC"/>
    <w:rsid w:val="0079226E"/>
    <w:rsid w:val="00792B6C"/>
    <w:rsid w:val="007B4689"/>
    <w:rsid w:val="007B5B9F"/>
    <w:rsid w:val="007C7C12"/>
    <w:rsid w:val="007D0EFB"/>
    <w:rsid w:val="00826C16"/>
    <w:rsid w:val="008279B7"/>
    <w:rsid w:val="00835A87"/>
    <w:rsid w:val="008368D7"/>
    <w:rsid w:val="0089459A"/>
    <w:rsid w:val="008B6A4C"/>
    <w:rsid w:val="008C48BA"/>
    <w:rsid w:val="008D1AA4"/>
    <w:rsid w:val="009178DE"/>
    <w:rsid w:val="00927C95"/>
    <w:rsid w:val="00963F6B"/>
    <w:rsid w:val="00975A24"/>
    <w:rsid w:val="009A03B6"/>
    <w:rsid w:val="009B097A"/>
    <w:rsid w:val="009C24E1"/>
    <w:rsid w:val="009C35C6"/>
    <w:rsid w:val="00A011E8"/>
    <w:rsid w:val="00A01395"/>
    <w:rsid w:val="00A06C34"/>
    <w:rsid w:val="00A377B3"/>
    <w:rsid w:val="00A40572"/>
    <w:rsid w:val="00A754B0"/>
    <w:rsid w:val="00A9778C"/>
    <w:rsid w:val="00AA1BED"/>
    <w:rsid w:val="00AC35AC"/>
    <w:rsid w:val="00AC6B70"/>
    <w:rsid w:val="00AD08C6"/>
    <w:rsid w:val="00AF29EB"/>
    <w:rsid w:val="00AF6B35"/>
    <w:rsid w:val="00B42251"/>
    <w:rsid w:val="00BA33FE"/>
    <w:rsid w:val="00BB0978"/>
    <w:rsid w:val="00BF48D3"/>
    <w:rsid w:val="00C442DA"/>
    <w:rsid w:val="00C648F7"/>
    <w:rsid w:val="00C872DE"/>
    <w:rsid w:val="00CD66E2"/>
    <w:rsid w:val="00D92C5A"/>
    <w:rsid w:val="00DA051B"/>
    <w:rsid w:val="00DA0A90"/>
    <w:rsid w:val="00DA29D5"/>
    <w:rsid w:val="00DC35A9"/>
    <w:rsid w:val="00DE1710"/>
    <w:rsid w:val="00DE2DB6"/>
    <w:rsid w:val="00DF7C1E"/>
    <w:rsid w:val="00E25C50"/>
    <w:rsid w:val="00E344A5"/>
    <w:rsid w:val="00E52F4D"/>
    <w:rsid w:val="00E62420"/>
    <w:rsid w:val="00E917EC"/>
    <w:rsid w:val="00E96C35"/>
    <w:rsid w:val="00EA74FE"/>
    <w:rsid w:val="00EB3D38"/>
    <w:rsid w:val="00EB3EB9"/>
    <w:rsid w:val="00F473A9"/>
    <w:rsid w:val="00FF45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A9181C2"/>
  <w14:defaultImageDpi w14:val="32767"/>
  <w15:chartTrackingRefBased/>
  <w15:docId w15:val="{D058D463-6280-2B46-B0FB-13E192AB8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604C5"/>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F6B"/>
    <w:pPr>
      <w:tabs>
        <w:tab w:val="center" w:pos="4680"/>
        <w:tab w:val="right" w:pos="9360"/>
      </w:tabs>
    </w:pPr>
  </w:style>
  <w:style w:type="character" w:customStyle="1" w:styleId="HeaderChar">
    <w:name w:val="Header Char"/>
    <w:basedOn w:val="DefaultParagraphFont"/>
    <w:link w:val="Header"/>
    <w:uiPriority w:val="99"/>
    <w:rsid w:val="00963F6B"/>
  </w:style>
  <w:style w:type="paragraph" w:styleId="Footer">
    <w:name w:val="footer"/>
    <w:basedOn w:val="Normal"/>
    <w:link w:val="FooterChar"/>
    <w:uiPriority w:val="99"/>
    <w:unhideWhenUsed/>
    <w:rsid w:val="00963F6B"/>
    <w:pPr>
      <w:tabs>
        <w:tab w:val="center" w:pos="4680"/>
        <w:tab w:val="right" w:pos="9360"/>
      </w:tabs>
    </w:pPr>
  </w:style>
  <w:style w:type="character" w:customStyle="1" w:styleId="FooterChar">
    <w:name w:val="Footer Char"/>
    <w:basedOn w:val="DefaultParagraphFont"/>
    <w:link w:val="Footer"/>
    <w:uiPriority w:val="99"/>
    <w:rsid w:val="00963F6B"/>
  </w:style>
  <w:style w:type="character" w:styleId="PageNumber">
    <w:name w:val="page number"/>
    <w:basedOn w:val="DefaultParagraphFont"/>
    <w:uiPriority w:val="99"/>
    <w:semiHidden/>
    <w:unhideWhenUsed/>
    <w:rsid w:val="00963F6B"/>
  </w:style>
  <w:style w:type="character" w:styleId="Hyperlink">
    <w:name w:val="Hyperlink"/>
    <w:basedOn w:val="DefaultParagraphFont"/>
    <w:uiPriority w:val="99"/>
    <w:unhideWhenUsed/>
    <w:rsid w:val="00295EEC"/>
    <w:rPr>
      <w:color w:val="0563C1" w:themeColor="hyperlink"/>
      <w:u w:val="single"/>
    </w:rPr>
  </w:style>
  <w:style w:type="character" w:styleId="UnresolvedMention">
    <w:name w:val="Unresolved Mention"/>
    <w:basedOn w:val="DefaultParagraphFont"/>
    <w:uiPriority w:val="99"/>
    <w:rsid w:val="00295EEC"/>
    <w:rPr>
      <w:color w:val="605E5C"/>
      <w:shd w:val="clear" w:color="auto" w:fill="E1DFDD"/>
    </w:rPr>
  </w:style>
  <w:style w:type="character" w:styleId="FollowedHyperlink">
    <w:name w:val="FollowedHyperlink"/>
    <w:basedOn w:val="DefaultParagraphFont"/>
    <w:uiPriority w:val="99"/>
    <w:semiHidden/>
    <w:unhideWhenUsed/>
    <w:rsid w:val="00295EEC"/>
    <w:rPr>
      <w:color w:val="954F72" w:themeColor="followedHyperlink"/>
      <w:u w:val="single"/>
    </w:rPr>
  </w:style>
  <w:style w:type="character" w:customStyle="1" w:styleId="apple-converted-space">
    <w:name w:val="apple-converted-space"/>
    <w:basedOn w:val="DefaultParagraphFont"/>
    <w:rsid w:val="00692DD2"/>
  </w:style>
  <w:style w:type="paragraph" w:styleId="FootnoteText">
    <w:name w:val="footnote text"/>
    <w:basedOn w:val="Normal"/>
    <w:link w:val="FootnoteTextChar"/>
    <w:uiPriority w:val="99"/>
    <w:unhideWhenUsed/>
    <w:rsid w:val="005604C5"/>
    <w:rPr>
      <w:sz w:val="20"/>
      <w:szCs w:val="20"/>
    </w:rPr>
  </w:style>
  <w:style w:type="character" w:customStyle="1" w:styleId="FootnoteTextChar">
    <w:name w:val="Footnote Text Char"/>
    <w:basedOn w:val="DefaultParagraphFont"/>
    <w:link w:val="FootnoteText"/>
    <w:uiPriority w:val="99"/>
    <w:rsid w:val="005604C5"/>
    <w:rPr>
      <w:rFonts w:asciiTheme="majorBidi" w:hAnsiTheme="majorBidi"/>
      <w:sz w:val="20"/>
      <w:szCs w:val="20"/>
    </w:rPr>
  </w:style>
  <w:style w:type="character" w:styleId="FootnoteReference">
    <w:name w:val="footnote reference"/>
    <w:basedOn w:val="DefaultParagraphFont"/>
    <w:uiPriority w:val="99"/>
    <w:semiHidden/>
    <w:unhideWhenUsed/>
    <w:rsid w:val="00692DD2"/>
    <w:rPr>
      <w:vertAlign w:val="superscript"/>
    </w:rPr>
  </w:style>
  <w:style w:type="paragraph" w:styleId="BalloonText">
    <w:name w:val="Balloon Text"/>
    <w:basedOn w:val="Normal"/>
    <w:link w:val="BalloonTextChar"/>
    <w:uiPriority w:val="99"/>
    <w:semiHidden/>
    <w:unhideWhenUsed/>
    <w:rsid w:val="00717C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7C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940081">
      <w:bodyDiv w:val="1"/>
      <w:marLeft w:val="0"/>
      <w:marRight w:val="0"/>
      <w:marTop w:val="0"/>
      <w:marBottom w:val="0"/>
      <w:divBdr>
        <w:top w:val="none" w:sz="0" w:space="0" w:color="auto"/>
        <w:left w:val="none" w:sz="0" w:space="0" w:color="auto"/>
        <w:bottom w:val="none" w:sz="0" w:space="0" w:color="auto"/>
        <w:right w:val="none" w:sz="0" w:space="0" w:color="auto"/>
      </w:divBdr>
      <w:divsChild>
        <w:div w:id="882668232">
          <w:marLeft w:val="0"/>
          <w:marRight w:val="0"/>
          <w:marTop w:val="0"/>
          <w:marBottom w:val="0"/>
          <w:divBdr>
            <w:top w:val="none" w:sz="0" w:space="0" w:color="auto"/>
            <w:left w:val="none" w:sz="0" w:space="0" w:color="auto"/>
            <w:bottom w:val="none" w:sz="0" w:space="0" w:color="auto"/>
            <w:right w:val="none" w:sz="0" w:space="0" w:color="auto"/>
          </w:divBdr>
        </w:div>
      </w:divsChild>
    </w:div>
    <w:div w:id="362481282">
      <w:bodyDiv w:val="1"/>
      <w:marLeft w:val="0"/>
      <w:marRight w:val="0"/>
      <w:marTop w:val="0"/>
      <w:marBottom w:val="0"/>
      <w:divBdr>
        <w:top w:val="none" w:sz="0" w:space="0" w:color="auto"/>
        <w:left w:val="none" w:sz="0" w:space="0" w:color="auto"/>
        <w:bottom w:val="none" w:sz="0" w:space="0" w:color="auto"/>
        <w:right w:val="none" w:sz="0" w:space="0" w:color="auto"/>
      </w:divBdr>
    </w:div>
    <w:div w:id="397094839">
      <w:bodyDiv w:val="1"/>
      <w:marLeft w:val="0"/>
      <w:marRight w:val="0"/>
      <w:marTop w:val="0"/>
      <w:marBottom w:val="0"/>
      <w:divBdr>
        <w:top w:val="none" w:sz="0" w:space="0" w:color="auto"/>
        <w:left w:val="none" w:sz="0" w:space="0" w:color="auto"/>
        <w:bottom w:val="none" w:sz="0" w:space="0" w:color="auto"/>
        <w:right w:val="none" w:sz="0" w:space="0" w:color="auto"/>
      </w:divBdr>
    </w:div>
    <w:div w:id="627010879">
      <w:bodyDiv w:val="1"/>
      <w:marLeft w:val="0"/>
      <w:marRight w:val="0"/>
      <w:marTop w:val="0"/>
      <w:marBottom w:val="0"/>
      <w:divBdr>
        <w:top w:val="none" w:sz="0" w:space="0" w:color="auto"/>
        <w:left w:val="none" w:sz="0" w:space="0" w:color="auto"/>
        <w:bottom w:val="none" w:sz="0" w:space="0" w:color="auto"/>
        <w:right w:val="none" w:sz="0" w:space="0" w:color="auto"/>
      </w:divBdr>
    </w:div>
    <w:div w:id="682322283">
      <w:bodyDiv w:val="1"/>
      <w:marLeft w:val="0"/>
      <w:marRight w:val="0"/>
      <w:marTop w:val="0"/>
      <w:marBottom w:val="0"/>
      <w:divBdr>
        <w:top w:val="none" w:sz="0" w:space="0" w:color="auto"/>
        <w:left w:val="none" w:sz="0" w:space="0" w:color="auto"/>
        <w:bottom w:val="none" w:sz="0" w:space="0" w:color="auto"/>
        <w:right w:val="none" w:sz="0" w:space="0" w:color="auto"/>
      </w:divBdr>
      <w:divsChild>
        <w:div w:id="424616733">
          <w:marLeft w:val="0"/>
          <w:marRight w:val="0"/>
          <w:marTop w:val="0"/>
          <w:marBottom w:val="0"/>
          <w:divBdr>
            <w:top w:val="none" w:sz="0" w:space="0" w:color="auto"/>
            <w:left w:val="none" w:sz="0" w:space="0" w:color="auto"/>
            <w:bottom w:val="none" w:sz="0" w:space="0" w:color="auto"/>
            <w:right w:val="none" w:sz="0" w:space="0" w:color="auto"/>
          </w:divBdr>
          <w:divsChild>
            <w:div w:id="1523517508">
              <w:marLeft w:val="0"/>
              <w:marRight w:val="0"/>
              <w:marTop w:val="0"/>
              <w:marBottom w:val="0"/>
              <w:divBdr>
                <w:top w:val="none" w:sz="0" w:space="0" w:color="auto"/>
                <w:left w:val="none" w:sz="0" w:space="0" w:color="auto"/>
                <w:bottom w:val="none" w:sz="0" w:space="0" w:color="auto"/>
                <w:right w:val="none" w:sz="0" w:space="0" w:color="auto"/>
              </w:divBdr>
              <w:divsChild>
                <w:div w:id="104610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197123">
      <w:bodyDiv w:val="1"/>
      <w:marLeft w:val="0"/>
      <w:marRight w:val="0"/>
      <w:marTop w:val="0"/>
      <w:marBottom w:val="0"/>
      <w:divBdr>
        <w:top w:val="none" w:sz="0" w:space="0" w:color="auto"/>
        <w:left w:val="none" w:sz="0" w:space="0" w:color="auto"/>
        <w:bottom w:val="none" w:sz="0" w:space="0" w:color="auto"/>
        <w:right w:val="none" w:sz="0" w:space="0" w:color="auto"/>
      </w:divBdr>
      <w:divsChild>
        <w:div w:id="53090567">
          <w:marLeft w:val="0"/>
          <w:marRight w:val="0"/>
          <w:marTop w:val="0"/>
          <w:marBottom w:val="0"/>
          <w:divBdr>
            <w:top w:val="none" w:sz="0" w:space="0" w:color="auto"/>
            <w:left w:val="none" w:sz="0" w:space="0" w:color="auto"/>
            <w:bottom w:val="none" w:sz="0" w:space="0" w:color="auto"/>
            <w:right w:val="none" w:sz="0" w:space="0" w:color="auto"/>
          </w:divBdr>
          <w:divsChild>
            <w:div w:id="188953507">
              <w:marLeft w:val="0"/>
              <w:marRight w:val="0"/>
              <w:marTop w:val="0"/>
              <w:marBottom w:val="0"/>
              <w:divBdr>
                <w:top w:val="none" w:sz="0" w:space="0" w:color="auto"/>
                <w:left w:val="none" w:sz="0" w:space="0" w:color="auto"/>
                <w:bottom w:val="none" w:sz="0" w:space="0" w:color="auto"/>
                <w:right w:val="none" w:sz="0" w:space="0" w:color="auto"/>
              </w:divBdr>
              <w:divsChild>
                <w:div w:id="2026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3302">
      <w:bodyDiv w:val="1"/>
      <w:marLeft w:val="0"/>
      <w:marRight w:val="0"/>
      <w:marTop w:val="0"/>
      <w:marBottom w:val="0"/>
      <w:divBdr>
        <w:top w:val="none" w:sz="0" w:space="0" w:color="auto"/>
        <w:left w:val="none" w:sz="0" w:space="0" w:color="auto"/>
        <w:bottom w:val="none" w:sz="0" w:space="0" w:color="auto"/>
        <w:right w:val="none" w:sz="0" w:space="0" w:color="auto"/>
      </w:divBdr>
      <w:divsChild>
        <w:div w:id="1474565960">
          <w:marLeft w:val="0"/>
          <w:marRight w:val="0"/>
          <w:marTop w:val="0"/>
          <w:marBottom w:val="0"/>
          <w:divBdr>
            <w:top w:val="none" w:sz="0" w:space="0" w:color="auto"/>
            <w:left w:val="none" w:sz="0" w:space="0" w:color="auto"/>
            <w:bottom w:val="none" w:sz="0" w:space="0" w:color="auto"/>
            <w:right w:val="none" w:sz="0" w:space="0" w:color="auto"/>
          </w:divBdr>
          <w:divsChild>
            <w:div w:id="60637354">
              <w:marLeft w:val="0"/>
              <w:marRight w:val="0"/>
              <w:marTop w:val="0"/>
              <w:marBottom w:val="0"/>
              <w:divBdr>
                <w:top w:val="none" w:sz="0" w:space="0" w:color="auto"/>
                <w:left w:val="none" w:sz="0" w:space="0" w:color="auto"/>
                <w:bottom w:val="none" w:sz="0" w:space="0" w:color="auto"/>
                <w:right w:val="none" w:sz="0" w:space="0" w:color="auto"/>
              </w:divBdr>
              <w:divsChild>
                <w:div w:id="201760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69760">
      <w:bodyDiv w:val="1"/>
      <w:marLeft w:val="0"/>
      <w:marRight w:val="0"/>
      <w:marTop w:val="0"/>
      <w:marBottom w:val="0"/>
      <w:divBdr>
        <w:top w:val="none" w:sz="0" w:space="0" w:color="auto"/>
        <w:left w:val="none" w:sz="0" w:space="0" w:color="auto"/>
        <w:bottom w:val="none" w:sz="0" w:space="0" w:color="auto"/>
        <w:right w:val="none" w:sz="0" w:space="0" w:color="auto"/>
      </w:divBdr>
      <w:divsChild>
        <w:div w:id="1287154527">
          <w:marLeft w:val="0"/>
          <w:marRight w:val="0"/>
          <w:marTop w:val="0"/>
          <w:marBottom w:val="0"/>
          <w:divBdr>
            <w:top w:val="none" w:sz="0" w:space="0" w:color="auto"/>
            <w:left w:val="none" w:sz="0" w:space="0" w:color="auto"/>
            <w:bottom w:val="none" w:sz="0" w:space="0" w:color="auto"/>
            <w:right w:val="none" w:sz="0" w:space="0" w:color="auto"/>
          </w:divBdr>
        </w:div>
      </w:divsChild>
    </w:div>
    <w:div w:id="1233468302">
      <w:bodyDiv w:val="1"/>
      <w:marLeft w:val="0"/>
      <w:marRight w:val="0"/>
      <w:marTop w:val="0"/>
      <w:marBottom w:val="0"/>
      <w:divBdr>
        <w:top w:val="none" w:sz="0" w:space="0" w:color="auto"/>
        <w:left w:val="none" w:sz="0" w:space="0" w:color="auto"/>
        <w:bottom w:val="none" w:sz="0" w:space="0" w:color="auto"/>
        <w:right w:val="none" w:sz="0" w:space="0" w:color="auto"/>
      </w:divBdr>
    </w:div>
    <w:div w:id="1250892924">
      <w:bodyDiv w:val="1"/>
      <w:marLeft w:val="0"/>
      <w:marRight w:val="0"/>
      <w:marTop w:val="0"/>
      <w:marBottom w:val="0"/>
      <w:divBdr>
        <w:top w:val="none" w:sz="0" w:space="0" w:color="auto"/>
        <w:left w:val="none" w:sz="0" w:space="0" w:color="auto"/>
        <w:bottom w:val="none" w:sz="0" w:space="0" w:color="auto"/>
        <w:right w:val="none" w:sz="0" w:space="0" w:color="auto"/>
      </w:divBdr>
    </w:div>
    <w:div w:id="1274483511">
      <w:bodyDiv w:val="1"/>
      <w:marLeft w:val="0"/>
      <w:marRight w:val="0"/>
      <w:marTop w:val="0"/>
      <w:marBottom w:val="0"/>
      <w:divBdr>
        <w:top w:val="none" w:sz="0" w:space="0" w:color="auto"/>
        <w:left w:val="none" w:sz="0" w:space="0" w:color="auto"/>
        <w:bottom w:val="none" w:sz="0" w:space="0" w:color="auto"/>
        <w:right w:val="none" w:sz="0" w:space="0" w:color="auto"/>
      </w:divBdr>
    </w:div>
    <w:div w:id="1295716844">
      <w:bodyDiv w:val="1"/>
      <w:marLeft w:val="0"/>
      <w:marRight w:val="0"/>
      <w:marTop w:val="0"/>
      <w:marBottom w:val="0"/>
      <w:divBdr>
        <w:top w:val="none" w:sz="0" w:space="0" w:color="auto"/>
        <w:left w:val="none" w:sz="0" w:space="0" w:color="auto"/>
        <w:bottom w:val="none" w:sz="0" w:space="0" w:color="auto"/>
        <w:right w:val="none" w:sz="0" w:space="0" w:color="auto"/>
      </w:divBdr>
    </w:div>
    <w:div w:id="1347445975">
      <w:bodyDiv w:val="1"/>
      <w:marLeft w:val="0"/>
      <w:marRight w:val="0"/>
      <w:marTop w:val="0"/>
      <w:marBottom w:val="0"/>
      <w:divBdr>
        <w:top w:val="none" w:sz="0" w:space="0" w:color="auto"/>
        <w:left w:val="none" w:sz="0" w:space="0" w:color="auto"/>
        <w:bottom w:val="none" w:sz="0" w:space="0" w:color="auto"/>
        <w:right w:val="none" w:sz="0" w:space="0" w:color="auto"/>
      </w:divBdr>
    </w:div>
    <w:div w:id="1371611603">
      <w:bodyDiv w:val="1"/>
      <w:marLeft w:val="0"/>
      <w:marRight w:val="0"/>
      <w:marTop w:val="0"/>
      <w:marBottom w:val="0"/>
      <w:divBdr>
        <w:top w:val="none" w:sz="0" w:space="0" w:color="auto"/>
        <w:left w:val="none" w:sz="0" w:space="0" w:color="auto"/>
        <w:bottom w:val="none" w:sz="0" w:space="0" w:color="auto"/>
        <w:right w:val="none" w:sz="0" w:space="0" w:color="auto"/>
      </w:divBdr>
    </w:div>
    <w:div w:id="1375236370">
      <w:bodyDiv w:val="1"/>
      <w:marLeft w:val="0"/>
      <w:marRight w:val="0"/>
      <w:marTop w:val="0"/>
      <w:marBottom w:val="0"/>
      <w:divBdr>
        <w:top w:val="none" w:sz="0" w:space="0" w:color="auto"/>
        <w:left w:val="none" w:sz="0" w:space="0" w:color="auto"/>
        <w:bottom w:val="none" w:sz="0" w:space="0" w:color="auto"/>
        <w:right w:val="none" w:sz="0" w:space="0" w:color="auto"/>
      </w:divBdr>
    </w:div>
    <w:div w:id="1470054709">
      <w:bodyDiv w:val="1"/>
      <w:marLeft w:val="0"/>
      <w:marRight w:val="0"/>
      <w:marTop w:val="0"/>
      <w:marBottom w:val="0"/>
      <w:divBdr>
        <w:top w:val="none" w:sz="0" w:space="0" w:color="auto"/>
        <w:left w:val="none" w:sz="0" w:space="0" w:color="auto"/>
        <w:bottom w:val="none" w:sz="0" w:space="0" w:color="auto"/>
        <w:right w:val="none" w:sz="0" w:space="0" w:color="auto"/>
      </w:divBdr>
    </w:div>
    <w:div w:id="1524980943">
      <w:bodyDiv w:val="1"/>
      <w:marLeft w:val="0"/>
      <w:marRight w:val="0"/>
      <w:marTop w:val="0"/>
      <w:marBottom w:val="0"/>
      <w:divBdr>
        <w:top w:val="none" w:sz="0" w:space="0" w:color="auto"/>
        <w:left w:val="none" w:sz="0" w:space="0" w:color="auto"/>
        <w:bottom w:val="none" w:sz="0" w:space="0" w:color="auto"/>
        <w:right w:val="none" w:sz="0" w:space="0" w:color="auto"/>
      </w:divBdr>
    </w:div>
    <w:div w:id="1912040686">
      <w:bodyDiv w:val="1"/>
      <w:marLeft w:val="0"/>
      <w:marRight w:val="0"/>
      <w:marTop w:val="0"/>
      <w:marBottom w:val="0"/>
      <w:divBdr>
        <w:top w:val="none" w:sz="0" w:space="0" w:color="auto"/>
        <w:left w:val="none" w:sz="0" w:space="0" w:color="auto"/>
        <w:bottom w:val="none" w:sz="0" w:space="0" w:color="auto"/>
        <w:right w:val="none" w:sz="0" w:space="0" w:color="auto"/>
      </w:divBdr>
    </w:div>
    <w:div w:id="1936668445">
      <w:bodyDiv w:val="1"/>
      <w:marLeft w:val="0"/>
      <w:marRight w:val="0"/>
      <w:marTop w:val="0"/>
      <w:marBottom w:val="0"/>
      <w:divBdr>
        <w:top w:val="none" w:sz="0" w:space="0" w:color="auto"/>
        <w:left w:val="none" w:sz="0" w:space="0" w:color="auto"/>
        <w:bottom w:val="none" w:sz="0" w:space="0" w:color="auto"/>
        <w:right w:val="none" w:sz="0" w:space="0" w:color="auto"/>
      </w:divBdr>
      <w:divsChild>
        <w:div w:id="2025083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ebscohost.com.libproxy.furman.edu/login.aspx?direct=true&amp;db=rfh&amp;AN=ATLA0000763537&amp;site=ehost-li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arch.ebscohost.com.libproxy.furman.edu/login.aspx?direct=true&amp;db=rfh&amp;AN=ATLA0000796609&amp;site=ehost-liv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arch.ebscohost.com.libproxy.furman.edu/login.aspx?direct=true&amp;db=rfh&amp;AN=ATLAiFZU180328001850&amp;site=ehost-liv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14C58A-03F1-E049-B6C1-5261D6A85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10</Pages>
  <Words>2440</Words>
  <Characters>13913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Brienna Dipietro-Student</dc:creator>
  <cp:keywords/>
  <dc:description/>
  <cp:lastModifiedBy>Brienna Dipietro-Student</cp:lastModifiedBy>
  <cp:revision>54</cp:revision>
  <dcterms:created xsi:type="dcterms:W3CDTF">2019-04-14T18:01:00Z</dcterms:created>
  <dcterms:modified xsi:type="dcterms:W3CDTF">2019-04-18T11:45:00Z</dcterms:modified>
</cp:coreProperties>
</file>