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catgcqmg7hq" w:id="0"/>
      <w:bookmarkEnd w:id="0"/>
      <w:r w:rsidDel="00000000" w:rsidR="00000000" w:rsidRPr="00000000">
        <w:rPr>
          <w:rtl w:val="0"/>
        </w:rPr>
        <w:t xml:space="preserve">BetAware: matriz de congruencia conjunta</w:t>
      </w:r>
    </w:p>
    <w:p w:rsidR="00000000" w:rsidDel="00000000" w:rsidP="00000000" w:rsidRDefault="00000000" w:rsidRPr="00000000" w14:paraId="00000002">
      <w:pPr>
        <w:keepNext w:val="0"/>
        <w:spacing w:after="16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Propuesta de matriz conjunta alineada con el informe revisado. Población destinataria: 13 a 17 años de CABA y el AMBA; piloto: 15 a 20 estudiantes de CABA.</w:t>
      </w:r>
    </w:p>
    <w:p w:rsidR="00000000" w:rsidDel="00000000" w:rsidP="00000000" w:rsidRDefault="00000000" w:rsidRPr="00000000" w14:paraId="00000003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810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2985"/>
        <w:gridCol w:w="1920"/>
        <w:gridCol w:w="2115"/>
        <w:gridCol w:w="1665"/>
        <w:gridCol w:w="1440"/>
        <w:gridCol w:w="1695"/>
        <w:gridCol w:w="1710"/>
        <w:gridCol w:w="2310"/>
        <w:tblGridChange w:id="0">
          <w:tblGrid>
            <w:gridCol w:w="2265"/>
            <w:gridCol w:w="2985"/>
            <w:gridCol w:w="1920"/>
            <w:gridCol w:w="2115"/>
            <w:gridCol w:w="1665"/>
            <w:gridCol w:w="1440"/>
            <w:gridCol w:w="1695"/>
            <w:gridCol w:w="1710"/>
            <w:gridCol w:w="231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(Psicología)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(Psicología)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Hipótesis (Psicología)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Marco teórico (ambos)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Mecánicas (Videojuegos)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éxito (ambos)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Playtest (ambos)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Iteraciones (Videojuegos)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Azar, ilusión de control y falacia del apostador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¿Cómo puede BetAware contribuir a la concientización sobre los riesgos de las apuestas online entre adolescentes de 13 a 17 años de CABA y el AMBA en 2026? En este eje: ¿se confunde administrar el presupuesto con controlar el azar o se espera que una racha cambie las chances?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Reconocer la independencia de las jugadas, la ausencia de control sobre el resultado aleatorio y la esperanza matemática negativa. Vinculación: OE 1, OE 2 y OE 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se muestran probabilidades fijas y se revisan las decisiones, se espera una mejora pretest–postest en el reconocimiento de ilusión de control y falacia del apostador.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MDA y relación entre reglas, decisiones y experiencia (Hunicke et al., 2004).</w:t>
            </w:r>
          </w:p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Psicología: ilusión de control (Langer, 1975) y falacia del apostador (Clark, 2010). El historial no modifica las probabilidades de ensayos independientes.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Apuesta de $250: 10% de +$500 netos, 20% de +$100 y 70% de −$250. Cobro esperado: $145; resultado neto esperado: −$105; retorno: 58%. Chances fijas e independientes.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80% ubica las chances y distingue neto de cobro.</w:t>
            </w:r>
          </w:p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Psicología: meta principal del informe: mejora relativa grupal de al menos 25% en respuestas correctas sobre ilusión de control. Informar aparte el cambio en falacia del apostador.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observar lectura de probabilidades y dudas.</w:t>
            </w:r>
          </w:p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Psicología: mismos conceptos antes y después. Pedir que justifique si elegir cuándo apostar o haber perdido varias veces cambia las chances. Registrar respuesta y explicación.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Aclarar etiquetas, mostrar frecuencias junto a porcentajes y corregir el retorno esperado del prototipo.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Refuerzo intermitente, confirmación y disponibilidad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¿Las ganancias ocasionales y su recuerdo llevan a ignorar pérdidas o a sostener una estrategia sin revisar el balance completo?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Explicar la función de las recompensas ocasionales y reconocer la selección de evidencia favorable. Disponibilidad se analiza como concepto complementario. Vinculación: OE 1, OE 2 y OE 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jugador compara lo que recuerda con todas las ganancias y pérdidas, se espera una explicación que considere el balance completo en lugar de basarse solo en victorias.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contraste entre una jugada destacada y el balance.</w:t>
            </w:r>
          </w:p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Psicología: refuerzo intermitente (Ferster &amp; Skinner, 1957), confirmación (Nickerson, 1998) y disponibilidad (Tversky &amp; Kahneman, 1974). Confirmación y disponibilidad son conceptos distintos.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Ganancias ocasionales posibles, historial y auditoría final de dinero apostado, cobrado y neto.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80% encuentra el neto y explica por qué una victoria no prueba conveniencia.</w:t>
            </w:r>
          </w:p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Psicología: meta inicial: 80% rechaza evaluar una estrategia solo por sus aciertos y menciona la necesidad de considerar pérdidas. Reportar cambio pretest–postest.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observar si el énfasis audiovisual domina la lectura del balance.</w:t>
            </w:r>
          </w:p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Psicología: pedir ejemplos recordados antes de mostrar el cierre; luego preguntar qué información omitió. Registrar la explicación sin inferir un sesgo solo por recordar una victoria.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Ajustar énfasis audiovisual o visibilidad del neto si la celebración impide revisar la trayectoria.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Costo de oportunidad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¿El jugador relaciona el dinero apostado con las alternativas que deja de financiar?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Vincular una decisión presupuestaria con consecuencias y alternativas posteriores. Vinculación: OE 2 y OE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las alternativas compiten por un presupuesto limitado y sus efectos son visibles, se espera que el jugador identifique qué deja de financiar al apostar.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gestión de recursos y consecuencias diferidas, analizadas con MDA (Hunicke et al., 2004).</w:t>
            </w:r>
          </w:p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Psicología: aplicación del aprendizaje mediante consecuencias (Ferster &amp; Skinner, 1957). El costo de oportunidad se define aquí como la alternativa resignada al usar un recurso limitado.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Estudiar, ahorrar, pedir apoyo o apostar; indicadores de billetera, ahorro, estudio, bienestar y exposición.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80% relaciona una elección con una consecuencia posterior.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Psicología: meta inicial: 80% identifica una alternativa concreta que dejó de financiar y explica la relación con su decisión.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observar consulta de indicadores e historial.</w:t>
            </w:r>
          </w:p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Psicología: preguntar qué otra opción podía financiar con ese dinero y qué habría cambiado. Registrar ejemplos concretos y confusiones entre saldo y ahorro.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Simplificar feedback o ajustar costos y beneficios si una opción domina o la penalización parece arbitraria.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Imprevistos y persecución de pérdidas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¿La necesidad de recuperar dinero lleva a considerar una nueva apuesta como una solución segura?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Reconocer la persecución de pérdidas y explicar una alternativa a seguir apostando. Vinculación: OE 1, OE 2 y OE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se contrasta la oferta de volver a apostar con sus riesgos y alternativas, se espera que el jugador pueda explicar que recuperar una pérdida no está garantizado.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dilemas, consecuencias y agencia (Hunicke et al., 2004).</w:t>
            </w:r>
          </w:p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Psicología: persecución de pérdidas (Clark, 2010). Su evaluación se distingue de la falacia del apostador: intentar recuperar dinero no implica necesariamente creer que cambiaron las chances.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Gastos inesperados; tras perder, oferta de apostar de nuevo, cerrar o separar dinero.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80% encuentra una alternativa a seguir apostando.</w:t>
            </w:r>
          </w:p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Psicología: meta inicial: 80% explica que una nueva apuesta puede aumentar la pérdida. Registrar la decisión por separado; elegir apostar no prueba por sí solo incomprensión.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registrar elección, tiempo, frustración y abandono.</w:t>
            </w:r>
          </w:p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Psicología: presentar el evento y pedir una justificación. Comparar expectativas de recuperación con la probabilidad mostrada, sin atribuir un diagnóstico.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Revisar texto y balance; explicar el «doble o nada» de esperanza nula y distinguirlo de la apuesta principal de esperanza negativa.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Reflexión y apoyo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¿El jugador comprende las pausas y reconoce la posibilidad de pedir apoyo sin sentirse evaluado o sermoneado?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Evaluar comprensión, aceptabilidad y reconocimiento de recursos de apoyo al finalizar la sesión. Vinculación: OE 2 y OE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las pausas son breves, opcionales y comprensibles, se espera que el jugador recuerde una idea central y encuentre la opción de apoyo en el postest inmediato. No se presume retención a largo plazo.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pausas y narrativa con propósito.</w:t>
            </w:r>
          </w:p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 y educación: el potencial de aprendizaje de los serious games requiere evaluación (Wouters et al., 2013). Las pausas son una hipótesis de diseño del equipo, no una intervención clínica validada.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Preguntas en semanas 3, 6, 9 y 11; acción de pedir apoyo y pausar; referencia a Línea 141.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80% comprende que puede seguir sin responder y reconoce apoyo.</w:t>
            </w:r>
          </w:p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Psicología: meta inicial: 80% identifica al cierre una idea abordada y dónde buscar el recurso de apoyo. Registrar percepción del tono con una pregunta abierta.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observar lectura, ritmo y cierre de pausas.</w:t>
            </w:r>
          </w:p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Psicología: preguntar qué recuerda, cómo interpretó el tono y dónde buscaría apoyo. La evaluación externa no puntúa las respuestas personales dadas dentro del juego.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Reducir, mover o reformular pausas si interrumpen el ritmo o suenan moralizantes.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 y lectura de trayectoria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¿El jugador diferencia una ganancia aislada, el saldo general y el resultado neto de apostar, y puede aplicar esa distinción a un caso nuevo?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Interpretar el balance y explorar transferencia conceptual inmediata. Vinculación: OE 3 y OE 4. No se mide cambio de conducta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cierre permite revisar la trayectoria, se espera que el participante use el balance completo al analizar un caso nuevo, aunque su propia partida haya terminado con ganancias.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revisión final de decisiones.</w:t>
            </w:r>
          </w:p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Psicología: contraste de evidencia favorable y desfavorable (Nickerson, 1998). La transferencia se explora mediante un caso nuevo; no se da por demostrada a partir de terminar el juego.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Auditoría final de dinero, ahorro, estudio, bienestar, total apostado, cobrado y neto; opción de rejugar.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80% encuentra el neto, lo distingue del saldo y completa las 12 semanas sin ayuda.</w:t>
            </w:r>
          </w:p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Psicología: meta inicial: 80% interpreta correctamente el balance de un caso nuevo. Informar también los cambios pretest–postest en los tres sesgos.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Videojuegos: registrar finalización, duración y problemas de interfaz.</w:t>
            </w:r>
          </w:p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Psicología: solicitar interpretación de un ejemplo distinto de su partida y explicación sobre ganancias aisladas. Separar satisfacción, comprensión y conducta dentro del simulador.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el historial completo al final o ajustar la promesa textual; acortar partes repetitivas.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1"/>
        <w:rPr/>
      </w:pPr>
      <w:bookmarkStart w:colFirst="0" w:colLast="0" w:name="_3nj56vkra8cb" w:id="1"/>
      <w:bookmarkEnd w:id="1"/>
      <w:r w:rsidDel="00000000" w:rsidR="00000000" w:rsidRPr="00000000">
        <w:rPr>
          <w:rtl w:val="0"/>
        </w:rPr>
        <w:t xml:space="preserve">Criterios comunes para el playtest</w:t>
      </w:r>
    </w:p>
    <w:p w:rsidR="00000000" w:rsidDel="00000000" w:rsidP="00000000" w:rsidRDefault="00000000" w:rsidRPr="00000000" w14:paraId="00000056">
      <w:pPr>
        <w:keepNext w:val="0"/>
        <w:spacing w:after="160" w:line="276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sesión propuesta sigue el recorrido: Introducción → 12 semanas → Cierre, con observación directa y pensamiento en voz alta como prevé el informe. Videojuegos registra acciones, momentos de duda, lectura de probabilidades e historial, abandono y problemas de interfaz. Conviene anotar el minuto y la semana de cada zona de aburrimiento o sobrecarga. Para analizar el flujo, se comparan claridad del objetivo, dificultad percibida y frecuencia del feedback: si el jugador repite una acción sin deliberar, falta variación significativa; si no entiende qué hacer, sobran exigencias o falta información. Para balance, se revisa si todas las opciones tienen una razón comprensible para existir y si las consecuencias conservan agencia.</w:t>
      </w:r>
    </w:p>
    <w:p w:rsidR="00000000" w:rsidDel="00000000" w:rsidP="00000000" w:rsidRDefault="00000000" w:rsidRPr="00000000" w14:paraId="00000057">
      <w:pPr>
        <w:keepNext w:val="0"/>
        <w:spacing w:after="160" w:line="276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 porcentajes de la tabla son metas iniciales de diseño que se revisarán después de un piloto. La mejora relativa del OE 4 se calcula como [(proporción postest − proporción pretest) / proporción pretest] × 100; si el valor inicial es cero, se informa la diferencia en puntos porcentuales. Se comunicarán los conteos de participantes y los resultados por sesgo. Las 12 semanas pertenecen a la ficción del juego; no indican la duración real del estudio. Un postest inmediato no demuestra retención sostenida, prevención clínica ni cambio de conducta fuera del simulador.</w:t>
      </w:r>
    </w:p>
    <w:p w:rsidR="00000000" w:rsidDel="00000000" w:rsidP="00000000" w:rsidRDefault="00000000" w:rsidRPr="00000000" w14:paraId="00000058">
      <w:pPr>
        <w:pStyle w:val="Heading2"/>
        <w:keepNext w:val="1"/>
        <w:spacing w:after="200" w:lineRule="auto"/>
        <w:rPr/>
      </w:pPr>
      <w:bookmarkStart w:colFirst="0" w:colLast="0" w:name="_zfm9uqqlrhmq" w:id="2"/>
      <w:bookmarkEnd w:id="2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59">
      <w:pPr>
        <w:keepNext w:val="0"/>
        <w:spacing w:after="0" w:line="480" w:lineRule="auto"/>
        <w:ind w:left="720" w:hanging="720"/>
        <w:rPr/>
      </w:pPr>
      <w:r w:rsidDel="00000000" w:rsidR="00000000" w:rsidRPr="00000000">
        <w:rPr>
          <w:rtl w:val="0"/>
        </w:rPr>
        <w:t xml:space="preserve">Clark, L. (2010). Decision-making during gambling: An integration of cognitive and psychobiological approaches. </w:t>
      </w:r>
      <w:r w:rsidDel="00000000" w:rsidR="00000000" w:rsidRPr="00000000">
        <w:rPr>
          <w:i w:val="1"/>
          <w:iCs w:val="1"/>
          <w:rtl w:val="0"/>
        </w:rPr>
        <w:t xml:space="preserve">Philosophical Transactions of the Royal Society B: Biological Sciences, 365</w:t>
      </w:r>
      <w:r w:rsidDel="00000000" w:rsidR="00000000" w:rsidRPr="00000000">
        <w:rPr>
          <w:rtl w:val="0"/>
        </w:rPr>
        <w:t xml:space="preserve">(1538), 319–330.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https://doi.org/10.1098/rstb.2009.0147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spacing w:after="0" w:line="480" w:lineRule="auto"/>
        <w:ind w:left="720" w:hanging="720"/>
        <w:rPr/>
      </w:pPr>
      <w:r w:rsidDel="00000000" w:rsidR="00000000" w:rsidRPr="00000000">
        <w:rPr>
          <w:rtl w:val="0"/>
        </w:rPr>
        <w:t xml:space="preserve">Ferster, C. B., &amp; Skinner, B. F. (1957). </w:t>
      </w:r>
      <w:r w:rsidDel="00000000" w:rsidR="00000000" w:rsidRPr="00000000">
        <w:rPr>
          <w:i w:val="1"/>
          <w:iCs w:val="1"/>
          <w:rtl w:val="0"/>
        </w:rPr>
        <w:t xml:space="preserve">Schedules of reinforcement</w:t>
      </w:r>
      <w:r w:rsidDel="00000000" w:rsidR="00000000" w:rsidRPr="00000000">
        <w:rPr>
          <w:rtl w:val="0"/>
        </w:rPr>
        <w:t xml:space="preserve">. Appleton-Century-Crofts.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https://www.bfskinner.org/wp-content/uploads/2015/05/Schedules_of_Reinforcement_PDF.pdf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spacing w:after="0" w:line="480" w:lineRule="auto"/>
        <w:ind w:left="720" w:hanging="720"/>
        <w:rPr/>
      </w:pPr>
      <w:r w:rsidDel="00000000" w:rsidR="00000000" w:rsidRPr="00000000">
        <w:rPr>
          <w:rtl w:val="0"/>
        </w:rPr>
        <w:t xml:space="preserve">Hunicke, R., LeBlanc, M., &amp; Zubek, R. (2004). MDA: A formal approach to game design and game research. En </w:t>
      </w:r>
      <w:r w:rsidDel="00000000" w:rsidR="00000000" w:rsidRPr="00000000">
        <w:rPr>
          <w:i w:val="1"/>
          <w:iCs w:val="1"/>
          <w:rtl w:val="0"/>
        </w:rPr>
        <w:t xml:space="preserve">Proceedings of the AAAI Workshop on Challenges in Game AI</w:t>
      </w:r>
      <w:r w:rsidDel="00000000" w:rsidR="00000000" w:rsidRPr="00000000">
        <w:rPr>
          <w:rtl w:val="0"/>
        </w:rPr>
        <w:t xml:space="preserve"> (Technical Report WS-04-04, pp. 1–5). AAAI Press.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https://aaai.org/papers/ws04-04-001-mda-a-formal-approach-to-game-design-and-game-research/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spacing w:after="0" w:line="480" w:lineRule="auto"/>
        <w:ind w:left="720" w:hanging="720"/>
        <w:rPr/>
      </w:pPr>
      <w:r w:rsidDel="00000000" w:rsidR="00000000" w:rsidRPr="00000000">
        <w:rPr>
          <w:rtl w:val="0"/>
        </w:rPr>
        <w:t xml:space="preserve">Langer, E. J. (1975). The illusion of control. </w:t>
      </w:r>
      <w:r w:rsidDel="00000000" w:rsidR="00000000" w:rsidRPr="00000000">
        <w:rPr>
          <w:i w:val="1"/>
          <w:iCs w:val="1"/>
          <w:rtl w:val="0"/>
        </w:rPr>
        <w:t xml:space="preserve">Journal of Personality and Social Psychology, 32</w:t>
      </w:r>
      <w:r w:rsidDel="00000000" w:rsidR="00000000" w:rsidRPr="00000000">
        <w:rPr>
          <w:rtl w:val="0"/>
        </w:rPr>
        <w:t xml:space="preserve">(2), 311–328.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https://doi.org/10.1037/0022-3514.32.2.311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spacing w:after="0" w:line="480" w:lineRule="auto"/>
        <w:ind w:left="720" w:hanging="720"/>
        <w:rPr/>
      </w:pPr>
      <w:r w:rsidDel="00000000" w:rsidR="00000000" w:rsidRPr="00000000">
        <w:rPr>
          <w:rtl w:val="0"/>
        </w:rPr>
        <w:t xml:space="preserve">Nickerson, R. S. (1998). Confirmation bias: A ubiquitous phenomenon in many guises. </w:t>
      </w:r>
      <w:r w:rsidDel="00000000" w:rsidR="00000000" w:rsidRPr="00000000">
        <w:rPr>
          <w:i w:val="1"/>
          <w:iCs w:val="1"/>
          <w:rtl w:val="0"/>
        </w:rPr>
        <w:t xml:space="preserve">Review of General Psychology, 2</w:t>
      </w:r>
      <w:r w:rsidDel="00000000" w:rsidR="00000000" w:rsidRPr="00000000">
        <w:rPr>
          <w:rtl w:val="0"/>
        </w:rPr>
        <w:t xml:space="preserve">(2), 175–220.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https://doi.org/10.1037/1089-2680.2.2.175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spacing w:after="0" w:line="480" w:lineRule="auto"/>
        <w:ind w:left="720" w:hanging="720"/>
        <w:rPr/>
      </w:pPr>
      <w:r w:rsidDel="00000000" w:rsidR="00000000" w:rsidRPr="00000000">
        <w:rPr>
          <w:rtl w:val="0"/>
        </w:rPr>
        <w:t xml:space="preserve">Tversky, A., &amp; Kahneman, D. (1974). Judgment under uncertainty: Heuristics and biases. </w:t>
      </w:r>
      <w:r w:rsidDel="00000000" w:rsidR="00000000" w:rsidRPr="00000000">
        <w:rPr>
          <w:i w:val="1"/>
          <w:iCs w:val="1"/>
          <w:rtl w:val="0"/>
        </w:rPr>
        <w:t xml:space="preserve">Science, 185</w:t>
      </w:r>
      <w:r w:rsidDel="00000000" w:rsidR="00000000" w:rsidRPr="00000000">
        <w:rPr>
          <w:rtl w:val="0"/>
        </w:rPr>
        <w:t xml:space="preserve">(4157), 1124–1131.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https://doi.org/10.1126/science.185.4157.1124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spacing w:after="0" w:line="480" w:lineRule="auto"/>
        <w:ind w:left="720" w:hanging="720"/>
        <w:rPr/>
      </w:pPr>
      <w:r w:rsidDel="00000000" w:rsidR="00000000" w:rsidRPr="00000000">
        <w:rPr>
          <w:rtl w:val="0"/>
        </w:rPr>
        <w:t xml:space="preserve">Wouters, P., van Nimwegen, C., van Oostendorp, H., &amp; van der Spek, E. D. (2013). A meta-analysis of the cognitive and motivational effects of serious games. </w:t>
      </w:r>
      <w:r w:rsidDel="00000000" w:rsidR="00000000" w:rsidRPr="00000000">
        <w:rPr>
          <w:i w:val="1"/>
          <w:iCs w:val="1"/>
          <w:rtl w:val="0"/>
        </w:rPr>
        <w:t xml:space="preserve">Journal of Educational Psychology, 105</w:t>
      </w:r>
      <w:r w:rsidDel="00000000" w:rsidR="00000000" w:rsidRPr="00000000">
        <w:rPr>
          <w:rtl w:val="0"/>
        </w:rPr>
        <w:t xml:space="preserve">(2), 249–265.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https://doi.org/10.1037/a0031311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spacing w:after="16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Documento de referencia: Informe BetAware.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https://docs.google.com/document/d/1dCLQc7ni6mibOLUViBELyClumQIwEQ-HF9kkUKLyyXI/edit</w:t>
        </w:r>
      </w:hyperlink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1126/science.185.4157.1124" TargetMode="External"/><Relationship Id="rId10" Type="http://schemas.openxmlformats.org/officeDocument/2006/relationships/hyperlink" Target="https://doi.org/10.1037/1089-2680.2.2.175" TargetMode="External"/><Relationship Id="rId13" Type="http://schemas.openxmlformats.org/officeDocument/2006/relationships/hyperlink" Target="https://docs.google.com/document/d/1dCLQc7ni6mibOLUViBELyClumQIwEQ-HF9kkUKLyyXI/edit" TargetMode="External"/><Relationship Id="rId12" Type="http://schemas.openxmlformats.org/officeDocument/2006/relationships/hyperlink" Target="https://doi.org/10.1037/a003131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37/0022-3514.32.2.311" TargetMode="External"/><Relationship Id="rId5" Type="http://schemas.openxmlformats.org/officeDocument/2006/relationships/styles" Target="styles.xml"/><Relationship Id="rId6" Type="http://schemas.openxmlformats.org/officeDocument/2006/relationships/hyperlink" Target="https://doi.org/10.1098/rstb.2009.0147" TargetMode="External"/><Relationship Id="rId7" Type="http://schemas.openxmlformats.org/officeDocument/2006/relationships/hyperlink" Target="https://www.bfskinner.org/wp-content/uploads/2015/05/Schedules_of_Reinforcement_PDF.pdf" TargetMode="External"/><Relationship Id="rId8" Type="http://schemas.openxmlformats.org/officeDocument/2006/relationships/hyperlink" Target="https://aaai.org/papers/ws04-04-001-mda-a-formal-approach-to-game-design-and-game-resear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