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00" w:lineRule="auto"/>
        <w:jc w:val="center"/>
        <w:rPr/>
      </w:pPr>
      <w:r w:rsidDel="00000000" w:rsidR="00000000" w:rsidRPr="00000000">
        <w:rPr>
          <w:rFonts w:ascii="Arial" w:cs="Arial" w:eastAsia="Arial" w:hAnsi="Arial"/>
          <w:b w:val="1"/>
          <w:bCs w:val="1"/>
          <w:color w:val="1b2040"/>
          <w:sz w:val="26"/>
          <w:szCs w:val="26"/>
          <w:rtl w:val="0"/>
        </w:rPr>
        <w:t xml:space="preserve">UNIVERSIDAD ARGENTINA DE LA EMPRESA (UADE)</w:t>
      </w:r>
      <w:r w:rsidDel="00000000" w:rsidR="00000000" w:rsidRPr="00000000">
        <w:rPr>
          <w:rtl w:val="0"/>
        </w:rPr>
      </w:r>
    </w:p>
    <w:p w:rsidR="00000000" w:rsidDel="00000000" w:rsidP="00000000" w:rsidRDefault="00000000" w:rsidRPr="00000000" w14:paraId="00000002">
      <w:pPr>
        <w:spacing w:after="360" w:lineRule="auto"/>
        <w:jc w:val="center"/>
        <w:rPr>
          <w:rFonts w:ascii="Arial" w:cs="Arial" w:eastAsia="Arial" w:hAnsi="Arial"/>
          <w:i w:val="1"/>
          <w:iCs w:val="1"/>
          <w:color w:val="595959"/>
          <w:sz w:val="21"/>
          <w:szCs w:val="21"/>
        </w:rPr>
      </w:pPr>
      <w:r w:rsidDel="00000000" w:rsidR="00000000" w:rsidRPr="00000000">
        <w:rPr>
          <w:rFonts w:ascii="Arial" w:cs="Arial" w:eastAsia="Arial" w:hAnsi="Arial"/>
          <w:i w:val="1"/>
          <w:iCs w:val="1"/>
          <w:color w:val="595959"/>
          <w:sz w:val="21"/>
          <w:szCs w:val="21"/>
          <w:rtl w:val="0"/>
        </w:rPr>
        <w:t xml:space="preserve">Cátedra: Diseño de Juegos Aplicados (UADE) en articulación interdisciplinaria con la Facultad de Psicología</w:t>
      </w:r>
    </w:p>
    <w:p w:rsidR="00000000" w:rsidDel="00000000" w:rsidP="00000000" w:rsidRDefault="00000000" w:rsidRPr="00000000" w14:paraId="00000003">
      <w:pPr>
        <w:spacing w:after="360" w:lineRule="auto"/>
        <w:jc w:val="center"/>
        <w:rPr>
          <w:rFonts w:ascii="Arial" w:cs="Arial" w:eastAsia="Arial" w:hAnsi="Arial"/>
          <w:color w:val="555555"/>
          <w:sz w:val="21"/>
          <w:szCs w:val="21"/>
        </w:rPr>
      </w:pPr>
      <w:r w:rsidDel="00000000" w:rsidR="00000000" w:rsidRPr="00000000">
        <w:rPr>
          <w:rFonts w:ascii="Arial" w:cs="Arial" w:eastAsia="Arial" w:hAnsi="Arial"/>
          <w:i w:val="1"/>
          <w:iCs w:val="1"/>
          <w:color w:val="595959"/>
          <w:sz w:val="21"/>
          <w:szCs w:val="21"/>
          <w:rtl w:val="0"/>
        </w:rPr>
        <w:t xml:space="preserve">GRUPO 4: GUERRERO GABRIEL OMAR, GARCIA DIAZ RAMIRO,  DELOCCA FRANCO, FRANCO DROGO</w:t>
      </w:r>
      <w:r w:rsidDel="00000000" w:rsidR="00000000" w:rsidRPr="00000000">
        <w:rPr>
          <w:rtl w:val="0"/>
        </w:rPr>
      </w:r>
    </w:p>
    <w:p w:rsidR="00000000" w:rsidDel="00000000" w:rsidP="00000000" w:rsidRDefault="00000000" w:rsidRPr="00000000" w14:paraId="00000004">
      <w:pPr>
        <w:spacing w:after="160" w:before="240" w:lineRule="auto"/>
        <w:jc w:val="center"/>
        <w:rPr/>
      </w:pPr>
      <w:r w:rsidDel="00000000" w:rsidR="00000000" w:rsidRPr="00000000">
        <w:rPr>
          <w:rFonts w:ascii="Arial" w:cs="Arial" w:eastAsia="Arial" w:hAnsi="Arial"/>
          <w:b w:val="1"/>
          <w:bCs w:val="1"/>
          <w:color w:val="003366"/>
          <w:sz w:val="30"/>
          <w:szCs w:val="30"/>
          <w:rtl w:val="0"/>
        </w:rPr>
        <w:t xml:space="preserve">BetAware</w:t>
      </w:r>
      <w:r w:rsidDel="00000000" w:rsidR="00000000" w:rsidRPr="00000000">
        <w:rPr>
          <w:rFonts w:ascii="Arial" w:cs="Arial" w:eastAsia="Arial" w:hAnsi="Arial"/>
          <w:b w:val="1"/>
          <w:bCs w:val="1"/>
          <w:color w:val="003366"/>
          <w:sz w:val="30"/>
          <w:szCs w:val="30"/>
          <w:rtl w:val="0"/>
        </w:rPr>
        <w:t xml:space="preserve">: Videojuego interactivo para concientizar sobre los riesgos de las apuestas online en adolescentes de Buenos Aires en 2026</w:t>
      </w:r>
      <w:r w:rsidDel="00000000" w:rsidR="00000000" w:rsidRPr="00000000">
        <w:rPr>
          <w:rtl w:val="0"/>
        </w:rPr>
      </w:r>
    </w:p>
    <w:p w:rsidR="00000000" w:rsidDel="00000000" w:rsidP="00000000" w:rsidRDefault="00000000" w:rsidRPr="00000000" w14:paraId="00000005">
      <w:pPr>
        <w:spacing w:after="480" w:lineRule="auto"/>
        <w:jc w:val="center"/>
        <w:rPr/>
      </w:pPr>
      <w:r w:rsidDel="00000000" w:rsidR="00000000" w:rsidRPr="00000000">
        <w:rPr>
          <w:rFonts w:ascii="Arial" w:cs="Arial" w:eastAsia="Arial" w:hAnsi="Arial"/>
          <w:b w:val="1"/>
          <w:bCs w:val="1"/>
          <w:color w:val="666666"/>
          <w:sz w:val="20"/>
          <w:szCs w:val="20"/>
          <w:rtl w:val="0"/>
        </w:rPr>
        <w:t xml:space="preserve">DOCUMENTO CONSOLIDADO DE INVESTIGACIÓN, MARCO TEÓRICO, OBJETIVOS Y ESPECIFICACIÓN DEL PRODUCTO</w:t>
      </w:r>
      <w:r w:rsidDel="00000000" w:rsidR="00000000" w:rsidRPr="00000000">
        <w:rPr>
          <w:rtl w:val="0"/>
        </w:rPr>
      </w:r>
    </w:p>
    <w:p w:rsidR="00000000" w:rsidDel="00000000" w:rsidP="00000000" w:rsidRDefault="00000000" w:rsidRPr="00000000" w14:paraId="00000006">
      <w:pPr>
        <w:spacing w:after="360" w:lineRule="auto"/>
        <w:jc w:val="center"/>
        <w:rPr/>
      </w:pPr>
      <w:r w:rsidDel="00000000" w:rsidR="00000000" w:rsidRPr="00000000">
        <w:rPr>
          <w:color w:val="bbbbbb"/>
          <w:rtl w:val="0"/>
        </w:rPr>
        <w:t xml:space="preserve">_________________________________________________________________________________</w:t>
      </w:r>
      <w:r w:rsidDel="00000000" w:rsidR="00000000" w:rsidRPr="00000000">
        <w:rPr>
          <w:rtl w:val="0"/>
        </w:rPr>
      </w:r>
    </w:p>
    <w:p w:rsidR="00000000" w:rsidDel="00000000" w:rsidP="00000000" w:rsidRDefault="00000000" w:rsidRPr="00000000" w14:paraId="00000007">
      <w:pPr>
        <w:pStyle w:val="Heading1"/>
        <w:keepNext w:val="1"/>
        <w:spacing w:after="160" w:before="320" w:lineRule="auto"/>
        <w:ind w:left="0" w:firstLine="0"/>
        <w:jc w:val="left"/>
        <w:rPr/>
      </w:pPr>
      <w:bookmarkStart w:colFirst="0" w:colLast="0" w:name="_et7y4bk6gepz" w:id="0"/>
      <w:bookmarkEnd w:id="0"/>
      <w:r w:rsidDel="00000000" w:rsidR="00000000" w:rsidRPr="00000000">
        <w:rPr>
          <w:rtl w:val="0"/>
        </w:rPr>
        <w:t xml:space="preserve">Introducción</w:t>
      </w:r>
    </w:p>
    <w:p w:rsidR="00000000" w:rsidDel="00000000" w:rsidP="00000000" w:rsidRDefault="00000000" w:rsidRPr="00000000" w14:paraId="00000008">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BetAware es un proyecto interdisciplinario de Diseño de Juegos Aplicados y Psicología que propone una simulación de decisiones financieras para adolescentes de 13 a 17 años de CABA y el Área Metropolitana de Buenos Aires. Su finalidad es favorecer la comprensión de los riesgos de las apuestas online mediante una experiencia jugable, sin dinero real, acompañada por reflexión.</w:t>
      </w:r>
    </w:p>
    <w:p w:rsidR="00000000" w:rsidDel="00000000" w:rsidP="00000000" w:rsidRDefault="00000000" w:rsidRPr="00000000" w14:paraId="00000009">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La pertinencia del tema se apoya en investigaciones recientes sobre prácticas digitales juveniles. Kids Online Argentina informa que el 24% de los adolescentes de 12 a 17 años encuestados había apostado dinero online alguna vez (UNICEF Argentina &amp; UNESCO, 2025, p. 55). Este dato contextualiza el proyecto, pero no representa una medición propia ni demuestra por sí mismo un trastorno por juego.</w:t>
      </w:r>
    </w:p>
    <w:p w:rsidR="00000000" w:rsidDel="00000000" w:rsidP="00000000" w:rsidRDefault="00000000" w:rsidRPr="00000000" w14:paraId="0000000A">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El informe presenta el problema, los objetivos y las hipótesis; distingue los antecedentes del marco teórico; fundamenta las decisiones del prototipo y propone un protocolo de evaluación. La comprensión de la ilusión de control, la falacia del apostador y el sesgo de confirmación organiza la relación entre teoría, mecánicas y aprendizaje esperado.</w:t>
      </w:r>
    </w:p>
    <w:p w:rsidR="00000000" w:rsidDel="00000000" w:rsidP="00000000" w:rsidRDefault="00000000" w:rsidRPr="00000000" w14:paraId="0000000B">
      <w:pPr>
        <w:pStyle w:val="Heading1"/>
        <w:keepNext w:val="1"/>
        <w:spacing w:after="160" w:before="320" w:lineRule="auto"/>
        <w:ind w:left="0" w:firstLine="0"/>
        <w:jc w:val="left"/>
        <w:rPr/>
      </w:pPr>
      <w:bookmarkStart w:colFirst="0" w:colLast="0" w:name="_ni1x4hrp2bs1" w:id="1"/>
      <w:bookmarkEnd w:id="1"/>
      <w:r w:rsidDel="00000000" w:rsidR="00000000" w:rsidRPr="00000000">
        <w:rPr>
          <w:rtl w:val="0"/>
        </w:rPr>
        <w:t xml:space="preserve">1. Planteamiento y Delimitación del Problema de Investigación</w:t>
      </w:r>
    </w:p>
    <w:p w:rsidR="00000000" w:rsidDel="00000000" w:rsidP="00000000" w:rsidRDefault="00000000" w:rsidRPr="00000000" w14:paraId="0000000C">
      <w:pPr>
        <w:pStyle w:val="Heading2"/>
        <w:keepNext w:val="1"/>
        <w:spacing w:after="120" w:before="240" w:lineRule="auto"/>
        <w:ind w:left="0" w:firstLine="0"/>
        <w:jc w:val="left"/>
        <w:rPr>
          <w:sz w:val="24"/>
          <w:szCs w:val="24"/>
        </w:rPr>
      </w:pPr>
      <w:bookmarkStart w:colFirst="0" w:colLast="0" w:name="_p4y1e73h0r0r" w:id="2"/>
      <w:bookmarkEnd w:id="2"/>
      <w:r w:rsidDel="00000000" w:rsidR="00000000" w:rsidRPr="00000000">
        <w:rPr>
          <w:sz w:val="24"/>
          <w:szCs w:val="24"/>
          <w:rtl w:val="0"/>
        </w:rPr>
        <w:t xml:space="preserve">1.1. Tema o Área de Interés</w:t>
      </w:r>
    </w:p>
    <w:p w:rsidR="00000000" w:rsidDel="00000000" w:rsidP="00000000" w:rsidRDefault="00000000" w:rsidRPr="00000000" w14:paraId="0000000D">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Este trabajo estudia los riesgos económicos y psicosociales asociados a las apuestas online desde el Diseño de Juegos Aplicados y la Psicología. La población destinataria se delimita a adolescentes de 13 a 17 años de CABA y el Área Metropolitana de Buenos Aires durante 2026. El estudio piloto se realizará con estudiantes de CABA; sus resultados no se generalizarán automáticamente al conjunto de la población destinataria.</w:t>
      </w:r>
    </w:p>
    <w:p w:rsidR="00000000" w:rsidDel="00000000" w:rsidP="00000000" w:rsidRDefault="00000000" w:rsidRPr="00000000" w14:paraId="0000000E">
      <w:pPr>
        <w:pStyle w:val="Heading2"/>
        <w:keepNext w:val="1"/>
        <w:spacing w:after="120" w:before="240" w:lineRule="auto"/>
        <w:ind w:left="0" w:firstLine="0"/>
        <w:jc w:val="left"/>
        <w:rPr>
          <w:sz w:val="24"/>
          <w:szCs w:val="24"/>
        </w:rPr>
      </w:pPr>
      <w:bookmarkStart w:colFirst="0" w:colLast="0" w:name="_2bfnrgexgpt1" w:id="3"/>
      <w:bookmarkEnd w:id="3"/>
      <w:r w:rsidDel="00000000" w:rsidR="00000000" w:rsidRPr="00000000">
        <w:rPr>
          <w:sz w:val="24"/>
          <w:szCs w:val="24"/>
          <w:rtl w:val="0"/>
        </w:rPr>
        <w:t xml:space="preserve">1.2. Problema de Investigación</w:t>
      </w:r>
    </w:p>
    <w:p w:rsidR="00000000" w:rsidDel="00000000" w:rsidP="00000000" w:rsidRDefault="00000000" w:rsidRPr="00000000" w14:paraId="0000000F">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UNICEF Argentina y UNESCO (2025, p. 55) informan que el 24% de los adolescentes de 12 a 17 años había realizado apuestas online alguna vez. Por su parte, Cruz Roja Argentina, Observatorio Humanitario (2025), relevó 11.421 estudiantes de 13 a 18 años en 231 escuelas de 16 provincias: registró un 16% con participación directa y un 45% con exposición indirecta a través de personas cercanas. Las cifras corresponden a poblaciones, instrumentos y categorías diferentes; exposición indirecta no significa haber apostado.</w:t>
      </w:r>
    </w:p>
    <w:p w:rsidR="00000000" w:rsidDel="00000000" w:rsidP="00000000" w:rsidRDefault="00000000" w:rsidRPr="00000000" w14:paraId="00000010">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Estos antecedentes muestran la pertinencia de abordar el tema en el ámbito educativo, pero no permiten concluir que una simulación sea eficaz. El problema específico de BetAware es determinar cómo una experiencia de decisiones, probabilidades e historial financiero puede favorecer la comprensión del riesgo entre estudiantes de 13 a 17 años. La pregunta que orienta el proyecto es:</w:t>
      </w:r>
    </w:p>
    <w:p w:rsidR="00000000" w:rsidDel="00000000" w:rsidP="00000000" w:rsidRDefault="00000000" w:rsidRPr="00000000" w14:paraId="00000011">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Pregunta General: ¿Cómo puede el diseño y la implementación de un videojuego interactivo contribuir a la concientización sobre los riesgos de las apuestas online entre adolescentes de 13 a 17 años de CABA y el Área Metropolitana de Buenos Aires en 2026?</w:t>
      </w:r>
    </w:p>
    <w:p w:rsidR="00000000" w:rsidDel="00000000" w:rsidP="00000000" w:rsidRDefault="00000000" w:rsidRPr="00000000" w14:paraId="00000012">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De esta pregunta surgen tres preguntas específicas:</w:t>
      </w:r>
    </w:p>
    <w:p w:rsidR="00000000" w:rsidDel="00000000" w:rsidP="00000000" w:rsidRDefault="00000000" w:rsidRPr="00000000" w14:paraId="00000013">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 Pregunta Específica 1: ¿Cómo describen la bibliografía psicológica y los antecedentes sobre apuestas el refuerzo intermitente y tres sesgos cognitivos —ilusión de control, falacia del apostador y sesgo de confirmación—, y qué implicancias tienen para el diseño de BetAware?</w:t>
      </w:r>
    </w:p>
    <w:p w:rsidR="00000000" w:rsidDel="00000000" w:rsidP="00000000" w:rsidRDefault="00000000" w:rsidRPr="00000000" w14:paraId="00000014">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 Pregunta Específica 2: ¿Cómo pueden diseñarse las reglas y dinámicas de un videojuego serio para que el usuario experimente la esperanza matemática negativa y el impacto financiero acumulativo sin un discurso moralizante?</w:t>
      </w:r>
    </w:p>
    <w:p w:rsidR="00000000" w:rsidDel="00000000" w:rsidP="00000000" w:rsidRDefault="00000000" w:rsidRPr="00000000" w14:paraId="00000015">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 Pregunta Específica 3: ¿Qué cambios se observan, antes y después de interactuar con el prototipo, en el reconocimiento de la ilusión de control, la falacia del apostador y el sesgo de confirmación, y en la comprensión de las probabilidades y del riesgo económico?</w:t>
      </w:r>
    </w:p>
    <w:p w:rsidR="00000000" w:rsidDel="00000000" w:rsidP="00000000" w:rsidRDefault="00000000" w:rsidRPr="00000000" w14:paraId="00000016">
      <w:pPr>
        <w:pStyle w:val="Heading2"/>
        <w:keepNext w:val="1"/>
        <w:spacing w:after="120" w:before="240" w:lineRule="auto"/>
        <w:ind w:left="0" w:firstLine="0"/>
        <w:jc w:val="left"/>
        <w:rPr>
          <w:sz w:val="24"/>
          <w:szCs w:val="24"/>
        </w:rPr>
      </w:pPr>
      <w:bookmarkStart w:colFirst="0" w:colLast="0" w:name="_9r3b1hyaf2vt" w:id="4"/>
      <w:bookmarkEnd w:id="4"/>
      <w:r w:rsidDel="00000000" w:rsidR="00000000" w:rsidRPr="00000000">
        <w:rPr>
          <w:sz w:val="24"/>
          <w:szCs w:val="24"/>
          <w:rtl w:val="0"/>
        </w:rPr>
        <w:t xml:space="preserve">1.3. Justificación de la Investigación</w:t>
      </w:r>
    </w:p>
    <w:p w:rsidR="00000000" w:rsidDel="00000000" w:rsidP="00000000" w:rsidRDefault="00000000" w:rsidRPr="00000000" w14:paraId="00000017">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La investigación se justifica en tres dimensiones:</w:t>
      </w:r>
    </w:p>
    <w:p w:rsidR="00000000" w:rsidDel="00000000" w:rsidP="00000000" w:rsidRDefault="00000000" w:rsidRPr="00000000" w14:paraId="00000018">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 Relevancia Social: La participación y la exposición indirecta documentadas por UNICEF Argentina y UNESCO (2025) y Cruz Roja Argentina, Observatorio Humanitario (2025), justifican trabajar el tema con adolescentes. El segundo informe registra consecuencias económicas y malestar autoinformados entre participantes con experiencia directa. Se consideran asociaciones y experiencias reportadas, sin atribuir causalidad ni equiparar cualquier apuesta con un diagnóstico.</w:t>
      </w:r>
    </w:p>
    <w:p w:rsidR="00000000" w:rsidDel="00000000" w:rsidP="00000000" w:rsidRDefault="00000000" w:rsidRPr="00000000" w14:paraId="00000019">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 Relevancia Práctica: BetAware transforma las recompensas ocasionales y la revisión del historial en recursos para analizar decisiones. El refuerzo intermitente y las distorsiones cognitivas ofrecen fundamentos para esa propuesta (Ferster &amp; Skinner, 1957; Clark, 2010). Se busca que el jugador contraste una victoria aislada con el costo acumulado y pueda explicar sus decisiones; el logro de ese aprendizaje deberá evaluarse.</w:t>
      </w:r>
    </w:p>
    <w:p w:rsidR="00000000" w:rsidDel="00000000" w:rsidP="00000000" w:rsidRDefault="00000000" w:rsidRPr="00000000" w14:paraId="0000001A">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 Relevancia Teórica: El proyecto articula conceptos de aprendizaje y sesgos cognitivos con el diseño de serious games. La evidencia general sobre aprendizaje con estos juegos orienta la propuesta, pero no demuestra su efectividad en apuestas online juveniles de Buenos Aires (Wouters et al., 2013). El aporte buscado es obtener evidencia exploratoria y situada sobre la comprensión de los conceptos después de jugar.</w:t>
      </w:r>
    </w:p>
    <w:p w:rsidR="00000000" w:rsidDel="00000000" w:rsidP="00000000" w:rsidRDefault="00000000" w:rsidRPr="00000000" w14:paraId="0000001B">
      <w:pPr>
        <w:pStyle w:val="Heading1"/>
        <w:keepNext w:val="1"/>
        <w:spacing w:after="160" w:before="320" w:lineRule="auto"/>
        <w:ind w:left="0" w:firstLine="0"/>
        <w:jc w:val="left"/>
        <w:rPr/>
      </w:pPr>
      <w:bookmarkStart w:colFirst="0" w:colLast="0" w:name="_ydv1f48jbmvs" w:id="5"/>
      <w:bookmarkEnd w:id="5"/>
      <w:r w:rsidDel="00000000" w:rsidR="00000000" w:rsidRPr="00000000">
        <w:rPr>
          <w:rtl w:val="0"/>
        </w:rPr>
        <w:t xml:space="preserve">2. Objetivos de Investigación y Sistema de Hipótesis</w:t>
      </w:r>
    </w:p>
    <w:p w:rsidR="00000000" w:rsidDel="00000000" w:rsidP="00000000" w:rsidRDefault="00000000" w:rsidRPr="00000000" w14:paraId="0000001C">
      <w:pPr>
        <w:pStyle w:val="Heading2"/>
        <w:keepNext w:val="1"/>
        <w:spacing w:after="120" w:before="240" w:lineRule="auto"/>
        <w:ind w:left="0" w:firstLine="0"/>
        <w:jc w:val="left"/>
        <w:rPr>
          <w:sz w:val="24"/>
          <w:szCs w:val="24"/>
        </w:rPr>
      </w:pPr>
      <w:bookmarkStart w:colFirst="0" w:colLast="0" w:name="_580wve40muum" w:id="6"/>
      <w:bookmarkEnd w:id="6"/>
      <w:r w:rsidDel="00000000" w:rsidR="00000000" w:rsidRPr="00000000">
        <w:rPr>
          <w:sz w:val="24"/>
          <w:szCs w:val="24"/>
          <w:rtl w:val="0"/>
        </w:rPr>
        <w:t xml:space="preserve">2.1. Objetivo General</w:t>
      </w:r>
    </w:p>
    <w:p w:rsidR="00000000" w:rsidDel="00000000" w:rsidP="00000000" w:rsidRDefault="00000000" w:rsidRPr="00000000" w14:paraId="0000001D">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Evaluar la efectividad de un videojuego interactivo (serious game) como herramienta didáctica para concientizar sobre los riesgos psicosociales y económicos de las apuestas online en adolescentes de 13 a 17 años de CABA y el Área Metropolitana de Buenos Aires durante el ciclo lectivo 2026.</w:t>
      </w:r>
    </w:p>
    <w:p w:rsidR="00000000" w:rsidDel="00000000" w:rsidP="00000000" w:rsidRDefault="00000000" w:rsidRPr="00000000" w14:paraId="0000001E">
      <w:pPr>
        <w:pStyle w:val="Heading2"/>
        <w:keepNext w:val="1"/>
        <w:spacing w:after="120" w:before="240" w:lineRule="auto"/>
        <w:ind w:left="0" w:firstLine="0"/>
        <w:jc w:val="left"/>
        <w:rPr>
          <w:sz w:val="24"/>
          <w:szCs w:val="24"/>
        </w:rPr>
      </w:pPr>
      <w:bookmarkStart w:colFirst="0" w:colLast="0" w:name="_bukmmf14i48q" w:id="7"/>
      <w:bookmarkEnd w:id="7"/>
      <w:r w:rsidDel="00000000" w:rsidR="00000000" w:rsidRPr="00000000">
        <w:rPr>
          <w:sz w:val="24"/>
          <w:szCs w:val="24"/>
          <w:rtl w:val="0"/>
        </w:rPr>
        <w:t xml:space="preserve">2.2. Objetivos Específicos (Criterio SMART)</w:t>
      </w:r>
    </w:p>
    <w:p w:rsidR="00000000" w:rsidDel="00000000" w:rsidP="00000000" w:rsidRDefault="00000000" w:rsidRPr="00000000" w14:paraId="0000001F">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La cátedra solicita cuatro objetivos específicos formulados según el criterio SMART:</w:t>
      </w:r>
    </w:p>
    <w:p w:rsidR="00000000" w:rsidDel="00000000" w:rsidP="00000000" w:rsidRDefault="00000000" w:rsidRPr="00000000" w14:paraId="00000020">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 OE 1 (Identificación Teórica - Semanas 1 a 4): Identificar y ordenar tres sesgos cognitivos (ilusión de control, falacia del apostador y sesgo de confirmación) y los mecanismos de refuerzo intermitente presentes en las experiencias de apuestas mediante una revisión bibliográfica interdisciplinaria con estudiantes de Psicología durante cuatro semanas.</w:t>
      </w:r>
    </w:p>
    <w:p w:rsidR="00000000" w:rsidDel="00000000" w:rsidP="00000000" w:rsidRDefault="00000000" w:rsidRPr="00000000" w14:paraId="00000021">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 OE 2 (Diseño y Prototipado - Semanas 5 a 12): Diseñar y programar un prototipo jugable en 2D (versión alfa) que simule 12 semanas de vida estudiantil, con un presupuesto finito de $1.000 semanales y probabilidades matemáticas desfavorables, durante un período de desarrollo de ocho semanas.</w:t>
      </w:r>
    </w:p>
    <w:p w:rsidR="00000000" w:rsidDel="00000000" w:rsidP="00000000" w:rsidRDefault="00000000" w:rsidRPr="00000000" w14:paraId="00000022">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 OE 3 (Validación Empírica - Semanas 13 a 14): Realizar playtesting y evaluación formativa con una muestra de 15 a 20 adolescentes de 13 a 17 años. Durante dos semanas se registrarán métricas de usabilidad, frustración reflexiva y comprensión de las consecuencias del juego.</w:t>
      </w:r>
    </w:p>
    <w:p w:rsidR="00000000" w:rsidDel="00000000" w:rsidP="00000000" w:rsidRDefault="00000000" w:rsidRPr="00000000" w14:paraId="00000023">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 OE 4 (Medición de Impacto Cognitivo - Semanas 15 a 16): Medir la percepción del riesgo y el reconocimiento del carácter aleatorio de las apuestas mediante cuestionarios estructurados pretest y postest, con el objetivo de registrar un incremento mínimo del 25% en el reconocimiento del sesgo de ilusión de control tras la interacción lúdica.</w:t>
      </w:r>
    </w:p>
    <w:p w:rsidR="00000000" w:rsidDel="00000000" w:rsidP="00000000" w:rsidRDefault="00000000" w:rsidRPr="00000000" w14:paraId="00000024">
      <w:pPr>
        <w:pStyle w:val="Heading2"/>
        <w:keepNext w:val="1"/>
        <w:spacing w:after="120" w:before="240" w:lineRule="auto"/>
        <w:ind w:left="0" w:firstLine="0"/>
        <w:jc w:val="left"/>
        <w:rPr>
          <w:sz w:val="24"/>
          <w:szCs w:val="24"/>
        </w:rPr>
      </w:pPr>
      <w:bookmarkStart w:colFirst="0" w:colLast="0" w:name="_r0b3dwo4cb0m" w:id="8"/>
      <w:bookmarkEnd w:id="8"/>
      <w:r w:rsidDel="00000000" w:rsidR="00000000" w:rsidRPr="00000000">
        <w:rPr>
          <w:sz w:val="24"/>
          <w:szCs w:val="24"/>
          <w:rtl w:val="0"/>
        </w:rPr>
        <w:t xml:space="preserve">2.3. Hipótesis General y Operacionalización de Variables</w:t>
      </w:r>
    </w:p>
    <w:p w:rsidR="00000000" w:rsidDel="00000000" w:rsidP="00000000" w:rsidRDefault="00000000" w:rsidRPr="00000000" w14:paraId="00000025">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Hipótesis General (Hi): La interacción con BetAware se asocia con una mejora medible entre pretest y postest en la comprensión del riesgo económico y en el reconocimiento de la ilusión de control, la falacia del apostador y el sesgo de confirmación entre adolescentes de 13 a 17 años de la población destinataria. El piloto permitirá explorar esta hipótesis; no demostrará por sí solo causalidad ni cambios duraderos.</w:t>
      </w:r>
    </w:p>
    <w:p w:rsidR="00000000" w:rsidDel="00000000" w:rsidP="00000000" w:rsidRDefault="00000000" w:rsidRPr="00000000" w14:paraId="00000026">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Hipótesis Nula (H0): No se observan mejoras entre pretest y postest en los indicadores de comprensión del riesgo y reconocimiento de los tres sesgos cognitivos en el grupo evaluado.</w:t>
      </w:r>
    </w:p>
    <w:p w:rsidR="00000000" w:rsidDel="00000000" w:rsidP="00000000" w:rsidRDefault="00000000" w:rsidRPr="00000000" w14:paraId="00000027">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 Variables de la Investigación:</w:t>
      </w:r>
    </w:p>
    <w:p w:rsidR="00000000" w:rsidDel="00000000" w:rsidP="00000000" w:rsidRDefault="00000000" w:rsidRPr="00000000" w14:paraId="00000028">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 Variable Independiente (VI): El videojuego interactivo </w:t>
      </w:r>
      <w:r w:rsidDel="00000000" w:rsidR="00000000" w:rsidRPr="00000000">
        <w:rPr>
          <w:rFonts w:ascii="Arial" w:cs="Arial" w:eastAsia="Arial" w:hAnsi="Arial"/>
          <w:color w:val="222222"/>
          <w:rtl w:val="0"/>
        </w:rPr>
        <w:t xml:space="preserve">BetAware</w:t>
      </w:r>
      <w:r w:rsidDel="00000000" w:rsidR="00000000" w:rsidRPr="00000000">
        <w:rPr>
          <w:rFonts w:ascii="Arial" w:cs="Arial" w:eastAsia="Arial" w:hAnsi="Arial"/>
          <w:color w:val="222222"/>
          <w:rtl w:val="0"/>
        </w:rPr>
        <w:t xml:space="preserve">, una simulación de 12 semanas de decisiones financieras con probabilidades matemáticas desfavorables explícitas y eventos de la vida cotidiana.</w:t>
      </w:r>
    </w:p>
    <w:p w:rsidR="00000000" w:rsidDel="00000000" w:rsidP="00000000" w:rsidRDefault="00000000" w:rsidRPr="00000000" w14:paraId="00000029">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 Variable Dependiente (VD): El nivel de concientización sobre los riesgos de las apuestas online y la desmitificación de sesgos cognitivos en los adolescentes participantes.</w:t>
      </w:r>
    </w:p>
    <w:p w:rsidR="00000000" w:rsidDel="00000000" w:rsidP="00000000" w:rsidRDefault="00000000" w:rsidRPr="00000000" w14:paraId="0000002A">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 Indicadores de Medición: Proporción de respuestas correctas por sesgo, explicación de la independencia de las jugadas, distinción entre cobro bruto y ganancia neta, y valoración del riesgo antes y después de jugar. El tiempo de permanencia y las decisiones de apuesta se registrarán como indicadores complementarios de uso y conducta dentro del simulador, sin equipararlos automáticamente con aprendizaje.</w:t>
      </w:r>
    </w:p>
    <w:p w:rsidR="00000000" w:rsidDel="00000000" w:rsidP="00000000" w:rsidRDefault="00000000" w:rsidRPr="00000000" w14:paraId="0000002B">
      <w:pPr>
        <w:pStyle w:val="Heading1"/>
        <w:keepNext w:val="1"/>
        <w:spacing w:after="160" w:before="320" w:lineRule="auto"/>
        <w:ind w:left="0" w:firstLine="0"/>
        <w:jc w:val="left"/>
        <w:rPr/>
      </w:pPr>
      <w:bookmarkStart w:colFirst="0" w:colLast="0" w:name="_psyp552cgxi8" w:id="9"/>
      <w:bookmarkEnd w:id="9"/>
      <w:r w:rsidDel="00000000" w:rsidR="00000000" w:rsidRPr="00000000">
        <w:rPr>
          <w:rtl w:val="0"/>
        </w:rPr>
        <w:t xml:space="preserve">3. Estado del Arte y Matriz de Antecedentes</w:t>
      </w:r>
    </w:p>
    <w:p w:rsidR="00000000" w:rsidDel="00000000" w:rsidP="00000000" w:rsidRDefault="00000000" w:rsidRPr="00000000" w14:paraId="0000002C">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Este estado del arte reúne diagnósticos locales, trabajos académicos y antecedentes de videojuegos. La tabla distingue sus aportes: dimensionar prácticas, definir mecanismos psicológicos y orientar el diseño. Las referencias completas y sus enlaces se incluyen en la sección 7; los conceptos se desarrollan en el marco teórico de la sección 4.</w:t>
      </w:r>
    </w:p>
    <w:tbl>
      <w:tblPr>
        <w:tblStyle w:val="Table1"/>
        <w:tblW w:w="9405.0" w:type="dxa"/>
        <w:jc w:val="center"/>
        <w:tblLayout w:type="fixed"/>
        <w:tblLook w:val="0400"/>
      </w:tblPr>
      <w:tblGrid>
        <w:gridCol w:w="1881"/>
        <w:gridCol w:w="1881"/>
        <w:gridCol w:w="1881"/>
        <w:gridCol w:w="1881"/>
        <w:gridCol w:w="1881"/>
        <w:tblGridChange w:id="0">
          <w:tblGrid>
            <w:gridCol w:w="1881"/>
            <w:gridCol w:w="1881"/>
            <w:gridCol w:w="1881"/>
            <w:gridCol w:w="1881"/>
            <w:gridCol w:w="1881"/>
          </w:tblGrid>
        </w:tblGridChange>
      </w:tblGrid>
      <w:tr>
        <w:trPr>
          <w:cantSplit w:val="0"/>
          <w:tblHeader w:val="0"/>
        </w:trPr>
        <w:tc>
          <w:tcPr>
            <w:tcBorders>
              <w:top w:color="1b2040" w:space="0" w:sz="4" w:val="single"/>
              <w:left w:color="000000" w:space="0" w:sz="0" w:val="nil"/>
              <w:bottom w:color="2f5496" w:space="0" w:sz="4" w:val="single"/>
              <w:right w:color="000000" w:space="0" w:sz="0" w:val="nil"/>
            </w:tcBorders>
            <w:shd w:fill="1b2040" w:val="clear"/>
            <w:tcMar>
              <w:top w:w="120.0" w:type="dxa"/>
              <w:left w:w="140.0" w:type="dxa"/>
              <w:bottom w:w="120.0" w:type="dxa"/>
              <w:right w:w="140.0" w:type="dxa"/>
            </w:tcMar>
          </w:tcPr>
          <w:p w:rsidR="00000000" w:rsidDel="00000000" w:rsidP="00000000" w:rsidRDefault="00000000" w:rsidRPr="00000000" w14:paraId="0000002D">
            <w:pPr>
              <w:spacing w:after="0" w:before="0" w:line="276" w:lineRule="auto"/>
              <w:jc w:val="center"/>
              <w:rPr/>
            </w:pPr>
            <w:r w:rsidDel="00000000" w:rsidR="00000000" w:rsidRPr="00000000">
              <w:rPr>
                <w:rFonts w:ascii="Arial" w:cs="Arial" w:eastAsia="Arial" w:hAnsi="Arial"/>
                <w:b w:val="1"/>
                <w:bCs w:val="1"/>
                <w:color w:val="ffffff"/>
                <w:sz w:val="19"/>
                <w:szCs w:val="19"/>
                <w:rtl w:val="0"/>
              </w:rPr>
              <w:t xml:space="preserve">Autor(es) / Fuente</w:t>
            </w:r>
            <w:r w:rsidDel="00000000" w:rsidR="00000000" w:rsidRPr="00000000">
              <w:rPr>
                <w:rtl w:val="0"/>
              </w:rPr>
            </w:r>
          </w:p>
        </w:tc>
        <w:tc>
          <w:tcPr>
            <w:tcBorders>
              <w:top w:color="1b2040" w:space="0" w:sz="4" w:val="single"/>
              <w:left w:color="000000" w:space="0" w:sz="0" w:val="nil"/>
              <w:bottom w:color="2f5496" w:space="0" w:sz="4" w:val="single"/>
              <w:right w:color="000000" w:space="0" w:sz="0" w:val="nil"/>
            </w:tcBorders>
            <w:shd w:fill="1b2040" w:val="clear"/>
            <w:tcMar>
              <w:top w:w="120.0" w:type="dxa"/>
              <w:left w:w="140.0" w:type="dxa"/>
              <w:bottom w:w="120.0" w:type="dxa"/>
              <w:right w:w="140.0" w:type="dxa"/>
            </w:tcMar>
          </w:tcPr>
          <w:p w:rsidR="00000000" w:rsidDel="00000000" w:rsidP="00000000" w:rsidRDefault="00000000" w:rsidRPr="00000000" w14:paraId="0000002E">
            <w:pPr>
              <w:spacing w:after="0" w:before="0" w:line="276" w:lineRule="auto"/>
              <w:jc w:val="center"/>
              <w:rPr/>
            </w:pPr>
            <w:r w:rsidDel="00000000" w:rsidR="00000000" w:rsidRPr="00000000">
              <w:rPr>
                <w:rFonts w:ascii="Arial" w:cs="Arial" w:eastAsia="Arial" w:hAnsi="Arial"/>
                <w:b w:val="1"/>
                <w:bCs w:val="1"/>
                <w:color w:val="ffffff"/>
                <w:sz w:val="19"/>
                <w:szCs w:val="19"/>
                <w:rtl w:val="0"/>
              </w:rPr>
              <w:t xml:space="preserve">Obra y Año</w:t>
            </w:r>
            <w:r w:rsidDel="00000000" w:rsidR="00000000" w:rsidRPr="00000000">
              <w:rPr>
                <w:rtl w:val="0"/>
              </w:rPr>
            </w:r>
          </w:p>
        </w:tc>
        <w:tc>
          <w:tcPr>
            <w:tcBorders>
              <w:top w:color="1b2040" w:space="0" w:sz="4" w:val="single"/>
              <w:left w:color="000000" w:space="0" w:sz="0" w:val="nil"/>
              <w:bottom w:color="2f5496" w:space="0" w:sz="4" w:val="single"/>
              <w:right w:color="000000" w:space="0" w:sz="0" w:val="nil"/>
            </w:tcBorders>
            <w:shd w:fill="1b2040" w:val="clear"/>
            <w:tcMar>
              <w:top w:w="120.0" w:type="dxa"/>
              <w:left w:w="140.0" w:type="dxa"/>
              <w:bottom w:w="120.0" w:type="dxa"/>
              <w:right w:w="140.0" w:type="dxa"/>
            </w:tcMar>
          </w:tcPr>
          <w:p w:rsidR="00000000" w:rsidDel="00000000" w:rsidP="00000000" w:rsidRDefault="00000000" w:rsidRPr="00000000" w14:paraId="0000002F">
            <w:pPr>
              <w:spacing w:after="0" w:before="0" w:line="276" w:lineRule="auto"/>
              <w:jc w:val="center"/>
              <w:rPr/>
            </w:pPr>
            <w:r w:rsidDel="00000000" w:rsidR="00000000" w:rsidRPr="00000000">
              <w:rPr>
                <w:rFonts w:ascii="Arial" w:cs="Arial" w:eastAsia="Arial" w:hAnsi="Arial"/>
                <w:b w:val="1"/>
                <w:bCs w:val="1"/>
                <w:color w:val="ffffff"/>
                <w:sz w:val="19"/>
                <w:szCs w:val="19"/>
                <w:rtl w:val="0"/>
              </w:rPr>
              <w:t xml:space="preserve">Temática Principal</w:t>
            </w:r>
            <w:r w:rsidDel="00000000" w:rsidR="00000000" w:rsidRPr="00000000">
              <w:rPr>
                <w:rtl w:val="0"/>
              </w:rPr>
            </w:r>
          </w:p>
        </w:tc>
        <w:tc>
          <w:tcPr>
            <w:tcBorders>
              <w:top w:color="1b2040" w:space="0" w:sz="4" w:val="single"/>
              <w:left w:color="000000" w:space="0" w:sz="0" w:val="nil"/>
              <w:bottom w:color="2f5496" w:space="0" w:sz="4" w:val="single"/>
              <w:right w:color="000000" w:space="0" w:sz="0" w:val="nil"/>
            </w:tcBorders>
            <w:shd w:fill="1b2040" w:val="clear"/>
            <w:tcMar>
              <w:top w:w="120.0" w:type="dxa"/>
              <w:left w:w="140.0" w:type="dxa"/>
              <w:bottom w:w="120.0" w:type="dxa"/>
              <w:right w:w="140.0" w:type="dxa"/>
            </w:tcMar>
          </w:tcPr>
          <w:p w:rsidR="00000000" w:rsidDel="00000000" w:rsidP="00000000" w:rsidRDefault="00000000" w:rsidRPr="00000000" w14:paraId="00000030">
            <w:pPr>
              <w:spacing w:after="0" w:before="0" w:line="276" w:lineRule="auto"/>
              <w:jc w:val="center"/>
              <w:rPr/>
            </w:pPr>
            <w:r w:rsidDel="00000000" w:rsidR="00000000" w:rsidRPr="00000000">
              <w:rPr>
                <w:rFonts w:ascii="Arial" w:cs="Arial" w:eastAsia="Arial" w:hAnsi="Arial"/>
                <w:b w:val="1"/>
                <w:bCs w:val="1"/>
                <w:color w:val="ffffff"/>
                <w:sz w:val="19"/>
                <w:szCs w:val="19"/>
                <w:rtl w:val="0"/>
              </w:rPr>
              <w:t xml:space="preserve">Perspectiva</w:t>
            </w:r>
            <w:r w:rsidDel="00000000" w:rsidR="00000000" w:rsidRPr="00000000">
              <w:rPr>
                <w:rtl w:val="0"/>
              </w:rPr>
            </w:r>
          </w:p>
        </w:tc>
        <w:tc>
          <w:tcPr>
            <w:tcBorders>
              <w:top w:color="1b2040" w:space="0" w:sz="4" w:val="single"/>
              <w:left w:color="000000" w:space="0" w:sz="0" w:val="nil"/>
              <w:bottom w:color="2f5496" w:space="0" w:sz="4" w:val="single"/>
              <w:right w:color="000000" w:space="0" w:sz="0" w:val="nil"/>
            </w:tcBorders>
            <w:shd w:fill="1b2040" w:val="clear"/>
            <w:tcMar>
              <w:top w:w="120.0" w:type="dxa"/>
              <w:left w:w="140.0" w:type="dxa"/>
              <w:bottom w:w="120.0" w:type="dxa"/>
              <w:right w:w="140.0" w:type="dxa"/>
            </w:tcMar>
          </w:tcPr>
          <w:p w:rsidR="00000000" w:rsidDel="00000000" w:rsidP="00000000" w:rsidRDefault="00000000" w:rsidRPr="00000000" w14:paraId="00000031">
            <w:pPr>
              <w:spacing w:after="0" w:before="0" w:line="276" w:lineRule="auto"/>
              <w:jc w:val="center"/>
              <w:rPr/>
            </w:pPr>
            <w:r w:rsidDel="00000000" w:rsidR="00000000" w:rsidRPr="00000000">
              <w:rPr>
                <w:rFonts w:ascii="Arial" w:cs="Arial" w:eastAsia="Arial" w:hAnsi="Arial"/>
                <w:b w:val="1"/>
                <w:bCs w:val="1"/>
                <w:color w:val="ffffff"/>
                <w:sz w:val="19"/>
                <w:szCs w:val="19"/>
                <w:rtl w:val="0"/>
              </w:rPr>
              <w:t xml:space="preserve">Relevancia para </w:t>
            </w:r>
            <w:r w:rsidDel="00000000" w:rsidR="00000000" w:rsidRPr="00000000">
              <w:rPr>
                <w:rFonts w:ascii="Arial" w:cs="Arial" w:eastAsia="Arial" w:hAnsi="Arial"/>
                <w:b w:val="1"/>
                <w:bCs w:val="1"/>
                <w:color w:val="ffffff"/>
                <w:sz w:val="19"/>
                <w:szCs w:val="19"/>
                <w:rtl w:val="0"/>
              </w:rPr>
              <w:t xml:space="preserve">BetAware</w:t>
            </w:r>
            <w:r w:rsidDel="00000000" w:rsidR="00000000" w:rsidRPr="00000000">
              <w:rPr>
                <w:rtl w:val="0"/>
              </w:rPr>
            </w:r>
          </w:p>
        </w:tc>
      </w:tr>
      <w:tr>
        <w:trPr>
          <w:cantSplit w:val="0"/>
          <w:tblHeader w:val="0"/>
        </w:trPr>
        <w:tc>
          <w:tcPr>
            <w:tcBorders>
              <w:top w:color="e0e0e0" w:space="0" w:sz="4" w:val="single"/>
              <w:left w:color="000000" w:space="0" w:sz="0" w:val="nil"/>
              <w:bottom w:color="e0e0e0" w:space="0" w:sz="4" w:val="single"/>
              <w:right w:color="000000" w:space="0" w:sz="0" w:val="nil"/>
            </w:tcBorders>
            <w:shd w:fill="ffffff" w:val="clear"/>
            <w:tcMar>
              <w:top w:w="120.0" w:type="dxa"/>
              <w:left w:w="140.0" w:type="dxa"/>
              <w:bottom w:w="120.0" w:type="dxa"/>
              <w:right w:w="140.0" w:type="dxa"/>
            </w:tcMar>
          </w:tcPr>
          <w:p w:rsidR="00000000" w:rsidDel="00000000" w:rsidP="00000000" w:rsidRDefault="00000000" w:rsidRPr="00000000" w14:paraId="00000032">
            <w:pPr>
              <w:spacing w:after="0" w:before="0" w:line="276" w:lineRule="auto"/>
              <w:jc w:val="left"/>
              <w:rPr/>
            </w:pPr>
            <w:r w:rsidDel="00000000" w:rsidR="00000000" w:rsidRPr="00000000">
              <w:rPr>
                <w:rFonts w:ascii="Arial" w:cs="Arial" w:eastAsia="Arial" w:hAnsi="Arial"/>
                <w:b w:val="1"/>
                <w:bCs w:val="1"/>
                <w:color w:val="222222"/>
                <w:sz w:val="17"/>
                <w:szCs w:val="17"/>
                <w:rtl w:val="0"/>
              </w:rPr>
              <w:t xml:space="preserve">UNICEF Argentina &amp; UNESCO</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20.0" w:type="dxa"/>
              <w:left w:w="140.0" w:type="dxa"/>
              <w:bottom w:w="120.0" w:type="dxa"/>
              <w:right w:w="140.0" w:type="dxa"/>
            </w:tcMar>
          </w:tcPr>
          <w:p w:rsidR="00000000" w:rsidDel="00000000" w:rsidP="00000000" w:rsidRDefault="00000000" w:rsidRPr="00000000" w14:paraId="00000033">
            <w:pPr>
              <w:spacing w:after="0" w:before="0" w:line="276" w:lineRule="auto"/>
              <w:jc w:val="left"/>
              <w:rPr/>
            </w:pPr>
            <w:r w:rsidDel="00000000" w:rsidR="00000000" w:rsidRPr="00000000">
              <w:rPr>
                <w:rFonts w:ascii="Arial" w:cs="Arial" w:eastAsia="Arial" w:hAnsi="Arial"/>
                <w:color w:val="222222"/>
                <w:sz w:val="17"/>
                <w:szCs w:val="17"/>
                <w:rtl w:val="0"/>
              </w:rPr>
              <w:t xml:space="preserve">Kids Online Argentina (2025)</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20.0" w:type="dxa"/>
              <w:left w:w="140.0" w:type="dxa"/>
              <w:bottom w:w="120.0" w:type="dxa"/>
              <w:right w:w="140.0" w:type="dxa"/>
            </w:tcMar>
          </w:tcPr>
          <w:p w:rsidR="00000000" w:rsidDel="00000000" w:rsidP="00000000" w:rsidRDefault="00000000" w:rsidRPr="00000000" w14:paraId="00000034">
            <w:pPr>
              <w:spacing w:after="0" w:before="0" w:line="276" w:lineRule="auto"/>
              <w:jc w:val="left"/>
              <w:rPr/>
            </w:pPr>
            <w:r w:rsidDel="00000000" w:rsidR="00000000" w:rsidRPr="00000000">
              <w:rPr>
                <w:rFonts w:ascii="Arial" w:cs="Arial" w:eastAsia="Arial" w:hAnsi="Arial"/>
                <w:color w:val="222222"/>
                <w:sz w:val="17"/>
                <w:szCs w:val="17"/>
                <w:rtl w:val="0"/>
              </w:rPr>
              <w:t xml:space="preserve">24% de adolescentes de 12 a 17 años había apostado online alguna vez (p. 55).</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20.0" w:type="dxa"/>
              <w:left w:w="140.0" w:type="dxa"/>
              <w:bottom w:w="120.0" w:type="dxa"/>
              <w:right w:w="140.0" w:type="dxa"/>
            </w:tcMar>
          </w:tcPr>
          <w:p w:rsidR="00000000" w:rsidDel="00000000" w:rsidP="00000000" w:rsidRDefault="00000000" w:rsidRPr="00000000" w14:paraId="00000035">
            <w:pPr>
              <w:spacing w:after="0" w:before="0" w:line="276" w:lineRule="auto"/>
              <w:jc w:val="left"/>
              <w:rPr/>
            </w:pPr>
            <w:r w:rsidDel="00000000" w:rsidR="00000000" w:rsidRPr="00000000">
              <w:rPr>
                <w:rFonts w:ascii="Arial" w:cs="Arial" w:eastAsia="Arial" w:hAnsi="Arial"/>
                <w:color w:val="222222"/>
                <w:sz w:val="17"/>
                <w:szCs w:val="17"/>
                <w:rtl w:val="0"/>
              </w:rPr>
              <w:t xml:space="preserve">Diagnóstico de prácticas digitales</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20.0" w:type="dxa"/>
              <w:left w:w="140.0" w:type="dxa"/>
              <w:bottom w:w="120.0" w:type="dxa"/>
              <w:right w:w="140.0" w:type="dxa"/>
            </w:tcMar>
          </w:tcPr>
          <w:p w:rsidR="00000000" w:rsidDel="00000000" w:rsidP="00000000" w:rsidRDefault="00000000" w:rsidRPr="00000000" w14:paraId="00000036">
            <w:pPr>
              <w:spacing w:after="0" w:before="0" w:line="276" w:lineRule="auto"/>
              <w:jc w:val="left"/>
              <w:rPr/>
            </w:pPr>
            <w:r w:rsidDel="00000000" w:rsidR="00000000" w:rsidRPr="00000000">
              <w:rPr>
                <w:rFonts w:ascii="Arial" w:cs="Arial" w:eastAsia="Arial" w:hAnsi="Arial"/>
                <w:color w:val="222222"/>
                <w:sz w:val="17"/>
                <w:szCs w:val="17"/>
                <w:rtl w:val="0"/>
              </w:rPr>
              <w:t xml:space="preserve">Contextualiza la propuesta; no mide la efectividad de BetAware.</w:t>
            </w:r>
            <w:r w:rsidDel="00000000" w:rsidR="00000000" w:rsidRPr="00000000">
              <w:rPr>
                <w:rtl w:val="0"/>
              </w:rPr>
            </w:r>
          </w:p>
        </w:tc>
      </w:tr>
      <w:tr>
        <w:trPr>
          <w:cantSplit w:val="0"/>
          <w:tblHeader w:val="0"/>
        </w:trPr>
        <w:tc>
          <w:tcPr>
            <w:tcBorders>
              <w:top w:color="e0e0e0" w:space="0" w:sz="4" w:val="single"/>
              <w:left w:color="000000" w:space="0" w:sz="0" w:val="nil"/>
              <w:bottom w:color="e0e0e0" w:space="0" w:sz="4" w:val="single"/>
              <w:right w:color="000000" w:space="0" w:sz="0" w:val="nil"/>
            </w:tcBorders>
            <w:shd w:fill="f9fbfd" w:val="clear"/>
            <w:tcMar>
              <w:top w:w="120.0" w:type="dxa"/>
              <w:left w:w="140.0" w:type="dxa"/>
              <w:bottom w:w="120.0" w:type="dxa"/>
              <w:right w:w="140.0" w:type="dxa"/>
            </w:tcMar>
          </w:tcPr>
          <w:p w:rsidR="00000000" w:rsidDel="00000000" w:rsidP="00000000" w:rsidRDefault="00000000" w:rsidRPr="00000000" w14:paraId="00000037">
            <w:pPr>
              <w:spacing w:after="0" w:before="0" w:line="276" w:lineRule="auto"/>
              <w:jc w:val="left"/>
              <w:rPr/>
            </w:pPr>
            <w:r w:rsidDel="00000000" w:rsidR="00000000" w:rsidRPr="00000000">
              <w:rPr>
                <w:rFonts w:ascii="Arial" w:cs="Arial" w:eastAsia="Arial" w:hAnsi="Arial"/>
                <w:b w:val="1"/>
                <w:bCs w:val="1"/>
                <w:color w:val="222222"/>
                <w:sz w:val="17"/>
                <w:szCs w:val="17"/>
                <w:rtl w:val="0"/>
              </w:rPr>
              <w:t xml:space="preserve">Cruz Roja Argentina, Observatorio Humanitario</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bfd" w:val="clear"/>
            <w:tcMar>
              <w:top w:w="120.0" w:type="dxa"/>
              <w:left w:w="140.0" w:type="dxa"/>
              <w:bottom w:w="120.0" w:type="dxa"/>
              <w:right w:w="140.0" w:type="dxa"/>
            </w:tcMar>
          </w:tcPr>
          <w:p w:rsidR="00000000" w:rsidDel="00000000" w:rsidP="00000000" w:rsidRDefault="00000000" w:rsidRPr="00000000" w14:paraId="00000038">
            <w:pPr>
              <w:spacing w:after="0" w:before="0" w:line="276" w:lineRule="auto"/>
              <w:jc w:val="left"/>
              <w:rPr/>
            </w:pPr>
            <w:r w:rsidDel="00000000" w:rsidR="00000000" w:rsidRPr="00000000">
              <w:rPr>
                <w:rFonts w:ascii="Arial" w:cs="Arial" w:eastAsia="Arial" w:hAnsi="Arial"/>
                <w:color w:val="222222"/>
                <w:sz w:val="17"/>
                <w:szCs w:val="17"/>
                <w:rtl w:val="0"/>
              </w:rPr>
              <w:t xml:space="preserve">Apuestas online y adolescencia (2025)</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bfd" w:val="clear"/>
            <w:tcMar>
              <w:top w:w="120.0" w:type="dxa"/>
              <w:left w:w="140.0" w:type="dxa"/>
              <w:bottom w:w="120.0" w:type="dxa"/>
              <w:right w:w="140.0" w:type="dxa"/>
            </w:tcMar>
          </w:tcPr>
          <w:p w:rsidR="00000000" w:rsidDel="00000000" w:rsidP="00000000" w:rsidRDefault="00000000" w:rsidRPr="00000000" w14:paraId="00000039">
            <w:pPr>
              <w:spacing w:after="0" w:before="0" w:line="276" w:lineRule="auto"/>
              <w:jc w:val="left"/>
              <w:rPr/>
            </w:pPr>
            <w:r w:rsidDel="00000000" w:rsidR="00000000" w:rsidRPr="00000000">
              <w:rPr>
                <w:rFonts w:ascii="Arial" w:cs="Arial" w:eastAsia="Arial" w:hAnsi="Arial"/>
                <w:color w:val="222222"/>
                <w:sz w:val="17"/>
                <w:szCs w:val="17"/>
                <w:rtl w:val="0"/>
              </w:rPr>
              <w:t xml:space="preserve">11.421 estudiantes de 13 a 18 años; 16% con participación directa y 45% con exposición indirecta.</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bfd" w:val="clear"/>
            <w:tcMar>
              <w:top w:w="120.0" w:type="dxa"/>
              <w:left w:w="140.0" w:type="dxa"/>
              <w:bottom w:w="120.0" w:type="dxa"/>
              <w:right w:w="140.0" w:type="dxa"/>
            </w:tcMar>
          </w:tcPr>
          <w:p w:rsidR="00000000" w:rsidDel="00000000" w:rsidP="00000000" w:rsidRDefault="00000000" w:rsidRPr="00000000" w14:paraId="0000003A">
            <w:pPr>
              <w:spacing w:after="0" w:before="0" w:line="276" w:lineRule="auto"/>
              <w:jc w:val="left"/>
              <w:rPr/>
            </w:pPr>
            <w:r w:rsidDel="00000000" w:rsidR="00000000" w:rsidRPr="00000000">
              <w:rPr>
                <w:rFonts w:ascii="Arial" w:cs="Arial" w:eastAsia="Arial" w:hAnsi="Arial"/>
                <w:color w:val="222222"/>
                <w:sz w:val="17"/>
                <w:szCs w:val="17"/>
                <w:rtl w:val="0"/>
              </w:rPr>
              <w:t xml:space="preserve">Encuesta escolar no probabilística</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bfd" w:val="clear"/>
            <w:tcMar>
              <w:top w:w="120.0" w:type="dxa"/>
              <w:left w:w="140.0" w:type="dxa"/>
              <w:bottom w:w="120.0" w:type="dxa"/>
              <w:right w:w="140.0" w:type="dxa"/>
            </w:tcMar>
          </w:tcPr>
          <w:p w:rsidR="00000000" w:rsidDel="00000000" w:rsidP="00000000" w:rsidRDefault="00000000" w:rsidRPr="00000000" w14:paraId="0000003B">
            <w:pPr>
              <w:spacing w:after="0" w:before="0" w:line="276" w:lineRule="auto"/>
              <w:jc w:val="left"/>
              <w:rPr/>
            </w:pPr>
            <w:r w:rsidDel="00000000" w:rsidR="00000000" w:rsidRPr="00000000">
              <w:rPr>
                <w:rFonts w:ascii="Arial" w:cs="Arial" w:eastAsia="Arial" w:hAnsi="Arial"/>
                <w:color w:val="222222"/>
                <w:sz w:val="17"/>
                <w:szCs w:val="17"/>
                <w:rtl w:val="0"/>
              </w:rPr>
              <w:t xml:space="preserve">Permite distinguir exposición y participación; requiere cautela al generalizar.</w:t>
            </w:r>
            <w:r w:rsidDel="00000000" w:rsidR="00000000" w:rsidRPr="00000000">
              <w:rPr>
                <w:rtl w:val="0"/>
              </w:rPr>
            </w:r>
          </w:p>
        </w:tc>
      </w:tr>
      <w:tr>
        <w:trPr>
          <w:cantSplit w:val="0"/>
          <w:tblHeader w:val="0"/>
        </w:trPr>
        <w:tc>
          <w:tcPr>
            <w:tcBorders>
              <w:top w:color="e0e0e0" w:space="0" w:sz="4" w:val="single"/>
              <w:left w:color="000000" w:space="0" w:sz="0" w:val="nil"/>
              <w:bottom w:color="e0e0e0" w:space="0" w:sz="4" w:val="single"/>
              <w:right w:color="000000" w:space="0" w:sz="0" w:val="nil"/>
            </w:tcBorders>
            <w:shd w:fill="ffffff" w:val="clear"/>
            <w:tcMar>
              <w:top w:w="120.0" w:type="dxa"/>
              <w:left w:w="140.0" w:type="dxa"/>
              <w:bottom w:w="120.0" w:type="dxa"/>
              <w:right w:w="140.0" w:type="dxa"/>
            </w:tcMar>
          </w:tcPr>
          <w:p w:rsidR="00000000" w:rsidDel="00000000" w:rsidP="00000000" w:rsidRDefault="00000000" w:rsidRPr="00000000" w14:paraId="0000003C">
            <w:pPr>
              <w:spacing w:after="0" w:before="0" w:line="276" w:lineRule="auto"/>
              <w:jc w:val="left"/>
              <w:rPr/>
            </w:pPr>
            <w:r w:rsidDel="00000000" w:rsidR="00000000" w:rsidRPr="00000000">
              <w:rPr>
                <w:rFonts w:ascii="Arial" w:cs="Arial" w:eastAsia="Arial" w:hAnsi="Arial"/>
                <w:b w:val="1"/>
                <w:bCs w:val="1"/>
                <w:color w:val="222222"/>
                <w:sz w:val="17"/>
                <w:szCs w:val="17"/>
                <w:rtl w:val="0"/>
              </w:rPr>
              <w:t xml:space="preserve">Clark</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20.0" w:type="dxa"/>
              <w:left w:w="140.0" w:type="dxa"/>
              <w:bottom w:w="120.0" w:type="dxa"/>
              <w:right w:w="140.0" w:type="dxa"/>
            </w:tcMar>
          </w:tcPr>
          <w:p w:rsidR="00000000" w:rsidDel="00000000" w:rsidP="00000000" w:rsidRDefault="00000000" w:rsidRPr="00000000" w14:paraId="0000003D">
            <w:pPr>
              <w:spacing w:after="0" w:before="0" w:line="276" w:lineRule="auto"/>
              <w:jc w:val="left"/>
              <w:rPr/>
            </w:pPr>
            <w:r w:rsidDel="00000000" w:rsidR="00000000" w:rsidRPr="00000000">
              <w:rPr>
                <w:rFonts w:ascii="Arial" w:cs="Arial" w:eastAsia="Arial" w:hAnsi="Arial"/>
                <w:color w:val="222222"/>
                <w:sz w:val="17"/>
                <w:szCs w:val="17"/>
                <w:rtl w:val="0"/>
              </w:rPr>
              <w:t xml:space="preserve">Decision-making during gambling (2010)</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20.0" w:type="dxa"/>
              <w:left w:w="140.0" w:type="dxa"/>
              <w:bottom w:w="120.0" w:type="dxa"/>
              <w:right w:w="140.0" w:type="dxa"/>
            </w:tcMar>
          </w:tcPr>
          <w:p w:rsidR="00000000" w:rsidDel="00000000" w:rsidP="00000000" w:rsidRDefault="00000000" w:rsidRPr="00000000" w14:paraId="0000003E">
            <w:pPr>
              <w:spacing w:after="0" w:before="0" w:line="276" w:lineRule="auto"/>
              <w:jc w:val="left"/>
              <w:rPr/>
            </w:pPr>
            <w:r w:rsidDel="00000000" w:rsidR="00000000" w:rsidRPr="00000000">
              <w:rPr>
                <w:rFonts w:ascii="Arial" w:cs="Arial" w:eastAsia="Arial" w:hAnsi="Arial"/>
                <w:color w:val="222222"/>
                <w:sz w:val="17"/>
                <w:szCs w:val="17"/>
                <w:rtl w:val="0"/>
              </w:rPr>
              <w:t xml:space="preserve">Revisión de distorsiones cognitivas y de la relación entre recompensa y decisiones de apuesta.</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20.0" w:type="dxa"/>
              <w:left w:w="140.0" w:type="dxa"/>
              <w:bottom w:w="120.0" w:type="dxa"/>
              <w:right w:w="140.0" w:type="dxa"/>
            </w:tcMar>
          </w:tcPr>
          <w:p w:rsidR="00000000" w:rsidDel="00000000" w:rsidP="00000000" w:rsidRDefault="00000000" w:rsidRPr="00000000" w14:paraId="0000003F">
            <w:pPr>
              <w:spacing w:after="0" w:before="0" w:line="276" w:lineRule="auto"/>
              <w:jc w:val="left"/>
              <w:rPr/>
            </w:pPr>
            <w:r w:rsidDel="00000000" w:rsidR="00000000" w:rsidRPr="00000000">
              <w:rPr>
                <w:rFonts w:ascii="Arial" w:cs="Arial" w:eastAsia="Arial" w:hAnsi="Arial"/>
                <w:color w:val="222222"/>
                <w:sz w:val="17"/>
                <w:szCs w:val="17"/>
                <w:rtl w:val="0"/>
              </w:rPr>
              <w:t xml:space="preserve">Psicología del juego</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20.0" w:type="dxa"/>
              <w:left w:w="140.0" w:type="dxa"/>
              <w:bottom w:w="120.0" w:type="dxa"/>
              <w:right w:w="140.0" w:type="dxa"/>
            </w:tcMar>
          </w:tcPr>
          <w:p w:rsidR="00000000" w:rsidDel="00000000" w:rsidP="00000000" w:rsidRDefault="00000000" w:rsidRPr="00000000" w14:paraId="00000040">
            <w:pPr>
              <w:spacing w:after="0" w:before="0" w:line="276" w:lineRule="auto"/>
              <w:jc w:val="left"/>
              <w:rPr/>
            </w:pPr>
            <w:r w:rsidDel="00000000" w:rsidR="00000000" w:rsidRPr="00000000">
              <w:rPr>
                <w:rFonts w:ascii="Arial" w:cs="Arial" w:eastAsia="Arial" w:hAnsi="Arial"/>
                <w:color w:val="222222"/>
                <w:sz w:val="17"/>
                <w:szCs w:val="17"/>
                <w:rtl w:val="0"/>
              </w:rPr>
              <w:t xml:space="preserve">Fundamenta el análisis de la falacia del apostador y la persecución de pérdidas.</w:t>
            </w:r>
            <w:r w:rsidDel="00000000" w:rsidR="00000000" w:rsidRPr="00000000">
              <w:rPr>
                <w:rtl w:val="0"/>
              </w:rPr>
            </w:r>
          </w:p>
        </w:tc>
      </w:tr>
      <w:tr>
        <w:trPr>
          <w:cantSplit w:val="0"/>
          <w:tblHeader w:val="0"/>
        </w:trPr>
        <w:tc>
          <w:tcPr>
            <w:tcBorders>
              <w:top w:color="e0e0e0" w:space="0" w:sz="4" w:val="single"/>
              <w:left w:color="000000" w:space="0" w:sz="0" w:val="nil"/>
              <w:bottom w:color="e0e0e0" w:space="0" w:sz="4" w:val="single"/>
              <w:right w:color="000000" w:space="0" w:sz="0" w:val="nil"/>
            </w:tcBorders>
            <w:shd w:fill="f9fbfd" w:val="clear"/>
            <w:tcMar>
              <w:top w:w="120.0" w:type="dxa"/>
              <w:left w:w="140.0" w:type="dxa"/>
              <w:bottom w:w="120.0" w:type="dxa"/>
              <w:right w:w="140.0" w:type="dxa"/>
            </w:tcMar>
          </w:tcPr>
          <w:p w:rsidR="00000000" w:rsidDel="00000000" w:rsidP="00000000" w:rsidRDefault="00000000" w:rsidRPr="00000000" w14:paraId="00000041">
            <w:pPr>
              <w:spacing w:after="0" w:before="0" w:line="276" w:lineRule="auto"/>
              <w:jc w:val="left"/>
              <w:rPr/>
            </w:pPr>
            <w:r w:rsidDel="00000000" w:rsidR="00000000" w:rsidRPr="00000000">
              <w:rPr>
                <w:rFonts w:ascii="Arial" w:cs="Arial" w:eastAsia="Arial" w:hAnsi="Arial"/>
                <w:b w:val="1"/>
                <w:bCs w:val="1"/>
                <w:color w:val="222222"/>
                <w:sz w:val="17"/>
                <w:szCs w:val="17"/>
                <w:rtl w:val="0"/>
              </w:rPr>
              <w:t xml:space="preserve">Langer</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bfd" w:val="clear"/>
            <w:tcMar>
              <w:top w:w="120.0" w:type="dxa"/>
              <w:left w:w="140.0" w:type="dxa"/>
              <w:bottom w:w="120.0" w:type="dxa"/>
              <w:right w:w="140.0" w:type="dxa"/>
            </w:tcMar>
          </w:tcPr>
          <w:p w:rsidR="00000000" w:rsidDel="00000000" w:rsidP="00000000" w:rsidRDefault="00000000" w:rsidRPr="00000000" w14:paraId="00000042">
            <w:pPr>
              <w:spacing w:after="0" w:before="0" w:line="276" w:lineRule="auto"/>
              <w:jc w:val="left"/>
              <w:rPr/>
            </w:pPr>
            <w:r w:rsidDel="00000000" w:rsidR="00000000" w:rsidRPr="00000000">
              <w:rPr>
                <w:rFonts w:ascii="Arial" w:cs="Arial" w:eastAsia="Arial" w:hAnsi="Arial"/>
                <w:color w:val="222222"/>
                <w:sz w:val="17"/>
                <w:szCs w:val="17"/>
                <w:rtl w:val="0"/>
              </w:rPr>
              <w:t xml:space="preserve">The illusion of control (1975)</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bfd" w:val="clear"/>
            <w:tcMar>
              <w:top w:w="120.0" w:type="dxa"/>
              <w:left w:w="140.0" w:type="dxa"/>
              <w:bottom w:w="120.0" w:type="dxa"/>
              <w:right w:w="140.0" w:type="dxa"/>
            </w:tcMar>
          </w:tcPr>
          <w:p w:rsidR="00000000" w:rsidDel="00000000" w:rsidP="00000000" w:rsidRDefault="00000000" w:rsidRPr="00000000" w14:paraId="00000043">
            <w:pPr>
              <w:spacing w:after="0" w:before="0" w:line="276" w:lineRule="auto"/>
              <w:jc w:val="left"/>
              <w:rPr/>
            </w:pPr>
            <w:r w:rsidDel="00000000" w:rsidR="00000000" w:rsidRPr="00000000">
              <w:rPr>
                <w:rFonts w:ascii="Arial" w:cs="Arial" w:eastAsia="Arial" w:hAnsi="Arial"/>
                <w:color w:val="222222"/>
                <w:sz w:val="17"/>
                <w:szCs w:val="17"/>
                <w:rtl w:val="0"/>
              </w:rPr>
              <w:t xml:space="preserve">La presencia de señales de habilidad puede aumentar la confianza en situaciones de azar.</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bfd" w:val="clear"/>
            <w:tcMar>
              <w:top w:w="120.0" w:type="dxa"/>
              <w:left w:w="140.0" w:type="dxa"/>
              <w:bottom w:w="120.0" w:type="dxa"/>
              <w:right w:w="140.0" w:type="dxa"/>
            </w:tcMar>
          </w:tcPr>
          <w:p w:rsidR="00000000" w:rsidDel="00000000" w:rsidP="00000000" w:rsidRDefault="00000000" w:rsidRPr="00000000" w14:paraId="00000044">
            <w:pPr>
              <w:spacing w:after="0" w:before="0" w:line="276" w:lineRule="auto"/>
              <w:jc w:val="left"/>
              <w:rPr/>
            </w:pPr>
            <w:r w:rsidDel="00000000" w:rsidR="00000000" w:rsidRPr="00000000">
              <w:rPr>
                <w:rFonts w:ascii="Arial" w:cs="Arial" w:eastAsia="Arial" w:hAnsi="Arial"/>
                <w:color w:val="222222"/>
                <w:sz w:val="17"/>
                <w:szCs w:val="17"/>
                <w:rtl w:val="0"/>
              </w:rPr>
              <w:t xml:space="preserve">Psicología experimental</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bfd" w:val="clear"/>
            <w:tcMar>
              <w:top w:w="120.0" w:type="dxa"/>
              <w:left w:w="140.0" w:type="dxa"/>
              <w:bottom w:w="120.0" w:type="dxa"/>
              <w:right w:w="140.0" w:type="dxa"/>
            </w:tcMar>
          </w:tcPr>
          <w:p w:rsidR="00000000" w:rsidDel="00000000" w:rsidP="00000000" w:rsidRDefault="00000000" w:rsidRPr="00000000" w14:paraId="00000045">
            <w:pPr>
              <w:spacing w:after="0" w:before="0" w:line="276" w:lineRule="auto"/>
              <w:jc w:val="left"/>
              <w:rPr/>
            </w:pPr>
            <w:r w:rsidDel="00000000" w:rsidR="00000000" w:rsidRPr="00000000">
              <w:rPr>
                <w:rFonts w:ascii="Arial" w:cs="Arial" w:eastAsia="Arial" w:hAnsi="Arial"/>
                <w:color w:val="222222"/>
                <w:sz w:val="17"/>
                <w:szCs w:val="17"/>
                <w:rtl w:val="0"/>
              </w:rPr>
              <w:t xml:space="preserve">Permite distinguir administrar el presupuesto de controlar el resultado aleatorio.</w:t>
            </w:r>
            <w:r w:rsidDel="00000000" w:rsidR="00000000" w:rsidRPr="00000000">
              <w:rPr>
                <w:rtl w:val="0"/>
              </w:rPr>
            </w:r>
          </w:p>
        </w:tc>
      </w:tr>
      <w:tr>
        <w:trPr>
          <w:cantSplit w:val="0"/>
          <w:tblHeader w:val="0"/>
        </w:trPr>
        <w:tc>
          <w:tcPr>
            <w:tcBorders>
              <w:top w:color="e0e0e0" w:space="0" w:sz="4" w:val="single"/>
              <w:left w:color="000000" w:space="0" w:sz="0" w:val="nil"/>
              <w:bottom w:color="e0e0e0" w:space="0" w:sz="4" w:val="single"/>
              <w:right w:color="000000" w:space="0" w:sz="0" w:val="nil"/>
            </w:tcBorders>
            <w:shd w:fill="ffffff" w:val="clear"/>
            <w:tcMar>
              <w:top w:w="120.0" w:type="dxa"/>
              <w:left w:w="140.0" w:type="dxa"/>
              <w:bottom w:w="120.0" w:type="dxa"/>
              <w:right w:w="140.0" w:type="dxa"/>
            </w:tcMar>
          </w:tcPr>
          <w:p w:rsidR="00000000" w:rsidDel="00000000" w:rsidP="00000000" w:rsidRDefault="00000000" w:rsidRPr="00000000" w14:paraId="00000046">
            <w:pPr>
              <w:spacing w:after="0" w:before="0" w:line="276" w:lineRule="auto"/>
              <w:jc w:val="left"/>
              <w:rPr/>
            </w:pPr>
            <w:r w:rsidDel="00000000" w:rsidR="00000000" w:rsidRPr="00000000">
              <w:rPr>
                <w:rFonts w:ascii="Arial" w:cs="Arial" w:eastAsia="Arial" w:hAnsi="Arial"/>
                <w:b w:val="1"/>
                <w:bCs w:val="1"/>
                <w:color w:val="222222"/>
                <w:sz w:val="17"/>
                <w:szCs w:val="17"/>
                <w:rtl w:val="0"/>
              </w:rPr>
              <w:t xml:space="preserve">Ferster &amp; Skinner</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20.0" w:type="dxa"/>
              <w:left w:w="140.0" w:type="dxa"/>
              <w:bottom w:w="120.0" w:type="dxa"/>
              <w:right w:w="140.0" w:type="dxa"/>
            </w:tcMar>
          </w:tcPr>
          <w:p w:rsidR="00000000" w:rsidDel="00000000" w:rsidP="00000000" w:rsidRDefault="00000000" w:rsidRPr="00000000" w14:paraId="00000047">
            <w:pPr>
              <w:spacing w:after="0" w:before="0" w:line="276" w:lineRule="auto"/>
              <w:jc w:val="left"/>
              <w:rPr/>
            </w:pPr>
            <w:r w:rsidDel="00000000" w:rsidR="00000000" w:rsidRPr="00000000">
              <w:rPr>
                <w:rFonts w:ascii="Arial" w:cs="Arial" w:eastAsia="Arial" w:hAnsi="Arial"/>
                <w:color w:val="222222"/>
                <w:sz w:val="17"/>
                <w:szCs w:val="17"/>
                <w:rtl w:val="0"/>
              </w:rPr>
              <w:t xml:space="preserve">Schedules of reinforcement (1957)</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20.0" w:type="dxa"/>
              <w:left w:w="140.0" w:type="dxa"/>
              <w:bottom w:w="120.0" w:type="dxa"/>
              <w:right w:w="140.0" w:type="dxa"/>
            </w:tcMar>
          </w:tcPr>
          <w:p w:rsidR="00000000" w:rsidDel="00000000" w:rsidP="00000000" w:rsidRDefault="00000000" w:rsidRPr="00000000" w14:paraId="00000048">
            <w:pPr>
              <w:spacing w:after="0" w:before="0" w:line="276" w:lineRule="auto"/>
              <w:jc w:val="left"/>
              <w:rPr/>
            </w:pPr>
            <w:r w:rsidDel="00000000" w:rsidR="00000000" w:rsidRPr="00000000">
              <w:rPr>
                <w:rFonts w:ascii="Arial" w:cs="Arial" w:eastAsia="Arial" w:hAnsi="Arial"/>
                <w:color w:val="222222"/>
                <w:sz w:val="17"/>
                <w:szCs w:val="17"/>
                <w:rtl w:val="0"/>
              </w:rPr>
              <w:t xml:space="preserve">Análisis experimental de programas de refuerzo y sus efectos sobre la conducta.</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20.0" w:type="dxa"/>
              <w:left w:w="140.0" w:type="dxa"/>
              <w:bottom w:w="120.0" w:type="dxa"/>
              <w:right w:w="140.0" w:type="dxa"/>
            </w:tcMar>
          </w:tcPr>
          <w:p w:rsidR="00000000" w:rsidDel="00000000" w:rsidP="00000000" w:rsidRDefault="00000000" w:rsidRPr="00000000" w14:paraId="00000049">
            <w:pPr>
              <w:spacing w:after="0" w:before="0" w:line="276" w:lineRule="auto"/>
              <w:jc w:val="left"/>
              <w:rPr/>
            </w:pPr>
            <w:r w:rsidDel="00000000" w:rsidR="00000000" w:rsidRPr="00000000">
              <w:rPr>
                <w:rFonts w:ascii="Arial" w:cs="Arial" w:eastAsia="Arial" w:hAnsi="Arial"/>
                <w:color w:val="222222"/>
                <w:sz w:val="17"/>
                <w:szCs w:val="17"/>
                <w:rtl w:val="0"/>
              </w:rPr>
              <w:t xml:space="preserve">Aprendizaje y condicionamiento operante</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20.0" w:type="dxa"/>
              <w:left w:w="140.0" w:type="dxa"/>
              <w:bottom w:w="120.0" w:type="dxa"/>
              <w:right w:w="140.0" w:type="dxa"/>
            </w:tcMar>
          </w:tcPr>
          <w:p w:rsidR="00000000" w:rsidDel="00000000" w:rsidP="00000000" w:rsidRDefault="00000000" w:rsidRPr="00000000" w14:paraId="0000004A">
            <w:pPr>
              <w:spacing w:after="0" w:before="0" w:line="276" w:lineRule="auto"/>
              <w:jc w:val="left"/>
              <w:rPr/>
            </w:pPr>
            <w:r w:rsidDel="00000000" w:rsidR="00000000" w:rsidRPr="00000000">
              <w:rPr>
                <w:rFonts w:ascii="Arial" w:cs="Arial" w:eastAsia="Arial" w:hAnsi="Arial"/>
                <w:color w:val="222222"/>
                <w:sz w:val="17"/>
                <w:szCs w:val="17"/>
                <w:rtl w:val="0"/>
              </w:rPr>
              <w:t xml:space="preserve">Fundamenta la representación de recompensas ocasionales; no equivale a modelar una adicción.</w:t>
            </w:r>
            <w:r w:rsidDel="00000000" w:rsidR="00000000" w:rsidRPr="00000000">
              <w:rPr>
                <w:rtl w:val="0"/>
              </w:rPr>
            </w:r>
          </w:p>
        </w:tc>
      </w:tr>
      <w:tr>
        <w:trPr>
          <w:cantSplit w:val="0"/>
          <w:tblHeader w:val="0"/>
        </w:trPr>
        <w:tc>
          <w:tcPr>
            <w:tcBorders>
              <w:top w:color="e0e0e0" w:space="0" w:sz="4" w:val="single"/>
              <w:left w:color="000000" w:space="0" w:sz="0" w:val="nil"/>
              <w:bottom w:color="e0e0e0" w:space="0" w:sz="4" w:val="single"/>
              <w:right w:color="000000" w:space="0" w:sz="0" w:val="nil"/>
            </w:tcBorders>
            <w:shd w:fill="f9fbfd" w:val="clear"/>
            <w:tcMar>
              <w:top w:w="120.0" w:type="dxa"/>
              <w:left w:w="140.0" w:type="dxa"/>
              <w:bottom w:w="120.0" w:type="dxa"/>
              <w:right w:w="140.0" w:type="dxa"/>
            </w:tcMar>
          </w:tcPr>
          <w:p w:rsidR="00000000" w:rsidDel="00000000" w:rsidP="00000000" w:rsidRDefault="00000000" w:rsidRPr="00000000" w14:paraId="0000004B">
            <w:pPr>
              <w:spacing w:after="0" w:before="0" w:line="276" w:lineRule="auto"/>
              <w:jc w:val="left"/>
              <w:rPr/>
            </w:pPr>
            <w:r w:rsidDel="00000000" w:rsidR="00000000" w:rsidRPr="00000000">
              <w:rPr>
                <w:rFonts w:ascii="Arial" w:cs="Arial" w:eastAsia="Arial" w:hAnsi="Arial"/>
                <w:b w:val="1"/>
                <w:bCs w:val="1"/>
                <w:color w:val="222222"/>
                <w:sz w:val="17"/>
                <w:szCs w:val="17"/>
                <w:rtl w:val="0"/>
              </w:rPr>
              <w:t xml:space="preserve">Nickerson</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bfd" w:val="clear"/>
            <w:tcMar>
              <w:top w:w="120.0" w:type="dxa"/>
              <w:left w:w="140.0" w:type="dxa"/>
              <w:bottom w:w="120.0" w:type="dxa"/>
              <w:right w:w="140.0" w:type="dxa"/>
            </w:tcMar>
          </w:tcPr>
          <w:p w:rsidR="00000000" w:rsidDel="00000000" w:rsidP="00000000" w:rsidRDefault="00000000" w:rsidRPr="00000000" w14:paraId="0000004C">
            <w:pPr>
              <w:spacing w:after="0" w:before="0" w:line="276" w:lineRule="auto"/>
              <w:jc w:val="left"/>
              <w:rPr/>
            </w:pPr>
            <w:r w:rsidDel="00000000" w:rsidR="00000000" w:rsidRPr="00000000">
              <w:rPr>
                <w:rFonts w:ascii="Arial" w:cs="Arial" w:eastAsia="Arial" w:hAnsi="Arial"/>
                <w:color w:val="222222"/>
                <w:sz w:val="17"/>
                <w:szCs w:val="17"/>
                <w:rtl w:val="0"/>
              </w:rPr>
              <w:t xml:space="preserve">Confirmation bias (1998)</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bfd" w:val="clear"/>
            <w:tcMar>
              <w:top w:w="120.0" w:type="dxa"/>
              <w:left w:w="140.0" w:type="dxa"/>
              <w:bottom w:w="120.0" w:type="dxa"/>
              <w:right w:w="140.0" w:type="dxa"/>
            </w:tcMar>
          </w:tcPr>
          <w:p w:rsidR="00000000" w:rsidDel="00000000" w:rsidP="00000000" w:rsidRDefault="00000000" w:rsidRPr="00000000" w14:paraId="0000004D">
            <w:pPr>
              <w:spacing w:after="0" w:before="0" w:line="276" w:lineRule="auto"/>
              <w:jc w:val="left"/>
              <w:rPr/>
            </w:pPr>
            <w:r w:rsidDel="00000000" w:rsidR="00000000" w:rsidRPr="00000000">
              <w:rPr>
                <w:rFonts w:ascii="Arial" w:cs="Arial" w:eastAsia="Arial" w:hAnsi="Arial"/>
                <w:color w:val="222222"/>
                <w:sz w:val="17"/>
                <w:szCs w:val="17"/>
                <w:rtl w:val="0"/>
              </w:rPr>
              <w:t xml:space="preserve">Revisión de la búsqueda e interpretación de información favorable a creencias previas.</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bfd" w:val="clear"/>
            <w:tcMar>
              <w:top w:w="120.0" w:type="dxa"/>
              <w:left w:w="140.0" w:type="dxa"/>
              <w:bottom w:w="120.0" w:type="dxa"/>
              <w:right w:w="140.0" w:type="dxa"/>
            </w:tcMar>
          </w:tcPr>
          <w:p w:rsidR="00000000" w:rsidDel="00000000" w:rsidP="00000000" w:rsidRDefault="00000000" w:rsidRPr="00000000" w14:paraId="0000004E">
            <w:pPr>
              <w:spacing w:after="0" w:before="0" w:line="276" w:lineRule="auto"/>
              <w:jc w:val="left"/>
              <w:rPr/>
            </w:pPr>
            <w:r w:rsidDel="00000000" w:rsidR="00000000" w:rsidRPr="00000000">
              <w:rPr>
                <w:rFonts w:ascii="Arial" w:cs="Arial" w:eastAsia="Arial" w:hAnsi="Arial"/>
                <w:color w:val="222222"/>
                <w:sz w:val="17"/>
                <w:szCs w:val="17"/>
                <w:rtl w:val="0"/>
              </w:rPr>
              <w:t xml:space="preserve">Psicología cognitiva</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bfd" w:val="clear"/>
            <w:tcMar>
              <w:top w:w="120.0" w:type="dxa"/>
              <w:left w:w="140.0" w:type="dxa"/>
              <w:bottom w:w="120.0" w:type="dxa"/>
              <w:right w:w="140.0" w:type="dxa"/>
            </w:tcMar>
          </w:tcPr>
          <w:p w:rsidR="00000000" w:rsidDel="00000000" w:rsidP="00000000" w:rsidRDefault="00000000" w:rsidRPr="00000000" w14:paraId="0000004F">
            <w:pPr>
              <w:spacing w:after="0" w:before="0" w:line="276" w:lineRule="auto"/>
              <w:jc w:val="left"/>
              <w:rPr/>
            </w:pPr>
            <w:r w:rsidDel="00000000" w:rsidR="00000000" w:rsidRPr="00000000">
              <w:rPr>
                <w:rFonts w:ascii="Arial" w:cs="Arial" w:eastAsia="Arial" w:hAnsi="Arial"/>
                <w:color w:val="222222"/>
                <w:sz w:val="17"/>
                <w:szCs w:val="17"/>
                <w:rtl w:val="0"/>
              </w:rPr>
              <w:t xml:space="preserve">Justifica contrastar las victorias recordadas con el historial completo.</w:t>
            </w:r>
            <w:r w:rsidDel="00000000" w:rsidR="00000000" w:rsidRPr="00000000">
              <w:rPr>
                <w:rtl w:val="0"/>
              </w:rPr>
            </w:r>
          </w:p>
        </w:tc>
      </w:tr>
      <w:tr>
        <w:trPr>
          <w:cantSplit w:val="0"/>
          <w:tblHeader w:val="0"/>
        </w:trPr>
        <w:tc>
          <w:tcPr>
            <w:tcBorders>
              <w:top w:color="e0e0e0" w:space="0" w:sz="4" w:val="single"/>
              <w:left w:color="000000" w:space="0" w:sz="0" w:val="nil"/>
              <w:bottom w:color="e0e0e0" w:space="0" w:sz="4" w:val="single"/>
              <w:right w:color="000000" w:space="0" w:sz="0" w:val="nil"/>
            </w:tcBorders>
            <w:shd w:fill="ffffff" w:val="clear"/>
            <w:tcMar>
              <w:top w:w="120.0" w:type="dxa"/>
              <w:left w:w="140.0" w:type="dxa"/>
              <w:bottom w:w="120.0" w:type="dxa"/>
              <w:right w:w="140.0" w:type="dxa"/>
            </w:tcMar>
          </w:tcPr>
          <w:p w:rsidR="00000000" w:rsidDel="00000000" w:rsidP="00000000" w:rsidRDefault="00000000" w:rsidRPr="00000000" w14:paraId="00000050">
            <w:pPr>
              <w:spacing w:after="0" w:before="0" w:line="276" w:lineRule="auto"/>
              <w:jc w:val="left"/>
              <w:rPr/>
            </w:pPr>
            <w:r w:rsidDel="00000000" w:rsidR="00000000" w:rsidRPr="00000000">
              <w:rPr>
                <w:rFonts w:ascii="Arial" w:cs="Arial" w:eastAsia="Arial" w:hAnsi="Arial"/>
                <w:b w:val="1"/>
                <w:bCs w:val="1"/>
                <w:color w:val="222222"/>
                <w:sz w:val="17"/>
                <w:szCs w:val="17"/>
                <w:rtl w:val="0"/>
              </w:rPr>
              <w:t xml:space="preserve">Laboratorio de Desarrollo Sostenible, UNLZ</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20.0" w:type="dxa"/>
              <w:left w:w="140.0" w:type="dxa"/>
              <w:bottom w:w="120.0" w:type="dxa"/>
              <w:right w:w="140.0" w:type="dxa"/>
            </w:tcMar>
          </w:tcPr>
          <w:p w:rsidR="00000000" w:rsidDel="00000000" w:rsidP="00000000" w:rsidRDefault="00000000" w:rsidRPr="00000000" w14:paraId="00000051">
            <w:pPr>
              <w:spacing w:after="0" w:before="0" w:line="276" w:lineRule="auto"/>
              <w:jc w:val="left"/>
              <w:rPr/>
            </w:pPr>
            <w:r w:rsidDel="00000000" w:rsidR="00000000" w:rsidRPr="00000000">
              <w:rPr>
                <w:rFonts w:ascii="Arial" w:cs="Arial" w:eastAsia="Arial" w:hAnsi="Arial"/>
                <w:color w:val="222222"/>
                <w:sz w:val="17"/>
                <w:szCs w:val="17"/>
                <w:rtl w:val="0"/>
              </w:rPr>
              <w:t xml:space="preserve">Presentación de CAPUT (2026)</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20.0" w:type="dxa"/>
              <w:left w:w="140.0" w:type="dxa"/>
              <w:bottom w:w="120.0" w:type="dxa"/>
              <w:right w:w="140.0" w:type="dxa"/>
            </w:tcMar>
          </w:tcPr>
          <w:p w:rsidR="00000000" w:rsidDel="00000000" w:rsidP="00000000" w:rsidRDefault="00000000" w:rsidRPr="00000000" w14:paraId="00000052">
            <w:pPr>
              <w:spacing w:after="0" w:before="0" w:line="276" w:lineRule="auto"/>
              <w:jc w:val="left"/>
              <w:rPr/>
            </w:pPr>
            <w:r w:rsidDel="00000000" w:rsidR="00000000" w:rsidRPr="00000000">
              <w:rPr>
                <w:rFonts w:ascii="Arial" w:cs="Arial" w:eastAsia="Arial" w:hAnsi="Arial"/>
                <w:color w:val="222222"/>
                <w:sz w:val="17"/>
                <w:szCs w:val="17"/>
                <w:rtl w:val="0"/>
              </w:rPr>
              <w:t xml:space="preserve">Videojuego educativo sobre mecanismos de captación de las apuestas online, impulsado por Casa Pueblo.</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20.0" w:type="dxa"/>
              <w:left w:w="140.0" w:type="dxa"/>
              <w:bottom w:w="120.0" w:type="dxa"/>
              <w:right w:w="140.0" w:type="dxa"/>
            </w:tcMar>
          </w:tcPr>
          <w:p w:rsidR="00000000" w:rsidDel="00000000" w:rsidP="00000000" w:rsidRDefault="00000000" w:rsidRPr="00000000" w14:paraId="00000053">
            <w:pPr>
              <w:spacing w:after="0" w:before="0" w:line="276" w:lineRule="auto"/>
              <w:jc w:val="left"/>
              <w:rPr/>
            </w:pPr>
            <w:r w:rsidDel="00000000" w:rsidR="00000000" w:rsidRPr="00000000">
              <w:rPr>
                <w:rFonts w:ascii="Arial" w:cs="Arial" w:eastAsia="Arial" w:hAnsi="Arial"/>
                <w:color w:val="222222"/>
                <w:sz w:val="17"/>
                <w:szCs w:val="17"/>
                <w:rtl w:val="0"/>
              </w:rPr>
              <w:t xml:space="preserve">Antecedente tecnológico local</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20.0" w:type="dxa"/>
              <w:left w:w="140.0" w:type="dxa"/>
              <w:bottom w:w="120.0" w:type="dxa"/>
              <w:right w:w="140.0" w:type="dxa"/>
            </w:tcMar>
          </w:tcPr>
          <w:p w:rsidR="00000000" w:rsidDel="00000000" w:rsidP="00000000" w:rsidRDefault="00000000" w:rsidRPr="00000000" w14:paraId="00000054">
            <w:pPr>
              <w:spacing w:after="0" w:before="0" w:line="276" w:lineRule="auto"/>
              <w:jc w:val="left"/>
              <w:rPr/>
            </w:pPr>
            <w:r w:rsidDel="00000000" w:rsidR="00000000" w:rsidRPr="00000000">
              <w:rPr>
                <w:rFonts w:ascii="Arial" w:cs="Arial" w:eastAsia="Arial" w:hAnsi="Arial"/>
                <w:color w:val="222222"/>
                <w:sz w:val="17"/>
                <w:szCs w:val="17"/>
                <w:rtl w:val="0"/>
              </w:rPr>
              <w:t xml:space="preserve">Orienta la reflexión sobre recompensas; la presentación no demuestra eficacia preventiva.</w:t>
            </w:r>
            <w:r w:rsidDel="00000000" w:rsidR="00000000" w:rsidRPr="00000000">
              <w:rPr>
                <w:rtl w:val="0"/>
              </w:rPr>
            </w:r>
          </w:p>
        </w:tc>
      </w:tr>
      <w:tr>
        <w:trPr>
          <w:cantSplit w:val="0"/>
          <w:tblHeader w:val="0"/>
        </w:trPr>
        <w:tc>
          <w:tcPr>
            <w:tcBorders>
              <w:top w:color="e0e0e0" w:space="0" w:sz="4" w:val="single"/>
              <w:left w:color="000000" w:space="0" w:sz="0" w:val="nil"/>
              <w:bottom w:color="e0e0e0" w:space="0" w:sz="4" w:val="single"/>
              <w:right w:color="000000" w:space="0" w:sz="0" w:val="nil"/>
            </w:tcBorders>
            <w:shd w:fill="f9fbfd" w:val="clear"/>
            <w:tcMar>
              <w:top w:w="120.0" w:type="dxa"/>
              <w:left w:w="140.0" w:type="dxa"/>
              <w:bottom w:w="120.0" w:type="dxa"/>
              <w:right w:w="140.0" w:type="dxa"/>
            </w:tcMar>
          </w:tcPr>
          <w:p w:rsidR="00000000" w:rsidDel="00000000" w:rsidP="00000000" w:rsidRDefault="00000000" w:rsidRPr="00000000" w14:paraId="00000055">
            <w:pPr>
              <w:spacing w:after="0" w:before="0" w:line="276" w:lineRule="auto"/>
              <w:jc w:val="left"/>
              <w:rPr/>
            </w:pPr>
            <w:r w:rsidDel="00000000" w:rsidR="00000000" w:rsidRPr="00000000">
              <w:rPr>
                <w:rFonts w:ascii="Arial" w:cs="Arial" w:eastAsia="Arial" w:hAnsi="Arial"/>
                <w:b w:val="1"/>
                <w:bCs w:val="1"/>
                <w:color w:val="222222"/>
                <w:sz w:val="17"/>
                <w:szCs w:val="17"/>
                <w:rtl w:val="0"/>
              </w:rPr>
              <w:t xml:space="preserve">Colegio Universitario Central, UNCuyo</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bfd" w:val="clear"/>
            <w:tcMar>
              <w:top w:w="120.0" w:type="dxa"/>
              <w:left w:w="140.0" w:type="dxa"/>
              <w:bottom w:w="120.0" w:type="dxa"/>
              <w:right w:w="140.0" w:type="dxa"/>
            </w:tcMar>
          </w:tcPr>
          <w:p w:rsidR="00000000" w:rsidDel="00000000" w:rsidP="00000000" w:rsidRDefault="00000000" w:rsidRPr="00000000" w14:paraId="00000056">
            <w:pPr>
              <w:spacing w:after="0" w:before="0" w:line="276" w:lineRule="auto"/>
              <w:jc w:val="left"/>
              <w:rPr/>
            </w:pPr>
            <w:r w:rsidDel="00000000" w:rsidR="00000000" w:rsidRPr="00000000">
              <w:rPr>
                <w:rFonts w:ascii="Arial" w:cs="Arial" w:eastAsia="Arial" w:hAnsi="Arial"/>
                <w:color w:val="222222"/>
                <w:sz w:val="17"/>
                <w:szCs w:val="17"/>
                <w:rtl w:val="0"/>
              </w:rPr>
              <w:t xml:space="preserve">Presentación de Gambling Victim (2024)</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bfd" w:val="clear"/>
            <w:tcMar>
              <w:top w:w="120.0" w:type="dxa"/>
              <w:left w:w="140.0" w:type="dxa"/>
              <w:bottom w:w="120.0" w:type="dxa"/>
              <w:right w:w="140.0" w:type="dxa"/>
            </w:tcMar>
          </w:tcPr>
          <w:p w:rsidR="00000000" w:rsidDel="00000000" w:rsidP="00000000" w:rsidRDefault="00000000" w:rsidRPr="00000000" w14:paraId="00000057">
            <w:pPr>
              <w:spacing w:after="0" w:before="0" w:line="276" w:lineRule="auto"/>
              <w:jc w:val="left"/>
              <w:rPr/>
            </w:pPr>
            <w:r w:rsidDel="00000000" w:rsidR="00000000" w:rsidRPr="00000000">
              <w:rPr>
                <w:rFonts w:ascii="Arial" w:cs="Arial" w:eastAsia="Arial" w:hAnsi="Arial"/>
                <w:color w:val="222222"/>
                <w:sz w:val="17"/>
                <w:szCs w:val="17"/>
                <w:rtl w:val="0"/>
              </w:rPr>
              <w:t xml:space="preserve">Proyecto de Thiago Lescano que propone decisiones entre casino, escuela y hogar.</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bfd" w:val="clear"/>
            <w:tcMar>
              <w:top w:w="120.0" w:type="dxa"/>
              <w:left w:w="140.0" w:type="dxa"/>
              <w:bottom w:w="120.0" w:type="dxa"/>
              <w:right w:w="140.0" w:type="dxa"/>
            </w:tcMar>
          </w:tcPr>
          <w:p w:rsidR="00000000" w:rsidDel="00000000" w:rsidP="00000000" w:rsidRDefault="00000000" w:rsidRPr="00000000" w14:paraId="00000058">
            <w:pPr>
              <w:spacing w:after="0" w:before="0" w:line="276" w:lineRule="auto"/>
              <w:jc w:val="left"/>
              <w:rPr/>
            </w:pPr>
            <w:r w:rsidDel="00000000" w:rsidR="00000000" w:rsidRPr="00000000">
              <w:rPr>
                <w:rFonts w:ascii="Arial" w:cs="Arial" w:eastAsia="Arial" w:hAnsi="Arial"/>
                <w:color w:val="222222"/>
                <w:sz w:val="17"/>
                <w:szCs w:val="17"/>
                <w:rtl w:val="0"/>
              </w:rPr>
              <w:t xml:space="preserve">Antecedente escolar</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bfd" w:val="clear"/>
            <w:tcMar>
              <w:top w:w="120.0" w:type="dxa"/>
              <w:left w:w="140.0" w:type="dxa"/>
              <w:bottom w:w="120.0" w:type="dxa"/>
              <w:right w:w="140.0" w:type="dxa"/>
            </w:tcMar>
          </w:tcPr>
          <w:p w:rsidR="00000000" w:rsidDel="00000000" w:rsidP="00000000" w:rsidRDefault="00000000" w:rsidRPr="00000000" w14:paraId="00000059">
            <w:pPr>
              <w:spacing w:after="0" w:before="0" w:line="276" w:lineRule="auto"/>
              <w:jc w:val="left"/>
              <w:rPr/>
            </w:pPr>
            <w:r w:rsidDel="00000000" w:rsidR="00000000" w:rsidRPr="00000000">
              <w:rPr>
                <w:rFonts w:ascii="Arial" w:cs="Arial" w:eastAsia="Arial" w:hAnsi="Arial"/>
                <w:color w:val="222222"/>
                <w:sz w:val="17"/>
                <w:szCs w:val="17"/>
                <w:rtl w:val="0"/>
              </w:rPr>
              <w:t xml:space="preserve">Aporta situaciones cotidianas; su nota institucional no es una evaluación de impacto.</w:t>
            </w:r>
            <w:r w:rsidDel="00000000" w:rsidR="00000000" w:rsidRPr="00000000">
              <w:rPr>
                <w:rtl w:val="0"/>
              </w:rPr>
            </w:r>
          </w:p>
        </w:tc>
      </w:tr>
      <w:tr>
        <w:trPr>
          <w:cantSplit w:val="0"/>
          <w:tblHeader w:val="0"/>
        </w:trPr>
        <w:tc>
          <w:tcPr>
            <w:tcBorders>
              <w:top w:color="e0e0e0" w:space="0" w:sz="4" w:val="single"/>
              <w:left w:color="000000" w:space="0" w:sz="0" w:val="nil"/>
              <w:bottom w:color="e0e0e0" w:space="0" w:sz="4" w:val="single"/>
              <w:right w:color="000000" w:space="0" w:sz="0" w:val="nil"/>
            </w:tcBorders>
            <w:shd w:fill="ffffff" w:val="clear"/>
            <w:tcMar>
              <w:top w:w="120.0" w:type="dxa"/>
              <w:left w:w="140.0" w:type="dxa"/>
              <w:bottom w:w="120.0" w:type="dxa"/>
              <w:right w:w="140.0" w:type="dxa"/>
            </w:tcMar>
          </w:tcPr>
          <w:p w:rsidR="00000000" w:rsidDel="00000000" w:rsidP="00000000" w:rsidRDefault="00000000" w:rsidRPr="00000000" w14:paraId="0000005A">
            <w:pPr>
              <w:spacing w:after="0" w:before="0" w:line="276" w:lineRule="auto"/>
              <w:jc w:val="left"/>
              <w:rPr/>
            </w:pPr>
            <w:r w:rsidDel="00000000" w:rsidR="00000000" w:rsidRPr="00000000">
              <w:rPr>
                <w:rFonts w:ascii="Arial" w:cs="Arial" w:eastAsia="Arial" w:hAnsi="Arial"/>
                <w:b w:val="1"/>
                <w:bCs w:val="1"/>
                <w:color w:val="222222"/>
                <w:sz w:val="17"/>
                <w:szCs w:val="17"/>
                <w:rtl w:val="0"/>
              </w:rPr>
              <w:t xml:space="preserve">Responsible Gambling Council</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20.0" w:type="dxa"/>
              <w:left w:w="140.0" w:type="dxa"/>
              <w:bottom w:w="120.0" w:type="dxa"/>
              <w:right w:w="140.0" w:type="dxa"/>
            </w:tcMar>
          </w:tcPr>
          <w:p w:rsidR="00000000" w:rsidDel="00000000" w:rsidP="00000000" w:rsidRDefault="00000000" w:rsidRPr="00000000" w14:paraId="0000005B">
            <w:pPr>
              <w:spacing w:after="0" w:before="0" w:line="276" w:lineRule="auto"/>
              <w:jc w:val="left"/>
              <w:rPr/>
            </w:pPr>
            <w:r w:rsidDel="00000000" w:rsidR="00000000" w:rsidRPr="00000000">
              <w:rPr>
                <w:rFonts w:ascii="Arial" w:cs="Arial" w:eastAsia="Arial" w:hAnsi="Arial"/>
                <w:color w:val="222222"/>
                <w:sz w:val="17"/>
                <w:szCs w:val="17"/>
                <w:rtl w:val="0"/>
              </w:rPr>
              <w:t xml:space="preserve">House of Wisdoms (s. f.)</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20.0" w:type="dxa"/>
              <w:left w:w="140.0" w:type="dxa"/>
              <w:bottom w:w="120.0" w:type="dxa"/>
              <w:right w:w="140.0" w:type="dxa"/>
            </w:tcMar>
          </w:tcPr>
          <w:p w:rsidR="00000000" w:rsidDel="00000000" w:rsidP="00000000" w:rsidRDefault="00000000" w:rsidRPr="00000000" w14:paraId="0000005C">
            <w:pPr>
              <w:spacing w:after="0" w:before="0" w:line="276" w:lineRule="auto"/>
              <w:jc w:val="left"/>
              <w:rPr/>
            </w:pPr>
            <w:r w:rsidDel="00000000" w:rsidR="00000000" w:rsidRPr="00000000">
              <w:rPr>
                <w:rFonts w:ascii="Arial" w:cs="Arial" w:eastAsia="Arial" w:hAnsi="Arial"/>
                <w:color w:val="222222"/>
                <w:sz w:val="17"/>
                <w:szCs w:val="17"/>
                <w:rtl w:val="0"/>
              </w:rPr>
              <w:t xml:space="preserve">Propuesta web para adolescentes sobre riesgos de apostar y búsqueda de ayuda.</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20.0" w:type="dxa"/>
              <w:left w:w="140.0" w:type="dxa"/>
              <w:bottom w:w="120.0" w:type="dxa"/>
              <w:right w:w="140.0" w:type="dxa"/>
            </w:tcMar>
          </w:tcPr>
          <w:p w:rsidR="00000000" w:rsidDel="00000000" w:rsidP="00000000" w:rsidRDefault="00000000" w:rsidRPr="00000000" w14:paraId="0000005D">
            <w:pPr>
              <w:spacing w:after="0" w:before="0" w:line="276" w:lineRule="auto"/>
              <w:jc w:val="left"/>
              <w:rPr/>
            </w:pPr>
            <w:r w:rsidDel="00000000" w:rsidR="00000000" w:rsidRPr="00000000">
              <w:rPr>
                <w:rFonts w:ascii="Arial" w:cs="Arial" w:eastAsia="Arial" w:hAnsi="Arial"/>
                <w:color w:val="222222"/>
                <w:sz w:val="17"/>
                <w:szCs w:val="17"/>
                <w:rtl w:val="0"/>
              </w:rPr>
              <w:t xml:space="preserve">Antecedente educativo internacional</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20.0" w:type="dxa"/>
              <w:left w:w="140.0" w:type="dxa"/>
              <w:bottom w:w="120.0" w:type="dxa"/>
              <w:right w:w="140.0" w:type="dxa"/>
            </w:tcMar>
          </w:tcPr>
          <w:p w:rsidR="00000000" w:rsidDel="00000000" w:rsidP="00000000" w:rsidRDefault="00000000" w:rsidRPr="00000000" w14:paraId="0000005E">
            <w:pPr>
              <w:spacing w:after="0" w:before="0" w:line="276" w:lineRule="auto"/>
              <w:jc w:val="left"/>
              <w:rPr/>
            </w:pPr>
            <w:r w:rsidDel="00000000" w:rsidR="00000000" w:rsidRPr="00000000">
              <w:rPr>
                <w:rFonts w:ascii="Arial" w:cs="Arial" w:eastAsia="Arial" w:hAnsi="Arial"/>
                <w:color w:val="222222"/>
                <w:sz w:val="17"/>
                <w:szCs w:val="17"/>
                <w:rtl w:val="0"/>
              </w:rPr>
              <w:t xml:space="preserve">Orienta las pausas de reflexión; requiere adaptación cultural y evaluación local.</w:t>
            </w:r>
            <w:r w:rsidDel="00000000" w:rsidR="00000000" w:rsidRPr="00000000">
              <w:rPr>
                <w:rtl w:val="0"/>
              </w:rPr>
            </w:r>
          </w:p>
        </w:tc>
      </w:tr>
      <w:tr>
        <w:trPr>
          <w:cantSplit w:val="0"/>
          <w:tblHeader w:val="0"/>
        </w:trPr>
        <w:tc>
          <w:tcPr>
            <w:tcBorders>
              <w:top w:color="e0e0e0" w:space="0" w:sz="4" w:val="single"/>
              <w:left w:color="000000" w:space="0" w:sz="0" w:val="nil"/>
              <w:bottom w:color="e0e0e0" w:space="0" w:sz="4" w:val="single"/>
              <w:right w:color="000000" w:space="0" w:sz="0" w:val="nil"/>
            </w:tcBorders>
            <w:shd w:fill="f9fbfd" w:val="clear"/>
            <w:tcMar>
              <w:top w:w="120.0" w:type="dxa"/>
              <w:left w:w="140.0" w:type="dxa"/>
              <w:bottom w:w="120.0" w:type="dxa"/>
              <w:right w:w="140.0" w:type="dxa"/>
            </w:tcMar>
          </w:tcPr>
          <w:p w:rsidR="00000000" w:rsidDel="00000000" w:rsidP="00000000" w:rsidRDefault="00000000" w:rsidRPr="00000000" w14:paraId="0000005F">
            <w:pPr>
              <w:spacing w:after="0" w:before="0" w:line="276" w:lineRule="auto"/>
              <w:jc w:val="left"/>
              <w:rPr/>
            </w:pPr>
            <w:r w:rsidDel="00000000" w:rsidR="00000000" w:rsidRPr="00000000">
              <w:rPr>
                <w:rFonts w:ascii="Arial" w:cs="Arial" w:eastAsia="Arial" w:hAnsi="Arial"/>
                <w:b w:val="1"/>
                <w:bCs w:val="1"/>
                <w:color w:val="222222"/>
                <w:sz w:val="17"/>
                <w:szCs w:val="17"/>
                <w:rtl w:val="0"/>
              </w:rPr>
              <w:t xml:space="preserve">Wouters et al.</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bfd" w:val="clear"/>
            <w:tcMar>
              <w:top w:w="120.0" w:type="dxa"/>
              <w:left w:w="140.0" w:type="dxa"/>
              <w:bottom w:w="120.0" w:type="dxa"/>
              <w:right w:w="140.0" w:type="dxa"/>
            </w:tcMar>
          </w:tcPr>
          <w:p w:rsidR="00000000" w:rsidDel="00000000" w:rsidP="00000000" w:rsidRDefault="00000000" w:rsidRPr="00000000" w14:paraId="00000060">
            <w:pPr>
              <w:spacing w:after="0" w:before="0" w:line="276" w:lineRule="auto"/>
              <w:jc w:val="left"/>
              <w:rPr/>
            </w:pPr>
            <w:r w:rsidDel="00000000" w:rsidR="00000000" w:rsidRPr="00000000">
              <w:rPr>
                <w:rFonts w:ascii="Arial" w:cs="Arial" w:eastAsia="Arial" w:hAnsi="Arial"/>
                <w:color w:val="222222"/>
                <w:sz w:val="17"/>
                <w:szCs w:val="17"/>
                <w:rtl w:val="0"/>
              </w:rPr>
              <w:t xml:space="preserve">Meta-análisis sobre serious games (2013)</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bfd" w:val="clear"/>
            <w:tcMar>
              <w:top w:w="120.0" w:type="dxa"/>
              <w:left w:w="140.0" w:type="dxa"/>
              <w:bottom w:w="120.0" w:type="dxa"/>
              <w:right w:w="140.0" w:type="dxa"/>
            </w:tcMar>
          </w:tcPr>
          <w:p w:rsidR="00000000" w:rsidDel="00000000" w:rsidP="00000000" w:rsidRDefault="00000000" w:rsidRPr="00000000" w14:paraId="00000061">
            <w:pPr>
              <w:spacing w:after="0" w:before="0" w:line="276" w:lineRule="auto"/>
              <w:jc w:val="left"/>
              <w:rPr/>
            </w:pPr>
            <w:r w:rsidDel="00000000" w:rsidR="00000000" w:rsidRPr="00000000">
              <w:rPr>
                <w:rFonts w:ascii="Arial" w:cs="Arial" w:eastAsia="Arial" w:hAnsi="Arial"/>
                <w:color w:val="222222"/>
                <w:sz w:val="17"/>
                <w:szCs w:val="17"/>
                <w:rtl w:val="0"/>
              </w:rPr>
              <w:t xml:space="preserve">Ventajas promedio en aprendizaje y retención; sin ventaja general significativa en motivación.</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bfd" w:val="clear"/>
            <w:tcMar>
              <w:top w:w="120.0" w:type="dxa"/>
              <w:left w:w="140.0" w:type="dxa"/>
              <w:bottom w:w="120.0" w:type="dxa"/>
              <w:right w:w="140.0" w:type="dxa"/>
            </w:tcMar>
          </w:tcPr>
          <w:p w:rsidR="00000000" w:rsidDel="00000000" w:rsidP="00000000" w:rsidRDefault="00000000" w:rsidRPr="00000000" w14:paraId="00000062">
            <w:pPr>
              <w:spacing w:after="0" w:before="0" w:line="276" w:lineRule="auto"/>
              <w:jc w:val="left"/>
              <w:rPr/>
            </w:pPr>
            <w:r w:rsidDel="00000000" w:rsidR="00000000" w:rsidRPr="00000000">
              <w:rPr>
                <w:rFonts w:ascii="Arial" w:cs="Arial" w:eastAsia="Arial" w:hAnsi="Arial"/>
                <w:color w:val="222222"/>
                <w:sz w:val="17"/>
                <w:szCs w:val="17"/>
                <w:rtl w:val="0"/>
              </w:rPr>
              <w:t xml:space="preserve">Investigación sobre aprendizaje</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bfd" w:val="clear"/>
            <w:tcMar>
              <w:top w:w="120.0" w:type="dxa"/>
              <w:left w:w="140.0" w:type="dxa"/>
              <w:bottom w:w="120.0" w:type="dxa"/>
              <w:right w:w="140.0" w:type="dxa"/>
            </w:tcMar>
          </w:tcPr>
          <w:p w:rsidR="00000000" w:rsidDel="00000000" w:rsidP="00000000" w:rsidRDefault="00000000" w:rsidRPr="00000000" w14:paraId="00000063">
            <w:pPr>
              <w:spacing w:after="0" w:before="0" w:line="276" w:lineRule="auto"/>
              <w:jc w:val="left"/>
              <w:rPr/>
            </w:pPr>
            <w:r w:rsidDel="00000000" w:rsidR="00000000" w:rsidRPr="00000000">
              <w:rPr>
                <w:rFonts w:ascii="Arial" w:cs="Arial" w:eastAsia="Arial" w:hAnsi="Arial"/>
                <w:color w:val="222222"/>
                <w:sz w:val="17"/>
                <w:szCs w:val="17"/>
                <w:rtl w:val="0"/>
              </w:rPr>
              <w:t xml:space="preserve">Justifica evaluar comprensión y motivación por separado, sin presuponer eficacia.</w:t>
            </w:r>
            <w:r w:rsidDel="00000000" w:rsidR="00000000" w:rsidRPr="00000000">
              <w:rPr>
                <w:rtl w:val="0"/>
              </w:rPr>
            </w:r>
          </w:p>
        </w:tc>
      </w:tr>
      <w:tr>
        <w:trPr>
          <w:cantSplit w:val="0"/>
          <w:tblHeader w:val="0"/>
        </w:trPr>
        <w:tc>
          <w:tcPr>
            <w:tcBorders>
              <w:top w:color="e0e0e0" w:space="0" w:sz="4" w:val="single"/>
              <w:left w:color="000000" w:space="0" w:sz="0" w:val="nil"/>
              <w:bottom w:color="e0e0e0" w:space="0" w:sz="4" w:val="single"/>
              <w:right w:color="000000" w:space="0" w:sz="0" w:val="nil"/>
            </w:tcBorders>
            <w:shd w:fill="ffffff" w:val="clear"/>
            <w:tcMar>
              <w:top w:w="120.0" w:type="dxa"/>
              <w:left w:w="140.0" w:type="dxa"/>
              <w:bottom w:w="120.0" w:type="dxa"/>
              <w:right w:w="140.0" w:type="dxa"/>
            </w:tcMar>
          </w:tcPr>
          <w:p w:rsidR="00000000" w:rsidDel="00000000" w:rsidP="00000000" w:rsidRDefault="00000000" w:rsidRPr="00000000" w14:paraId="00000064">
            <w:pPr>
              <w:spacing w:after="0" w:before="0" w:line="276" w:lineRule="auto"/>
              <w:jc w:val="left"/>
              <w:rPr/>
            </w:pPr>
            <w:r w:rsidDel="00000000" w:rsidR="00000000" w:rsidRPr="00000000">
              <w:rPr>
                <w:rFonts w:ascii="Arial" w:cs="Arial" w:eastAsia="Arial" w:hAnsi="Arial"/>
                <w:b w:val="1"/>
                <w:bCs w:val="1"/>
                <w:color w:val="222222"/>
                <w:sz w:val="17"/>
                <w:szCs w:val="17"/>
                <w:rtl w:val="0"/>
              </w:rPr>
              <w:t xml:space="preserve">Tversky &amp; Kahneman</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20.0" w:type="dxa"/>
              <w:left w:w="140.0" w:type="dxa"/>
              <w:bottom w:w="120.0" w:type="dxa"/>
              <w:right w:w="140.0" w:type="dxa"/>
            </w:tcMar>
          </w:tcPr>
          <w:p w:rsidR="00000000" w:rsidDel="00000000" w:rsidP="00000000" w:rsidRDefault="00000000" w:rsidRPr="00000000" w14:paraId="00000065">
            <w:pPr>
              <w:spacing w:after="0" w:before="0" w:line="276" w:lineRule="auto"/>
              <w:jc w:val="left"/>
              <w:rPr/>
            </w:pPr>
            <w:r w:rsidDel="00000000" w:rsidR="00000000" w:rsidRPr="00000000">
              <w:rPr>
                <w:rFonts w:ascii="Arial" w:cs="Arial" w:eastAsia="Arial" w:hAnsi="Arial"/>
                <w:color w:val="222222"/>
                <w:sz w:val="17"/>
                <w:szCs w:val="17"/>
                <w:rtl w:val="0"/>
              </w:rPr>
              <w:t xml:space="preserve">Judgment under uncertainty (1974)</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20.0" w:type="dxa"/>
              <w:left w:w="140.0" w:type="dxa"/>
              <w:bottom w:w="120.0" w:type="dxa"/>
              <w:right w:w="140.0" w:type="dxa"/>
            </w:tcMar>
          </w:tcPr>
          <w:p w:rsidR="00000000" w:rsidDel="00000000" w:rsidP="00000000" w:rsidRDefault="00000000" w:rsidRPr="00000000" w14:paraId="00000066">
            <w:pPr>
              <w:spacing w:after="0" w:before="0" w:line="276" w:lineRule="auto"/>
              <w:jc w:val="left"/>
              <w:rPr/>
            </w:pPr>
            <w:r w:rsidDel="00000000" w:rsidR="00000000" w:rsidRPr="00000000">
              <w:rPr>
                <w:rFonts w:ascii="Arial" w:cs="Arial" w:eastAsia="Arial" w:hAnsi="Arial"/>
                <w:color w:val="222222"/>
                <w:sz w:val="17"/>
                <w:szCs w:val="17"/>
                <w:rtl w:val="0"/>
              </w:rPr>
              <w:t xml:space="preserve">Las heurísticas pueden producir errores sistemáticos al estimar probabilidades.</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20.0" w:type="dxa"/>
              <w:left w:w="140.0" w:type="dxa"/>
              <w:bottom w:w="120.0" w:type="dxa"/>
              <w:right w:w="140.0" w:type="dxa"/>
            </w:tcMar>
          </w:tcPr>
          <w:p w:rsidR="00000000" w:rsidDel="00000000" w:rsidP="00000000" w:rsidRDefault="00000000" w:rsidRPr="00000000" w14:paraId="00000067">
            <w:pPr>
              <w:spacing w:after="0" w:before="0" w:line="276" w:lineRule="auto"/>
              <w:jc w:val="left"/>
              <w:rPr/>
            </w:pPr>
            <w:r w:rsidDel="00000000" w:rsidR="00000000" w:rsidRPr="00000000">
              <w:rPr>
                <w:rFonts w:ascii="Arial" w:cs="Arial" w:eastAsia="Arial" w:hAnsi="Arial"/>
                <w:color w:val="222222"/>
                <w:sz w:val="17"/>
                <w:szCs w:val="17"/>
                <w:rtl w:val="0"/>
              </w:rPr>
              <w:t xml:space="preserve">Juicio y decisión</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fffff" w:val="clear"/>
            <w:tcMar>
              <w:top w:w="120.0" w:type="dxa"/>
              <w:left w:w="140.0" w:type="dxa"/>
              <w:bottom w:w="120.0" w:type="dxa"/>
              <w:right w:w="140.0" w:type="dxa"/>
            </w:tcMar>
          </w:tcPr>
          <w:p w:rsidR="00000000" w:rsidDel="00000000" w:rsidP="00000000" w:rsidRDefault="00000000" w:rsidRPr="00000000" w14:paraId="00000068">
            <w:pPr>
              <w:spacing w:after="0" w:before="0" w:line="276" w:lineRule="auto"/>
              <w:jc w:val="left"/>
              <w:rPr/>
            </w:pPr>
            <w:r w:rsidDel="00000000" w:rsidR="00000000" w:rsidRPr="00000000">
              <w:rPr>
                <w:rFonts w:ascii="Arial" w:cs="Arial" w:eastAsia="Arial" w:hAnsi="Arial"/>
                <w:color w:val="222222"/>
                <w:sz w:val="17"/>
                <w:szCs w:val="17"/>
                <w:rtl w:val="0"/>
              </w:rPr>
              <w:t xml:space="preserve">Aporta el concepto complementario de disponibilidad para analizar el recuerdo de las jugadas.</w:t>
            </w:r>
            <w:r w:rsidDel="00000000" w:rsidR="00000000" w:rsidRPr="00000000">
              <w:rPr>
                <w:rtl w:val="0"/>
              </w:rPr>
            </w:r>
          </w:p>
        </w:tc>
      </w:tr>
      <w:tr>
        <w:trPr>
          <w:cantSplit w:val="0"/>
          <w:tblHeader w:val="0"/>
        </w:trPr>
        <w:tc>
          <w:tcPr>
            <w:tcBorders>
              <w:top w:color="e0e0e0" w:space="0" w:sz="4" w:val="single"/>
              <w:left w:color="000000" w:space="0" w:sz="0" w:val="nil"/>
              <w:bottom w:color="e0e0e0" w:space="0" w:sz="4" w:val="single"/>
              <w:right w:color="000000" w:space="0" w:sz="0" w:val="nil"/>
            </w:tcBorders>
            <w:shd w:fill="f9fbfd" w:val="clear"/>
            <w:tcMar>
              <w:top w:w="120.0" w:type="dxa"/>
              <w:left w:w="140.0" w:type="dxa"/>
              <w:bottom w:w="120.0" w:type="dxa"/>
              <w:right w:w="140.0" w:type="dxa"/>
            </w:tcMar>
          </w:tcPr>
          <w:p w:rsidR="00000000" w:rsidDel="00000000" w:rsidP="00000000" w:rsidRDefault="00000000" w:rsidRPr="00000000" w14:paraId="00000069">
            <w:pPr>
              <w:spacing w:after="0" w:before="0" w:line="276" w:lineRule="auto"/>
              <w:jc w:val="left"/>
              <w:rPr/>
            </w:pPr>
            <w:r w:rsidDel="00000000" w:rsidR="00000000" w:rsidRPr="00000000">
              <w:rPr>
                <w:rFonts w:ascii="Arial" w:cs="Arial" w:eastAsia="Arial" w:hAnsi="Arial"/>
                <w:b w:val="1"/>
                <w:bCs w:val="1"/>
                <w:color w:val="222222"/>
                <w:sz w:val="17"/>
                <w:szCs w:val="17"/>
                <w:rtl w:val="0"/>
              </w:rPr>
              <w:t xml:space="preserve">Djaouti et al.</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bfd" w:val="clear"/>
            <w:tcMar>
              <w:top w:w="120.0" w:type="dxa"/>
              <w:left w:w="140.0" w:type="dxa"/>
              <w:bottom w:w="120.0" w:type="dxa"/>
              <w:right w:w="140.0" w:type="dxa"/>
            </w:tcMar>
          </w:tcPr>
          <w:p w:rsidR="00000000" w:rsidDel="00000000" w:rsidP="00000000" w:rsidRDefault="00000000" w:rsidRPr="00000000" w14:paraId="0000006A">
            <w:pPr>
              <w:spacing w:after="0" w:before="0" w:line="276" w:lineRule="auto"/>
              <w:jc w:val="left"/>
              <w:rPr/>
            </w:pPr>
            <w:r w:rsidDel="00000000" w:rsidR="00000000" w:rsidRPr="00000000">
              <w:rPr>
                <w:rFonts w:ascii="Arial" w:cs="Arial" w:eastAsia="Arial" w:hAnsi="Arial"/>
                <w:color w:val="222222"/>
                <w:sz w:val="17"/>
                <w:szCs w:val="17"/>
                <w:rtl w:val="0"/>
              </w:rPr>
              <w:t xml:space="preserve">Classifying serious games: The G/P/S model (2011)</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bfd" w:val="clear"/>
            <w:tcMar>
              <w:top w:w="120.0" w:type="dxa"/>
              <w:left w:w="140.0" w:type="dxa"/>
              <w:bottom w:w="120.0" w:type="dxa"/>
              <w:right w:w="140.0" w:type="dxa"/>
            </w:tcMar>
          </w:tcPr>
          <w:p w:rsidR="00000000" w:rsidDel="00000000" w:rsidP="00000000" w:rsidRDefault="00000000" w:rsidRPr="00000000" w14:paraId="0000006B">
            <w:pPr>
              <w:spacing w:after="0" w:before="0" w:line="276" w:lineRule="auto"/>
              <w:jc w:val="left"/>
              <w:rPr/>
            </w:pPr>
            <w:r w:rsidDel="00000000" w:rsidR="00000000" w:rsidRPr="00000000">
              <w:rPr>
                <w:rFonts w:ascii="Arial" w:cs="Arial" w:eastAsia="Arial" w:hAnsi="Arial"/>
                <w:color w:val="222222"/>
                <w:sz w:val="17"/>
                <w:szCs w:val="17"/>
                <w:rtl w:val="0"/>
              </w:rPr>
              <w:t xml:space="preserve">Clasificación por jugabilidad, propósito y ámbito de aplicación.</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bfd" w:val="clear"/>
            <w:tcMar>
              <w:top w:w="120.0" w:type="dxa"/>
              <w:left w:w="140.0" w:type="dxa"/>
              <w:bottom w:w="120.0" w:type="dxa"/>
              <w:right w:w="140.0" w:type="dxa"/>
            </w:tcMar>
          </w:tcPr>
          <w:p w:rsidR="00000000" w:rsidDel="00000000" w:rsidP="00000000" w:rsidRDefault="00000000" w:rsidRPr="00000000" w14:paraId="0000006C">
            <w:pPr>
              <w:spacing w:after="0" w:before="0" w:line="276" w:lineRule="auto"/>
              <w:jc w:val="left"/>
              <w:rPr/>
            </w:pPr>
            <w:r w:rsidDel="00000000" w:rsidR="00000000" w:rsidRPr="00000000">
              <w:rPr>
                <w:rFonts w:ascii="Arial" w:cs="Arial" w:eastAsia="Arial" w:hAnsi="Arial"/>
                <w:color w:val="222222"/>
                <w:sz w:val="17"/>
                <w:szCs w:val="17"/>
                <w:rtl w:val="0"/>
              </w:rPr>
              <w:t xml:space="preserve">Diseño de juegos aplicados</w:t>
            </w:r>
            <w:r w:rsidDel="00000000" w:rsidR="00000000" w:rsidRPr="00000000">
              <w:rPr>
                <w:rtl w:val="0"/>
              </w:rPr>
            </w:r>
          </w:p>
        </w:tc>
        <w:tc>
          <w:tcPr>
            <w:tcBorders>
              <w:top w:color="e0e0e0" w:space="0" w:sz="4" w:val="single"/>
              <w:left w:color="000000" w:space="0" w:sz="0" w:val="nil"/>
              <w:bottom w:color="e0e0e0" w:space="0" w:sz="4" w:val="single"/>
              <w:right w:color="000000" w:space="0" w:sz="0" w:val="nil"/>
            </w:tcBorders>
            <w:shd w:fill="f9fbfd" w:val="clear"/>
            <w:tcMar>
              <w:top w:w="120.0" w:type="dxa"/>
              <w:left w:w="140.0" w:type="dxa"/>
              <w:bottom w:w="120.0" w:type="dxa"/>
              <w:right w:w="140.0" w:type="dxa"/>
            </w:tcMar>
          </w:tcPr>
          <w:p w:rsidR="00000000" w:rsidDel="00000000" w:rsidP="00000000" w:rsidRDefault="00000000" w:rsidRPr="00000000" w14:paraId="0000006D">
            <w:pPr>
              <w:spacing w:after="0" w:before="0" w:line="276" w:lineRule="auto"/>
              <w:jc w:val="left"/>
              <w:rPr/>
            </w:pPr>
            <w:r w:rsidDel="00000000" w:rsidR="00000000" w:rsidRPr="00000000">
              <w:rPr>
                <w:rFonts w:ascii="Arial" w:cs="Arial" w:eastAsia="Arial" w:hAnsi="Arial"/>
                <w:color w:val="222222"/>
                <w:sz w:val="17"/>
                <w:szCs w:val="17"/>
                <w:rtl w:val="0"/>
              </w:rPr>
              <w:t xml:space="preserve">Ubica el proyecto; la clasificación no acredita resultados educativos.</w:t>
            </w:r>
            <w:r w:rsidDel="00000000" w:rsidR="00000000" w:rsidRPr="00000000">
              <w:rPr>
                <w:rtl w:val="0"/>
              </w:rPr>
            </w:r>
          </w:p>
        </w:tc>
      </w:tr>
    </w:tbl>
    <w:p w:rsidR="00000000" w:rsidDel="00000000" w:rsidP="00000000" w:rsidRDefault="00000000" w:rsidRPr="00000000" w14:paraId="0000006E">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Los diagnósticos de UNICEF Argentina y UNESCO (2025) y de Cruz Roja Argentina, Observatorio Humanitario (2025), aportan contexto, pero sus porcentajes no son directamente comparables por diferencias de edad, muestreo y definición de participación. En particular, Cruz Roja informa una muestra no probabilística: su tamaño no autoriza a extrapolar automáticamente los resultados a toda la adolescencia argentina.</w:t>
      </w:r>
    </w:p>
    <w:p w:rsidR="00000000" w:rsidDel="00000000" w:rsidP="00000000" w:rsidRDefault="00000000" w:rsidRPr="00000000" w14:paraId="0000006F">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CAPUT, Gambling Victim y House of Wisdoms muestran distintas maneras de abordar el problema mediante videojuegos. Las páginas consultadas describen propuestas y experiencias; no bastan para afirmar que previenen conductas de apuesta. BetAware toma de estos antecedentes la contextualización y la reflexión, y propone examinar su propio aporte mediante un piloto. La comparación entre enfoques psicológicos y decisiones de diseño se desarrolla en el apartado 4.8.</w:t>
      </w:r>
    </w:p>
    <w:p w:rsidR="00000000" w:rsidDel="00000000" w:rsidP="00000000" w:rsidRDefault="00000000" w:rsidRPr="00000000" w14:paraId="00000070">
      <w:pPr>
        <w:pStyle w:val="Heading1"/>
        <w:keepNext w:val="1"/>
        <w:spacing w:after="160" w:before="320" w:lineRule="auto"/>
        <w:ind w:left="0" w:firstLine="0"/>
        <w:jc w:val="left"/>
        <w:rPr/>
      </w:pPr>
      <w:bookmarkStart w:colFirst="0" w:colLast="0" w:name="_lr7o25pntsnu" w:id="10"/>
      <w:bookmarkEnd w:id="10"/>
      <w:r w:rsidDel="00000000" w:rsidR="00000000" w:rsidRPr="00000000">
        <w:rPr>
          <w:rtl w:val="0"/>
        </w:rPr>
        <w:t xml:space="preserve">4. Marco Teórico</w:t>
      </w:r>
    </w:p>
    <w:p w:rsidR="00000000" w:rsidDel="00000000" w:rsidP="00000000" w:rsidRDefault="00000000" w:rsidRPr="00000000" w14:paraId="00000071">
      <w:pPr>
        <w:pStyle w:val="Heading2"/>
        <w:keepNext w:val="1"/>
        <w:spacing w:after="120" w:before="240" w:lineRule="auto"/>
        <w:ind w:left="0" w:firstLine="0"/>
        <w:jc w:val="left"/>
        <w:rPr>
          <w:sz w:val="24"/>
          <w:szCs w:val="24"/>
        </w:rPr>
      </w:pPr>
      <w:bookmarkStart w:colFirst="0" w:colLast="0" w:name="_s5lhomkpdyfq" w:id="11"/>
      <w:bookmarkEnd w:id="11"/>
      <w:r w:rsidDel="00000000" w:rsidR="00000000" w:rsidRPr="00000000">
        <w:rPr>
          <w:sz w:val="24"/>
          <w:szCs w:val="24"/>
          <w:rtl w:val="0"/>
        </w:rPr>
        <w:t xml:space="preserve">4.1. Apuestas online, riesgo y concientización</w:t>
      </w:r>
    </w:p>
    <w:p w:rsidR="00000000" w:rsidDel="00000000" w:rsidP="00000000" w:rsidRDefault="00000000" w:rsidRPr="00000000" w14:paraId="00000072">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En este proyecto se entiende por apuesta el arriesgar un recurso ante un resultado incierto con la expectativa de obtener una recompensa mayor (Clark, 2010). La participación en apuestas y el trastorno por juego no son equivalentes: una conducta aislada no permite establecer un diagnóstico. BetAware aborda la concientización como un aprendizaje observable: reconocer incertidumbre, interpretar pérdidas y cuestionar creencias erróneas. No se propone diagnosticar ni tratar una adicción.</w:t>
      </w:r>
    </w:p>
    <w:p w:rsidR="00000000" w:rsidDel="00000000" w:rsidP="00000000" w:rsidRDefault="00000000" w:rsidRPr="00000000" w14:paraId="00000073">
      <w:pPr>
        <w:pStyle w:val="Heading2"/>
        <w:keepNext w:val="1"/>
        <w:spacing w:after="120" w:before="240" w:lineRule="auto"/>
        <w:ind w:left="0" w:firstLine="0"/>
        <w:jc w:val="left"/>
        <w:rPr>
          <w:sz w:val="24"/>
          <w:szCs w:val="24"/>
        </w:rPr>
      </w:pPr>
      <w:bookmarkStart w:colFirst="0" w:colLast="0" w:name="_ikibdkowweo0" w:id="12"/>
      <w:bookmarkEnd w:id="12"/>
      <w:r w:rsidDel="00000000" w:rsidR="00000000" w:rsidRPr="00000000">
        <w:rPr>
          <w:sz w:val="24"/>
          <w:szCs w:val="24"/>
          <w:rtl w:val="0"/>
        </w:rPr>
        <w:t xml:space="preserve">4.2. Condicionamiento operante y refuerzo intermitente</w:t>
      </w:r>
    </w:p>
    <w:p w:rsidR="00000000" w:rsidDel="00000000" w:rsidP="00000000" w:rsidRDefault="00000000" w:rsidRPr="00000000" w14:paraId="00000074">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Ferster y Skinner (1957) estudiaron cómo la relación entre una respuesta y sus consecuencias modifica la conducta. El refuerzo es intermitente cuando no ocurre tras todas las respuestas; los programas de razón variable organizan la entrega de refuerzos después de cantidades variables de respuestas. Este enfoque permite comprender la persistencia de una conducta aunque muchas acciones no produzcan recompensa. Los estudios básicos de los autores no constituyen por sí solos una explicación clínica de las apuestas juveniles.</w:t>
      </w:r>
    </w:p>
    <w:p w:rsidR="00000000" w:rsidDel="00000000" w:rsidP="00000000" w:rsidRDefault="00000000" w:rsidRPr="00000000" w14:paraId="00000075">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Como aplicación de diseño, BetAware permite ganancias ocasionales con probabilidades fijas. El jugador puede interpretar una victoria como razón para continuar, aun cuando el balance acumulado sea desfavorable. La simulación ilustra un mecanismo conductual; no mide dopamina ni reproduce la totalidad de un proceso adictivo. El aprendizaje esperado es que el participante pueda explicar por qué una recompensa ocasional no demuestra que seguir apostando sea conveniente.</w:t>
      </w:r>
    </w:p>
    <w:p w:rsidR="00000000" w:rsidDel="00000000" w:rsidP="00000000" w:rsidRDefault="00000000" w:rsidRPr="00000000" w14:paraId="00000076">
      <w:pPr>
        <w:pStyle w:val="Heading2"/>
        <w:keepNext w:val="1"/>
        <w:spacing w:after="120" w:before="240" w:lineRule="auto"/>
        <w:ind w:left="0" w:firstLine="0"/>
        <w:jc w:val="left"/>
        <w:rPr>
          <w:sz w:val="24"/>
          <w:szCs w:val="24"/>
        </w:rPr>
      </w:pPr>
      <w:bookmarkStart w:colFirst="0" w:colLast="0" w:name="_s40roh6hbdau" w:id="13"/>
      <w:bookmarkEnd w:id="13"/>
      <w:r w:rsidDel="00000000" w:rsidR="00000000" w:rsidRPr="00000000">
        <w:rPr>
          <w:sz w:val="24"/>
          <w:szCs w:val="24"/>
          <w:rtl w:val="0"/>
        </w:rPr>
        <w:t xml:space="preserve">4.3. Ilusión de control</w:t>
      </w:r>
    </w:p>
    <w:p w:rsidR="00000000" w:rsidDel="00000000" w:rsidP="00000000" w:rsidRDefault="00000000" w:rsidRPr="00000000" w14:paraId="00000077">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Langer (1975) denominó ilusión de control a la sobreestimación de la propia capacidad para obtener éxito en situaciones determinadas por el azar. Sus experimentos mostraron que señales vinculadas con la habilidad, como elegir o familiarizarse con una tarea, pueden aumentar la confianza sin mejorar la probabilidad objetiva.</w:t>
      </w:r>
    </w:p>
    <w:p w:rsidR="00000000" w:rsidDel="00000000" w:rsidP="00000000" w:rsidRDefault="00000000" w:rsidRPr="00000000" w14:paraId="00000078">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En BetAware, las decisiones del jugador afectan la administración del presupuesto, pero no las probabilidades de cada apuesta. Esa distinción permite separar agencia financiera de control sobre el resultado aleatorio. Una señal de comprensión será explicar que elegir el momento de apostar no modifica las chances. Esta regla corresponde al simulador: no implica que todas las apuestas deportivas reales sean procesos idénticos ni independientes.</w:t>
      </w:r>
    </w:p>
    <w:p w:rsidR="00000000" w:rsidDel="00000000" w:rsidP="00000000" w:rsidRDefault="00000000" w:rsidRPr="00000000" w14:paraId="00000079">
      <w:pPr>
        <w:pStyle w:val="Heading2"/>
        <w:keepNext w:val="1"/>
        <w:spacing w:after="120" w:before="240" w:lineRule="auto"/>
        <w:ind w:left="0" w:firstLine="0"/>
        <w:jc w:val="left"/>
        <w:rPr>
          <w:sz w:val="24"/>
          <w:szCs w:val="24"/>
        </w:rPr>
      </w:pPr>
      <w:bookmarkStart w:colFirst="0" w:colLast="0" w:name="_2j5ihogpb9zv" w:id="14"/>
      <w:bookmarkEnd w:id="14"/>
      <w:r w:rsidDel="00000000" w:rsidR="00000000" w:rsidRPr="00000000">
        <w:rPr>
          <w:sz w:val="24"/>
          <w:szCs w:val="24"/>
          <w:rtl w:val="0"/>
        </w:rPr>
        <w:t xml:space="preserve">4.4. Falacia del apostador e independencia de los ensayos</w:t>
      </w:r>
    </w:p>
    <w:p w:rsidR="00000000" w:rsidDel="00000000" w:rsidP="00000000" w:rsidRDefault="00000000" w:rsidRPr="00000000" w14:paraId="0000007A">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La falacia del apostador consiste en creer que, después de una serie de pérdidas, una victoria está más próxima o resulta necesaria, aunque los ensayos sean independientes (Clark, 2010). En BetAware, cada apuesta conserva la misma distribución de resultados, independientemente del historial. El ítem de evaluación propuesto es: «Después de varias pérdidas, la próxima apuesta tiene más probabilidades de ganar». La respuesta esperada es rechazar esa afirmación y justificar la independencia de las jugadas.</w:t>
      </w:r>
    </w:p>
    <w:p w:rsidR="00000000" w:rsidDel="00000000" w:rsidP="00000000" w:rsidRDefault="00000000" w:rsidRPr="00000000" w14:paraId="0000007B">
      <w:pPr>
        <w:pStyle w:val="Heading2"/>
        <w:keepNext w:val="1"/>
        <w:spacing w:after="120" w:before="240" w:lineRule="auto"/>
        <w:ind w:left="0" w:firstLine="0"/>
        <w:jc w:val="left"/>
        <w:rPr>
          <w:sz w:val="24"/>
          <w:szCs w:val="24"/>
        </w:rPr>
      </w:pPr>
      <w:bookmarkStart w:colFirst="0" w:colLast="0" w:name="_ohdjv7ubd7sa" w:id="15"/>
      <w:bookmarkEnd w:id="15"/>
      <w:r w:rsidDel="00000000" w:rsidR="00000000" w:rsidRPr="00000000">
        <w:rPr>
          <w:sz w:val="24"/>
          <w:szCs w:val="24"/>
          <w:rtl w:val="0"/>
        </w:rPr>
        <w:t xml:space="preserve">4.5. Sesgo de confirmación y disponibilidad</w:t>
      </w:r>
    </w:p>
    <w:p w:rsidR="00000000" w:rsidDel="00000000" w:rsidP="00000000" w:rsidRDefault="00000000" w:rsidRPr="00000000" w14:paraId="0000007C">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Nickerson (1998) describe el sesgo de confirmación como la búsqueda o interpretación de información que favorece una creencia previa. Por ejemplo, un jugador que cree tener una estrategia eficaz puede usar sus aciertos como prueba y restar importancia a las pérdidas. BetAware confronta esa selección con el historial completo: la evaluación solicitará considerar tanto resultados favorables como desfavorables.</w:t>
      </w:r>
    </w:p>
    <w:p w:rsidR="00000000" w:rsidDel="00000000" w:rsidP="00000000" w:rsidRDefault="00000000" w:rsidRPr="00000000" w14:paraId="0000007D">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Tversky y Kahneman (1974) explican que la disponibilidad puede llevar a estimar la frecuencia de un evento por la facilidad con que se recuerdan ejemplos. Es un mecanismo distinto de la confirmación: recordar una victoria llamativa no equivale necesariamente a buscar pruebas de una creencia. Aquí la disponibilidad se incorpora como concepto complementario para analizar el recuerdo de las jugadas. Los tres sesgos centrales, compartidos por las preguntas, los objetivos y la evaluación, son ilusión de control, falacia del apostador y sesgo de confirmación.</w:t>
      </w:r>
    </w:p>
    <w:p w:rsidR="00000000" w:rsidDel="00000000" w:rsidP="00000000" w:rsidRDefault="00000000" w:rsidRPr="00000000" w14:paraId="0000007E">
      <w:pPr>
        <w:pStyle w:val="Heading2"/>
        <w:keepNext w:val="1"/>
        <w:spacing w:after="120" w:before="240" w:lineRule="auto"/>
        <w:ind w:left="0" w:firstLine="0"/>
        <w:jc w:val="left"/>
        <w:rPr>
          <w:sz w:val="24"/>
          <w:szCs w:val="24"/>
        </w:rPr>
      </w:pPr>
      <w:bookmarkStart w:colFirst="0" w:colLast="0" w:name="_3nslemvukpr7" w:id="16"/>
      <w:bookmarkEnd w:id="16"/>
      <w:r w:rsidDel="00000000" w:rsidR="00000000" w:rsidRPr="00000000">
        <w:rPr>
          <w:sz w:val="24"/>
          <w:szCs w:val="24"/>
          <w:rtl w:val="0"/>
        </w:rPr>
        <w:t xml:space="preserve">4.6. Esperanza matemática negativa, costo de oportunidad y persecución de pérdidas</w:t>
      </w:r>
    </w:p>
    <w:p w:rsidR="00000000" w:rsidDel="00000000" w:rsidP="00000000" w:rsidRDefault="00000000" w:rsidRPr="00000000" w14:paraId="0000007F">
      <w:pPr>
        <w:keepNext w:val="0"/>
        <w:spacing w:after="80" w:before="0" w:line="360" w:lineRule="auto"/>
        <w:ind w:left="0" w:firstLine="709"/>
        <w:jc w:val="both"/>
        <w:rPr>
          <w:rFonts w:ascii="Arial" w:cs="Arial" w:eastAsia="Arial" w:hAnsi="Arial"/>
          <w:color w:val="222222"/>
        </w:rPr>
      </w:pPr>
      <w:r w:rsidDel="00000000" w:rsidR="00000000" w:rsidRPr="00000000">
        <w:rPr>
          <w:rFonts w:ascii="Arial Unicode MS" w:cs="Arial Unicode MS" w:eastAsia="Arial Unicode MS" w:hAnsi="Arial Unicode MS"/>
          <w:color w:val="222222"/>
          <w:rtl w:val="0"/>
        </w:rPr>
        <w:t xml:space="preserve">La esperanza matemática expresa el promedio teórico de los resultados, ponderados por sus probabilidades. Con la distribución prevista para BetAware, el resultado neto esperado por apuesta es E(X) = 0,10 × $500 + 0,20 × $100 + 0,70 × (−$250) = −$105. El cobro bruto esperado es $145 y el retorno esperado sobre los $250 apostados es 58%. Estos valores son cálculos del modelo propuesto, no datos de plataformas comerciales.</w:t>
      </w:r>
    </w:p>
    <w:p w:rsidR="00000000" w:rsidDel="00000000" w:rsidP="00000000" w:rsidRDefault="00000000" w:rsidRPr="00000000" w14:paraId="00000080">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La esperanza negativa no garantiza perder en cada partida de 12 semanas. Puede haber ganancias individuales o rachas favorables; la enseñanza consiste en distinguir esos resultados del promedio esperado. El costo de oportunidad se representa mediante el uso alternativo del mismo presupuesto: apostar reduce el dinero disponible para estudiar, ahorrar o afrontar imprevistos.</w:t>
      </w:r>
    </w:p>
    <w:p w:rsidR="00000000" w:rsidDel="00000000" w:rsidP="00000000" w:rsidRDefault="00000000" w:rsidRPr="00000000" w14:paraId="00000081">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La persecución de pérdidas refiere a continuar apostando para intentar recuperar lo perdido (Clark, 2010). Una nueva apuesta no elimina el riesgo por el hecho de suceder a una pérdida. En el prototipo, el evento «doble o nada» se analizará por separado: si su esperanza es nula, no debe presentarse como ejemplo de esperanza negativa. El playtest observará si el participante identifica alternativas a volver a apostar.</w:t>
      </w:r>
    </w:p>
    <w:p w:rsidR="00000000" w:rsidDel="00000000" w:rsidP="00000000" w:rsidRDefault="00000000" w:rsidRPr="00000000" w14:paraId="00000082">
      <w:pPr>
        <w:pStyle w:val="Heading2"/>
        <w:keepNext w:val="1"/>
        <w:spacing w:after="120" w:before="240" w:lineRule="auto"/>
        <w:ind w:left="0" w:firstLine="0"/>
        <w:jc w:val="left"/>
        <w:rPr>
          <w:sz w:val="24"/>
          <w:szCs w:val="24"/>
        </w:rPr>
      </w:pPr>
      <w:bookmarkStart w:colFirst="0" w:colLast="0" w:name="_1gql1mqu9pjv" w:id="17"/>
      <w:bookmarkEnd w:id="17"/>
      <w:r w:rsidDel="00000000" w:rsidR="00000000" w:rsidRPr="00000000">
        <w:rPr>
          <w:sz w:val="24"/>
          <w:szCs w:val="24"/>
          <w:rtl w:val="0"/>
        </w:rPr>
        <w:t xml:space="preserve">4.7. Serious games, MDA y reflexión posterior</w:t>
      </w:r>
    </w:p>
    <w:p w:rsidR="00000000" w:rsidDel="00000000" w:rsidP="00000000" w:rsidRDefault="00000000" w:rsidRPr="00000000" w14:paraId="00000083">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Djaouti et al. (2011) caracterizan los serious games por la articulación de una dimensión lúdica con una finalidad que excede el entretenimiento. Su modelo G/P/S distingue jugabilidad, propósito y ámbito de aplicación. Esa clasificación ubica a BetAware como una simulación con propósito educativo, pero no acredita su efectividad.</w:t>
      </w:r>
    </w:p>
    <w:p w:rsidR="00000000" w:rsidDel="00000000" w:rsidP="00000000" w:rsidRDefault="00000000" w:rsidRPr="00000000" w14:paraId="00000084">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El modelo MDA de Hunicke et al. (2004) relaciona mecánicas, dinámicas y experiencia del jugador. En BetAware, presupuesto y probabilidades constituyen mecánicas; la administración, la insistencia o la interrupción de las apuestas son dinámicas posibles; la tensión y la reflexión son experiencias buscadas que deberán observarse, no darse por garantizadas.</w:t>
      </w:r>
    </w:p>
    <w:p w:rsidR="00000000" w:rsidDel="00000000" w:rsidP="00000000" w:rsidRDefault="00000000" w:rsidRPr="00000000" w14:paraId="00000085">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Wouters et al. (2013) encontraron ventajas promedio de los serious games para el aprendizaje y la retención frente a métodos convencionales, sin una ventaja significativa general en motivación. Este resultado orienta el proyecto, pero no prueba que cualquier juego educativo funcione. Por eso, BetAware combina decisiones, pausas de reflexión y revisión final, y propone evaluar comprensión por separado de satisfacción y facilidad de uso.</w:t>
      </w:r>
    </w:p>
    <w:p w:rsidR="00000000" w:rsidDel="00000000" w:rsidP="00000000" w:rsidRDefault="00000000" w:rsidRPr="00000000" w14:paraId="00000086">
      <w:pPr>
        <w:pStyle w:val="Heading2"/>
        <w:keepNext w:val="1"/>
        <w:spacing w:after="120" w:before="240" w:lineRule="auto"/>
        <w:ind w:left="0" w:firstLine="0"/>
        <w:jc w:val="left"/>
        <w:rPr>
          <w:sz w:val="24"/>
          <w:szCs w:val="24"/>
        </w:rPr>
      </w:pPr>
      <w:bookmarkStart w:colFirst="0" w:colLast="0" w:name="_38pdelzc8lrm" w:id="18"/>
      <w:bookmarkEnd w:id="18"/>
      <w:r w:rsidDel="00000000" w:rsidR="00000000" w:rsidRPr="00000000">
        <w:rPr>
          <w:sz w:val="24"/>
          <w:szCs w:val="24"/>
          <w:rtl w:val="0"/>
        </w:rPr>
        <w:t xml:space="preserve">4.8. Análisis crítico e integración de los enfoques</w:t>
      </w:r>
    </w:p>
    <w:p w:rsidR="00000000" w:rsidDel="00000000" w:rsidP="00000000" w:rsidRDefault="00000000" w:rsidRPr="00000000" w14:paraId="00000087">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El enfoque conductual explica la relación entre respuestas y recompensas; el cognitivo permite analizar cómo se interpretan los resultados. Son aportes complementarios: experimentar ganancias ocasionales no implica necesariamente sostener una creencia errónea, y reconocer verbalmente un sesgo no garantiza cambiar la conducta fuera del juego. Por eso se registrarán tanto las explicaciones como las decisiones, sin tratarlas como medidas equivalentes.</w:t>
      </w:r>
    </w:p>
    <w:p w:rsidR="00000000" w:rsidDel="00000000" w:rsidP="00000000" w:rsidRDefault="00000000" w:rsidRPr="00000000" w14:paraId="00000088">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Los informes locales permiten dimensionar exposición y prácticas; los trabajos psicológicos aportan conceptos; los antecedentes de videojuegos muestran formas de intervención. Cada tipo de fuente responde a preguntas diferentes. No corresponde inferir eficacia preventiva a partir de una encuesta de prevalencia o de la presentación institucional de un videojuego.</w:t>
      </w:r>
    </w:p>
    <w:p w:rsidR="00000000" w:rsidDel="00000000" w:rsidP="00000000" w:rsidRDefault="00000000" w:rsidRPr="00000000" w14:paraId="00000089">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El aporte propuesto de BetAware es integrar probabilidades visibles, alternativas de uso del presupuesto e historial acumulado en una experiencia situada en la vida estudiantil. Su principal tensión de diseño es permitir ganancias sin que la celebración eclipse la lectura del riesgo. La evaluación deberá comprobar si los participantes comprenden las tres distorsiones centrales y el balance neto, incluso cuando terminan una partida con ganancias.</w:t>
      </w:r>
    </w:p>
    <w:p w:rsidR="00000000" w:rsidDel="00000000" w:rsidP="00000000" w:rsidRDefault="00000000" w:rsidRPr="00000000" w14:paraId="0000008A">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Una medición inmediata pretest–postest con una muestra intencional pequeña puede aportar evidencia exploratoria de aprendizaje. No basta para demostrar prevención sostenida, transferencia a apuestas reales o eficacia clínica. Esas afirmaciones requerirían seguimiento y un diseño de evaluación más amplio.</w:t>
      </w:r>
    </w:p>
    <w:p w:rsidR="00000000" w:rsidDel="00000000" w:rsidP="00000000" w:rsidRDefault="00000000" w:rsidRPr="00000000" w14:paraId="0000008B">
      <w:pPr>
        <w:pStyle w:val="Heading1"/>
        <w:keepNext w:val="1"/>
        <w:spacing w:after="160" w:before="320" w:lineRule="auto"/>
        <w:ind w:left="0" w:firstLine="0"/>
        <w:jc w:val="left"/>
        <w:rPr/>
      </w:pPr>
      <w:bookmarkStart w:colFirst="0" w:colLast="0" w:name="_ry85ddf1o7me" w:id="19"/>
      <w:bookmarkEnd w:id="19"/>
      <w:r w:rsidDel="00000000" w:rsidR="00000000" w:rsidRPr="00000000">
        <w:rPr>
          <w:rtl w:val="0"/>
        </w:rPr>
        <w:t xml:space="preserve">5. Propuesta de Diseño del Videojuego Aplicado (BetAware)</w:t>
      </w:r>
    </w:p>
    <w:p w:rsidR="00000000" w:rsidDel="00000000" w:rsidP="00000000" w:rsidRDefault="00000000" w:rsidRPr="00000000" w14:paraId="0000008C">
      <w:pPr>
        <w:pStyle w:val="Heading2"/>
        <w:keepNext w:val="1"/>
        <w:spacing w:after="120" w:before="240" w:lineRule="auto"/>
        <w:ind w:left="0" w:firstLine="0"/>
        <w:jc w:val="left"/>
        <w:rPr>
          <w:sz w:val="24"/>
          <w:szCs w:val="24"/>
        </w:rPr>
      </w:pPr>
      <w:bookmarkStart w:colFirst="0" w:colLast="0" w:name="_uxrzjfrzcu31" w:id="20"/>
      <w:bookmarkEnd w:id="20"/>
      <w:r w:rsidDel="00000000" w:rsidR="00000000" w:rsidRPr="00000000">
        <w:rPr>
          <w:sz w:val="24"/>
          <w:szCs w:val="24"/>
          <w:rtl w:val="0"/>
        </w:rPr>
        <w:t xml:space="preserve">5.1. Clasificación Metodológica según el Modelo G/P/S (Djaouti et al., 2011)</w:t>
      </w:r>
    </w:p>
    <w:p w:rsidR="00000000" w:rsidDel="00000000" w:rsidP="00000000" w:rsidRDefault="00000000" w:rsidRPr="00000000" w14:paraId="0000008D">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El proyecto se clasifica según el modelo G/P/S:</w:t>
      </w:r>
    </w:p>
    <w:p w:rsidR="00000000" w:rsidDel="00000000" w:rsidP="00000000" w:rsidRDefault="00000000" w:rsidRPr="00000000" w14:paraId="0000008E">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 Gameplay (G): Simulador de gestión de recursos por turnos (Turn-based Resource Management), con decisiones condicionadas y resolución de eventos aleatorios.</w:t>
      </w:r>
    </w:p>
    <w:p w:rsidR="00000000" w:rsidDel="00000000" w:rsidP="00000000" w:rsidRDefault="00000000" w:rsidRPr="00000000" w14:paraId="0000008F">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 Purpose (P): Concientización social (Social Awareness) y revisión de sesgos cognitivos vinculados a la ludopatía digital (Health &amp; Prevention).</w:t>
      </w:r>
    </w:p>
    <w:p w:rsidR="00000000" w:rsidDel="00000000" w:rsidP="00000000" w:rsidRDefault="00000000" w:rsidRPr="00000000" w14:paraId="00000090">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 Scope (S): Salud Pública, Salud Mental y Educación Financiera Crítica para adolescentes y jóvenes en instituciones educativas secundarias.</w:t>
      </w:r>
    </w:p>
    <w:p w:rsidR="00000000" w:rsidDel="00000000" w:rsidP="00000000" w:rsidRDefault="00000000" w:rsidRPr="00000000" w14:paraId="00000091">
      <w:pPr>
        <w:pStyle w:val="Heading2"/>
        <w:keepNext w:val="1"/>
        <w:spacing w:after="120" w:before="240" w:lineRule="auto"/>
        <w:ind w:left="0" w:firstLine="0"/>
        <w:jc w:val="left"/>
        <w:rPr>
          <w:sz w:val="24"/>
          <w:szCs w:val="24"/>
        </w:rPr>
      </w:pPr>
      <w:bookmarkStart w:colFirst="0" w:colLast="0" w:name="_abki8yn1utgy" w:id="21"/>
      <w:bookmarkEnd w:id="21"/>
      <w:r w:rsidDel="00000000" w:rsidR="00000000" w:rsidRPr="00000000">
        <w:rPr>
          <w:sz w:val="24"/>
          <w:szCs w:val="24"/>
          <w:rtl w:val="0"/>
        </w:rPr>
        <w:t xml:space="preserve">5.2. Premisa Lúdica y Estructura Temporal de la Partida</w:t>
      </w:r>
    </w:p>
    <w:p w:rsidR="00000000" w:rsidDel="00000000" w:rsidP="00000000" w:rsidRDefault="00000000" w:rsidRPr="00000000" w14:paraId="00000092">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BetAware pone al jugador en el rol de un estudiante secundario durante 12 semanas simuladas de vida escolar y social. El presupuesto previsto es de $1.000 semanales para administrar entre estudios, ahorro, apuestas e imprevistos. Los montos son parámetros didácticos del modelo; no representan una estimación del gasto real de adolescentes en 2026.</w:t>
      </w:r>
    </w:p>
    <w:p w:rsidR="00000000" w:rsidDel="00000000" w:rsidP="00000000" w:rsidRDefault="00000000" w:rsidRPr="00000000" w14:paraId="00000093">
      <w:pPr>
        <w:pStyle w:val="Heading2"/>
        <w:keepNext w:val="1"/>
        <w:spacing w:after="120" w:before="240" w:lineRule="auto"/>
        <w:ind w:left="0" w:firstLine="0"/>
        <w:jc w:val="left"/>
        <w:rPr>
          <w:sz w:val="24"/>
          <w:szCs w:val="24"/>
        </w:rPr>
      </w:pPr>
      <w:bookmarkStart w:colFirst="0" w:colLast="0" w:name="_f60vi0h3pd4" w:id="22"/>
      <w:bookmarkEnd w:id="22"/>
      <w:r w:rsidDel="00000000" w:rsidR="00000000" w:rsidRPr="00000000">
        <w:rPr>
          <w:sz w:val="24"/>
          <w:szCs w:val="24"/>
          <w:rtl w:val="0"/>
        </w:rPr>
        <w:t xml:space="preserve">5.3. El Árbol Semanal de Decisiones</w:t>
      </w:r>
    </w:p>
    <w:p w:rsidR="00000000" w:rsidDel="00000000" w:rsidP="00000000" w:rsidRDefault="00000000" w:rsidRPr="00000000" w14:paraId="00000094">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En cada semana, el usuario enfrenta un escenario cotidiano y elige una acción. Las tres alternativas económicas principales son estudiar, ahorrar o apostar; el prototipo también incluye la acción de pedir apoyo, según la Sprint Review del equipo.</w:t>
      </w:r>
    </w:p>
    <w:p w:rsidR="00000000" w:rsidDel="00000000" w:rsidP="00000000" w:rsidRDefault="00000000" w:rsidRPr="00000000" w14:paraId="00000095">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 Opción A - Invertir en Estudios ($250): El jugador compra libros, cursos o materiales escolares. Estas compras mejoran su rendimiento académico de manera estable y reducen su índice de estrés a largo plazo.</w:t>
      </w:r>
    </w:p>
    <w:p w:rsidR="00000000" w:rsidDel="00000000" w:rsidP="00000000" w:rsidRDefault="00000000" w:rsidRPr="00000000" w14:paraId="00000096">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 Opción B - Ahorrar ($150): El jugador guarda fondos en una reserva. No ofrece una gratificación inmediata, pero permite afrontar imprevistos.</w:t>
      </w:r>
    </w:p>
    <w:p w:rsidR="00000000" w:rsidDel="00000000" w:rsidP="00000000" w:rsidRDefault="00000000" w:rsidRPr="00000000" w14:paraId="00000097">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 Opción C - Apostar ($250): Antes de confirmar, se informa un 10% de probabilidad de obtener $500 netos, un 20% de obtener $100 netos y un 70% de perder $250. Los cobros brutos correspondientes son $750, $350 y $0. Las probabilidades permanecen fijas y las jugadas se resuelven de forma independiente.</w:t>
      </w:r>
    </w:p>
    <w:p w:rsidR="00000000" w:rsidDel="00000000" w:rsidP="00000000" w:rsidRDefault="00000000" w:rsidRPr="00000000" w14:paraId="00000098">
      <w:pPr>
        <w:pStyle w:val="Heading2"/>
        <w:keepNext w:val="1"/>
        <w:spacing w:after="120" w:before="240" w:lineRule="auto"/>
        <w:ind w:left="0" w:firstLine="0"/>
        <w:jc w:val="left"/>
        <w:rPr>
          <w:sz w:val="24"/>
          <w:szCs w:val="24"/>
        </w:rPr>
      </w:pPr>
      <w:bookmarkStart w:colFirst="0" w:colLast="0" w:name="_p81ktabdhi6a" w:id="23"/>
      <w:bookmarkEnd w:id="23"/>
      <w:r w:rsidDel="00000000" w:rsidR="00000000" w:rsidRPr="00000000">
        <w:rPr>
          <w:sz w:val="24"/>
          <w:szCs w:val="24"/>
          <w:rtl w:val="0"/>
        </w:rPr>
        <w:t xml:space="preserve">5.4. Decisión de Diseño: Permitir Ganar</w:t>
      </w:r>
    </w:p>
    <w:p w:rsidR="00000000" w:rsidDel="00000000" w:rsidP="00000000" w:rsidRDefault="00000000" w:rsidRPr="00000000" w14:paraId="00000099">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BetAware permite ganar jugadas aisladas y experimentar rachas favorables. Es una decisión de diseño para discutir la diferencia entre el resultado de una partida y la esperanza matemática negativa; no se fuerza una derrota final para cada jugador.</w:t>
      </w:r>
    </w:p>
    <w:p w:rsidR="00000000" w:rsidDel="00000000" w:rsidP="00000000" w:rsidRDefault="00000000" w:rsidRPr="00000000" w14:paraId="0000009A">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 Representación del Refuerzo Intermitente: Las recompensas ocasionales se incorporan como aplicación del enfoque de Ferster y Skinner (1957). El objetivo es que el usuario analice la persistencia de la apuesta y sus consecuencias. El prototipo no mide actividad neuroquímica ni permite afirmar que reproduce una adicción.</w:t>
      </w:r>
    </w:p>
    <w:p w:rsidR="00000000" w:rsidDel="00000000" w:rsidP="00000000" w:rsidRDefault="00000000" w:rsidRPr="00000000" w14:paraId="0000009B">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 Hipótesis de Diseño sobre Credibilidad: Permitir resultados favorables podría hacer más verosímil la experiencia que imponer pérdidas en todas las jugadas. Es una hipótesis del equipo que se contrastará en el playtest, junto con el riesgo de que una victoria refuerce una interpretación errónea.</w:t>
      </w:r>
    </w:p>
    <w:p w:rsidR="00000000" w:rsidDel="00000000" w:rsidP="00000000" w:rsidRDefault="00000000" w:rsidRPr="00000000" w14:paraId="0000009C">
      <w:pPr>
        <w:pStyle w:val="Heading2"/>
        <w:keepNext w:val="1"/>
        <w:spacing w:after="120" w:before="240" w:lineRule="auto"/>
        <w:ind w:left="0" w:firstLine="0"/>
        <w:jc w:val="left"/>
        <w:rPr>
          <w:sz w:val="24"/>
          <w:szCs w:val="24"/>
        </w:rPr>
      </w:pPr>
      <w:bookmarkStart w:colFirst="0" w:colLast="0" w:name="_9pc3duecgbgd" w:id="24"/>
      <w:bookmarkEnd w:id="24"/>
      <w:r w:rsidDel="00000000" w:rsidR="00000000" w:rsidRPr="00000000">
        <w:rPr>
          <w:sz w:val="24"/>
          <w:szCs w:val="24"/>
          <w:rtl w:val="0"/>
        </w:rPr>
        <w:t xml:space="preserve">5.5. Eventos Imprevistos y Persecución de Pérdidas (Chasing Losses)</w:t>
      </w:r>
    </w:p>
    <w:p w:rsidR="00000000" w:rsidDel="00000000" w:rsidP="00000000" w:rsidRDefault="00000000" w:rsidRPr="00000000" w14:paraId="0000009D">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Durante las 12 semanas pueden ocurrir eventos cotidianos, por ejemplo: 'Se dañó la pantalla de tu notebook de estudio. Costo de reparación: $350'.</w:t>
      </w:r>
    </w:p>
    <w:p w:rsidR="00000000" w:rsidDel="00000000" w:rsidP="00000000" w:rsidRDefault="00000000" w:rsidRPr="00000000" w14:paraId="0000009E">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 Resolución Vía Ahorro: Si el usuario ahorró en semanas previas, puede cubrir el imprevisto y comprobar el valor del autocontrol financiero.</w:t>
      </w:r>
    </w:p>
    <w:p w:rsidR="00000000" w:rsidDel="00000000" w:rsidP="00000000" w:rsidRDefault="00000000" w:rsidRPr="00000000" w14:paraId="0000009F">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 Persecución de Pérdidas: El evento de volver a apostar después de perder permite representar el intento de recuperar dinero mediante una nueva apuesta (Clark, 2010). La oferta «doble o nada» no garantiza recuperar lo perdido. Su esperanza nula, señalada en la Sprint Review, deberá explicarse y distinguirse de la apuesta principal de esperanza negativa; la claridad de esa diferencia es una corrección pendiente del prototipo.</w:t>
      </w:r>
    </w:p>
    <w:p w:rsidR="00000000" w:rsidDel="00000000" w:rsidP="00000000" w:rsidRDefault="00000000" w:rsidRPr="00000000" w14:paraId="000000A0">
      <w:pPr>
        <w:pStyle w:val="Heading2"/>
        <w:keepNext w:val="1"/>
        <w:spacing w:after="120" w:before="240" w:lineRule="auto"/>
        <w:ind w:left="0" w:firstLine="0"/>
        <w:jc w:val="left"/>
        <w:rPr>
          <w:sz w:val="24"/>
          <w:szCs w:val="24"/>
        </w:rPr>
      </w:pPr>
      <w:bookmarkStart w:colFirst="0" w:colLast="0" w:name="_paml45r8wafk" w:id="25"/>
      <w:bookmarkEnd w:id="25"/>
      <w:r w:rsidDel="00000000" w:rsidR="00000000" w:rsidRPr="00000000">
        <w:rPr>
          <w:sz w:val="24"/>
          <w:szCs w:val="24"/>
          <w:rtl w:val="0"/>
        </w:rPr>
        <w:t xml:space="preserve">5.6. Arquitectura de Interfaz: Pantalla Dividida entre Presente e Historial</w:t>
      </w:r>
    </w:p>
    <w:p w:rsidR="00000000" w:rsidDel="00000000" w:rsidP="00000000" w:rsidRDefault="00000000" w:rsidRPr="00000000" w14:paraId="000000A1">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La interfaz tiene dos paneles:</w:t>
      </w:r>
    </w:p>
    <w:p w:rsidR="00000000" w:rsidDel="00000000" w:rsidP="00000000" w:rsidRDefault="00000000" w:rsidRPr="00000000" w14:paraId="000000A2">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 Panel del Presente: Muestra la situación de la semana, las acciones disponibles y las probabilidades. La versión descrita en la Sprint Review utiliza indicadores de billetera, ahorro, estudio, bienestar y exposición. Se comprobará si sus etiquetas resultan comprensibles para la población destinataria.</w:t>
      </w:r>
    </w:p>
    <w:p w:rsidR="00000000" w:rsidDel="00000000" w:rsidP="00000000" w:rsidRDefault="00000000" w:rsidRPr="00000000" w14:paraId="000000A3">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 Panel Derecho (La Trayectoria / El Historial de Vida): Incluye una bitácora vertical que resume la semana, la decisión, el resultado financiero y el saldo restante. Permite ver la relación entre las decisiones y sus consecuencias.</w:t>
      </w:r>
    </w:p>
    <w:p w:rsidR="00000000" w:rsidDel="00000000" w:rsidP="00000000" w:rsidRDefault="00000000" w:rsidRPr="00000000" w14:paraId="000000A4">
      <w:pPr>
        <w:pStyle w:val="Heading2"/>
        <w:keepNext w:val="1"/>
        <w:spacing w:after="120" w:before="240" w:lineRule="auto"/>
        <w:ind w:left="0" w:firstLine="0"/>
        <w:jc w:val="left"/>
        <w:rPr>
          <w:sz w:val="24"/>
          <w:szCs w:val="24"/>
        </w:rPr>
      </w:pPr>
      <w:bookmarkStart w:colFirst="0" w:colLast="0" w:name="_ylears34ee9j" w:id="26"/>
      <w:bookmarkEnd w:id="26"/>
      <w:r w:rsidDel="00000000" w:rsidR="00000000" w:rsidRPr="00000000">
        <w:rPr>
          <w:sz w:val="24"/>
          <w:szCs w:val="24"/>
          <w:rtl w:val="0"/>
        </w:rPr>
        <w:t xml:space="preserve">5.7. Pantalla de Cierre y Reflexión Cognitiva</w:t>
      </w:r>
    </w:p>
    <w:p w:rsidR="00000000" w:rsidDel="00000000" w:rsidP="00000000" w:rsidRDefault="00000000" w:rsidRPr="00000000" w14:paraId="000000A5">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Al terminar la semana 12, se presenta una auditoría del dinero apostado, cobrado y del resultado neto. El cierre permite contrastar el recuerdo de las jugadas con el balance completo y discutir confirmación y disponibilidad (Nickerson, 1998; Tversky &amp; Kahneman, 1974). El siguiente ejemplo es ilustrativo; no es un resultado de playtesting:</w:t>
      </w:r>
    </w:p>
    <w:p w:rsidR="00000000" w:rsidDel="00000000" w:rsidP="00000000" w:rsidRDefault="00000000" w:rsidRPr="00000000" w14:paraId="000000A6">
      <w:pPr>
        <w:keepNext w:val="0"/>
        <w:spacing w:after="80" w:before="0" w:line="360" w:lineRule="auto"/>
        <w:ind w:left="0" w:firstLine="709"/>
        <w:jc w:val="both"/>
        <w:rPr>
          <w:rFonts w:ascii="Arial" w:cs="Arial" w:eastAsia="Arial" w:hAnsi="Arial"/>
          <w:color w:val="222222"/>
        </w:rPr>
      </w:pPr>
      <w:r w:rsidDel="00000000" w:rsidR="00000000" w:rsidRPr="00000000">
        <w:rPr>
          <w:rFonts w:ascii="Arial Unicode MS" w:cs="Arial Unicode MS" w:eastAsia="Arial Unicode MS" w:hAnsi="Arial Unicode MS"/>
          <w:color w:val="222222"/>
          <w:rtl w:val="0"/>
        </w:rPr>
        <w:t xml:space="preserve">Resumen Financiero: «12 apuestas de $250: total apostado, $3.000. Dos ganancias altas, dos ganancias leves y ocho pérdidas: total cobrado, $2.200. Resultado neto en apuestas: −$800». El saldo general y los ahorros se muestran por separado, porque no equivalen al resultado neto de apostar.</w:t>
      </w:r>
    </w:p>
    <w:p w:rsidR="00000000" w:rsidDel="00000000" w:rsidP="00000000" w:rsidRDefault="00000000" w:rsidRPr="00000000" w14:paraId="000000A7">
      <w:pPr>
        <w:keepNext w:val="0"/>
        <w:spacing w:after="80" w:before="0" w:line="360" w:lineRule="auto"/>
        <w:ind w:left="0" w:firstLine="709"/>
        <w:jc w:val="both"/>
        <w:rPr>
          <w:rFonts w:ascii="Arial" w:cs="Arial" w:eastAsia="Arial" w:hAnsi="Arial"/>
          <w:color w:val="222222"/>
        </w:rPr>
      </w:pPr>
      <w:r w:rsidDel="00000000" w:rsidR="00000000" w:rsidRPr="00000000">
        <w:rPr>
          <w:rFonts w:ascii="Arial Unicode MS" w:cs="Arial Unicode MS" w:eastAsia="Arial Unicode MS" w:hAnsi="Arial Unicode MS"/>
          <w:color w:val="222222"/>
          <w:rtl w:val="0"/>
        </w:rPr>
        <w:t xml:space="preserve">Mensaje de Reflexión: «Ganaste 4 de 12 apuestas y el balance de apuestas fue de −$800. ¿Qué recordabas mejor: las ganancias o las pérdidas? Revisá la trayectoria completa. Ganar alguna jugada no cambia las probabilidades de la siguiente». Si otra partida termina con ganancias, el cierre mostrará ese resultado y explicará que no modifica la esperanza matemática.</w:t>
      </w:r>
    </w:p>
    <w:p w:rsidR="00000000" w:rsidDel="00000000" w:rsidP="00000000" w:rsidRDefault="00000000" w:rsidRPr="00000000" w14:paraId="000000A8">
      <w:pPr>
        <w:pStyle w:val="Heading1"/>
        <w:keepNext w:val="1"/>
        <w:spacing w:after="160" w:before="320" w:lineRule="auto"/>
        <w:ind w:left="0" w:firstLine="0"/>
        <w:jc w:val="left"/>
        <w:rPr/>
      </w:pPr>
      <w:bookmarkStart w:colFirst="0" w:colLast="0" w:name="_7azkepgjlzrz" w:id="27"/>
      <w:bookmarkEnd w:id="27"/>
      <w:r w:rsidDel="00000000" w:rsidR="00000000" w:rsidRPr="00000000">
        <w:rPr>
          <w:rtl w:val="0"/>
        </w:rPr>
        <w:t xml:space="preserve">6. Metodología de Validación y Pruebas de Usuario</w:t>
      </w:r>
    </w:p>
    <w:p w:rsidR="00000000" w:rsidDel="00000000" w:rsidP="00000000" w:rsidRDefault="00000000" w:rsidRPr="00000000" w14:paraId="000000A9">
      <w:pPr>
        <w:pStyle w:val="Heading2"/>
        <w:keepNext w:val="1"/>
        <w:spacing w:after="120" w:before="240" w:lineRule="auto"/>
        <w:ind w:left="0" w:firstLine="0"/>
        <w:jc w:val="left"/>
        <w:rPr>
          <w:sz w:val="24"/>
          <w:szCs w:val="24"/>
        </w:rPr>
      </w:pPr>
      <w:bookmarkStart w:colFirst="0" w:colLast="0" w:name="_ojr8kmdg7fdo" w:id="28"/>
      <w:bookmarkEnd w:id="28"/>
      <w:r w:rsidDel="00000000" w:rsidR="00000000" w:rsidRPr="00000000">
        <w:rPr>
          <w:sz w:val="24"/>
          <w:szCs w:val="24"/>
          <w:rtl w:val="0"/>
        </w:rPr>
        <w:t xml:space="preserve">6.1. Protocolo de Playtesting Formativo</w:t>
      </w:r>
    </w:p>
    <w:p w:rsidR="00000000" w:rsidDel="00000000" w:rsidP="00000000" w:rsidRDefault="00000000" w:rsidRPr="00000000" w14:paraId="000000AA">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El prototipo se someterá a sesiones de playtesting cualitativo y cuantitativo con una muestra intencional de 15 a 20 estudiantes secundarios de 13 a 17 años de CABA. Se usarán protocolos de pensamiento en voz alta (Think Aloud) y observación directa no intrusiva para evaluar la usabilidad, la comprensión de la interfaz y la curva de frustración.</w:t>
      </w:r>
    </w:p>
    <w:p w:rsidR="00000000" w:rsidDel="00000000" w:rsidP="00000000" w:rsidRDefault="00000000" w:rsidRPr="00000000" w14:paraId="000000AB">
      <w:pPr>
        <w:pStyle w:val="Heading2"/>
        <w:keepNext w:val="1"/>
        <w:spacing w:after="120" w:before="240" w:lineRule="auto"/>
        <w:ind w:left="0" w:firstLine="0"/>
        <w:jc w:val="left"/>
        <w:rPr>
          <w:sz w:val="24"/>
          <w:szCs w:val="24"/>
        </w:rPr>
      </w:pPr>
      <w:bookmarkStart w:colFirst="0" w:colLast="0" w:name="_y5dvzemwkuf" w:id="29"/>
      <w:bookmarkEnd w:id="29"/>
      <w:r w:rsidDel="00000000" w:rsidR="00000000" w:rsidRPr="00000000">
        <w:rPr>
          <w:sz w:val="24"/>
          <w:szCs w:val="24"/>
          <w:rtl w:val="0"/>
        </w:rPr>
        <w:t xml:space="preserve">6.2. Evaluación Exploratoria Pretest y Postest</w:t>
      </w:r>
    </w:p>
    <w:p w:rsidR="00000000" w:rsidDel="00000000" w:rsidP="00000000" w:rsidRDefault="00000000" w:rsidRPr="00000000" w14:paraId="000000AC">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Se administrará un cuestionario antes de jugar y otro inmediatamente después, con los mismos conceptos y criterios de corrección definidos previamente con Psicología. El instrumento será elaborado para el proyecto y probado en un piloto; no se lo presenta como una escala estandarizada o validada.</w:t>
      </w:r>
    </w:p>
    <w:p w:rsidR="00000000" w:rsidDel="00000000" w:rsidP="00000000" w:rsidRDefault="00000000" w:rsidRPr="00000000" w14:paraId="000000AD">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 Medición Pretest: Registra familiaridad con apuestas y explora los tres sesgos centrales. Ejemplos de afirmaciones a discutir: ilusión de control, «Elegir el momento de apostar mejora mis chances en este simulador»; falacia del apostador, «Después de varias pérdidas, ahora es más probable ganar»; confirmación, «Para evaluar mi estrategia alcanza con revisar las jugadas que gané». Se solicitará justificar la respuesta, además de marcar acuerdo o desacuerdo.</w:t>
      </w:r>
    </w:p>
    <w:p w:rsidR="00000000" w:rsidDel="00000000" w:rsidP="00000000" w:rsidRDefault="00000000" w:rsidRPr="00000000" w14:paraId="000000AE">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 Medición Postest: Repite los conceptos del pretest, evalúa la lectura de probabilidades, cobro bruto y resultado neto, e incluye una situación nueva para explorar transferencia conceptual. Las respuestas correctas deberán rechazar las tres afirmaciones y explicar, respectivamente, la ausencia de control sobre el azar, la independencia de las jugadas y la necesidad de revisar también las pérdidas.</w:t>
      </w:r>
    </w:p>
    <w:p w:rsidR="00000000" w:rsidDel="00000000" w:rsidP="00000000" w:rsidRDefault="00000000" w:rsidRPr="00000000" w14:paraId="000000AF">
      <w:pPr>
        <w:keepNext w:val="0"/>
        <w:spacing w:after="80" w:before="0" w:line="360" w:lineRule="auto"/>
        <w:ind w:left="0" w:firstLine="709"/>
        <w:jc w:val="both"/>
        <w:rPr>
          <w:rFonts w:ascii="Arial" w:cs="Arial" w:eastAsia="Arial" w:hAnsi="Arial"/>
          <w:color w:val="222222"/>
        </w:rPr>
      </w:pPr>
      <w:r w:rsidDel="00000000" w:rsidR="00000000" w:rsidRPr="00000000">
        <w:rPr>
          <w:rFonts w:ascii="Arial Unicode MS" w:cs="Arial Unicode MS" w:eastAsia="Arial Unicode MS" w:hAnsi="Arial Unicode MS"/>
          <w:color w:val="222222"/>
          <w:rtl w:val="0"/>
        </w:rPr>
        <w:t xml:space="preserve">• Criterio de Éxito Académico: La meta del OE 4 es una mejora relativa mínima del 25% en la proporción grupal de respuestas correctas sobre ilusión de control: [(proporción postest − proporción pretest) / proporción pretest] × 100. Por ejemplo, pasar de 40% a 50% implica una mejora relativa del 25% y una diferencia de 10 puntos porcentuales. Si el valor inicial es cero, se informará la diferencia en puntos porcentuales. Se reportarán también el número de participantes y los cambios en los otros dos sesgos. Alcanzar esta meta indica un resultado inicial favorable; no valida por sí solo eficacia preventiva o clínica.</w:t>
      </w:r>
    </w:p>
    <w:p w:rsidR="00000000" w:rsidDel="00000000" w:rsidP="00000000" w:rsidRDefault="00000000" w:rsidRPr="00000000" w14:paraId="000000B0">
      <w:pPr>
        <w:pStyle w:val="Heading2"/>
        <w:keepNext w:val="1"/>
        <w:spacing w:after="120" w:before="240" w:lineRule="auto"/>
        <w:ind w:left="0" w:firstLine="0"/>
        <w:jc w:val="left"/>
        <w:rPr>
          <w:sz w:val="24"/>
          <w:szCs w:val="24"/>
        </w:rPr>
      </w:pPr>
      <w:bookmarkStart w:colFirst="0" w:colLast="0" w:name="_knumhwbkq7kt" w:id="30"/>
      <w:bookmarkEnd w:id="30"/>
      <w:r w:rsidDel="00000000" w:rsidR="00000000" w:rsidRPr="00000000">
        <w:rPr>
          <w:sz w:val="24"/>
          <w:szCs w:val="24"/>
          <w:rtl w:val="0"/>
        </w:rPr>
        <w:t xml:space="preserve">6.3. Preguntas Clave para la Instancia de Peer Review</w:t>
      </w:r>
    </w:p>
    <w:p w:rsidR="00000000" w:rsidDel="00000000" w:rsidP="00000000" w:rsidRDefault="00000000" w:rsidRPr="00000000" w14:paraId="000000B1">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Para someter la propuesta a la revisión de los equipos pares, se plantean cuatro preguntas:</w:t>
      </w:r>
    </w:p>
    <w:p w:rsidR="00000000" w:rsidDel="00000000" w:rsidP="00000000" w:rsidRDefault="00000000" w:rsidRPr="00000000" w14:paraId="000000B2">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 1. Aceptación del Género: ¿El formato de simulación financiera por turnos resulta lo suficientemente atractivo para un adolescente, o requiere mayor dinamismo visual y minijuegos arcade?</w:t>
      </w:r>
    </w:p>
    <w:p w:rsidR="00000000" w:rsidDel="00000000" w:rsidP="00000000" w:rsidRDefault="00000000" w:rsidRPr="00000000" w14:paraId="000000B3">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 2. Calibración de la Frustración: ¿La experiencia de quedar en bancarrota por apuestas genera una reflexión constructiva en el usuario o puede provocar abandono prematuro del software?</w:t>
      </w:r>
    </w:p>
    <w:p w:rsidR="00000000" w:rsidDel="00000000" w:rsidP="00000000" w:rsidRDefault="00000000" w:rsidRPr="00000000" w14:paraId="000000B4">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 3. Tono y Resonancia Cultural: ¿El vocabulario de los dilemas y las situaciones de la vida escolar resulta genuino y verosímil para adolescentes de 13 a 17 años?</w:t>
      </w:r>
    </w:p>
    <w:p w:rsidR="00000000" w:rsidDel="00000000" w:rsidP="00000000" w:rsidRDefault="00000000" w:rsidRPr="00000000" w14:paraId="000000B5">
      <w:pPr>
        <w:keepNext w:val="0"/>
        <w:spacing w:after="80" w:before="0" w:line="360" w:lineRule="auto"/>
        <w:ind w:left="0" w:firstLine="709"/>
        <w:jc w:val="both"/>
        <w:rPr>
          <w:rFonts w:ascii="Arial" w:cs="Arial" w:eastAsia="Arial" w:hAnsi="Arial"/>
          <w:color w:val="222222"/>
        </w:rPr>
      </w:pPr>
      <w:r w:rsidDel="00000000" w:rsidR="00000000" w:rsidRPr="00000000">
        <w:rPr>
          <w:rFonts w:ascii="Arial" w:cs="Arial" w:eastAsia="Arial" w:hAnsi="Arial"/>
          <w:color w:val="222222"/>
          <w:rtl w:val="0"/>
        </w:rPr>
        <w:t xml:space="preserve">• 4. Transferencia al Mundo Real: ¿Visualizar la auditoría contable final puede ayudar a frenar una conducta de apuesta en una app real?</w:t>
      </w:r>
    </w:p>
    <w:p w:rsidR="00000000" w:rsidDel="00000000" w:rsidP="00000000" w:rsidRDefault="00000000" w:rsidRPr="00000000" w14:paraId="000000B6">
      <w:pPr>
        <w:pStyle w:val="Heading1"/>
        <w:keepNext w:val="1"/>
        <w:spacing w:after="160" w:before="320" w:lineRule="auto"/>
        <w:ind w:left="0" w:firstLine="0"/>
        <w:jc w:val="left"/>
        <w:rPr/>
      </w:pPr>
      <w:bookmarkStart w:colFirst="0" w:colLast="0" w:name="_eskok7tvdhdi" w:id="31"/>
      <w:bookmarkEnd w:id="31"/>
      <w:r w:rsidDel="00000000" w:rsidR="00000000" w:rsidRPr="00000000">
        <w:rPr>
          <w:rtl w:val="0"/>
        </w:rPr>
        <w:t xml:space="preserve">7. Referencias Bibliográficas</w:t>
      </w:r>
    </w:p>
    <w:p w:rsidR="00000000" w:rsidDel="00000000" w:rsidP="00000000" w:rsidRDefault="00000000" w:rsidRPr="00000000" w14:paraId="000000B7">
      <w:pPr>
        <w:keepNext w:val="0"/>
        <w:spacing w:after="0" w:before="0" w:line="480" w:lineRule="auto"/>
        <w:ind w:left="720" w:hanging="720"/>
        <w:jc w:val="left"/>
        <w:rPr>
          <w:rFonts w:ascii="Arial" w:cs="Arial" w:eastAsia="Arial" w:hAnsi="Arial"/>
          <w:color w:val="222222"/>
        </w:rPr>
      </w:pPr>
      <w:r w:rsidDel="00000000" w:rsidR="00000000" w:rsidRPr="00000000">
        <w:rPr>
          <w:rFonts w:ascii="Arial" w:cs="Arial" w:eastAsia="Arial" w:hAnsi="Arial"/>
          <w:color w:val="222222"/>
          <w:rtl w:val="0"/>
        </w:rPr>
        <w:t xml:space="preserve">Clark, L. (2010). Decision-making during gambling: An integration of cognitive and psychobiological approaches. </w:t>
      </w:r>
      <w:r w:rsidDel="00000000" w:rsidR="00000000" w:rsidRPr="00000000">
        <w:rPr>
          <w:rFonts w:ascii="Arial" w:cs="Arial" w:eastAsia="Arial" w:hAnsi="Arial"/>
          <w:i w:val="1"/>
          <w:iCs w:val="1"/>
          <w:color w:val="222222"/>
          <w:rtl w:val="0"/>
        </w:rPr>
        <w:t xml:space="preserve">Philosophical Transactions of the Royal Society B: Biological Sciences, 365</w:t>
      </w:r>
      <w:r w:rsidDel="00000000" w:rsidR="00000000" w:rsidRPr="00000000">
        <w:rPr>
          <w:rFonts w:ascii="Arial" w:cs="Arial" w:eastAsia="Arial" w:hAnsi="Arial"/>
          <w:color w:val="222222"/>
          <w:rtl w:val="0"/>
        </w:rPr>
        <w:t xml:space="preserve">(1538), 319–330. </w:t>
      </w:r>
      <w:hyperlink r:id="rId6">
        <w:r w:rsidDel="00000000" w:rsidR="00000000" w:rsidRPr="00000000">
          <w:rPr>
            <w:rFonts w:ascii="Arial" w:cs="Arial" w:eastAsia="Arial" w:hAnsi="Arial"/>
            <w:color w:val="1155cc"/>
            <w:u w:val="single"/>
            <w:rtl w:val="0"/>
          </w:rPr>
          <w:t xml:space="preserve">https://doi.org/10.1098/rstb.2009.0147</w:t>
        </w:r>
      </w:hyperlink>
      <w:r w:rsidDel="00000000" w:rsidR="00000000" w:rsidRPr="00000000">
        <w:rPr>
          <w:rtl w:val="0"/>
        </w:rPr>
      </w:r>
    </w:p>
    <w:p w:rsidR="00000000" w:rsidDel="00000000" w:rsidP="00000000" w:rsidRDefault="00000000" w:rsidRPr="00000000" w14:paraId="000000B8">
      <w:pPr>
        <w:keepNext w:val="0"/>
        <w:spacing w:after="0" w:before="0" w:line="480" w:lineRule="auto"/>
        <w:ind w:left="720" w:hanging="720"/>
        <w:jc w:val="left"/>
        <w:rPr>
          <w:rFonts w:ascii="Arial" w:cs="Arial" w:eastAsia="Arial" w:hAnsi="Arial"/>
          <w:color w:val="222222"/>
        </w:rPr>
      </w:pPr>
      <w:r w:rsidDel="00000000" w:rsidR="00000000" w:rsidRPr="00000000">
        <w:rPr>
          <w:rFonts w:ascii="Arial" w:cs="Arial" w:eastAsia="Arial" w:hAnsi="Arial"/>
          <w:color w:val="222222"/>
          <w:rtl w:val="0"/>
        </w:rPr>
        <w:t xml:space="preserve">Colegio Universitario Central. (2024, 21 de octubre). </w:t>
      </w:r>
      <w:r w:rsidDel="00000000" w:rsidR="00000000" w:rsidRPr="00000000">
        <w:rPr>
          <w:rFonts w:ascii="Arial" w:cs="Arial" w:eastAsia="Arial" w:hAnsi="Arial"/>
          <w:i w:val="1"/>
          <w:iCs w:val="1"/>
          <w:color w:val="222222"/>
          <w:rtl w:val="0"/>
        </w:rPr>
        <w:t xml:space="preserve">Un estudiante del CUC creó un video juego para concientizar sobre la ciberludopatia y fue entrevistado por diario UNO</w:t>
      </w:r>
      <w:r w:rsidDel="00000000" w:rsidR="00000000" w:rsidRPr="00000000">
        <w:rPr>
          <w:rFonts w:ascii="Arial" w:cs="Arial" w:eastAsia="Arial" w:hAnsi="Arial"/>
          <w:color w:val="222222"/>
          <w:rtl w:val="0"/>
        </w:rPr>
        <w:t xml:space="preserve">. Universidad Nacional de Cuyo. </w:t>
      </w:r>
      <w:hyperlink r:id="rId7">
        <w:r w:rsidDel="00000000" w:rsidR="00000000" w:rsidRPr="00000000">
          <w:rPr>
            <w:rFonts w:ascii="Arial" w:cs="Arial" w:eastAsia="Arial" w:hAnsi="Arial"/>
            <w:color w:val="1155cc"/>
            <w:u w:val="single"/>
            <w:rtl w:val="0"/>
          </w:rPr>
          <w:t xml:space="preserve">https://cuc.uncuyo.edu.ar/un-estudiante-del-cuc-creo-un-video-juego-para-concientizar-sobre-la-ciberludopatia-y-fue-entrevistado-por-diario-uno</w:t>
        </w:r>
      </w:hyperlink>
      <w:r w:rsidDel="00000000" w:rsidR="00000000" w:rsidRPr="00000000">
        <w:rPr>
          <w:rtl w:val="0"/>
        </w:rPr>
      </w:r>
    </w:p>
    <w:p w:rsidR="00000000" w:rsidDel="00000000" w:rsidP="00000000" w:rsidRDefault="00000000" w:rsidRPr="00000000" w14:paraId="000000B9">
      <w:pPr>
        <w:keepNext w:val="0"/>
        <w:spacing w:after="0" w:before="0" w:line="480" w:lineRule="auto"/>
        <w:ind w:left="720" w:hanging="720"/>
        <w:jc w:val="left"/>
        <w:rPr>
          <w:rFonts w:ascii="Arial" w:cs="Arial" w:eastAsia="Arial" w:hAnsi="Arial"/>
          <w:color w:val="222222"/>
        </w:rPr>
      </w:pPr>
      <w:r w:rsidDel="00000000" w:rsidR="00000000" w:rsidRPr="00000000">
        <w:rPr>
          <w:rFonts w:ascii="Arial" w:cs="Arial" w:eastAsia="Arial" w:hAnsi="Arial"/>
          <w:color w:val="222222"/>
          <w:rtl w:val="0"/>
        </w:rPr>
        <w:t xml:space="preserve">Cruz Roja Argentina, Observatorio Humanitario. (2025). </w:t>
      </w:r>
      <w:r w:rsidDel="00000000" w:rsidR="00000000" w:rsidRPr="00000000">
        <w:rPr>
          <w:rFonts w:ascii="Arial" w:cs="Arial" w:eastAsia="Arial" w:hAnsi="Arial"/>
          <w:i w:val="1"/>
          <w:iCs w:val="1"/>
          <w:color w:val="222222"/>
          <w:rtl w:val="0"/>
        </w:rPr>
        <w:t xml:space="preserve">Apuestas online y adolescencia: Construyendo entornos seguros. Encuesta nacional en escuelas secundarias</w:t>
      </w:r>
      <w:r w:rsidDel="00000000" w:rsidR="00000000" w:rsidRPr="00000000">
        <w:rPr>
          <w:rFonts w:ascii="Arial" w:cs="Arial" w:eastAsia="Arial" w:hAnsi="Arial"/>
          <w:color w:val="222222"/>
          <w:rtl w:val="0"/>
        </w:rPr>
        <w:t xml:space="preserve">. </w:t>
      </w:r>
      <w:hyperlink r:id="rId8">
        <w:r w:rsidDel="00000000" w:rsidR="00000000" w:rsidRPr="00000000">
          <w:rPr>
            <w:rFonts w:ascii="Arial" w:cs="Arial" w:eastAsia="Arial" w:hAnsi="Arial"/>
            <w:color w:val="1155cc"/>
            <w:u w:val="single"/>
            <w:rtl w:val="0"/>
          </w:rPr>
          <w:t xml:space="preserve">https://cruzroja.org.ar/observatorio-humanitario/wp-content/uploads/2025/12/INFORME-APUESTAS-ONLINE-Y-ADOLESCENCIA-pdf.pdf</w:t>
        </w:r>
      </w:hyperlink>
      <w:r w:rsidDel="00000000" w:rsidR="00000000" w:rsidRPr="00000000">
        <w:rPr>
          <w:rtl w:val="0"/>
        </w:rPr>
      </w:r>
    </w:p>
    <w:p w:rsidR="00000000" w:rsidDel="00000000" w:rsidP="00000000" w:rsidRDefault="00000000" w:rsidRPr="00000000" w14:paraId="000000BA">
      <w:pPr>
        <w:keepNext w:val="0"/>
        <w:spacing w:after="0" w:before="0" w:line="480" w:lineRule="auto"/>
        <w:ind w:left="720" w:hanging="720"/>
        <w:jc w:val="left"/>
        <w:rPr>
          <w:rFonts w:ascii="Arial" w:cs="Arial" w:eastAsia="Arial" w:hAnsi="Arial"/>
          <w:color w:val="222222"/>
        </w:rPr>
      </w:pPr>
      <w:r w:rsidDel="00000000" w:rsidR="00000000" w:rsidRPr="00000000">
        <w:rPr>
          <w:rFonts w:ascii="Arial" w:cs="Arial" w:eastAsia="Arial" w:hAnsi="Arial"/>
          <w:color w:val="222222"/>
          <w:rtl w:val="0"/>
        </w:rPr>
        <w:t xml:space="preserve">Djaouti, D., Alvarez, J., &amp; Jessel, J.-P. (2011). Classifying serious games: The G/P/S model. En P. Felicia (Ed.), </w:t>
      </w:r>
      <w:r w:rsidDel="00000000" w:rsidR="00000000" w:rsidRPr="00000000">
        <w:rPr>
          <w:rFonts w:ascii="Arial" w:cs="Arial" w:eastAsia="Arial" w:hAnsi="Arial"/>
          <w:i w:val="1"/>
          <w:iCs w:val="1"/>
          <w:color w:val="222222"/>
          <w:rtl w:val="0"/>
        </w:rPr>
        <w:t xml:space="preserve">Handbook of research on improving learning and motivation through educational games: Multidisciplinary approaches</w:t>
      </w:r>
      <w:r w:rsidDel="00000000" w:rsidR="00000000" w:rsidRPr="00000000">
        <w:rPr>
          <w:rFonts w:ascii="Arial" w:cs="Arial" w:eastAsia="Arial" w:hAnsi="Arial"/>
          <w:color w:val="222222"/>
          <w:rtl w:val="0"/>
        </w:rPr>
        <w:t xml:space="preserve"> (pp. 118–136). IGI Global. </w:t>
      </w:r>
      <w:hyperlink r:id="rId9">
        <w:r w:rsidDel="00000000" w:rsidR="00000000" w:rsidRPr="00000000">
          <w:rPr>
            <w:rFonts w:ascii="Arial" w:cs="Arial" w:eastAsia="Arial" w:hAnsi="Arial"/>
            <w:color w:val="1155cc"/>
            <w:u w:val="single"/>
            <w:rtl w:val="0"/>
          </w:rPr>
          <w:t xml:space="preserve">https://doi.org/10.4018/978-1-60960-495-0.ch006</w:t>
        </w:r>
      </w:hyperlink>
      <w:r w:rsidDel="00000000" w:rsidR="00000000" w:rsidRPr="00000000">
        <w:rPr>
          <w:rtl w:val="0"/>
        </w:rPr>
      </w:r>
    </w:p>
    <w:p w:rsidR="00000000" w:rsidDel="00000000" w:rsidP="00000000" w:rsidRDefault="00000000" w:rsidRPr="00000000" w14:paraId="000000BB">
      <w:pPr>
        <w:keepNext w:val="0"/>
        <w:spacing w:after="0" w:before="0" w:line="480" w:lineRule="auto"/>
        <w:ind w:left="720" w:hanging="720"/>
        <w:jc w:val="left"/>
        <w:rPr>
          <w:rFonts w:ascii="Arial" w:cs="Arial" w:eastAsia="Arial" w:hAnsi="Arial"/>
          <w:color w:val="222222"/>
        </w:rPr>
      </w:pPr>
      <w:r w:rsidDel="00000000" w:rsidR="00000000" w:rsidRPr="00000000">
        <w:rPr>
          <w:rFonts w:ascii="Arial" w:cs="Arial" w:eastAsia="Arial" w:hAnsi="Arial"/>
          <w:color w:val="222222"/>
          <w:rtl w:val="0"/>
        </w:rPr>
        <w:t xml:space="preserve">Ferster, C. B., &amp; Skinner, B. F. (1957). </w:t>
      </w:r>
      <w:r w:rsidDel="00000000" w:rsidR="00000000" w:rsidRPr="00000000">
        <w:rPr>
          <w:rFonts w:ascii="Arial" w:cs="Arial" w:eastAsia="Arial" w:hAnsi="Arial"/>
          <w:i w:val="1"/>
          <w:iCs w:val="1"/>
          <w:color w:val="222222"/>
          <w:rtl w:val="0"/>
        </w:rPr>
        <w:t xml:space="preserve">Schedules of reinforcement</w:t>
      </w:r>
      <w:r w:rsidDel="00000000" w:rsidR="00000000" w:rsidRPr="00000000">
        <w:rPr>
          <w:rFonts w:ascii="Arial" w:cs="Arial" w:eastAsia="Arial" w:hAnsi="Arial"/>
          <w:color w:val="222222"/>
          <w:rtl w:val="0"/>
        </w:rPr>
        <w:t xml:space="preserve">. Appleton-Century-Crofts. </w:t>
      </w:r>
      <w:hyperlink r:id="rId10">
        <w:r w:rsidDel="00000000" w:rsidR="00000000" w:rsidRPr="00000000">
          <w:rPr>
            <w:rFonts w:ascii="Arial" w:cs="Arial" w:eastAsia="Arial" w:hAnsi="Arial"/>
            <w:color w:val="1155cc"/>
            <w:u w:val="single"/>
            <w:rtl w:val="0"/>
          </w:rPr>
          <w:t xml:space="preserve">https://www.bfskinner.org/wp-content/uploads/2015/05/Schedules_of_Reinforcement_PDF.pdf</w:t>
        </w:r>
      </w:hyperlink>
      <w:r w:rsidDel="00000000" w:rsidR="00000000" w:rsidRPr="00000000">
        <w:rPr>
          <w:rtl w:val="0"/>
        </w:rPr>
      </w:r>
    </w:p>
    <w:p w:rsidR="00000000" w:rsidDel="00000000" w:rsidP="00000000" w:rsidRDefault="00000000" w:rsidRPr="00000000" w14:paraId="000000BC">
      <w:pPr>
        <w:keepNext w:val="0"/>
        <w:spacing w:after="0" w:before="0" w:line="480" w:lineRule="auto"/>
        <w:ind w:left="720" w:hanging="720"/>
        <w:jc w:val="left"/>
        <w:rPr>
          <w:rFonts w:ascii="Arial" w:cs="Arial" w:eastAsia="Arial" w:hAnsi="Arial"/>
          <w:color w:val="222222"/>
        </w:rPr>
      </w:pPr>
      <w:r w:rsidDel="00000000" w:rsidR="00000000" w:rsidRPr="00000000">
        <w:rPr>
          <w:rFonts w:ascii="Arial" w:cs="Arial" w:eastAsia="Arial" w:hAnsi="Arial"/>
          <w:color w:val="222222"/>
          <w:rtl w:val="0"/>
        </w:rPr>
        <w:t xml:space="preserve">Hunicke, R., LeBlanc, M., &amp; Zubek, R. (2004). MDA: A formal approach to game design and game research. En </w:t>
      </w:r>
      <w:r w:rsidDel="00000000" w:rsidR="00000000" w:rsidRPr="00000000">
        <w:rPr>
          <w:rFonts w:ascii="Arial" w:cs="Arial" w:eastAsia="Arial" w:hAnsi="Arial"/>
          <w:i w:val="1"/>
          <w:iCs w:val="1"/>
          <w:color w:val="222222"/>
          <w:rtl w:val="0"/>
        </w:rPr>
        <w:t xml:space="preserve">Proceedings of the AAAI Workshop on Challenges in Game AI</w:t>
      </w:r>
      <w:r w:rsidDel="00000000" w:rsidR="00000000" w:rsidRPr="00000000">
        <w:rPr>
          <w:rFonts w:ascii="Arial" w:cs="Arial" w:eastAsia="Arial" w:hAnsi="Arial"/>
          <w:color w:val="222222"/>
          <w:rtl w:val="0"/>
        </w:rPr>
        <w:t xml:space="preserve"> (Technical Report WS-04-04, pp. 1–5). AAAI Press. </w:t>
      </w:r>
      <w:hyperlink r:id="rId11">
        <w:r w:rsidDel="00000000" w:rsidR="00000000" w:rsidRPr="00000000">
          <w:rPr>
            <w:rFonts w:ascii="Arial" w:cs="Arial" w:eastAsia="Arial" w:hAnsi="Arial"/>
            <w:color w:val="1155cc"/>
            <w:u w:val="single"/>
            <w:rtl w:val="0"/>
          </w:rPr>
          <w:t xml:space="preserve">https://aaai.org/papers/ws04-04-001-mda-a-formal-approach-to-game-design-and-game-research/</w:t>
        </w:r>
      </w:hyperlink>
      <w:r w:rsidDel="00000000" w:rsidR="00000000" w:rsidRPr="00000000">
        <w:rPr>
          <w:rtl w:val="0"/>
        </w:rPr>
      </w:r>
    </w:p>
    <w:p w:rsidR="00000000" w:rsidDel="00000000" w:rsidP="00000000" w:rsidRDefault="00000000" w:rsidRPr="00000000" w14:paraId="000000BD">
      <w:pPr>
        <w:keepNext w:val="0"/>
        <w:spacing w:after="0" w:before="0" w:line="480" w:lineRule="auto"/>
        <w:ind w:left="720" w:hanging="720"/>
        <w:jc w:val="left"/>
        <w:rPr>
          <w:rFonts w:ascii="Arial" w:cs="Arial" w:eastAsia="Arial" w:hAnsi="Arial"/>
          <w:color w:val="222222"/>
        </w:rPr>
      </w:pPr>
      <w:r w:rsidDel="00000000" w:rsidR="00000000" w:rsidRPr="00000000">
        <w:rPr>
          <w:rFonts w:ascii="Arial" w:cs="Arial" w:eastAsia="Arial" w:hAnsi="Arial"/>
          <w:color w:val="222222"/>
          <w:rtl w:val="0"/>
        </w:rPr>
        <w:t xml:space="preserve">Laboratorio de Desarrollo Sostenible. (2026). </w:t>
      </w:r>
      <w:r w:rsidDel="00000000" w:rsidR="00000000" w:rsidRPr="00000000">
        <w:rPr>
          <w:rFonts w:ascii="Arial" w:cs="Arial" w:eastAsia="Arial" w:hAnsi="Arial"/>
          <w:i w:val="1"/>
          <w:iCs w:val="1"/>
          <w:color w:val="222222"/>
          <w:rtl w:val="0"/>
        </w:rPr>
        <w:t xml:space="preserve">Se presentó CAPUT en la UNLZ, un videojuego educativo para reflexionar sobre las apuestas online y la ludopatía digital</w:t>
      </w:r>
      <w:r w:rsidDel="00000000" w:rsidR="00000000" w:rsidRPr="00000000">
        <w:rPr>
          <w:rFonts w:ascii="Arial" w:cs="Arial" w:eastAsia="Arial" w:hAnsi="Arial"/>
          <w:color w:val="222222"/>
          <w:rtl w:val="0"/>
        </w:rPr>
        <w:t xml:space="preserve">. Universidad Nacional de Lomas de Zamora. </w:t>
      </w:r>
      <w:hyperlink r:id="rId12">
        <w:r w:rsidDel="00000000" w:rsidR="00000000" w:rsidRPr="00000000">
          <w:rPr>
            <w:rFonts w:ascii="Arial" w:cs="Arial" w:eastAsia="Arial" w:hAnsi="Arial"/>
            <w:color w:val="1155cc"/>
            <w:u w:val="single"/>
            <w:rtl w:val="0"/>
          </w:rPr>
          <w:t xml:space="preserve">https://labdes.unlz.edu.ar/2026/se-presento-caput-en-la-unlz-un-videojuego-educativo-en-la-para-reflexionar-sobre-las-apuestas-online-y-la-ludopatia-digital/</w:t>
        </w:r>
      </w:hyperlink>
      <w:r w:rsidDel="00000000" w:rsidR="00000000" w:rsidRPr="00000000">
        <w:rPr>
          <w:rtl w:val="0"/>
        </w:rPr>
      </w:r>
    </w:p>
    <w:p w:rsidR="00000000" w:rsidDel="00000000" w:rsidP="00000000" w:rsidRDefault="00000000" w:rsidRPr="00000000" w14:paraId="000000BE">
      <w:pPr>
        <w:keepNext w:val="0"/>
        <w:spacing w:after="0" w:before="0" w:line="480" w:lineRule="auto"/>
        <w:ind w:left="720" w:hanging="720"/>
        <w:jc w:val="left"/>
        <w:rPr>
          <w:rFonts w:ascii="Arial" w:cs="Arial" w:eastAsia="Arial" w:hAnsi="Arial"/>
          <w:color w:val="222222"/>
        </w:rPr>
      </w:pPr>
      <w:r w:rsidDel="00000000" w:rsidR="00000000" w:rsidRPr="00000000">
        <w:rPr>
          <w:rFonts w:ascii="Arial" w:cs="Arial" w:eastAsia="Arial" w:hAnsi="Arial"/>
          <w:color w:val="222222"/>
          <w:rtl w:val="0"/>
        </w:rPr>
        <w:t xml:space="preserve">Langer, E. J. (1975). The illusion of control. </w:t>
      </w:r>
      <w:r w:rsidDel="00000000" w:rsidR="00000000" w:rsidRPr="00000000">
        <w:rPr>
          <w:rFonts w:ascii="Arial" w:cs="Arial" w:eastAsia="Arial" w:hAnsi="Arial"/>
          <w:i w:val="1"/>
          <w:iCs w:val="1"/>
          <w:color w:val="222222"/>
          <w:rtl w:val="0"/>
        </w:rPr>
        <w:t xml:space="preserve">Journal of Personality and Social Psychology, 32</w:t>
      </w:r>
      <w:r w:rsidDel="00000000" w:rsidR="00000000" w:rsidRPr="00000000">
        <w:rPr>
          <w:rFonts w:ascii="Arial" w:cs="Arial" w:eastAsia="Arial" w:hAnsi="Arial"/>
          <w:color w:val="222222"/>
          <w:rtl w:val="0"/>
        </w:rPr>
        <w:t xml:space="preserve">(2), 311–328. </w:t>
      </w:r>
      <w:hyperlink r:id="rId13">
        <w:r w:rsidDel="00000000" w:rsidR="00000000" w:rsidRPr="00000000">
          <w:rPr>
            <w:rFonts w:ascii="Arial" w:cs="Arial" w:eastAsia="Arial" w:hAnsi="Arial"/>
            <w:color w:val="1155cc"/>
            <w:u w:val="single"/>
            <w:rtl w:val="0"/>
          </w:rPr>
          <w:t xml:space="preserve">https://doi.org/10.1037/0022-3514.32.2.311</w:t>
        </w:r>
      </w:hyperlink>
      <w:r w:rsidDel="00000000" w:rsidR="00000000" w:rsidRPr="00000000">
        <w:rPr>
          <w:rtl w:val="0"/>
        </w:rPr>
      </w:r>
    </w:p>
    <w:p w:rsidR="00000000" w:rsidDel="00000000" w:rsidP="00000000" w:rsidRDefault="00000000" w:rsidRPr="00000000" w14:paraId="000000BF">
      <w:pPr>
        <w:keepNext w:val="0"/>
        <w:spacing w:after="0" w:before="0" w:line="480" w:lineRule="auto"/>
        <w:ind w:left="720" w:hanging="720"/>
        <w:jc w:val="left"/>
        <w:rPr>
          <w:rFonts w:ascii="Arial" w:cs="Arial" w:eastAsia="Arial" w:hAnsi="Arial"/>
          <w:color w:val="222222"/>
        </w:rPr>
      </w:pPr>
      <w:r w:rsidDel="00000000" w:rsidR="00000000" w:rsidRPr="00000000">
        <w:rPr>
          <w:rFonts w:ascii="Arial" w:cs="Arial" w:eastAsia="Arial" w:hAnsi="Arial"/>
          <w:color w:val="222222"/>
          <w:rtl w:val="0"/>
        </w:rPr>
        <w:t xml:space="preserve">Nickerson, R. S. (1998). Confirmation bias: A ubiquitous phenomenon in many guises. </w:t>
      </w:r>
      <w:r w:rsidDel="00000000" w:rsidR="00000000" w:rsidRPr="00000000">
        <w:rPr>
          <w:rFonts w:ascii="Arial" w:cs="Arial" w:eastAsia="Arial" w:hAnsi="Arial"/>
          <w:i w:val="1"/>
          <w:iCs w:val="1"/>
          <w:color w:val="222222"/>
          <w:rtl w:val="0"/>
        </w:rPr>
        <w:t xml:space="preserve">Review of General Psychology, 2</w:t>
      </w:r>
      <w:r w:rsidDel="00000000" w:rsidR="00000000" w:rsidRPr="00000000">
        <w:rPr>
          <w:rFonts w:ascii="Arial" w:cs="Arial" w:eastAsia="Arial" w:hAnsi="Arial"/>
          <w:color w:val="222222"/>
          <w:rtl w:val="0"/>
        </w:rPr>
        <w:t xml:space="preserve">(2), 175–220. </w:t>
      </w:r>
      <w:hyperlink r:id="rId14">
        <w:r w:rsidDel="00000000" w:rsidR="00000000" w:rsidRPr="00000000">
          <w:rPr>
            <w:rFonts w:ascii="Arial" w:cs="Arial" w:eastAsia="Arial" w:hAnsi="Arial"/>
            <w:color w:val="1155cc"/>
            <w:u w:val="single"/>
            <w:rtl w:val="0"/>
          </w:rPr>
          <w:t xml:space="preserve">https://doi.org/10.1037/1089-2680.2.2.175</w:t>
        </w:r>
      </w:hyperlink>
      <w:r w:rsidDel="00000000" w:rsidR="00000000" w:rsidRPr="00000000">
        <w:rPr>
          <w:rtl w:val="0"/>
        </w:rPr>
      </w:r>
    </w:p>
    <w:p w:rsidR="00000000" w:rsidDel="00000000" w:rsidP="00000000" w:rsidRDefault="00000000" w:rsidRPr="00000000" w14:paraId="000000C0">
      <w:pPr>
        <w:keepNext w:val="0"/>
        <w:spacing w:after="0" w:before="0" w:line="480" w:lineRule="auto"/>
        <w:ind w:left="720" w:hanging="720"/>
        <w:jc w:val="left"/>
        <w:rPr>
          <w:rFonts w:ascii="Arial" w:cs="Arial" w:eastAsia="Arial" w:hAnsi="Arial"/>
          <w:color w:val="222222"/>
        </w:rPr>
      </w:pPr>
      <w:r w:rsidDel="00000000" w:rsidR="00000000" w:rsidRPr="00000000">
        <w:rPr>
          <w:rFonts w:ascii="Arial" w:cs="Arial" w:eastAsia="Arial" w:hAnsi="Arial"/>
          <w:color w:val="222222"/>
          <w:rtl w:val="0"/>
        </w:rPr>
        <w:t xml:space="preserve">Responsible Gambling Council. (s. f.). </w:t>
      </w:r>
      <w:r w:rsidDel="00000000" w:rsidR="00000000" w:rsidRPr="00000000">
        <w:rPr>
          <w:rFonts w:ascii="Arial" w:cs="Arial" w:eastAsia="Arial" w:hAnsi="Arial"/>
          <w:i w:val="1"/>
          <w:iCs w:val="1"/>
          <w:color w:val="222222"/>
          <w:rtl w:val="0"/>
        </w:rPr>
        <w:t xml:space="preserve">House of wisdoms</w:t>
      </w:r>
      <w:r w:rsidDel="00000000" w:rsidR="00000000" w:rsidRPr="00000000">
        <w:rPr>
          <w:rFonts w:ascii="Arial" w:cs="Arial" w:eastAsia="Arial" w:hAnsi="Arial"/>
          <w:color w:val="222222"/>
          <w:rtl w:val="0"/>
        </w:rPr>
        <w:t xml:space="preserve">. </w:t>
      </w:r>
      <w:hyperlink r:id="rId15">
        <w:r w:rsidDel="00000000" w:rsidR="00000000" w:rsidRPr="00000000">
          <w:rPr>
            <w:rFonts w:ascii="Arial" w:cs="Arial" w:eastAsia="Arial" w:hAnsi="Arial"/>
            <w:color w:val="1155cc"/>
            <w:u w:val="single"/>
            <w:rtl w:val="0"/>
          </w:rPr>
          <w:t xml:space="preserve">https://www.responsiblegambling.org/house-of-wisdoms/</w:t>
        </w:r>
      </w:hyperlink>
      <w:r w:rsidDel="00000000" w:rsidR="00000000" w:rsidRPr="00000000">
        <w:rPr>
          <w:rtl w:val="0"/>
        </w:rPr>
      </w:r>
    </w:p>
    <w:p w:rsidR="00000000" w:rsidDel="00000000" w:rsidP="00000000" w:rsidRDefault="00000000" w:rsidRPr="00000000" w14:paraId="000000C1">
      <w:pPr>
        <w:keepNext w:val="0"/>
        <w:spacing w:after="0" w:before="0" w:line="480" w:lineRule="auto"/>
        <w:ind w:left="720" w:hanging="720"/>
        <w:jc w:val="left"/>
        <w:rPr>
          <w:rFonts w:ascii="Arial" w:cs="Arial" w:eastAsia="Arial" w:hAnsi="Arial"/>
          <w:color w:val="222222"/>
        </w:rPr>
      </w:pPr>
      <w:r w:rsidDel="00000000" w:rsidR="00000000" w:rsidRPr="00000000">
        <w:rPr>
          <w:rFonts w:ascii="Arial" w:cs="Arial" w:eastAsia="Arial" w:hAnsi="Arial"/>
          <w:color w:val="222222"/>
          <w:rtl w:val="0"/>
        </w:rPr>
        <w:t xml:space="preserve">Tversky, A., &amp; Kahneman, D. (1974). Judgment under uncertainty: Heuristics and biases. </w:t>
      </w:r>
      <w:r w:rsidDel="00000000" w:rsidR="00000000" w:rsidRPr="00000000">
        <w:rPr>
          <w:rFonts w:ascii="Arial" w:cs="Arial" w:eastAsia="Arial" w:hAnsi="Arial"/>
          <w:i w:val="1"/>
          <w:iCs w:val="1"/>
          <w:color w:val="222222"/>
          <w:rtl w:val="0"/>
        </w:rPr>
        <w:t xml:space="preserve">Science, 185</w:t>
      </w:r>
      <w:r w:rsidDel="00000000" w:rsidR="00000000" w:rsidRPr="00000000">
        <w:rPr>
          <w:rFonts w:ascii="Arial" w:cs="Arial" w:eastAsia="Arial" w:hAnsi="Arial"/>
          <w:color w:val="222222"/>
          <w:rtl w:val="0"/>
        </w:rPr>
        <w:t xml:space="preserve">(4157), 1124–1131. </w:t>
      </w:r>
      <w:hyperlink r:id="rId16">
        <w:r w:rsidDel="00000000" w:rsidR="00000000" w:rsidRPr="00000000">
          <w:rPr>
            <w:rFonts w:ascii="Arial" w:cs="Arial" w:eastAsia="Arial" w:hAnsi="Arial"/>
            <w:color w:val="1155cc"/>
            <w:u w:val="single"/>
            <w:rtl w:val="0"/>
          </w:rPr>
          <w:t xml:space="preserve">https://doi.org/10.1126/science.185.4157.1124</w:t>
        </w:r>
      </w:hyperlink>
      <w:r w:rsidDel="00000000" w:rsidR="00000000" w:rsidRPr="00000000">
        <w:rPr>
          <w:rtl w:val="0"/>
        </w:rPr>
      </w:r>
    </w:p>
    <w:p w:rsidR="00000000" w:rsidDel="00000000" w:rsidP="00000000" w:rsidRDefault="00000000" w:rsidRPr="00000000" w14:paraId="000000C2">
      <w:pPr>
        <w:keepNext w:val="0"/>
        <w:spacing w:after="0" w:before="0" w:line="480" w:lineRule="auto"/>
        <w:ind w:left="720" w:hanging="720"/>
        <w:jc w:val="left"/>
        <w:rPr>
          <w:rFonts w:ascii="Arial" w:cs="Arial" w:eastAsia="Arial" w:hAnsi="Arial"/>
          <w:color w:val="222222"/>
        </w:rPr>
      </w:pPr>
      <w:r w:rsidDel="00000000" w:rsidR="00000000" w:rsidRPr="00000000">
        <w:rPr>
          <w:rFonts w:ascii="Arial" w:cs="Arial" w:eastAsia="Arial" w:hAnsi="Arial"/>
          <w:color w:val="222222"/>
          <w:rtl w:val="0"/>
        </w:rPr>
        <w:t xml:space="preserve">UNICEF Argentina &amp; UNESCO. (2025). </w:t>
      </w:r>
      <w:r w:rsidDel="00000000" w:rsidR="00000000" w:rsidRPr="00000000">
        <w:rPr>
          <w:rFonts w:ascii="Arial" w:cs="Arial" w:eastAsia="Arial" w:hAnsi="Arial"/>
          <w:i w:val="1"/>
          <w:iCs w:val="1"/>
          <w:color w:val="222222"/>
          <w:rtl w:val="0"/>
        </w:rPr>
        <w:t xml:space="preserve">Niñas, niños y adolescentes conectados: Kids Online Argentina. Informe general de resultados</w:t>
      </w:r>
      <w:r w:rsidDel="00000000" w:rsidR="00000000" w:rsidRPr="00000000">
        <w:rPr>
          <w:rFonts w:ascii="Arial" w:cs="Arial" w:eastAsia="Arial" w:hAnsi="Arial"/>
          <w:color w:val="222222"/>
          <w:rtl w:val="0"/>
        </w:rPr>
        <w:t xml:space="preserve">. UNICEF Argentina. </w:t>
      </w:r>
      <w:hyperlink r:id="rId17">
        <w:r w:rsidDel="00000000" w:rsidR="00000000" w:rsidRPr="00000000">
          <w:rPr>
            <w:rFonts w:ascii="Arial" w:cs="Arial" w:eastAsia="Arial" w:hAnsi="Arial"/>
            <w:color w:val="1155cc"/>
            <w:u w:val="single"/>
            <w:rtl w:val="0"/>
          </w:rPr>
          <w:t xml:space="preserve">https://www.unicef.org/argentina/informes/kids-online-ninios-ninias-adolescentes-conectados</w:t>
        </w:r>
      </w:hyperlink>
      <w:r w:rsidDel="00000000" w:rsidR="00000000" w:rsidRPr="00000000">
        <w:rPr>
          <w:rtl w:val="0"/>
        </w:rPr>
      </w:r>
    </w:p>
    <w:p w:rsidR="00000000" w:rsidDel="00000000" w:rsidP="00000000" w:rsidRDefault="00000000" w:rsidRPr="00000000" w14:paraId="000000C3">
      <w:pPr>
        <w:keepNext w:val="0"/>
        <w:spacing w:after="0" w:before="0" w:line="480" w:lineRule="auto"/>
        <w:ind w:left="720" w:hanging="720"/>
        <w:jc w:val="left"/>
        <w:rPr>
          <w:rFonts w:ascii="Arial" w:cs="Arial" w:eastAsia="Arial" w:hAnsi="Arial"/>
          <w:color w:val="222222"/>
        </w:rPr>
      </w:pPr>
      <w:r w:rsidDel="00000000" w:rsidR="00000000" w:rsidRPr="00000000">
        <w:rPr>
          <w:rFonts w:ascii="Arial" w:cs="Arial" w:eastAsia="Arial" w:hAnsi="Arial"/>
          <w:color w:val="222222"/>
          <w:rtl w:val="0"/>
        </w:rPr>
        <w:t xml:space="preserve">Wouters, P., van Nimwegen, C., van Oostendorp, H., &amp; van der Spek, E. D. (2013). A meta-analysis of the cognitive and motivational effects of serious games. </w:t>
      </w:r>
      <w:r w:rsidDel="00000000" w:rsidR="00000000" w:rsidRPr="00000000">
        <w:rPr>
          <w:rFonts w:ascii="Arial" w:cs="Arial" w:eastAsia="Arial" w:hAnsi="Arial"/>
          <w:i w:val="1"/>
          <w:iCs w:val="1"/>
          <w:color w:val="222222"/>
          <w:rtl w:val="0"/>
        </w:rPr>
        <w:t xml:space="preserve">Journal of Educational Psychology, 105</w:t>
      </w:r>
      <w:r w:rsidDel="00000000" w:rsidR="00000000" w:rsidRPr="00000000">
        <w:rPr>
          <w:rFonts w:ascii="Arial" w:cs="Arial" w:eastAsia="Arial" w:hAnsi="Arial"/>
          <w:color w:val="222222"/>
          <w:rtl w:val="0"/>
        </w:rPr>
        <w:t xml:space="preserve">(2), 249–265. </w:t>
      </w:r>
      <w:hyperlink r:id="rId18">
        <w:r w:rsidDel="00000000" w:rsidR="00000000" w:rsidRPr="00000000">
          <w:rPr>
            <w:rFonts w:ascii="Arial" w:cs="Arial" w:eastAsia="Arial" w:hAnsi="Arial"/>
            <w:color w:val="1155cc"/>
            <w:u w:val="single"/>
            <w:rtl w:val="0"/>
          </w:rPr>
          <w:t xml:space="preserve">https://doi.org/10.1037/a0031311</w:t>
        </w:r>
      </w:hyperlink>
      <w:r w:rsidDel="00000000" w:rsidR="00000000" w:rsidRPr="00000000">
        <w:rPr>
          <w:rtl w:val="0"/>
        </w:rPr>
      </w:r>
    </w:p>
    <w:sectPr>
      <w:headerReference r:id="rId19" w:type="default"/>
      <w:footerReference r:id="rId20" w:type="default"/>
      <w:pgSz w:h="15840" w:w="12240" w:orient="portrait"/>
      <w:pgMar w:bottom="1417" w:top="2268" w:left="1531" w:right="130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8"/>
        <w:szCs w:val="18"/>
        <w:u w:val="none"/>
        <w:shd w:fill="auto" w:val="clear"/>
        <w:vertAlign w:val="baseline"/>
        <w:rtl w:val="0"/>
      </w:rPr>
      <w:t xml:space="preserve">Proyecto BetAware — Documento de Investigación y Especificación de Proyecto | Página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888888"/>
        <w:sz w:val="17"/>
        <w:szCs w:val="17"/>
        <w:u w:val="none"/>
        <w:shd w:fill="auto" w:val="clear"/>
        <w:vertAlign w:val="baseline"/>
        <w:rtl w:val="0"/>
      </w:rPr>
      <w:t xml:space="preserve">UADE | Diseño de Juegos Aplicados &amp; Facultad de Psicología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aaai.org/papers/ws04-04-001-mda-a-formal-approach-to-game-design-and-game-research/" TargetMode="External"/><Relationship Id="rId10" Type="http://schemas.openxmlformats.org/officeDocument/2006/relationships/hyperlink" Target="https://www.bfskinner.org/wp-content/uploads/2015/05/Schedules_of_Reinforcement_PDF.pdf" TargetMode="External"/><Relationship Id="rId13" Type="http://schemas.openxmlformats.org/officeDocument/2006/relationships/hyperlink" Target="https://doi.org/10.1037/0022-3514.32.2.311" TargetMode="External"/><Relationship Id="rId12" Type="http://schemas.openxmlformats.org/officeDocument/2006/relationships/hyperlink" Target="https://labdes.unlz.edu.ar/2026/se-presento-caput-en-la-unlz-un-videojuego-educativo-en-la-para-reflexionar-sobre-las-apuestas-online-y-la-ludopatia-digit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4018/978-1-60960-495-0.ch006" TargetMode="External"/><Relationship Id="rId15" Type="http://schemas.openxmlformats.org/officeDocument/2006/relationships/hyperlink" Target="https://www.responsiblegambling.org/house-of-wisdoms/" TargetMode="External"/><Relationship Id="rId14" Type="http://schemas.openxmlformats.org/officeDocument/2006/relationships/hyperlink" Target="https://doi.org/10.1037/1089-2680.2.2.175" TargetMode="External"/><Relationship Id="rId17" Type="http://schemas.openxmlformats.org/officeDocument/2006/relationships/hyperlink" Target="https://www.unicef.org/argentina/informes/kids-online-ninios-ninias-adolescentes-conectados" TargetMode="External"/><Relationship Id="rId16" Type="http://schemas.openxmlformats.org/officeDocument/2006/relationships/hyperlink" Target="https://doi.org/10.1126/science.185.4157.1124"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hyperlink" Target="https://doi.org/10.1098/rstb.2009.0147" TargetMode="External"/><Relationship Id="rId18" Type="http://schemas.openxmlformats.org/officeDocument/2006/relationships/hyperlink" Target="https://doi.org/10.1037/a0031311" TargetMode="External"/><Relationship Id="rId7" Type="http://schemas.openxmlformats.org/officeDocument/2006/relationships/hyperlink" Target="https://cuc.uncuyo.edu.ar/un-estudiante-del-cuc-creo-un-video-juego-para-concientizar-sobre-la-ciberludopatia-y-fue-entrevistado-por-diario-uno" TargetMode="External"/><Relationship Id="rId8" Type="http://schemas.openxmlformats.org/officeDocument/2006/relationships/hyperlink" Target="https://cruzroja.org.ar/observatorio-humanitario/wp-content/uploads/2025/12/INFORME-APUESTAS-ONLINE-Y-ADOLESCENCIA-pdf.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