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2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Sprint Review -Grupo 4</w:t>
      </w:r>
    </w:p>
    <w:p w:rsidR="00000000" w:rsidDel="00000000" w:rsidP="00000000" w:rsidRDefault="00000000" w:rsidRPr="00000000" w14:paraId="00000002">
      <w:pPr>
        <w:spacing w:after="260" w:before="2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del Sprint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¿Qué nos propusimos lograr en este Sprint?</w:t>
      </w:r>
    </w:p>
    <w:p w:rsidR="00000000" w:rsidDel="00000000" w:rsidP="00000000" w:rsidRDefault="00000000" w:rsidRPr="00000000" w14:paraId="00000004">
      <w:pPr>
        <w:spacing w:after="260" w:before="26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Avanzar el prototipo jugable con el recorrido completo: Introducción → 12 semanas → Cierre.</w:t>
      </w:r>
    </w:p>
    <w:p w:rsidR="00000000" w:rsidDel="00000000" w:rsidP="00000000" w:rsidRDefault="00000000" w:rsidRPr="00000000" w14:paraId="00000005">
      <w:pPr>
        <w:spacing w:after="260" w:before="2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Entregables completados (Demo)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¿Qué funcionalidades están terminadas y funcionando?</w:t>
      </w:r>
    </w:p>
    <w:p w:rsidR="00000000" w:rsidDel="00000000" w:rsidP="00000000" w:rsidRDefault="00000000" w:rsidRPr="00000000" w14:paraId="00000007">
      <w:pPr>
        <w:spacing w:after="260" w:before="26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Loop de 12 semanas con decisiones por turno: estudiar, ahorrar, pedir apoyo o apostar.</w:t>
        <w:br w:type="textWrapping"/>
        <w:t xml:space="preserve">Apuesta de $250 con probabilidades visibles: 10% de ganar $500 netos, 20% de ganar $100 y 70% de perder $250.</w:t>
        <w:br w:type="textWrapping"/>
        <w:t xml:space="preserve">Indicadores de billetera, ahorro, estudio, bienestar y exposición.</w:t>
        <w:br w:type="textWrapping"/>
        <w:t xml:space="preserve">Gastos inesperados y oferta de “doble o nada” después de perder.</w:t>
        <w:br w:type="textWrapping"/>
        <w:t xml:space="preserve">Pausas de reflexión en las semanas 3, 6, 9 y 11, con la acción de pedir apoyo y referencia a la Línea 141.</w:t>
        <w:br w:type="textWrapping"/>
        <w:t xml:space="preserve">Auditoría final con total apostado, recuperado y neto, más la opción de rejugar.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60" w:before="2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 que no se logró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¿Hubo algo que no llegamos a terminar? ¿Qué pasó?</w:t>
      </w:r>
    </w:p>
    <w:p w:rsidR="00000000" w:rsidDel="00000000" w:rsidP="00000000" w:rsidRDefault="00000000" w:rsidRPr="00000000" w14:paraId="0000000A">
      <w:pPr>
        <w:spacing w:after="260" w:before="26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Errores del prototipo: el retorno esperado que muestra el prototipo es incorrecto y algunas etiquetas no se entienden. </w:t>
        <w:br w:type="textWrapping"/>
        <w:t xml:space="preserve">Animaciones y/o efectos en cada decisión tomada.</w:t>
      </w:r>
    </w:p>
    <w:p w:rsidR="00000000" w:rsidDel="00000000" w:rsidP="00000000" w:rsidRDefault="00000000" w:rsidRPr="00000000" w14:paraId="0000000B">
      <w:pPr>
        <w:spacing w:after="260" w:before="2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de stakeholders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 (a invitados o simulación):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¿Qué les parece lo que vieron? ¿Lo usarían? ¿Qué mejorarían?</w:t>
      </w:r>
    </w:p>
    <w:p w:rsidR="00000000" w:rsidDel="00000000" w:rsidP="00000000" w:rsidRDefault="00000000" w:rsidRPr="00000000" w14:paraId="0000000D">
      <w:pPr>
        <w:spacing w:after="260" w:before="26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probabilidades en porcentaje pueden costarle al público más chico. Conviene mostrarlas también como frecuencias, por ejemplo “7 de cada 10 veces perdés”.</w:t>
        <w:br w:type="textWrapping"/>
        <w:t xml:space="preserve">Las opciones “estudiar” y “ahorrar” pueden sonar escolares. Conviene expresarlas en metas concretas para un adolescente, como zapatillas, salidas o entradas a la cancha.</w:t>
        <w:br w:type="textWrapping"/>
        <w:t xml:space="preserve">La presión de pares, que es la motivación principal del jugador, no está representada en ninguna mecánica.</w:t>
        <w:br w:type="textWrapping"/>
        <w:t xml:space="preserve">Las respuestas de reflexión deberían ser privadas, porque el jugador siente vergüenza de admitir pérdidas.</w:t>
      </w:r>
    </w:p>
    <w:p w:rsidR="00000000" w:rsidDel="00000000" w:rsidP="00000000" w:rsidRDefault="00000000" w:rsidRPr="00000000" w14:paraId="0000000E">
      <w:pPr>
        <w:spacing w:after="260" w:before="2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Próximos pasos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¿Hay tareas que pasamos al próximo sprint? ¿Surgieron nuevas prioridades?</w:t>
      </w:r>
    </w:p>
    <w:p w:rsidR="00000000" w:rsidDel="00000000" w:rsidP="00000000" w:rsidRDefault="00000000" w:rsidRPr="00000000" w14:paraId="00000010">
      <w:pPr>
        <w:spacing w:after="16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(Ajustar backlog en este caso)</w:t>
      </w:r>
    </w:p>
    <w:p w:rsidR="00000000" w:rsidDel="00000000" w:rsidP="00000000" w:rsidRDefault="00000000" w:rsidRPr="00000000" w14:paraId="00000011">
      <w:pPr>
        <w:spacing w:after="16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Corregir el retorno esperado y las etiquetas del prototipo.</w:t>
        <w:br w:type="textWrapping"/>
        <w:t xml:space="preserve">Agregar las probabilidades expresadas como frecuencias junto a los porcentajes.</w:t>
        <w:br w:type="textWrapping"/>
        <w:t xml:space="preserve">Reformular las alternativas de costo de oportunidad en metas concretas.</w:t>
        <w:br w:type="textWrapping"/>
        <w:t xml:space="preserve">Evaluar un eje o mecánica de presión social, como mensajes de amigos que empujan a apostar.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7ay1l13ky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Notas o decisiones clave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60" w:before="2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Decisiones de negocio o técnicas tomadas durante la review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probabilidades se mantienen fijas y visibles: no cambian por rachas. Es una decisión de diseño central para el eje de azar.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pausas de reflexión no puntúan las respuestas, para evitar un tono moralizante.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El “doble o nada” se mantiene, pero su esperanza nula tiene que explicarse dentro del juego.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