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spacing w:after="360"/>
        <w:jc w:val="center"/>
      </w:pPr>
      <w:r>
        <w:rPr>
          <w:b/>
          <w:color w:val="0F766B"/>
          <w:sz w:val="60"/>
        </w:rPr>
        <w:t>iAquaria App 使用手册</w:t>
      </w:r>
    </w:p>
    <w:p>
      <w:pPr>
        <w:spacing w:after="960"/>
        <w:jc w:val="center"/>
      </w:pPr>
      <w:r>
        <w:rPr>
          <w:b w:val="0"/>
          <w:color w:val="666666"/>
          <w:sz w:val="28"/>
        </w:rPr>
        <w:t>智能水族多端协同控制系统</w:t>
      </w:r>
    </w:p>
    <w:p>
      <w:pPr>
        <w:spacing w:after="120"/>
        <w:jc w:val="center"/>
      </w:pPr>
      <w:r>
        <w:rPr>
          <w:b w:val="0"/>
          <w:sz w:val="24"/>
        </w:rPr>
        <w:t>适用版本：App v0.1.0-b20</w:t>
      </w:r>
    </w:p>
    <w:p>
      <w:pPr>
        <w:spacing w:after="120"/>
        <w:jc w:val="center"/>
      </w:pPr>
      <w:r>
        <w:rPr>
          <w:b w:val="0"/>
          <w:sz w:val="24"/>
        </w:rPr>
        <w:t>适用平台：Android / HarmonyOS / Windows</w:t>
      </w:r>
    </w:p>
    <w:p>
      <w:pPr>
        <w:spacing w:after="960"/>
        <w:jc w:val="center"/>
      </w:pPr>
      <w:r>
        <w:rPr>
          <w:b w:val="0"/>
          <w:sz w:val="24"/>
        </w:rPr>
        <w:t>配套硬件：iAquaria 主控（传感与控制）· ESP32-CAM（视觉，可选）</w:t>
      </w:r>
    </w:p>
    <w:p>
      <w:pPr>
        <w:spacing w:after="80"/>
        <w:jc w:val="center"/>
      </w:pPr>
      <w:r>
        <w:rPr>
          <w:b w:val="0"/>
          <w:color w:val="666666"/>
          <w:sz w:val="22"/>
        </w:rPr>
        <w:t>文档版本：V1.1</w:t>
      </w:r>
    </w:p>
    <w:p>
      <w:pPr>
        <w:spacing w:after="80"/>
        <w:jc w:val="center"/>
      </w:pPr>
      <w:r>
        <w:rPr>
          <w:b w:val="0"/>
          <w:color w:val="666666"/>
          <w:sz w:val="22"/>
        </w:rPr>
        <w:t>发布日期：2026 年 10 月 14 日</w:t>
      </w:r>
    </w:p>
    <w:p>
      <w:pPr>
        <w:spacing w:after="120"/>
        <w:jc w:val="center"/>
      </w:pPr>
      <w:r>
        <w:rPr>
          <w:b w:val="0"/>
          <w:color w:val="666666"/>
          <w:sz w:val="22"/>
        </w:rPr>
        <w:t>开源仓库：https://github.com/Brigchen/iAquaria</w:t>
      </w:r>
    </w:p>
    <w:p>
      <w:r>
        <w:br w:type="page"/>
      </w:r>
    </w:p>
    <w:p>
      <w:pPr>
        <w:spacing w:after="200"/>
      </w:pPr>
      <w:r>
        <w:rPr>
          <w:b/>
          <w:color w:val="0F766B"/>
          <w:sz w:val="30"/>
        </w:rPr>
        <w:t>目录</w:t>
      </w:r>
    </w:p>
    <w:p>
      <w:fldSimple w:instr="TOC \o &quot;1-2&quot; \h \z \u">
        <w:r>
          <w:t>（目录将在导出 PDF 时自动生成）</w:t>
        </w:r>
      </w:fldSimple>
    </w:p>
    <w:p>
      <w:pPr>
        <w:pStyle w:val="Heading1"/>
      </w:pPr>
      <w:r>
        <w:t>1  认识 iAquaria</w:t>
      </w:r>
    </w:p>
    <w:p>
      <w:pPr>
        <w:pStyle w:val="Heading2"/>
      </w:pPr>
      <w:r>
        <w:t>1.1  App 能做什么</w:t>
      </w:r>
    </w:p>
    <w:p>
      <w:pPr>
        <w:spacing w:after="120"/>
        <w:ind w:firstLine="420"/>
      </w:pPr>
      <w:r>
        <w:rPr>
          <w:b w:val="0"/>
          <w:sz w:val="21"/>
        </w:rPr>
        <w:t>iAquaria 是智能水族系统的手机端/电脑端应用，与缸边主控配合，把原本分散的仪表和定时器整合到一处：</w:t>
      </w:r>
    </w:p>
    <w:p>
      <w:pPr>
        <w:pStyle w:val="ListBullet"/>
        <w:spacing w:after="60"/>
      </w:pPr>
      <w:r>
        <w:t>水质集中监测：水温、pH、Temp_pH（pH 探头温度）、TDS（或盐度）、光照、水位同屏呈现，异常自动告警；</w:t>
      </w:r>
    </w:p>
    <w:p>
      <w:pPr>
        <w:pStyle w:val="ListBullet"/>
        <w:spacing w:after="60"/>
      </w:pPr>
      <w:r>
        <w:t>执行随水质动作：CO₂、加热棒、照明、水泵支持自动策略，也可随时手动接管；</w:t>
      </w:r>
    </w:p>
    <w:p>
      <w:pPr>
        <w:pStyle w:val="ListBullet"/>
        <w:spacing w:after="60"/>
      </w:pPr>
      <w:r>
        <w:t>养护可追溯：喂食、换水、水质检测等日志按缸保存，周期计划到期提醒；</w:t>
      </w:r>
    </w:p>
    <w:p>
      <w:pPr>
        <w:pStyle w:val="ListBullet"/>
        <w:spacing w:after="60"/>
      </w:pPr>
      <w:r>
        <w:t>生物有档案：AI 识图识别/清点生物并自动登记，支持手动修正；</w:t>
      </w:r>
    </w:p>
    <w:p>
      <w:pPr>
        <w:pStyle w:val="ListBullet"/>
        <w:spacing w:after="60"/>
      </w:pPr>
      <w:r>
        <w:t>离场也放心：局域网断开时自动切换云端查看，历史数据与云照片随时回看。</w:t>
      </w:r>
    </w:p>
    <w:p>
      <w:pPr>
        <w:pStyle w:val="Heading2"/>
      </w:pPr>
      <w:r>
        <w:t>1.2  需要配套硬件吗</w:t>
      </w:r>
    </w:p>
    <w:p>
      <w:pPr>
        <w:spacing w:after="120"/>
        <w:ind w:firstLine="420"/>
      </w:pPr>
      <w:r>
        <w:rPr>
          <w:b w:val="0"/>
          <w:sz w:val="21"/>
        </w:rPr>
        <w:t>完整的数据采集与控制功能需要配合 iAquaria 主控硬件（含 485 总线 TDS/pH 变送器、DS18B20 水温、GY-30 光照、HC-SR04 水位与继电器输出）。没有硬件时，可在设置页开启「演示模式」体验全部界面与流程。</w:t>
      </w:r>
    </w:p>
    <w:p>
      <w:pPr>
        <w:pStyle w:val="Heading2"/>
      </w:pPr>
      <w:r>
        <w:t>1.3  界面总览</w:t>
      </w:r>
    </w:p>
    <w:p>
      <w:pPr>
        <w:spacing w:after="120"/>
        <w:ind w:firstLine="420"/>
      </w:pPr>
      <w:r>
        <w:rPr>
          <w:b w:val="0"/>
          <w:sz w:val="21"/>
        </w:rPr>
        <w:t>底部为「概览 / 日志 / 计划 / 鱼缸」四个主 Tab；右上角星形按钮进入 AI 智能分析，齿轮按钮进入设置。主要界面如下：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472000" cy="625632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_overview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6256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color w:val="666666"/>
          <w:sz w:val="18"/>
        </w:rPr>
        <w:t>图 1-1  App 主要界面总览（演示数据）</w:t>
      </w:r>
    </w:p>
    <w:p>
      <w:pPr>
        <w:spacing w:after="120"/>
      </w:pPr>
      <w:r>
        <w:rPr>
          <w:b w:val="0"/>
          <w:color w:val="666666"/>
          <w:sz w:val="18"/>
        </w:rPr>
        <w:t>说明：本手册截图均在演示模式下截取，数据为模拟值；实际数值以您的设备为准。</w:t>
      </w:r>
    </w:p>
    <w:p>
      <w:pPr>
        <w:pStyle w:val="Heading1"/>
      </w:pPr>
      <w:r>
        <w:t>2  安装与快速开始</w:t>
      </w:r>
    </w:p>
    <w:p>
      <w:pPr>
        <w:pStyle w:val="Heading2"/>
      </w:pPr>
      <w:r>
        <w:t>2.1  安装 App</w:t>
      </w:r>
    </w:p>
    <w:p>
      <w:pPr>
        <w:pStyle w:val="ListBullet"/>
        <w:spacing w:after="60"/>
      </w:pPr>
      <w:r>
        <w:t>Android：安装 release 提供的 APK（需允许安装未知来源应用）；</w:t>
      </w:r>
    </w:p>
    <w:p>
      <w:pPr>
        <w:pStyle w:val="ListBullet"/>
        <w:spacing w:after="60"/>
      </w:pPr>
      <w:r>
        <w:t>HarmonyOS：安装 HAP 包，或经开发者无线调试安装；</w:t>
      </w:r>
    </w:p>
    <w:p>
      <w:pPr>
        <w:pStyle w:val="ListBullet"/>
        <w:spacing w:after="60"/>
      </w:pPr>
      <w:r>
        <w:t>Windows：解压 release 提供的压缩包后运行；</w:t>
      </w:r>
    </w:p>
    <w:p>
      <w:pPr>
        <w:pStyle w:val="ListBullet"/>
        <w:spacing w:after="60"/>
      </w:pPr>
      <w:r>
        <w:t>各平台安装包见开源仓库 Release 页面。</w:t>
      </w:r>
    </w:p>
    <w:p>
      <w:pPr>
        <w:pStyle w:val="Heading2"/>
      </w:pPr>
      <w:r>
        <w:t>2.2  首次启动：添加鱼缸</w:t>
      </w:r>
    </w:p>
    <w:p>
      <w:pPr>
        <w:spacing w:after="120"/>
        <w:ind w:firstLine="420"/>
      </w:pPr>
      <w:r>
        <w:rPr>
          <w:b w:val="0"/>
          <w:sz w:val="21"/>
        </w:rPr>
        <w:t>首次启动按引导添加鱼缸：填写名称（如「溪流」）、选择水型（淡水 / 海水 / 草缸）、容量与位置。水型决定传感器显示方式：淡水与草缸显示两路 TDS（滤前/滤后，单位 ppm），海水显示单路盐度（‰）。</w:t>
      </w:r>
    </w:p>
    <w:p>
      <w:pPr>
        <w:pStyle w:val="Heading2"/>
      </w:pPr>
      <w:r>
        <w:t>2.3  连接主控</w:t>
      </w:r>
    </w:p>
    <w:p>
      <w:pPr>
        <w:pStyle w:val="ListBullet"/>
        <w:spacing w:after="60"/>
      </w:pPr>
      <w:r>
        <w:t>手机与主控接入同一路由器的 2.4G WiFi；</w:t>
      </w:r>
    </w:p>
    <w:p>
      <w:pPr>
        <w:pStyle w:val="ListBullet"/>
        <w:spacing w:after="60"/>
      </w:pPr>
      <w:r>
        <w:t>进入「鱼缸」Tab 编辑鱼缸，填写 ESP32 主板 IP（如 192.168.3.190）；</w:t>
      </w:r>
    </w:p>
    <w:p>
      <w:pPr>
        <w:pStyle w:val="ListBullet"/>
        <w:spacing w:after="60"/>
      </w:pPr>
      <w:r>
        <w:t>回到概览页，状态条显示「局域网直连」即成功，页面约每秒刷新；</w:t>
      </w:r>
    </w:p>
    <w:p>
      <w:pPr>
        <w:pStyle w:val="ListBullet"/>
        <w:spacing w:after="60"/>
      </w:pPr>
      <w:r>
        <w:t>如配置了摄像头（ESP32-CAM）IP，概览页顶部会出现画面卡片。</w:t>
      </w:r>
    </w:p>
    <w:p>
      <w:pPr>
        <w:pStyle w:val="Heading2"/>
      </w:pPr>
      <w:r>
        <w:t>2.4  演示模式（无硬件体验）</w:t>
      </w:r>
    </w:p>
    <w:p>
      <w:pPr>
        <w:spacing w:after="120"/>
        <w:ind w:firstLine="420"/>
      </w:pPr>
      <w:r>
        <w:rPr>
          <w:b w:val="0"/>
          <w:sz w:val="21"/>
        </w:rPr>
        <w:t>设置 → 演示数据 → 打开「演示模式」：一键写入示例养护日志、周期计划与生物清单，并模拟遥测（每 10 秒一帧），告警、计划提醒等都有完整示意效果，适合演示与熟悉操作。仅在对应内容为空时写入，不会覆盖已有记录；关闭后停止模拟遥测，已写入的日志可长按删除。</w:t>
      </w:r>
    </w:p>
    <w:p>
      <w:pPr>
        <w:pStyle w:val="Heading1"/>
      </w:pPr>
      <w:r>
        <w:t>3  概览页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2232000" cy="5042667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概览.jpe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232000" cy="50426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color w:val="666666"/>
          <w:sz w:val="18"/>
        </w:rPr>
        <w:t>图 3-1  概览页（演示数据）</w:t>
      </w:r>
    </w:p>
    <w:p>
      <w:pPr>
        <w:pStyle w:val="Heading2"/>
      </w:pPr>
      <w:r>
        <w:t>3.1  水质仪表</w:t>
      </w:r>
    </w:p>
    <w:p>
      <w:pPr>
        <w:spacing w:after="120"/>
        <w:ind w:firstLine="420"/>
      </w:pPr>
      <w:r>
        <w:rPr>
          <w:b w:val="0"/>
          <w:sz w:val="21"/>
        </w:rPr>
        <w:t>以卡片呈现水温、pH、Temp_pH、TDS/盐度、光照与水位。测值失效（超时未更新）时对应卡片会标记异常，相关执行通道自动进入安全状态。点击顶部设备连接状态条可立即刷新快照。</w:t>
      </w:r>
    </w:p>
    <w:p>
      <w:pPr>
        <w:pStyle w:val="Heading2"/>
      </w:pPr>
      <w:r>
        <w:t>3.2  设备控制</w:t>
      </w:r>
    </w:p>
    <w:p>
      <w:pPr>
        <w:spacing w:after="120"/>
        <w:ind w:firstLine="420"/>
      </w:pPr>
      <w:r>
        <w:rPr>
          <w:b w:val="0"/>
          <w:sz w:val="21"/>
        </w:rPr>
        <w:t>控制面板列出 CO₂、照明、加热棒、水泵四路，每路可切「自动 / 手动开 / 手动关」。手动接管期间自动策略不再改动该路；CO₂ 默认在照明开启期间按 pH 动作（高于 7.0 开、低于 6.8 关）。</w:t>
      </w:r>
    </w:p>
    <w:p>
      <w:pPr>
        <w:pStyle w:val="Heading2"/>
      </w:pPr>
      <w:r>
        <w:t>3.3  生物概览</w:t>
      </w:r>
    </w:p>
    <w:p>
      <w:pPr>
        <w:spacing w:after="120"/>
        <w:ind w:firstLine="420"/>
      </w:pPr>
      <w:r>
        <w:rPr>
          <w:b w:val="0"/>
          <w:sz w:val="21"/>
        </w:rPr>
        <w:t>显示生物种类数与鱼只数量（仅统计「鱼」类群）。AI 识别结果可点开修正分类、名称与数量，详见第 7 章。</w:t>
      </w:r>
    </w:p>
    <w:p>
      <w:pPr>
        <w:pStyle w:val="Heading2"/>
      </w:pPr>
      <w:r>
        <w:t>3.4  视频画面</w:t>
      </w:r>
    </w:p>
    <w:p>
      <w:pPr>
        <w:spacing w:after="120"/>
        <w:ind w:firstLine="420"/>
      </w:pPr>
      <w:r>
        <w:rPr>
          <w:b w:val="0"/>
          <w:sz w:val="21"/>
        </w:rPr>
        <w:t>点击右上角播放按钮才开始拉取视频流，暂停即停止并回到封面（省流量、不占资源）；设备离线时显示最近一张云端照片作封面。</w:t>
      </w:r>
    </w:p>
    <w:p>
      <w:pPr>
        <w:pStyle w:val="Heading1"/>
      </w:pPr>
      <w:r>
        <w:t>4  日志页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2232000" cy="504266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日志.jpe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232000" cy="50426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color w:val="666666"/>
          <w:sz w:val="18"/>
        </w:rPr>
        <w:t>图 4-1  日志页（演示数据）</w:t>
      </w:r>
    </w:p>
    <w:p>
      <w:pPr>
        <w:pStyle w:val="Heading2"/>
      </w:pPr>
      <w:r>
        <w:t>4.1  顶部三个按钮</w:t>
      </w:r>
    </w:p>
    <w:p>
      <w:pPr>
        <w:pStyle w:val="ListBullet"/>
        <w:spacing w:after="60"/>
      </w:pPr>
      <w:r>
        <w:t>水质检测：填写一次人工检测，参数含温度/pH/Temp_pH/TDS/盐度，及硝酸盐、磷酸盐、铵、碱度、钙与自定义项；设备在线时自动带出实时读数，离线时可查看本地历史记录；</w:t>
      </w:r>
    </w:p>
    <w:p>
      <w:pPr>
        <w:pStyle w:val="ListBullet"/>
        <w:spacing w:after="60"/>
      </w:pPr>
      <w:r>
        <w:t>添加记录：记录喂食、换水、设备维护、日常观察等事件（水质类请用「水质检测」，避免重复）；</w:t>
      </w:r>
    </w:p>
    <w:p>
      <w:pPr>
        <w:pStyle w:val="ListBullet"/>
        <w:spacing w:after="60"/>
      </w:pPr>
      <w:r>
        <w:t>导出：可选择「导出日志」或「导出数据」——数据为本地遥测与手动测量的合并 CSV（UTF-8 编码，文件名含缸名与时间），经系统保存对话框存到您选定的目录。</w:t>
      </w:r>
    </w:p>
    <w:p>
      <w:pPr>
        <w:pStyle w:val="Heading2"/>
      </w:pPr>
      <w:r>
        <w:t>4.2  删除记录</w:t>
      </w:r>
    </w:p>
    <w:p>
      <w:pPr>
        <w:spacing w:after="120"/>
        <w:ind w:firstLine="420"/>
      </w:pPr>
      <w:r>
        <w:rPr>
          <w:b w:val="0"/>
          <w:sz w:val="21"/>
        </w:rPr>
        <w:t>长按任意日志条目，确认后删除（仅删当前缸的该条）。多设备云同步开启时，删除会同步到其他手机。</w:t>
      </w:r>
    </w:p>
    <w:p>
      <w:pPr>
        <w:pStyle w:val="Heading1"/>
      </w:pPr>
      <w:r>
        <w:t>5  计划页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2232000" cy="504266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计划.jpe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232000" cy="50426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color w:val="666666"/>
          <w:sz w:val="18"/>
        </w:rPr>
        <w:t>图 5-1  计划页（演示数据）</w:t>
      </w:r>
    </w:p>
    <w:p>
      <w:pPr>
        <w:pStyle w:val="Heading2"/>
      </w:pPr>
      <w:r>
        <w:t>5.1  添加周期任务</w:t>
      </w:r>
    </w:p>
    <w:p>
      <w:pPr>
        <w:spacing w:after="120"/>
        <w:ind w:firstLine="420"/>
      </w:pPr>
      <w:r>
        <w:rPr>
          <w:b w:val="0"/>
          <w:sz w:val="21"/>
        </w:rPr>
        <w:t>点击右上角「新任务」创建周期计划：喂食、换水、水质检测、滤材清洗等，可设频率（每日/隔 N 天/每周）与提醒时间。到期任务在概览页弹出提醒横幅，点「去处理」直达计划页对应任务。</w:t>
      </w:r>
    </w:p>
    <w:p>
      <w:pPr>
        <w:pStyle w:val="Heading2"/>
      </w:pPr>
      <w:r>
        <w:t>5.2  完成与追溯</w:t>
      </w:r>
    </w:p>
    <w:p>
      <w:pPr>
        <w:spacing w:after="120"/>
        <w:ind w:firstLine="420"/>
      </w:pPr>
      <w:r>
        <w:rPr>
          <w:b w:val="0"/>
          <w:sz w:val="21"/>
        </w:rPr>
        <w:t>任务完成后打勾，执行时间自动记录；逾期任务在列表顶部以「已逾期」标红，便于补做与核对。</w:t>
      </w:r>
    </w:p>
    <w:p>
      <w:pPr>
        <w:pStyle w:val="Heading1"/>
      </w:pPr>
      <w:r>
        <w:t>6  鱼缸页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2232000" cy="504266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鱼缸.jpe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232000" cy="50426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color w:val="666666"/>
          <w:sz w:val="18"/>
        </w:rPr>
        <w:t>图 6-1  鱼缸编辑页</w:t>
      </w:r>
    </w:p>
    <w:p>
      <w:pPr>
        <w:pStyle w:val="ListBullet"/>
        <w:spacing w:after="60"/>
      </w:pPr>
      <w:r>
        <w:t>多缸管理：可添加多口缸，顶部缸名下拉随时切换，全部页面数据随缸切换；</w:t>
      </w:r>
    </w:p>
    <w:p>
      <w:pPr>
        <w:pStyle w:val="ListBullet"/>
        <w:spacing w:after="60"/>
      </w:pPr>
      <w:r>
        <w:t>水型：淡水 / 海水 / 草缸，决定 TDS 或盐度的显示与换算；</w:t>
      </w:r>
    </w:p>
    <w:p>
      <w:pPr>
        <w:pStyle w:val="ListBullet"/>
        <w:spacing w:after="60"/>
      </w:pPr>
      <w:r>
        <w:t>设备地址：ESP32 主板 IP（局域网直连必填）；摄像头 IP 选填；</w:t>
      </w:r>
    </w:p>
    <w:p>
      <w:pPr>
        <w:pStyle w:val="ListBullet"/>
        <w:spacing w:after="60"/>
      </w:pPr>
      <w:r>
        <w:t>云查看设备 ID：形如 iaqua-xxxx，与设备端一致时支持离场云端查看（配合设置页 Broker）。</w:t>
      </w:r>
    </w:p>
    <w:p>
      <w:pPr>
        <w:pStyle w:val="Heading1"/>
      </w:pPr>
      <w:r>
        <w:t>7  AI 智能分析</w:t>
      </w:r>
    </w:p>
    <w:p>
      <w:pPr>
        <w:spacing w:after="120"/>
        <w:ind w:firstLine="420"/>
      </w:pPr>
      <w:r>
        <w:rPr>
          <w:b w:val="0"/>
          <w:sz w:val="21"/>
        </w:rPr>
        <w:t>概览页右上角星形按钮进入 AI 对话页。App 兼容 OpenAI 协议的大模型服务（通义千问 / 智谱 GLM / 豆包 / DeepSeek / Kimi 等），需先申请 API Key 并在设置页配置，之后即可：</w:t>
      </w:r>
    </w:p>
    <w:p>
      <w:pPr>
        <w:pStyle w:val="ListBullet"/>
        <w:spacing w:after="60"/>
      </w:pPr>
      <w:r>
        <w:t>数据类请求：水质判断、换水建议、CO₂ 与光照、温度评估、养护清单——发送时自动附带当前遥测读数，AI 结合数据分析；</w:t>
      </w:r>
    </w:p>
    <w:p>
      <w:pPr>
        <w:pStyle w:val="ListBullet"/>
        <w:spacing w:after="60"/>
      </w:pPr>
      <w:r>
        <w:t>识图类请求：生物识别、数量清点、健康观察、藻类评估、水草状态——自动抓拍鱼缸画面或用手机相册照片，由多模态模型识图；</w:t>
      </w:r>
    </w:p>
    <w:p>
      <w:pPr>
        <w:pStyle w:val="ListBullet"/>
        <w:spacing w:after="60"/>
      </w:pPr>
      <w:r>
        <w:t>自由提问：直接输入任何养护问题；</w:t>
      </w:r>
    </w:p>
    <w:p>
      <w:pPr>
        <w:pStyle w:val="ListBullet"/>
        <w:spacing w:after="60"/>
      </w:pPr>
      <w:r>
        <w:t>分析记录：按缸保存每次问答，可按日期时间回看。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2232000" cy="5042667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AI智能分析.jpe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232000" cy="50426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color w:val="666666"/>
          <w:sz w:val="18"/>
        </w:rPr>
        <w:t>图 7-1  AI 水质判断对话示例（演示数据）</w:t>
      </w:r>
    </w:p>
    <w:p>
      <w:pPr>
        <w:pStyle w:val="Heading2"/>
      </w:pPr>
      <w:r>
        <w:t>7.1  第一步：申请 API Key</w:t>
      </w:r>
    </w:p>
    <w:p>
      <w:pPr>
        <w:spacing w:after="120"/>
        <w:ind w:firstLine="420"/>
      </w:pPr>
      <w:r>
        <w:rPr>
          <w:b w:val="0"/>
          <w:sz w:val="21"/>
        </w:rPr>
        <w:t>任选下表一家服务商注册并创建 API Key（均为免费注册；识图功能需要支持视觉的模型）。控制台入口与模型名可能随官方调整，以各官网文档为准。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c>
          <w:tcPr>
            <w:tcW w:type="dxa" w:w="1474"/>
            <w:shd w:val="clear" w:fill="E8F2F0"/>
          </w:tcPr>
          <w:p>
            <w:pPr>
              <w:spacing w:after="20"/>
            </w:pPr>
            <w:r>
              <w:rPr>
                <w:b/>
                <w:sz w:val="18"/>
              </w:rPr>
              <w:t>服务商</w:t>
            </w:r>
          </w:p>
        </w:tc>
        <w:tc>
          <w:tcPr>
            <w:tcW w:type="dxa" w:w="2381"/>
            <w:shd w:val="clear" w:fill="E8F2F0"/>
          </w:tcPr>
          <w:p>
            <w:pPr>
              <w:spacing w:after="20"/>
            </w:pPr>
            <w:r>
              <w:rPr>
                <w:b/>
                <w:sz w:val="18"/>
              </w:rPr>
              <w:t>控制台入口</w:t>
            </w:r>
          </w:p>
        </w:tc>
        <w:tc>
          <w:tcPr>
            <w:tcW w:type="dxa" w:w="2608"/>
            <w:shd w:val="clear" w:fill="E8F2F0"/>
          </w:tcPr>
          <w:p>
            <w:pPr>
              <w:spacing w:after="20"/>
            </w:pPr>
            <w:r>
              <w:rPr>
                <w:b/>
                <w:sz w:val="18"/>
              </w:rPr>
              <w:t>Base URL</w:t>
            </w:r>
          </w:p>
        </w:tc>
        <w:tc>
          <w:tcPr>
            <w:tcW w:type="dxa" w:w="1417"/>
            <w:shd w:val="clear" w:fill="E8F2F0"/>
          </w:tcPr>
          <w:p>
            <w:pPr>
              <w:spacing w:after="20"/>
            </w:pPr>
            <w:r>
              <w:rPr>
                <w:b/>
                <w:sz w:val="18"/>
              </w:rPr>
              <w:t>文本模型示例</w:t>
            </w:r>
          </w:p>
        </w:tc>
        <w:tc>
          <w:tcPr>
            <w:tcW w:type="dxa" w:w="1701"/>
            <w:shd w:val="clear" w:fill="E8F2F0"/>
          </w:tcPr>
          <w:p>
            <w:pPr>
              <w:spacing w:after="20"/>
            </w:pPr>
            <w:r>
              <w:rPr>
                <w:b/>
                <w:sz w:val="18"/>
              </w:rPr>
              <w:t>识图模型示例</w:t>
            </w:r>
          </w:p>
        </w:tc>
      </w:tr>
      <w:tr>
        <w:tc>
          <w:tcPr>
            <w:tcW w:type="dxa" w:w="1474"/>
          </w:tcPr>
          <w:p>
            <w:pPr>
              <w:spacing w:after="20"/>
            </w:pPr>
            <w:r>
              <w:rPr>
                <w:sz w:val="18"/>
              </w:rPr>
              <w:t>通义千问</w:t>
              <w:br/>
              <w:t>(阿里云百炼)</w:t>
            </w:r>
          </w:p>
        </w:tc>
        <w:tc>
          <w:tcPr>
            <w:tcW w:type="dxa" w:w="2381"/>
          </w:tcPr>
          <w:p>
            <w:pPr>
              <w:spacing w:after="20"/>
            </w:pPr>
            <w:r>
              <w:rPr>
                <w:sz w:val="18"/>
              </w:rPr>
              <w:t>bailian.console.aliyun.com</w:t>
              <w:br/>
              <w:t>→ API-KEY 管理</w:t>
            </w:r>
          </w:p>
        </w:tc>
        <w:tc>
          <w:tcPr>
            <w:tcW w:type="dxa" w:w="2608"/>
          </w:tcPr>
          <w:p>
            <w:pPr>
              <w:spacing w:after="20"/>
            </w:pPr>
            <w:r>
              <w:rPr>
                <w:sz w:val="18"/>
              </w:rPr>
              <w:t>https://dashscope.aliyuncs.com/compatible-mode/v1</w:t>
            </w:r>
          </w:p>
        </w:tc>
        <w:tc>
          <w:tcPr>
            <w:tcW w:type="dxa" w:w="1417"/>
          </w:tcPr>
          <w:p>
            <w:pPr>
              <w:spacing w:after="20"/>
            </w:pPr>
            <w:r>
              <w:rPr>
                <w:sz w:val="18"/>
              </w:rPr>
              <w:t>qwen-plus</w:t>
            </w:r>
          </w:p>
        </w:tc>
        <w:tc>
          <w:tcPr>
            <w:tcW w:type="dxa" w:w="1701"/>
          </w:tcPr>
          <w:p>
            <w:pPr>
              <w:spacing w:after="20"/>
            </w:pPr>
            <w:r>
              <w:rPr>
                <w:sz w:val="18"/>
              </w:rPr>
              <w:t>qwen-vl-plus</w:t>
            </w:r>
          </w:p>
        </w:tc>
      </w:tr>
      <w:tr>
        <w:tc>
          <w:tcPr>
            <w:tcW w:type="dxa" w:w="1474"/>
          </w:tcPr>
          <w:p>
            <w:pPr>
              <w:spacing w:after="20"/>
            </w:pPr>
            <w:r>
              <w:rPr>
                <w:sz w:val="18"/>
              </w:rPr>
              <w:t>智谱 GLM</w:t>
            </w:r>
          </w:p>
        </w:tc>
        <w:tc>
          <w:tcPr>
            <w:tcW w:type="dxa" w:w="2381"/>
          </w:tcPr>
          <w:p>
            <w:pPr>
              <w:spacing w:after="20"/>
            </w:pPr>
            <w:r>
              <w:rPr>
                <w:sz w:val="18"/>
              </w:rPr>
              <w:t>open.bigmodel.cn</w:t>
              <w:br/>
              <w:t>→ API Keys</w:t>
            </w:r>
          </w:p>
        </w:tc>
        <w:tc>
          <w:tcPr>
            <w:tcW w:type="dxa" w:w="2608"/>
          </w:tcPr>
          <w:p>
            <w:pPr>
              <w:spacing w:after="20"/>
            </w:pPr>
            <w:r>
              <w:rPr>
                <w:sz w:val="18"/>
              </w:rPr>
              <w:t>https://open.bigmodel.cn/api/paas/v4</w:t>
            </w:r>
          </w:p>
        </w:tc>
        <w:tc>
          <w:tcPr>
            <w:tcW w:type="dxa" w:w="1417"/>
          </w:tcPr>
          <w:p>
            <w:pPr>
              <w:spacing w:after="20"/>
            </w:pPr>
            <w:r>
              <w:rPr>
                <w:sz w:val="18"/>
              </w:rPr>
              <w:t>glm-4-air</w:t>
            </w:r>
          </w:p>
        </w:tc>
        <w:tc>
          <w:tcPr>
            <w:tcW w:type="dxa" w:w="1701"/>
          </w:tcPr>
          <w:p>
            <w:pPr>
              <w:spacing w:after="20"/>
            </w:pPr>
            <w:r>
              <w:rPr>
                <w:sz w:val="18"/>
              </w:rPr>
              <w:t>glm-4v-plus</w:t>
            </w:r>
          </w:p>
        </w:tc>
      </w:tr>
      <w:tr>
        <w:tc>
          <w:tcPr>
            <w:tcW w:type="dxa" w:w="1474"/>
          </w:tcPr>
          <w:p>
            <w:pPr>
              <w:spacing w:after="20"/>
            </w:pPr>
            <w:r>
              <w:rPr>
                <w:sz w:val="18"/>
              </w:rPr>
              <w:t>DeepSeek</w:t>
            </w:r>
          </w:p>
        </w:tc>
        <w:tc>
          <w:tcPr>
            <w:tcW w:type="dxa" w:w="2381"/>
          </w:tcPr>
          <w:p>
            <w:pPr>
              <w:spacing w:after="20"/>
            </w:pPr>
            <w:r>
              <w:rPr>
                <w:sz w:val="18"/>
              </w:rPr>
              <w:t>platform.deepseek.com</w:t>
              <w:br/>
              <w:t>→ API Keys</w:t>
            </w:r>
          </w:p>
        </w:tc>
        <w:tc>
          <w:tcPr>
            <w:tcW w:type="dxa" w:w="2608"/>
          </w:tcPr>
          <w:p>
            <w:pPr>
              <w:spacing w:after="20"/>
            </w:pPr>
            <w:r>
              <w:rPr>
                <w:sz w:val="18"/>
              </w:rPr>
              <w:t>https://api.deepseek.com/v1</w:t>
            </w:r>
          </w:p>
        </w:tc>
        <w:tc>
          <w:tcPr>
            <w:tcW w:type="dxa" w:w="1417"/>
          </w:tcPr>
          <w:p>
            <w:pPr>
              <w:spacing w:after="20"/>
            </w:pPr>
            <w:r>
              <w:rPr>
                <w:sz w:val="18"/>
              </w:rPr>
              <w:t>deepseek-chat</w:t>
            </w:r>
          </w:p>
        </w:tc>
        <w:tc>
          <w:tcPr>
            <w:tcW w:type="dxa" w:w="1701"/>
          </w:tcPr>
          <w:p>
            <w:pPr>
              <w:spacing w:after="20"/>
            </w:pPr>
            <w:r>
              <w:rPr>
                <w:sz w:val="18"/>
              </w:rPr>
              <w:t>不支持识图</w:t>
            </w:r>
          </w:p>
        </w:tc>
      </w:tr>
      <w:tr>
        <w:tc>
          <w:tcPr>
            <w:tcW w:type="dxa" w:w="1474"/>
          </w:tcPr>
          <w:p>
            <w:pPr>
              <w:spacing w:after="20"/>
            </w:pPr>
            <w:r>
              <w:rPr>
                <w:sz w:val="18"/>
              </w:rPr>
              <w:t>Kimi</w:t>
              <w:br/>
              <w:t>(月之暗面)</w:t>
            </w:r>
          </w:p>
        </w:tc>
        <w:tc>
          <w:tcPr>
            <w:tcW w:type="dxa" w:w="2381"/>
          </w:tcPr>
          <w:p>
            <w:pPr>
              <w:spacing w:after="20"/>
            </w:pPr>
            <w:r>
              <w:rPr>
                <w:sz w:val="18"/>
              </w:rPr>
              <w:t>platform.moonshot.cn</w:t>
              <w:br/>
              <w:t>→ API Key 管理</w:t>
            </w:r>
          </w:p>
        </w:tc>
        <w:tc>
          <w:tcPr>
            <w:tcW w:type="dxa" w:w="2608"/>
          </w:tcPr>
          <w:p>
            <w:pPr>
              <w:spacing w:after="20"/>
            </w:pPr>
            <w:r>
              <w:rPr>
                <w:sz w:val="18"/>
              </w:rPr>
              <w:t>https://api.moonshot.cn/v1</w:t>
            </w:r>
          </w:p>
        </w:tc>
        <w:tc>
          <w:tcPr>
            <w:tcW w:type="dxa" w:w="1417"/>
          </w:tcPr>
          <w:p>
            <w:pPr>
              <w:spacing w:after="20"/>
            </w:pPr>
            <w:r>
              <w:rPr>
                <w:sz w:val="18"/>
              </w:rPr>
              <w:t>moonshot-v1-8k</w:t>
            </w:r>
          </w:p>
        </w:tc>
        <w:tc>
          <w:tcPr>
            <w:tcW w:type="dxa" w:w="1701"/>
          </w:tcPr>
          <w:p>
            <w:pPr>
              <w:spacing w:after="20"/>
            </w:pPr>
            <w:r>
              <w:rPr>
                <w:sz w:val="18"/>
              </w:rPr>
              <w:t>moonshot-v1-8k-vision-preview</w:t>
            </w:r>
          </w:p>
        </w:tc>
      </w:tr>
      <w:tr>
        <w:tc>
          <w:tcPr>
            <w:tcW w:type="dxa" w:w="1474"/>
          </w:tcPr>
          <w:p>
            <w:pPr>
              <w:spacing w:after="20"/>
            </w:pPr>
            <w:r>
              <w:rPr>
                <w:sz w:val="18"/>
              </w:rPr>
              <w:t>豆包</w:t>
              <w:br/>
              <w:t>(火山方舟)</w:t>
            </w:r>
          </w:p>
        </w:tc>
        <w:tc>
          <w:tcPr>
            <w:tcW w:type="dxa" w:w="2381"/>
          </w:tcPr>
          <w:p>
            <w:pPr>
              <w:spacing w:after="20"/>
            </w:pPr>
            <w:r>
              <w:rPr>
                <w:sz w:val="18"/>
              </w:rPr>
              <w:t>console.volcengine.com/ark</w:t>
              <w:br/>
              <w:t>→ API Key 管理</w:t>
            </w:r>
          </w:p>
        </w:tc>
        <w:tc>
          <w:tcPr>
            <w:tcW w:type="dxa" w:w="2608"/>
          </w:tcPr>
          <w:p>
            <w:pPr>
              <w:spacing w:after="20"/>
            </w:pPr>
            <w:r>
              <w:rPr>
                <w:sz w:val="18"/>
              </w:rPr>
              <w:t>https://ark.cn-beijing.volces.com/api/v3</w:t>
            </w:r>
          </w:p>
        </w:tc>
        <w:tc>
          <w:tcPr>
            <w:tcW w:type="dxa" w:w="1417"/>
          </w:tcPr>
          <w:p>
            <w:pPr>
              <w:spacing w:after="20"/>
            </w:pPr>
            <w:r>
              <w:rPr>
                <w:sz w:val="18"/>
              </w:rPr>
              <w:t>doubao-seed 系列</w:t>
            </w:r>
          </w:p>
        </w:tc>
        <w:tc>
          <w:tcPr>
            <w:tcW w:type="dxa" w:w="1701"/>
          </w:tcPr>
          <w:p>
            <w:pPr>
              <w:spacing w:after="20"/>
            </w:pPr>
            <w:r>
              <w:rPr>
                <w:sz w:val="18"/>
              </w:rPr>
              <w:t>doubao-seed-1.6 等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b/>
          <w:sz w:val="21"/>
        </w:rPr>
        <w:t>以通义千问为例的完整申请流程：</w:t>
      </w:r>
    </w:p>
    <w:p>
      <w:pPr>
        <w:pStyle w:val="ListBullet"/>
        <w:spacing w:after="60"/>
      </w:pPr>
      <w:r>
        <w:t>① 打开 bailian.console.aliyun.com，用支付宝/淘宝账号登录阿里云，首次进入按提示开通「百炼大模型服务」（免费开通，按用量计费）；</w:t>
      </w:r>
    </w:p>
    <w:p>
      <w:pPr>
        <w:pStyle w:val="ListBullet"/>
        <w:spacing w:after="60"/>
      </w:pPr>
      <w:r>
        <w:t>② 右上角头像 → 「API-KEY 管理」→ 「创建我的 API-KEY」，选择默认业务空间；</w:t>
      </w:r>
    </w:p>
    <w:p>
      <w:pPr>
        <w:pStyle w:val="ListBullet"/>
        <w:spacing w:after="60"/>
      </w:pPr>
      <w:r>
        <w:t>③ 生成的 Key 形如 sk-xxxxxxxx，点击复制，妥善保存（仅完整显示一次）；</w:t>
      </w:r>
    </w:p>
    <w:p>
      <w:pPr>
        <w:pStyle w:val="ListBullet"/>
        <w:spacing w:after="60"/>
      </w:pPr>
      <w:r>
        <w:t>④ 新账号通常自带免费额度，用完后在费用中心充值即可，个人养护问答每月用量一般很低。</w:t>
      </w:r>
    </w:p>
    <w:p>
      <w:pPr>
        <w:pStyle w:val="Heading2"/>
      </w:pPr>
      <w:r>
        <w:t>7.2  第二步：在 App 中配置</w:t>
      </w:r>
    </w:p>
    <w:p>
      <w:pPr>
        <w:pStyle w:val="ListBullet"/>
        <w:spacing w:after="60"/>
      </w:pPr>
      <w:r>
        <w:t>进入 设置 → AI 服务（兼容 OpenAI 协议）；</w:t>
      </w:r>
    </w:p>
    <w:p>
      <w:pPr>
        <w:pStyle w:val="ListBullet"/>
        <w:spacing w:after="60"/>
      </w:pPr>
      <w:r>
        <w:t>点击「快捷预设」中的服务商按钮（通义千问/智谱GLM/豆包/DeepSeek/Kimi），接口地址与模型名自动填充，也可手动修改；</w:t>
      </w:r>
    </w:p>
    <w:p>
      <w:pPr>
        <w:pStyle w:val="ListBullet"/>
        <w:spacing w:after="60"/>
      </w:pPr>
      <w:r>
        <w:t>粘贴上一步申请的 API Key（仅保存在本机，不上传服务器）；</w:t>
      </w:r>
    </w:p>
    <w:p>
      <w:pPr>
        <w:pStyle w:val="ListBullet"/>
        <w:spacing w:after="60"/>
      </w:pPr>
      <w:r>
        <w:t>点「保存 AI 配置」。回到 AI 对话页即可使用。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2232000" cy="5042667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设置_示例.jpe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232000" cy="50426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color w:val="666666"/>
          <w:sz w:val="18"/>
        </w:rPr>
        <w:t>图 7-2  AI 服务配置示例（以通义千问为例）</w:t>
      </w:r>
    </w:p>
    <w:p>
      <w:pPr>
        <w:pStyle w:val="Heading2"/>
      </w:pPr>
      <w:r>
        <w:t>7.3  第三步：发起分析</w:t>
      </w:r>
    </w:p>
    <w:p>
      <w:pPr>
        <w:pStyle w:val="ListBullet"/>
        <w:spacing w:after="60"/>
      </w:pPr>
      <w:r>
        <w:t>数据类：点底部快捷条中的「水质判断」等按钮即发送；AI 会基于当前遥测给出异常项、风险与建议；</w:t>
      </w:r>
    </w:p>
    <w:p>
      <w:pPr>
        <w:pStyle w:val="ListBullet"/>
        <w:spacing w:after="60"/>
      </w:pPr>
      <w:r>
        <w:t>识图类：点「生物识别」「健康观察」等按钮后选择照片来源——在线摄像头（ESP32-CAM 自动抓拍）、手机相机拍摄、或云端最新照片（离场时可用）；</w:t>
      </w:r>
    </w:p>
    <w:p>
      <w:pPr>
        <w:pStyle w:val="ListBullet"/>
        <w:spacing w:after="60"/>
      </w:pPr>
      <w:r>
        <w:t>识别完成自动更新生物清单，概览页生物面板可手动修正；</w:t>
      </w:r>
    </w:p>
    <w:p>
      <w:pPr>
        <w:pStyle w:val="ListBullet"/>
        <w:spacing w:after="60"/>
      </w:pPr>
      <w:r>
        <w:t>右上角时钟图标查看分析记录，按日期时间倒序，点开看全文。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2232000" cy="5042667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生物概览.jpe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232000" cy="50426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color w:val="666666"/>
          <w:sz w:val="18"/>
        </w:rPr>
        <w:t>图 7-3  生物清单（AI 识别结果可修正）</w:t>
      </w:r>
    </w:p>
    <w:p>
      <w:pPr>
        <w:pStyle w:val="Heading2"/>
      </w:pPr>
      <w:r>
        <w:t>7.4  注意事项</w:t>
      </w:r>
    </w:p>
    <w:p>
      <w:pPr>
        <w:pStyle w:val="ListBullet"/>
        <w:spacing w:after="60"/>
      </w:pPr>
      <w:r>
        <w:t>识图必须使用多模态（视觉）模型，如 qwen-vl-plus、glm-4v-plus、moonshot vision 版；DeepSeek 当前不支持识图；</w:t>
      </w:r>
    </w:p>
    <w:p>
      <w:pPr>
        <w:pStyle w:val="ListBullet"/>
        <w:spacing w:after="60"/>
      </w:pPr>
      <w:r>
        <w:t>API Key 仅存本机，请勿分享截图或提交到版本库；若疑似泄露，立即到服务商控制台吊销并重建；</w:t>
      </w:r>
    </w:p>
    <w:p>
      <w:pPr>
        <w:pStyle w:val="ListBullet"/>
        <w:spacing w:after="60"/>
      </w:pPr>
      <w:r>
        <w:t>生产/商业环境建议由后端中转 LLM 请求，避免 Key 端侧泄露（App 内安全提示同此）；</w:t>
      </w:r>
    </w:p>
    <w:p>
      <w:pPr>
        <w:pStyle w:val="ListBullet"/>
        <w:spacing w:after="60"/>
      </w:pPr>
      <w:r>
        <w:t>AI 输出仅供参考，不替代人工巡检与专业判断。</w:t>
      </w:r>
    </w:p>
    <w:p>
      <w:pPr>
        <w:pStyle w:val="Heading1"/>
      </w:pPr>
      <w:r>
        <w:t>8  设置页</w:t>
      </w:r>
    </w:p>
    <w:p>
      <w:pPr>
        <w:pStyle w:val="Heading2"/>
      </w:pPr>
      <w:r>
        <w:t>8.1  云查看（离场查看）</w:t>
      </w:r>
    </w:p>
    <w:p>
      <w:pPr>
        <w:spacing w:after="120"/>
        <w:ind w:firstLine="420"/>
      </w:pPr>
      <w:r>
        <w:rPr>
          <w:b w:val="0"/>
          <w:sz w:val="21"/>
        </w:rPr>
        <w:t>主控每 30 秒把遥测发到云 Broker（MQTT over TLS），离场后 App 自动切换云端：填写 Broker 地址、端口（WSS 默认 8084）、用户名/密码与云查看设备 ID（与设备端一致，形如 iaqua-xxxx）。云端亦可下发 CO₂/照明/加热棒/水泵的手动开关（应急用，状态约 30 秒回传）。</w:t>
      </w:r>
    </w:p>
    <w:p>
      <w:pPr>
        <w:pStyle w:val="Heading2"/>
      </w:pPr>
      <w:r>
        <w:t>8.2  日志与计划云同步</w:t>
      </w:r>
    </w:p>
    <w:p>
      <w:pPr>
        <w:spacing w:after="120"/>
        <w:ind w:firstLine="420"/>
      </w:pPr>
      <w:r>
        <w:rPr>
          <w:b w:val="0"/>
          <w:sz w:val="21"/>
        </w:rPr>
        <w:t>默认开启：多台手机经云 Broker 自动双向合并日志与周期计划（含删除），仅云端在线时产生流量，局域网直连不消耗。更换手机登录同一配置即可取回全部记录。</w:t>
      </w:r>
    </w:p>
    <w:p>
      <w:pPr>
        <w:pStyle w:val="Heading2"/>
      </w:pPr>
      <w:r>
        <w:t>8.3  其他</w:t>
      </w:r>
    </w:p>
    <w:p>
      <w:pPr>
        <w:pStyle w:val="ListBullet"/>
        <w:spacing w:after="60"/>
      </w:pPr>
      <w:r>
        <w:t>演示模式：见 2.4；</w:t>
      </w:r>
    </w:p>
    <w:p>
      <w:pPr>
        <w:pStyle w:val="ListBullet"/>
        <w:spacing w:after="60"/>
      </w:pPr>
      <w:r>
        <w:t>关于：显示 App 版本号（如 v0.1.0-b19），便于确认更新。</w:t>
      </w:r>
    </w:p>
    <w:p>
      <w:pPr>
        <w:pStyle w:val="Heading1"/>
      </w:pPr>
      <w:r>
        <w:t>9  连接模式与常见问题</w:t>
      </w:r>
    </w:p>
    <w:p>
      <w:pPr>
        <w:pStyle w:val="Heading2"/>
      </w:pPr>
      <w:r>
        <w:t>9.1  两种连接模式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1247"/>
            <w:shd w:val="clear" w:fill="E8F2F0"/>
          </w:tcPr>
          <w:p>
            <w:pPr>
              <w:spacing w:after="20"/>
            </w:pPr>
            <w:r>
              <w:rPr>
                <w:b/>
                <w:sz w:val="18"/>
              </w:rPr>
            </w:r>
          </w:p>
        </w:tc>
        <w:tc>
          <w:tcPr>
            <w:tcW w:type="dxa" w:w="3855"/>
            <w:shd w:val="clear" w:fill="E8F2F0"/>
          </w:tcPr>
          <w:p>
            <w:pPr>
              <w:spacing w:after="20"/>
            </w:pPr>
            <w:r>
              <w:rPr>
                <w:b/>
                <w:sz w:val="18"/>
              </w:rPr>
              <w:t>局域网直连</w:t>
            </w:r>
          </w:p>
        </w:tc>
        <w:tc>
          <w:tcPr>
            <w:tcW w:type="dxa" w:w="3855"/>
            <w:shd w:val="clear" w:fill="E8F2F0"/>
          </w:tcPr>
          <w:p>
            <w:pPr>
              <w:spacing w:after="20"/>
            </w:pPr>
            <w:r>
              <w:rPr>
                <w:b/>
                <w:sz w:val="18"/>
              </w:rPr>
              <w:t>云端查看</w:t>
            </w:r>
          </w:p>
        </w:tc>
      </w:tr>
      <w:tr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  <w:t>条件</w:t>
            </w:r>
          </w:p>
        </w:tc>
        <w:tc>
          <w:tcPr>
            <w:tcW w:type="dxa" w:w="3855"/>
          </w:tcPr>
          <w:p>
            <w:pPr>
              <w:spacing w:after="20"/>
            </w:pPr>
            <w:r>
              <w:rPr>
                <w:sz w:val="18"/>
              </w:rPr>
              <w:t>手机与主控同一 2.4G WiFi</w:t>
            </w:r>
          </w:p>
        </w:tc>
        <w:tc>
          <w:tcPr>
            <w:tcW w:type="dxa" w:w="3855"/>
          </w:tcPr>
          <w:p>
            <w:pPr>
              <w:spacing w:after="20"/>
            </w:pPr>
            <w:r>
              <w:rPr>
                <w:sz w:val="18"/>
              </w:rPr>
              <w:t>任意外网（流量/别的 WiFi）</w:t>
            </w:r>
          </w:p>
        </w:tc>
      </w:tr>
      <w:tr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  <w:t>刷新</w:t>
            </w:r>
          </w:p>
        </w:tc>
        <w:tc>
          <w:tcPr>
            <w:tcW w:type="dxa" w:w="3855"/>
          </w:tcPr>
          <w:p>
            <w:pPr>
              <w:spacing w:after="20"/>
            </w:pPr>
            <w:r>
              <w:rPr>
                <w:sz w:val="18"/>
              </w:rPr>
              <w:t>约 1 秒</w:t>
            </w:r>
          </w:p>
        </w:tc>
        <w:tc>
          <w:tcPr>
            <w:tcW w:type="dxa" w:w="3855"/>
          </w:tcPr>
          <w:p>
            <w:pPr>
              <w:spacing w:after="20"/>
            </w:pPr>
            <w:r>
              <w:rPr>
                <w:sz w:val="18"/>
              </w:rPr>
              <w:t>约 30 秒一帧</w:t>
            </w:r>
          </w:p>
        </w:tc>
      </w:tr>
      <w:tr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  <w:t>控制</w:t>
            </w:r>
          </w:p>
        </w:tc>
        <w:tc>
          <w:tcPr>
            <w:tcW w:type="dxa" w:w="3855"/>
          </w:tcPr>
          <w:p>
            <w:pPr>
              <w:spacing w:after="20"/>
            </w:pPr>
            <w:r>
              <w:rPr>
                <w:sz w:val="18"/>
              </w:rPr>
              <w:t>全部通道即时生效</w:t>
            </w:r>
          </w:p>
        </w:tc>
        <w:tc>
          <w:tcPr>
            <w:tcW w:type="dxa" w:w="3855"/>
          </w:tcPr>
          <w:p>
            <w:pPr>
              <w:spacing w:after="20"/>
            </w:pPr>
            <w:r>
              <w:rPr>
                <w:sz w:val="18"/>
              </w:rPr>
              <w:t>白名单通道（应急）</w:t>
            </w:r>
          </w:p>
        </w:tc>
      </w:tr>
      <w:tr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  <w:t>切换</w:t>
            </w:r>
          </w:p>
        </w:tc>
        <w:tc>
          <w:tcPr>
            <w:tcW w:type="dxa" w:w="3855"/>
          </w:tcPr>
          <w:p>
            <w:pPr>
              <w:spacing w:after="20"/>
            </w:pPr>
            <w:r>
              <w:rPr>
                <w:sz w:val="18"/>
              </w:rPr>
              <w:t>默认模式</w:t>
            </w:r>
          </w:p>
        </w:tc>
        <w:tc>
          <w:tcPr>
            <w:tcW w:type="dxa" w:w="3855"/>
          </w:tcPr>
          <w:p>
            <w:pPr>
              <w:spacing w:after="20"/>
            </w:pPr>
            <w:r>
              <w:rPr>
                <w:sz w:val="18"/>
              </w:rPr>
              <w:t>断网自动切换，回局域网自动恢复</w:t>
            </w:r>
          </w:p>
        </w:tc>
      </w:tr>
    </w:tbl>
    <w:p>
      <w:pPr>
        <w:spacing w:after="40"/>
      </w:pPr>
    </w:p>
    <w:p>
      <w:pPr>
        <w:pStyle w:val="Heading2"/>
      </w:pPr>
      <w:r>
        <w:t>9.2  常见问题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2948"/>
            <w:shd w:val="clear" w:fill="E8F2F0"/>
          </w:tcPr>
          <w:p>
            <w:pPr>
              <w:spacing w:after="20"/>
            </w:pPr>
            <w:r>
              <w:rPr>
                <w:b/>
                <w:sz w:val="18"/>
              </w:rPr>
              <w:t>现象</w:t>
            </w:r>
          </w:p>
        </w:tc>
        <w:tc>
          <w:tcPr>
            <w:tcW w:type="dxa" w:w="6009"/>
            <w:shd w:val="clear" w:fill="E8F2F0"/>
          </w:tcPr>
          <w:p>
            <w:pPr>
              <w:spacing w:after="20"/>
            </w:pPr>
            <w:r>
              <w:rPr>
                <w:b/>
                <w:sz w:val="18"/>
              </w:rPr>
              <w:t>处理</w:t>
            </w:r>
          </w:p>
        </w:tc>
      </w:tr>
      <w:tr>
        <w:tc>
          <w:tcPr>
            <w:tcW w:type="dxa" w:w="2948"/>
          </w:tcPr>
          <w:p>
            <w:pPr>
              <w:spacing w:after="20"/>
            </w:pPr>
            <w:r>
              <w:rPr>
                <w:sz w:val="18"/>
              </w:rPr>
              <w:t>搜不到设备 / 连接失败</w:t>
            </w:r>
          </w:p>
        </w:tc>
        <w:tc>
          <w:tcPr>
            <w:tcW w:type="dxa" w:w="6009"/>
          </w:tcPr>
          <w:p>
            <w:pPr>
              <w:spacing w:after="20"/>
            </w:pPr>
            <w:r>
              <w:rPr>
                <w:sz w:val="18"/>
              </w:rPr>
              <w:t>确认手机与主控在同一 2.4G WiFi；Windows 端直接填主控 IP（不支持 mDNS 域名）；检查鱼缸页 IP 是否正确</w:t>
            </w:r>
          </w:p>
        </w:tc>
      </w:tr>
      <w:tr>
        <w:tc>
          <w:tcPr>
            <w:tcW w:type="dxa" w:w="2948"/>
          </w:tcPr>
          <w:p>
            <w:pPr>
              <w:spacing w:after="20"/>
            </w:pPr>
            <w:r>
              <w:rPr>
                <w:sz w:val="18"/>
              </w:rPr>
              <w:t>云端已连接但没有数据</w:t>
            </w:r>
          </w:p>
        </w:tc>
        <w:tc>
          <w:tcPr>
            <w:tcW w:type="dxa" w:w="6009"/>
          </w:tcPr>
          <w:p>
            <w:pPr>
              <w:spacing w:after="20"/>
            </w:pPr>
            <w:r>
              <w:rPr>
                <w:sz w:val="18"/>
              </w:rPr>
              <w:t>核对云查看设备 ID 与设备端完全一致（如 iaqua-83d4）；约 20 秒仍无数据会提示检查设备 ID</w:t>
            </w:r>
          </w:p>
        </w:tc>
      </w:tr>
      <w:tr>
        <w:tc>
          <w:tcPr>
            <w:tcW w:type="dxa" w:w="2948"/>
          </w:tcPr>
          <w:p>
            <w:pPr>
              <w:spacing w:after="20"/>
            </w:pPr>
            <w:r>
              <w:rPr>
                <w:sz w:val="18"/>
              </w:rPr>
              <w:t>摄像头抓拍失败</w:t>
            </w:r>
          </w:p>
        </w:tc>
        <w:tc>
          <w:tcPr>
            <w:tcW w:type="dxa" w:w="6009"/>
          </w:tcPr>
          <w:p>
            <w:pPr>
              <w:spacing w:after="20"/>
            </w:pPr>
            <w:r>
              <w:rPr>
                <w:sz w:val="18"/>
              </w:rPr>
              <w:t>确认摄像头 IP 可达且设备在线；或改用「手机相机」来源</w:t>
            </w:r>
          </w:p>
        </w:tc>
      </w:tr>
      <w:tr>
        <w:tc>
          <w:tcPr>
            <w:tcW w:type="dxa" w:w="2948"/>
          </w:tcPr>
          <w:p>
            <w:pPr>
              <w:spacing w:after="20"/>
            </w:pPr>
            <w:r>
              <w:rPr>
                <w:sz w:val="18"/>
              </w:rPr>
              <w:t>AI 回复报错</w:t>
            </w:r>
          </w:p>
        </w:tc>
        <w:tc>
          <w:tcPr>
            <w:tcW w:type="dxa" w:w="6009"/>
          </w:tcPr>
          <w:p>
            <w:pPr>
              <w:spacing w:after="20"/>
            </w:pPr>
            <w:r>
              <w:rPr>
                <w:sz w:val="18"/>
              </w:rPr>
              <w:t>检查 API Key 是否正确、账户是否有余额/额度、网络是否可达服务商</w:t>
            </w:r>
          </w:p>
        </w:tc>
      </w:tr>
      <w:tr>
        <w:tc>
          <w:tcPr>
            <w:tcW w:type="dxa" w:w="2948"/>
          </w:tcPr>
          <w:p>
            <w:pPr>
              <w:spacing w:after="20"/>
            </w:pPr>
            <w:r>
              <w:rPr>
                <w:sz w:val="18"/>
              </w:rPr>
              <w:t>AI 不能识图</w:t>
            </w:r>
          </w:p>
        </w:tc>
        <w:tc>
          <w:tcPr>
            <w:tcW w:type="dxa" w:w="6009"/>
          </w:tcPr>
          <w:p>
            <w:pPr>
              <w:spacing w:after="20"/>
            </w:pPr>
            <w:r>
              <w:rPr>
                <w:sz w:val="18"/>
              </w:rPr>
              <w:t>当前模型不支持视觉，换用 qwen-vl / glm-4v / kimi vision 等多模态模型</w:t>
            </w:r>
          </w:p>
        </w:tc>
      </w:tr>
      <w:tr>
        <w:tc>
          <w:tcPr>
            <w:tcW w:type="dxa" w:w="2948"/>
          </w:tcPr>
          <w:p>
            <w:pPr>
              <w:spacing w:after="20"/>
            </w:pPr>
            <w:r>
              <w:rPr>
                <w:sz w:val="18"/>
              </w:rPr>
              <w:t>演示数据会覆盖真实数据吗</w:t>
            </w:r>
          </w:p>
        </w:tc>
        <w:tc>
          <w:tcPr>
            <w:tcW w:type="dxa" w:w="6009"/>
          </w:tcPr>
          <w:p>
            <w:pPr>
              <w:spacing w:after="20"/>
            </w:pPr>
            <w:r>
              <w:rPr>
                <w:sz w:val="18"/>
              </w:rPr>
              <w:t>不会。演示模式仅在对应内容为空时写入；关闭后停止模拟遥测，已写入的日志可长按删除</w:t>
            </w:r>
          </w:p>
        </w:tc>
      </w:tr>
      <w:tr>
        <w:tc>
          <w:tcPr>
            <w:tcW w:type="dxa" w:w="2948"/>
          </w:tcPr>
          <w:p>
            <w:pPr>
              <w:spacing w:after="20"/>
            </w:pPr>
            <w:r>
              <w:rPr>
                <w:sz w:val="18"/>
              </w:rPr>
              <w:t>历史曲线没有数据</w:t>
            </w:r>
          </w:p>
        </w:tc>
        <w:tc>
          <w:tcPr>
            <w:tcW w:type="dxa" w:w="6009"/>
          </w:tcPr>
          <w:p>
            <w:pPr>
              <w:spacing w:after="20"/>
            </w:pPr>
            <w:r>
              <w:rPr>
                <w:sz w:val="18"/>
              </w:rPr>
              <w:t>未校准 NTP 前设备不落盘历史；连接云端校时后自动恢复记录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b w:val="0"/>
          <w:color w:val="666666"/>
          <w:sz w:val="19"/>
        </w:rPr>
        <w:t>更多说明与固件配置文档见开源仓库：https://github.com/Brigchen/iAquaria</w:t>
      </w:r>
    </w:p>
    <w:sectPr w:rsidR="00FC693F" w:rsidRPr="0006063C" w:rsidSect="00034616">
      <w:footerReference w:type="default" r:id="rId9"/>
      <w:headerReference w:type="default" r:id="rId21"/>
      <w:pgSz w:w="11906" w:h="16838"/>
      <w:pgMar w:top="1361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6666"/>
        <w:sz w:val="17"/>
      </w:rPr>
      <w:t xml:space="preserve">iAquaria App 使用手册 V1.1 · 第 </w:t>
    </w:r>
    <w:fldSimple w:instr="PAGE"/>
    <w:r>
      <w:rPr>
        <w:color w:val="666666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12" w:lineRule="auto"/>
    </w:pPr>
    <w:rPr>
      <w:rFonts w:ascii="微软雅黑" w:hAnsi="微软雅黑" w:eastAsia="微软雅黑"/>
      <w:b w:val="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0F766B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0F766B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jpeg"/><Relationship Id="rId12" Type="http://schemas.openxmlformats.org/officeDocument/2006/relationships/image" Target="media/image3.jpeg"/><Relationship Id="rId13" Type="http://schemas.openxmlformats.org/officeDocument/2006/relationships/image" Target="media/image4.jpeg"/><Relationship Id="rId14" Type="http://schemas.openxmlformats.org/officeDocument/2006/relationships/image" Target="media/image5.jpeg"/><Relationship Id="rId15" Type="http://schemas.openxmlformats.org/officeDocument/2006/relationships/image" Target="media/image6.jpeg"/><Relationship Id="rId16" Type="http://schemas.openxmlformats.org/officeDocument/2006/relationships/image" Target="media/image7.jpeg"/><Relationship Id="rId17" Type="http://schemas.openxmlformats.org/officeDocument/2006/relationships/image" Target="media/image8.jpeg"/><Relationship Id="rId18" Type="http://schemas.openxmlformats.org/officeDocument/2006/relationships/image" Target="media/image9.png"/><Relationship Id="rId19" Type="http://schemas.openxmlformats.org/officeDocument/2006/relationships/image" Target="media/image10.jpeg"/><Relationship Id="rId20" Type="http://schemas.openxmlformats.org/officeDocument/2006/relationships/image" Target="media/image11.jpeg"/><Relationship Id="rId21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iAquaria App 使用手册 V1.0</dc:title>
  <dc:subject/>
  <dc:creator>python-docx</dc:creator>
  <cp:keywords/>
  <dc:description>generated by python-docx</dc:description>
  <cp:lastModifiedBy>iAquaria 项目组</cp:lastModifiedBy>
  <cp:revision>1</cp:revision>
  <dcterms:created xsi:type="dcterms:W3CDTF">2013-12-23T23:15:00Z</dcterms:created>
  <dcterms:modified xsi:type="dcterms:W3CDTF">2013-12-23T23:15:00Z</dcterms:modified>
  <cp:category/>
</cp:coreProperties>
</file>