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3B66"/>
          <w:sz w:val="40"/>
        </w:rPr>
        <w:t>เอกสารสเปกอุปกรณ์ (Equipment Specification Sheet)</w:t>
      </w:r>
    </w:p>
    <w:p>
      <w:pPr>
        <w:jc w:val="center"/>
      </w:pPr>
      <w:r>
        <w:rPr>
          <w:color w:val="0078D4"/>
          <w:sz w:val="24"/>
        </w:rPr>
        <w:t>ระบบบริหารจัดการลานจอดรถอัจฉริยะด้วย Ouster LiDAR — Gemini Edge AI + BlueCity</w:t>
      </w:r>
    </w:p>
    <w:p>
      <w:pPr>
        <w:jc w:val="center"/>
      </w:pPr>
      <w:r>
        <w:rPr>
          <w:color w:val="555B66"/>
          <w:sz w:val="20"/>
        </w:rPr>
        <w:t>LiDAR ParkManager  ·  Smart Parking Management System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461716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ology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46171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555B66"/>
          <w:sz w:val="17"/>
        </w:rPr>
        <w:t>รูปที่ 1 — ภาพรวม Topology ระบบ (Sensing → Gemini Event Zones → Protocols → ปลายทาง)</w:t>
      </w:r>
    </w:p>
    <w:p>
      <w:pPr>
        <w:spacing w:after="80"/>
      </w:pPr>
      <w:r>
        <w:rPr>
          <w:b w:val="0"/>
          <w:color w:val="555B66"/>
          <w:sz w:val="19"/>
        </w:rPr>
        <w:t>เอกสารนี้ระบุคุณลักษณะ (specification) ขั้นต่ำ/แนะนำของอุปกรณ์แต่ละรายการสำหรับการออกแบบและจัดซื้อ ตัวเลขอ้างอิงจากเอกสารผู้ผลิตและมาตรฐานสากล (ดูส่วนอ้างอิงท้ายเอกสาร) ควรให้ผู้ขาย/ผู้รับเหมายืนยันกับ datasheet ล่าสุดและสำรวจหน้างานจริงก่อนสั่งซื้อ</w:t>
      </w:r>
    </w:p>
    <w:p>
      <w:pPr>
        <w:pStyle w:val="Heading1"/>
      </w:pPr>
      <w:r>
        <w:rPr>
          <w:rFonts w:ascii="Arial" w:hAnsi="Arial"/>
          <w:color w:val="0F3B66"/>
        </w:rPr>
        <w:t>1) เซนเซอร์ LiDAR — Ouster (ตัวตรวจจับหลัก)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20"/>
            <w:shd w:val="clear" w:color="auto" w:fill="0F3B66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พารามิเตอร์ / Parameter</w:t>
            </w:r>
          </w:p>
        </w:tc>
        <w:tc>
          <w:tcPr>
            <w:tcW w:type="dxa" w:w="4248"/>
            <w:shd w:val="clear" w:color="auto" w:fill="0F3B66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สเปกที่กำหนด (ขั้นต่ำ/แนะนำ)</w:t>
            </w:r>
          </w:p>
        </w:tc>
        <w:tc>
          <w:tcPr>
            <w:tcW w:type="dxa" w:w="3168"/>
            <w:shd w:val="clear" w:color="auto" w:fill="0F3B66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หมายเหตุ / เหตุผล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รุ่นแนะนำ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Ouster OS1-128 (กลางแจ้ง/ระยะกลาง) · OS0-128 (ในร่ม/เพดานต่ำ มุมกว้าง)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เลือกตามระยะ/มุมที่ต้องครอบคลุม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ช่องสัญญาณ (channels)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128 ชั้น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ความละเอียดแนวตั้งสูง รองรับ 1 โซน/ช่องจอด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ระยะตรวจจับ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OS1: ~120–200 m · OS0: ~50 m (ขึ้นกับ % การสะท้อน)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รถสีเข้ม (~10%) ได้ระยะน้อยกว่า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มุมมองแนวตั้ง / แนวนอน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OS1: 45° · OS0: 90° / แนวนอน 360°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หมุนรอบตัว ครอบคลุมหลายช่องต่อ 1 ตัว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อัตราจุด (points/sec)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สูงสุด ~2.6 M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ความหนาแน่นจุดเพียงพอจำแนกรถ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กำลังไฟ / แรงดัน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14–20 W ปกติ (22–28 W ที่ −40°C) · 12/24 VDC หรือ PoE+ ผ่าน interface box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จ่ายไฟผ่าน PoE+ (802.3at ~25.5W) ต่อพอร์ต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มาตรฐานกันน้ำ/ฝุ่น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IP68 / IP69K (เมื่อล็อกขั้วต่อสาย)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เหมาะติดตั้งกลางแจ้ง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การเชื่อมต่อ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1000BASE-T (Gigabit Ethernet) · เอาต์พุต UDP point cloud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ต่อเข้าสวิตช์ PoE ในวงเซนเซอร์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การซิงก์เวลา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PTP (IEEE 1588) หรือ NMEA + PPS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จำเป็นต่อการ merge หลายตัว/นับให้แม่น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อุณหภูมิใช้งาน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−40 ถึง +60 °C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ทนสภาพอากาศไทย/กลางแจ้ง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ซอฟต์แวร์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รองรับ Ouster Gemini perception (รันบน Jetson Orin)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ประมวลผลที่ edge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color w:val="0F3B66"/>
        </w:rPr>
        <w:t>2) Edge AI Compute — Gemini (ประมวล point cloud)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20"/>
            <w:shd w:val="clear" w:color="auto" w:fill="0F3B66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พารามิเตอร์ / Parameter</w:t>
            </w:r>
          </w:p>
        </w:tc>
        <w:tc>
          <w:tcPr>
            <w:tcW w:type="dxa" w:w="4248"/>
            <w:shd w:val="clear" w:color="auto" w:fill="0F3B66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สเปกที่กำหนด (ขั้นต่ำ/แนะนำ)</w:t>
            </w:r>
          </w:p>
        </w:tc>
        <w:tc>
          <w:tcPr>
            <w:tcW w:type="dxa" w:w="3168"/>
            <w:shd w:val="clear" w:color="auto" w:fill="0F3B66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หมายเหตุ / เหตุผล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รุ่นแนะนำ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NVIDIA Jetson Orin NX 16GB (1–2 เซนเซอร์) · AGX Orin 32–64GB (รวมหลายเซนเซอร์)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Gemini รันบน Jetson AGX Orin / Orin NX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สมรรถนะ AI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Orin NX: สูงสุด 100–157 TOPS (INT8) · AGX Orin: สูงสุด 275 TOPS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พอสำหรับ DNN ตรวจจับ/จำแนกเรียลไทม์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หน่วยความจำ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16 GB (NX) / 32–64 GB (AGX)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ขึ้นกับจำนวนเซนเซอร์ที่รวม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สตอเรจ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NVMe SSD ≥ 256 GB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OS + บัฟเฟอร์ + store-and-forward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เครือข่าย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≥1× GbE ต่อเซนเซอร์ + อัปลิงก์ 2.5/10 GbE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แยกวงเซนเซอร์ (VLAN)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ซอฟต์แวร์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Ouster Gemini + JetPack/TensorRT + Docker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perception, event zones, MQTT/gRPC/REST out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กำลังไฟ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10–40 W (NX) / 15–60 W (AGX) configurable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เลือกโหมดกำลังตามภาระงาน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ตู้/อุณหภูมิ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Fanless industrial · −25 ถึง +60 °C · ในตู้ IP54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ติดใกล้เสาเซนเซอร์ลด latency สาย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การจัดขนาด (sizing)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~1 AGX Orin ต่อ 4–8 เซนเซอร์ (fusion) หรือ 1 Orin NX ต่อ 1–2 เซนเซอร์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ปรับตามจำนวนช่อง/โซน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color w:val="0F3B66"/>
        </w:rPr>
        <w:t>3) PoE++ Access Switch (สวิตช์จ่ายไฟ — อุตสาหกรรม, managed)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20"/>
            <w:shd w:val="clear" w:color="auto" w:fill="0F3B66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พารามิเตอร์ / Parameter</w:t>
            </w:r>
          </w:p>
        </w:tc>
        <w:tc>
          <w:tcPr>
            <w:tcW w:type="dxa" w:w="4248"/>
            <w:shd w:val="clear" w:color="auto" w:fill="0F3B66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สเปกที่กำหนด (ขั้นต่ำ/แนะนำ)</w:t>
            </w:r>
          </w:p>
        </w:tc>
        <w:tc>
          <w:tcPr>
            <w:tcW w:type="dxa" w:w="3168"/>
            <w:shd w:val="clear" w:color="auto" w:fill="0F3B66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หมายเหตุ / เหตุผล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มาตรฐาน PoE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IEEE 802.3bt Type 4 (90W/พอร์ต) — รองรับย้อนกลับ 802.3at/af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LiDAR/กล้องใช้ ~25.5W (at); ป้าย/ฮีตเตอร์อาจต้อง bt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จำนวนพอร์ต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8 / 16 / 24 พอร์ต 10/100/1000 PoE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เลือกตามจำนวนอุปกรณ์ในวง + เผื่อ 20%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งบไฟ PoE (PoE budget)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≥ Σ(กำลัง PD) × 1.25  เช่น 8×LiDAR@25.5W ≈ 204W → งบ ≥ 240W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เผื่อหัวงานและการสูญเสียในสาย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ความจุสวิตช์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Non-blocking · ≥ (จำนวนพอร์ต × 2 Gbps)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ส่ง point cloud/วิดีโอพร้อมกันได้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อัปลิงก์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2–4 × 1/10G SFP/SFP+ (ไฟเบอร์)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backbone ไประยะไกล/กันสัญญาณรบกวน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ฟีเจอร์ L2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VLAN 802.1Q, QoS, IGMP snooping, RSTP, LACP, port security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แยกวง: เซนเซอร์/กล้อง/ควบคุม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ฟีเจอร์ L3 (ออปชัน)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Static routing / OSPF, ACL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ถ้าให้สวิตช์ทำเราต์ติ้งระดับโซน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การจัดการ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Web GUI + CLI + SNMP v2/v3 + syslog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มอนิเตอร์ผ่าน Grafana/NMS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ไฟเข้า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Dual redundant 48–54 VDC (หรือ AC) + alarm relay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สำรองไฟ/แจ้งเตือนเมื่อไฟตก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สภาพแวดล้อม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−40 ถึง +75 °C · IP30/IP40 · DIN-rail · ทน surge/EFT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ติดตั้งในตู้กลางแจ้งได้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ความเชื่อถือได้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Fanless · MTBF สูง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ลดงานบำรุงรักษา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color w:val="0F3B66"/>
        </w:rPr>
        <w:t>4) Core / Aggregation Switch (สวิตช์แกน)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20"/>
            <w:shd w:val="clear" w:color="auto" w:fill="0F3B66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พารามิเตอร์ / Parameter</w:t>
            </w:r>
          </w:p>
        </w:tc>
        <w:tc>
          <w:tcPr>
            <w:tcW w:type="dxa" w:w="4248"/>
            <w:shd w:val="clear" w:color="auto" w:fill="0F3B66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สเปกที่กำหนด (ขั้นต่ำ/แนะนำ)</w:t>
            </w:r>
          </w:p>
        </w:tc>
        <w:tc>
          <w:tcPr>
            <w:tcW w:type="dxa" w:w="3168"/>
            <w:shd w:val="clear" w:color="auto" w:fill="0F3B66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หมายเหตุ / เหตุผล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ชนิด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L3 managed switch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รวมทราฟฟิกทุกวง + เราต์ติ้ง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พอร์ต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24–48 × 1G + 4 × 10/25G uplink (SFP+/SFP28)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รองรับ backbone ไฟเบอร์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ฟีเจอร์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Routing (OSPF/BGP), ACL, VLAN, QoS, stacking/redundancy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แบ่งวง/ความปลอดภัย/สำรอง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ไฟ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Redundant hot-swap PSU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ความพร้อมใช้งานสูง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color w:val="0F3B66"/>
        </w:rPr>
        <w:t>5) Router / Firewall (NGFW)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20"/>
            <w:shd w:val="clear" w:color="auto" w:fill="0F3B66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พารามิเตอร์ / Parameter</w:t>
            </w:r>
          </w:p>
        </w:tc>
        <w:tc>
          <w:tcPr>
            <w:tcW w:type="dxa" w:w="4248"/>
            <w:shd w:val="clear" w:color="auto" w:fill="0F3B66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สเปกที่กำหนด (ขั้นต่ำ/แนะนำ)</w:t>
            </w:r>
          </w:p>
        </w:tc>
        <w:tc>
          <w:tcPr>
            <w:tcW w:type="dxa" w:w="3168"/>
            <w:shd w:val="clear" w:color="auto" w:fill="0F3B66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หมายเหตุ / เหตุผล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ชนิด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Next-Gen Firewall (NGFW)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กั้นระหว่างวงภายใน ↔ อินเทอร์เน็ต/คลาวด์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ความสามารถ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Throughput เพียงพอ (เช่น ≥1 Gbps), IPS/IDS, App control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ตรวจจับ/ป้องกันภัยคุกคาม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VPN / WAN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IPsec/SSL VPN, Dual-WAN failover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เชื่อมคลาวด์/รีโมตปลอดภัย + สำรองเน็ต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ความปลอดภัย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Segmentation, NAT, logging/audit, TLS inspection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แยกวง IoT ออกจากระบบสำนักงาน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color w:val="0F3B66"/>
        </w:rPr>
        <w:t>6) Time Sync — PTP Grandmaster / GNSS (ซิงก์เวลา)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20"/>
            <w:shd w:val="clear" w:color="auto" w:fill="0F3B66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พารามิเตอร์ / Parameter</w:t>
            </w:r>
          </w:p>
        </w:tc>
        <w:tc>
          <w:tcPr>
            <w:tcW w:type="dxa" w:w="4248"/>
            <w:shd w:val="clear" w:color="auto" w:fill="0F3B66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สเปกที่กำหนด (ขั้นต่ำ/แนะนำ)</w:t>
            </w:r>
          </w:p>
        </w:tc>
        <w:tc>
          <w:tcPr>
            <w:tcW w:type="dxa" w:w="3168"/>
            <w:shd w:val="clear" w:color="auto" w:fill="0F3B66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หมายเหตุ / เหตุผล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ชนิด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IEEE 1588v2 PTP Grandmaster + GPS/GNSS-disciplined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ให้ทุกเซนเซอร์เวลาตรงกัน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ความแม่นยำ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&lt; 1 µs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จำเป็นต่อการ merge/นับรถข้ามโซนให้ถูก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ไฟ/ติดตั้ง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PoE หรือ DC · เสาอากาศ GNSS กลางแจ้ง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ติดจุดที่เห็นท้องฟ้า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color w:val="0F3B66"/>
        </w:rPr>
        <w:t>7) เซิร์ฟเวอร์ On-prem (BlueCity Backend)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20"/>
            <w:shd w:val="clear" w:color="auto" w:fill="0F3B66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พารามิเตอร์ / Parameter</w:t>
            </w:r>
          </w:p>
        </w:tc>
        <w:tc>
          <w:tcPr>
            <w:tcW w:type="dxa" w:w="4248"/>
            <w:shd w:val="clear" w:color="auto" w:fill="0F3B66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สเปกที่กำหนด (ขั้นต่ำ/แนะนำ)</w:t>
            </w:r>
          </w:p>
        </w:tc>
        <w:tc>
          <w:tcPr>
            <w:tcW w:type="dxa" w:w="3168"/>
            <w:shd w:val="clear" w:color="auto" w:fill="0F3B66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หมายเหตุ / เหตุผล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CPU / RAM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≥ 8 cores · ≥ 32 GB RAM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รัน broker + DB + API + แดชบอร์ด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สตอเรจ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NVMe SSD ≥ 1 TB (RAID1) + ขยายได้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ฐานข้อมูล + ประวัติเหตุการณ์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เครือข่าย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2 × 10 GbE NIC (teaming)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รับทราฟฟิกจาก core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ไฟ / ฟอร์ม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Redundant PSU · Rack 2U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ติดในตู้ Rack ห้องเซิร์ฟเวอร์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ซอฟต์แวร์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Linux + Docker · MQTT (Mosquitto/EMQX) · TimescaleDB/PostgreSQL · REST/gRPC API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สแตกหลังบ้านมาตรฐาน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สำรองไฟ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ต่อ UPS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ทำงานต่อเมื่อไฟดับ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color w:val="0F3B66"/>
        </w:rPr>
        <w:t>8) VMS / NVR + Storage (ระบบจัดการวิดีโอ)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20"/>
            <w:shd w:val="clear" w:color="auto" w:fill="0F3B66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พารามิเตอร์ / Parameter</w:t>
            </w:r>
          </w:p>
        </w:tc>
        <w:tc>
          <w:tcPr>
            <w:tcW w:type="dxa" w:w="4248"/>
            <w:shd w:val="clear" w:color="auto" w:fill="0F3B66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สเปกที่กำหนด (ขั้นต่ำ/แนะนำ)</w:t>
            </w:r>
          </w:p>
        </w:tc>
        <w:tc>
          <w:tcPr>
            <w:tcW w:type="dxa" w:w="3168"/>
            <w:shd w:val="clear" w:color="auto" w:fill="0F3B66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หมายเหตุ / เหตุผล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ช่องสัญญาณ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≥ จำนวนกล้อง · รองรับ H.265 · ONVIF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บันทึก ANPR/CCTV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สตอเรจ (สูตร)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ความจุ = bitrate × จำนวนกล้อง × 86,400 × วันเก็บ ÷ 8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เช่น 4 กล้อง × 4 Mbps × 30 วัน ≈ 5.2 TB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RAID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RAID 5/6 · ดิสก์ hot-swap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กันดิสก์เสียข้อมูลไม่หาย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ซอฟต์แวร์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Milestone/Genetec/BlueIris (RTSP/ONVIF)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เชื่อม ANPR + แดชบอร์ด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color w:val="0F3B66"/>
        </w:rPr>
        <w:t>9) กล้อง ANPR (อ่านป้ายทะเบียน)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20"/>
            <w:shd w:val="clear" w:color="auto" w:fill="0F3B66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พารามิเตอร์ / Parameter</w:t>
            </w:r>
          </w:p>
        </w:tc>
        <w:tc>
          <w:tcPr>
            <w:tcW w:type="dxa" w:w="4248"/>
            <w:shd w:val="clear" w:color="auto" w:fill="0F3B66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สเปกที่กำหนด (ขั้นต่ำ/แนะนำ)</w:t>
            </w:r>
          </w:p>
        </w:tc>
        <w:tc>
          <w:tcPr>
            <w:tcW w:type="dxa" w:w="3168"/>
            <w:shd w:val="clear" w:color="auto" w:fill="0F3B66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หมายเหตุ / เหตุผล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ความละเอียด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≥ 2 MP · global shutter (แนะนำ) · ≥ 30 fps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จับภาพรถเคลื่อนที่คมชัด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เลนส์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Varifocal (เช่น 8–32 mm) ตามความกว้างเลน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ปรับโฟกัสจุดอ่านทะเบียน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แสง/ไดนามิก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IR illuminator + WDR ≥ 120 dB + shutter control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อ่านได้กลางคืน/ย้อนแสง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มาตรฐาน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IP67 · PoE (802.3af/at) · ONVIF · รองรับ LPR/ANPR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ติดกลางแจ้งทางเข้า-ออก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color w:val="0F3B66"/>
        </w:rPr>
        <w:t>10) ระบบสายสัญญาณ (Structured Cabling)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20"/>
            <w:shd w:val="clear" w:color="auto" w:fill="0F3B66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พารามิเตอร์ / Parameter</w:t>
            </w:r>
          </w:p>
        </w:tc>
        <w:tc>
          <w:tcPr>
            <w:tcW w:type="dxa" w:w="4248"/>
            <w:shd w:val="clear" w:color="auto" w:fill="0F3B66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สเปกที่กำหนด (ขั้นต่ำ/แนะนำ)</w:t>
            </w:r>
          </w:p>
        </w:tc>
        <w:tc>
          <w:tcPr>
            <w:tcW w:type="dxa" w:w="3168"/>
            <w:shd w:val="clear" w:color="auto" w:fill="0F3B66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หมายเหตุ / เหตุผล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สายแนวนอน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Cat6A S/FTP (10GBASE-T ถึง 100 m) · ชนิด outdoor/gel-filled สำหรับภายนอก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เชื่อมเซนเซอร์/กล้อง/ป้าย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Backbone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ไฟเบอร์ OS2 single-mode (LC/UPC) · หรือ OM4 MM (&lt;300 m)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ระยะไกล/กันสัญญาณรบกวน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ท่อ/ราง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EMT/HDPE · แยกจากสายไฟกำลัง · ระยะห่างตามมาตรฐาน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ป้องกันสาย + ลดสัญญาณรบกวน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กราวด์/ฟ้าผ่า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Bonding/grounding + surge บน PoE &amp; fiber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สำคัญมากสำหรับงานกลางแจ้ง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color w:val="0F3B66"/>
        </w:rPr>
        <w:t>11) UPS / ป้องกันไฟ (Power Protection)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20"/>
            <w:shd w:val="clear" w:color="auto" w:fill="0F3B66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พารามิเตอร์ / Parameter</w:t>
            </w:r>
          </w:p>
        </w:tc>
        <w:tc>
          <w:tcPr>
            <w:tcW w:type="dxa" w:w="4248"/>
            <w:shd w:val="clear" w:color="auto" w:fill="0F3B66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สเปกที่กำหนด (ขั้นต่ำ/แนะนำ)</w:t>
            </w:r>
          </w:p>
        </w:tc>
        <w:tc>
          <w:tcPr>
            <w:tcW w:type="dxa" w:w="3168"/>
            <w:shd w:val="clear" w:color="auto" w:fill="0F3B66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หมายเหตุ / เหตุผล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ชนิด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Online double-conversion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ไฟสะอาด ตัดต่อไร้รอยต่อ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การจัดขนาด (สูตร)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VA = ภาระ(W) ÷ PF(≈0.9) · เลือก runtime ตามต้องการ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เช่น 600W, 15 นาที → ~1–1.5 kVA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ฟีเจอร์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SNMP card, surge, รองรับเครื่องปั่นไฟ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มอนิเตอร์/แจ้งเตือนไฟ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ติดตั้ง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ต่อจุดตู้สวิตช์ + ห้องเซิร์ฟเวอร์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ครอบคลุมอุปกรณ์วิกฤต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color w:val="0F3B66"/>
        </w:rPr>
        <w:t>12) ป้าย LED นำทาง (Guidance Sign)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20"/>
            <w:shd w:val="clear" w:color="auto" w:fill="0F3B66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พารามิเตอร์ / Parameter</w:t>
            </w:r>
          </w:p>
        </w:tc>
        <w:tc>
          <w:tcPr>
            <w:tcW w:type="dxa" w:w="4248"/>
            <w:shd w:val="clear" w:color="auto" w:fill="0F3B66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สเปกที่กำหนด (ขั้นต่ำ/แนะนำ)</w:t>
            </w:r>
          </w:p>
        </w:tc>
        <w:tc>
          <w:tcPr>
            <w:tcW w:type="dxa" w:w="3168"/>
            <w:shd w:val="clear" w:color="auto" w:fill="0F3B66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หมายเหตุ / เหตุผล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ชนิด/พิกเซลพิตช์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LED matrix กลางแจ้ง · P6–P10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แสดงจำนวนช่องว่าง + ลูกศร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ความสว่าง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≥ 5000 nits + auto-dimming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อ่านได้กลางแดด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มาตรฐาน/โปรโตคอล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IP65 · controller รับ MQTT/Modbus-TCP/RS485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สั่งจากเซิร์ฟเวอร์เรียลไทม์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ขนาด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ตามระยะการมอง (viewing distance)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เลือกให้เห็นชัดจากทางเข้า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color w:val="0F3B66"/>
        </w:rPr>
        <w:t>13) ไม้กั้น + Controller (Barrier Gate)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20"/>
            <w:shd w:val="clear" w:color="auto" w:fill="0F3B66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พารามิเตอร์ / Parameter</w:t>
            </w:r>
          </w:p>
        </w:tc>
        <w:tc>
          <w:tcPr>
            <w:tcW w:type="dxa" w:w="4248"/>
            <w:shd w:val="clear" w:color="auto" w:fill="0F3B66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สเปกที่กำหนด (ขั้นต่ำ/แนะนำ)</w:t>
            </w:r>
          </w:p>
        </w:tc>
        <w:tc>
          <w:tcPr>
            <w:tcW w:type="dxa" w:w="3168"/>
            <w:shd w:val="clear" w:color="auto" w:fill="0F3B66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หมายเหตุ / เหตุผล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แขนกั้น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ยาวตามความกว้างเลน · เปิด ≤ 1–3 วินาที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ผ่านเข้า-ออกรวดเร็ว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ความทนทาน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MCBF ≥ 3–5 ล้านรอบ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ลานที่มีรถหนาแน่น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Controller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Relay / RS485 / Modbus · เชื่อม ANPR/ตั๋ว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สั่งเปิดเมื่อทะเบียน/บัตรถูกต้อง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ความปลอดภัย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Loop detector + photocell/IR + anti-crash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กันแขนตกใส่รถ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มาตรฐาน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IP54+ · ฮีตเตอร์/กันชื้นสำหรับกลางแจ้ง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ทนสภาพอากาศ</w:t>
            </w:r>
          </w:p>
        </w:tc>
      </w:tr>
    </w:tbl>
    <w:p>
      <w:pPr>
        <w:spacing w:after="80"/>
      </w:pPr>
    </w:p>
    <w:p>
      <w:pPr>
        <w:pStyle w:val="Heading1"/>
      </w:pPr>
      <w:r>
        <w:rPr>
          <w:rFonts w:ascii="Arial" w:hAnsi="Arial"/>
          <w:color w:val="0F3B66"/>
        </w:rPr>
        <w:t>14) ตู้/เสา/ขายึด (Enclosure · Pole · Mount)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520"/>
            <w:shd w:val="clear" w:color="auto" w:fill="0F3B66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พารามิเตอร์ / Parameter</w:t>
            </w:r>
          </w:p>
        </w:tc>
        <w:tc>
          <w:tcPr>
            <w:tcW w:type="dxa" w:w="4248"/>
            <w:shd w:val="clear" w:color="auto" w:fill="0F3B66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สเปกที่กำหนด (ขั้นต่ำ/แนะนำ)</w:t>
            </w:r>
          </w:p>
        </w:tc>
        <w:tc>
          <w:tcPr>
            <w:tcW w:type="dxa" w:w="3168"/>
            <w:shd w:val="clear" w:color="auto" w:fill="0F3B66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color w:val="FFFFFF"/>
                <w:sz w:val="19"/>
              </w:rPr>
              <w:t>หมายเหตุ / เหตุผล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ตู้กันสภาพอากาศ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IP66/IP67 · sunshade · ระบายความร้อน · ล็อกได้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ใส่ edge/แหล่งจ่ายไฟ ใกล้เสา</w:t>
            </w:r>
          </w:p>
        </w:tc>
      </w:tr>
      <w:tr>
        <w:tc>
          <w:tcPr>
            <w:tcW w:type="dxa" w:w="2520"/>
            <w:shd w:val="clear" w:color="auto" w:fill="F1F5F9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เสา</w:t>
            </w:r>
          </w:p>
        </w:tc>
        <w:tc>
          <w:tcPr>
            <w:tcW w:type="dxa" w:w="4248"/>
            <w:shd w:val="clear" w:color="auto" w:fill="F1F5F9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เหล็กกัลวาไนซ์ สูง 4–6 m · รับแรงลม · ฐานคอนกรีต</w:t>
            </w:r>
          </w:p>
        </w:tc>
        <w:tc>
          <w:tcPr>
            <w:tcW w:type="dxa" w:w="3168"/>
            <w:shd w:val="clear" w:color="auto" w:fill="F1F5F9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ยกเซนเซอร์ให้พ้นหลังคารถ ลดจุดบอด</w:t>
            </w:r>
          </w:p>
        </w:tc>
      </w:tr>
      <w:tr>
        <w:tc>
          <w:tcPr>
            <w:tcW w:type="dxa" w:w="2520"/>
            <w:tcW w:w="2520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/>
                <w:sz w:val="18"/>
              </w:rPr>
              <w:t>ขายึด</w:t>
            </w:r>
          </w:p>
        </w:tc>
        <w:tc>
          <w:tcPr>
            <w:tcW w:type="dxa" w:w="4248"/>
            <w:tcW w:w="424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ปรับองศาก้มได้ · กันสั่น (vibration-damped) · มีกราวด์</w:t>
            </w:r>
          </w:p>
        </w:tc>
        <w:tc>
          <w:tcPr>
            <w:tcW w:type="dxa" w:w="3168"/>
            <w:tcW w:w="3168" w:type="dxa"/>
          </w:tcPr>
          <w:p>
            <w:pPr>
              <w:spacing w:after="20" w:before="20"/>
            </w:pPr>
            <w:r/>
            <w:r>
              <w:rPr>
                <w:rFonts w:ascii="Arial" w:hAnsi="Arial"/>
                <w:b w:val="0"/>
                <w:sz w:val="18"/>
              </w:rPr>
              <w:t>ตั้งมุม tilt ให้ครอบคลุมดีที่สุด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pStyle w:val="Heading1"/>
      </w:pPr>
      <w:r>
        <w:rPr>
          <w:rFonts w:ascii="Arial" w:hAnsi="Arial"/>
          <w:color w:val="0F3B66"/>
        </w:rPr>
        <w:t>สูตรการจัดขนาด (Sizing Quick-Reference)</w:t>
      </w:r>
    </w:p>
    <w:p>
      <w:pPr>
        <w:spacing w:after="60"/>
      </w:pPr>
      <w:r>
        <w:rPr>
          <w:sz w:val="20"/>
        </w:rPr>
        <w:t>•  งบไฟ PoE ของสวิตช์:  PoE budget ≥ Σ(กำลังของอุปกรณ์ PD ทุกตัว) × 1.25 (เผื่อ 25%)</w:t>
      </w:r>
    </w:p>
    <w:p>
      <w:pPr>
        <w:spacing w:after="60"/>
      </w:pPr>
      <w:r>
        <w:rPr>
          <w:sz w:val="20"/>
        </w:rPr>
        <w:t>•  จำนวนสวิตช์ PoE:  = ceil( จำนวนอุปกรณ์ PoE ÷ จำนวนพอร์ตต่อสวิตช์ ) — เผื่อพอร์ตว่าง ~20%</w:t>
      </w:r>
    </w:p>
    <w:p>
      <w:pPr>
        <w:spacing w:after="60"/>
      </w:pPr>
      <w:r>
        <w:rPr>
          <w:sz w:val="20"/>
        </w:rPr>
        <w:t>•  ขนาด UPS:  VA = ภาระรวม(W) ÷ ตัวประกอบกำลัง (≈0.9) ; เลือก runtime ตามนโยบาย (เช่น 10–30 นาที)</w:t>
      </w:r>
    </w:p>
    <w:p>
      <w:pPr>
        <w:spacing w:after="60"/>
      </w:pPr>
      <w:r>
        <w:rPr>
          <w:sz w:val="20"/>
        </w:rPr>
        <w:t>•  สตอเรจ VMS:  ความจุ(ไบต์) = bitrate(bps) × จำนวนกล้อง × 86,400 × จำนวนวันเก็บ ÷ 8</w:t>
      </w:r>
    </w:p>
    <w:p>
      <w:pPr>
        <w:spacing w:after="60"/>
      </w:pPr>
      <w:r>
        <w:rPr>
          <w:sz w:val="20"/>
        </w:rPr>
        <w:t>•  การจัดขนาด Edge:  ~1 AGX Orin ต่อ 4–8 เซนเซอร์ (รวมหลายตัว) หรือ 1 Orin NX ต่อ 1–2 เซนเซอร์</w:t>
      </w:r>
    </w:p>
    <w:p>
      <w:pPr>
        <w:spacing w:after="60"/>
      </w:pPr>
      <w:r>
        <w:rPr>
          <w:sz w:val="20"/>
        </w:rPr>
        <w:t>•  ระยะครอบคลุมบนพื้น (เรขาคณิต):  โซนไกลสุด = H ÷ tan(tilt − FOV/2) ; โซนใกล้สุด = H ÷ tan(tilt + FOV/2)</w:t>
      </w:r>
    </w:p>
    <w:p>
      <w:pPr>
        <w:spacing w:after="60"/>
      </w:pPr>
      <w:r>
        <w:rPr>
          <w:sz w:val="20"/>
        </w:rPr>
        <w:t>•  ความยาวเงาหลังรถสูง h:  = ระยะ × H ÷ (H − h)  → ยกเสาสูง (H มาก) เงาสั้นลง เห็นแถวหลังได้</w:t>
      </w:r>
    </w:p>
    <w:p>
      <w:pPr>
        <w:pStyle w:val="Heading1"/>
      </w:pPr>
      <w:r>
        <w:rPr>
          <w:rFonts w:ascii="Arial" w:hAnsi="Arial"/>
          <w:color w:val="0F3B66"/>
        </w:rPr>
        <w:t>มาตรฐานและการปฏิบัติตาม (Standards &amp; Compliance)</w:t>
      </w:r>
    </w:p>
    <w:p>
      <w:pPr>
        <w:spacing w:after="80"/>
      </w:pPr>
      <w:r>
        <w:rPr>
          <w:b w:val="0"/>
          <w:sz w:val="20"/>
        </w:rPr>
        <w:t>IEEE 802.3bt (PoE++ Type 4) · IEEE 802.1Q (VLAN) · IEEE 1588v2 (PTP time sync) · IEC 60529 (IP rating, เช่น IP66/IP67/IP68) · TIA-568 Cat6A · ONVIF (กล้อง/VMS) · โปรโตคอลข้อมูล MQTT / gRPC / REST · ความปลอดภัยข้อมูล TLS, RBAC, audit log และข้อกำหนด PDPA สำหรับข้อมูลทะเบียน/วิดีโอ</w:t>
      </w:r>
    </w:p>
    <w:p>
      <w:pPr>
        <w:pStyle w:val="Heading1"/>
      </w:pPr>
      <w:r>
        <w:rPr>
          <w:rFonts w:ascii="Arial" w:hAnsi="Arial"/>
          <w:color w:val="0F3B66"/>
        </w:rPr>
        <w:t>อ้างอิง / ที่มาข้อมูล (References)</w:t>
      </w:r>
    </w:p>
    <w:p>
      <w:pPr>
        <w:spacing w:after="40"/>
      </w:pPr>
      <w:r>
        <w:rPr>
          <w:color w:val="555B66"/>
          <w:sz w:val="17"/>
        </w:rPr>
        <w:t>•  Ouster OS1 Hardware User Manual (กำลังไฟ 14–20W, 12/24V, กันน้ำเมื่อล็อกขั้วต่อ): https://data.ouster.io/downloads/hardware-user-manual/hardware-user-manual-rev7-os1.pdf</w:t>
      </w:r>
    </w:p>
    <w:p>
      <w:pPr>
        <w:spacing w:after="40"/>
      </w:pPr>
      <w:r>
        <w:rPr>
          <w:color w:val="555B66"/>
          <w:sz w:val="17"/>
        </w:rPr>
        <w:t>•  Ouster OS sensors overview (ระยะ/vFOV/ช่อง): https://ouster.com/os-overview</w:t>
      </w:r>
    </w:p>
    <w:p>
      <w:pPr>
        <w:spacing w:after="40"/>
      </w:pPr>
      <w:r>
        <w:rPr>
          <w:color w:val="555B66"/>
          <w:sz w:val="17"/>
        </w:rPr>
        <w:t>•  Ouster Gemini — AI Lidar Perception Software (รันบน Jetson AGX Orin/Orin NX, TensorRT): https://ouster.com/products/software/gemini</w:t>
      </w:r>
    </w:p>
    <w:p>
      <w:pPr>
        <w:spacing w:after="40"/>
      </w:pPr>
      <w:r>
        <w:rPr>
          <w:color w:val="555B66"/>
          <w:sz w:val="17"/>
        </w:rPr>
        <w:t>•  Ouster BlueCity — AI-Driven Lidar Solution: https://ouster.com/products/software/bluecity</w:t>
      </w:r>
    </w:p>
    <w:p>
      <w:pPr>
        <w:spacing w:after="40"/>
      </w:pPr>
      <w:r>
        <w:rPr>
          <w:color w:val="555B66"/>
          <w:sz w:val="17"/>
        </w:rPr>
        <w:t>•  NVIDIA Jetson Orin NX Module Datasheet (100–157 TOPS, 10–40W): https://developer.nvidia.com/downloads/jetson-orin-nx-module-series-data-sheet</w:t>
      </w:r>
    </w:p>
    <w:p>
      <w:pPr>
        <w:spacing w:after="40"/>
      </w:pPr>
      <w:r>
        <w:rPr>
          <w:color w:val="555B66"/>
          <w:sz w:val="17"/>
        </w:rPr>
        <w:t>•  NVIDIA — Accelerating LiDAR with CUDA-based PCL: https://developer.nvidia.com/blog/accelerating-lidar-for-robotics-with-cuda-based-pcl/</w:t>
      </w:r>
    </w:p>
    <w:p>
      <w:pPr>
        <w:spacing w:after="40"/>
      </w:pPr>
      <w:r>
        <w:rPr>
          <w:color w:val="555B66"/>
          <w:sz w:val="17"/>
        </w:rPr>
        <w:t>•  IEEE 802.3bt (PoE++) — Power over Ethernet (Type 4: 90W PSE / 71.3W PD): https://en.wikipedia.org/wiki/Power_over_Ethernet</w:t>
      </w:r>
    </w:p>
    <w:p>
      <w:pPr>
        <w:spacing w:after="40"/>
      </w:pPr>
      <w:r>
        <w:rPr>
          <w:color w:val="555B66"/>
          <w:sz w:val="17"/>
        </w:rPr>
        <w:t>•  Hesai PandarXT32 (ทางเลือก LiDAR): https://www.hesaitech.com/product/xt16-32-32m/</w:t>
      </w:r>
    </w:p>
    <w:p>
      <w:pPr>
        <w:spacing w:after="40"/>
      </w:pPr>
      <w:r>
        <w:rPr>
          <w:color w:val="555B66"/>
          <w:sz w:val="17"/>
        </w:rPr>
        <w:t>•  Velodyne Puck VLP-16 (ทางเลือก LiDAR): https://www.mapix.com/lidar-sensors/velodyne-lidar/velodyne-vlp-16/</w:t>
      </w:r>
    </w:p>
    <w:p>
      <w:pPr>
        <w:spacing w:after="40"/>
      </w:pPr>
      <w:r>
        <w:rPr>
          <w:color w:val="555B66"/>
          <w:sz w:val="17"/>
        </w:rPr>
        <w:t>•  Livox Mid-360 (ทางเลือก LiDAR ประหยัด): https://www.livoxtech.com/mid-360/specs</w:t>
      </w:r>
    </w:p>
    <w:p>
      <w:pPr>
        <w:spacing w:after="40"/>
      </w:pPr>
      <w:r>
        <w:rPr>
          <w:b w:val="0"/>
          <w:sz w:val="21"/>
        </w:rPr>
      </w:r>
    </w:p>
    <w:p>
      <w:pPr>
        <w:spacing w:after="80"/>
      </w:pPr>
      <w:r>
        <w:rPr>
          <w:b w:val="0"/>
          <w:color w:val="555B66"/>
          <w:sz w:val="17"/>
        </w:rPr>
        <w:t>หมายเหตุ: สเปกเป็นค่าตั้งต้นเชิงออกแบบเพื่อจัดหา/เปรียบเทียบ ควรยืนยันกับ datasheet ล่าสุดของผู้ผลิตและสำรวจหน้างานจริงก่อนสั่งซื้อ จำนวน/งบไฟ/สตอเรจให้คำนวณตามขนาดงานจริง (ดูสูตรจัดขนาด)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