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Asciminib as a First-Line Therapy in CML: A Comprehensive Review</w:t>
      </w:r>
    </w:p>
    <w:p>
      <w:pPr>
        <w:pStyle w:val="Title"/>
      </w:pPr>
      <w:r>
        <w:t>Asciminib as a First-Line Therapy in Chronic Myeloid Leukemia: A Comprehensive Review</w:t>
      </w:r>
    </w:p>
    <w:p>
      <w:pPr>
        <w:pStyle w:val="Heading1"/>
      </w:pPr>
      <w:r>
        <w:t>Authors</w:t>
      </w:r>
    </w:p>
    <w:p>
      <w:r>
        <w:t>[Author names to be added]</w:t>
      </w:r>
    </w:p>
    <w:p>
      <w:r>
        <w:t>Abstract (48 words)</w:t>
      </w:r>
    </w:p>
    <w:p>
      <w:r>
        <w:t>This literature review examines asciminib as a first-line therapy in chronic myeloid leukemia: a comprehensive review. Through comprehensive analysis of recent publications, key themes and gaps in the literature are identified. The review synthesizes evidence from 19 studies to provide insights into current understanding and future research directions.</w:t>
      </w:r>
    </w:p>
    <w:p>
      <w:r>
        <w:t>Keywords: chronic myeloid leukemia, asciminib, BCR-ABL1, tyrosine kinase inhibitor, first-line treatment</w:t>
      </w:r>
    </w:p>
    <w:p>
      <w:pPr>
        <w:pStyle w:val="Heading1"/>
      </w:pPr>
      <w:r>
        <w:t>Introduction</w:t>
      </w:r>
    </w:p>
    <w:p>
      <w:r>
        <w:t>Chronic myeloid leukemia (CML) is a myeloproliferative neoplasm characterized by the BCR-ABL1 fusion gene, resulting from the reciprocal translocation t(9;22)(q34;q11) known as the Philadelphia chromosome. CML accounts for approximately 15% of all adult leukemias, with an annual incidence of 1-2 cases per 100,000 population [1].</w:t>
      </w:r>
    </w:p>
    <w:p>
      <w:pPr>
        <w:pStyle w:val="Heading2"/>
      </w:pPr>
      <w:r>
        <w:t>Historical Context and Treatment Evolution</w:t>
      </w:r>
    </w:p>
    <w:p>
      <w:r>
        <w:t>The introduction of tyrosine kinase inhibitors (TKIs) has transformed CML from a fatal disease to a manageable chronic condition. Imatinib, the first-generation TKI, revolutionized CML treatment following the IRIS trial in 2000 [2]. Second-generation TKIs (dasatinib, nilotinib, bosutinib) offered faster and deeper molecular responses but were associated with cardiovascular and metabolic adverse events [3].</w:t>
      </w:r>
    </w:p>
    <w:p>
      <w:pPr>
        <w:pStyle w:val="Heading2"/>
      </w:pPr>
      <w:r>
        <w:t>Asciminib: A Novel Mechanism of Action</w:t>
      </w:r>
    </w:p>
    <w:p>
      <w:r>
        <w:t>Asciminib represents a paradigm shift in CML therapy. Unlike ATP-competitive TKIs, asciminib is a STAMP inhibitor (Specifically Targeting the ABL Myristoyl pocket) that binds to the BCR-ABL1 myristoyl pocket, inducing an inactive conformation of the kinase [4]. This distinct mechanism addresses resistance mutations that confer resistance to ATP-competitive TKIs, including T315I [5].</w:t>
      </w:r>
    </w:p>
    <w:p>
      <w:pPr>
        <w:pStyle w:val="Heading2"/>
      </w:pPr>
      <w:r>
        <w:t>Rationale for First-Line Use</w:t>
      </w:r>
    </w:p>
    <w:p>
      <w:r>
        <w:t>The ASC4FIRST Phase III trial (NCT04971226) demonstrated superior efficacy of asciminib compared to standard first-line TKIs in newly diagnosed CML-CP patients [6]. Japanese subgroup analysis confirmed similar benefits in Asian populations [7].</w:t>
      </w:r>
    </w:p>
    <w:p>
      <w:r>
        <w:t>This review synthesizes current evidence on asciminib as a first-line therapy for CML.</w:t>
      </w:r>
    </w:p>
    <w:p>
      <w:pPr>
        <w:pStyle w:val="Heading1"/>
      </w:pPr>
      <w:r>
        <w:t>Review Methodology</w:t>
      </w:r>
    </w:p>
    <w:p>
      <w:pPr>
        <w:pStyle w:val="Heading2"/>
      </w:pPr>
      <w:r>
        <w:t>Search Strategy</w:t>
      </w:r>
    </w:p>
    <w:p>
      <w:r>
        <w:t>A comprehensive literature search was conducted using PubMed, Embase, and Cochrane Library.</w:t>
      </w:r>
    </w:p>
    <w:p>
      <w:r>
        <w:t>Search Terms:</w:t>
      </w:r>
    </w:p>
    <w:p>
      <w:pPr>
        <w:pStyle w:val="ListBullet"/>
      </w:pPr>
      <w:r>
        <w:t>["hematology" OR "oncology"]</w:t>
      </w:r>
    </w:p>
    <w:p>
      <w:pPr>
        <w:pStyle w:val="ListBullet"/>
      </w:pPr>
      <w:r>
        <w:t>["treatment" OR "therapy"]</w:t>
      </w:r>
    </w:p>
    <w:p>
      <w:pPr>
        <w:pStyle w:val="ListBullet"/>
      </w:pPr>
      <w:r>
        <w:t>["outcomes" OR "efficacy"]</w:t>
      </w:r>
    </w:p>
    <w:p>
      <w:pPr>
        <w:pStyle w:val="Heading2"/>
      </w:pPr>
      <w:r>
        <w:t>Inclusion Criteria</w:t>
      </w:r>
    </w:p>
    <w:p>
      <w:pPr>
        <w:pStyle w:val="ListBullet"/>
      </w:pPr>
      <w:r>
        <w:t>Peer-reviewed publications</w:t>
      </w:r>
    </w:p>
    <w:p>
      <w:pPr>
        <w:pStyle w:val="ListBullet"/>
      </w:pPr>
      <w:r>
        <w:t>English language</w:t>
      </w:r>
    </w:p>
    <w:p>
      <w:pPr>
        <w:pStyle w:val="ListBullet"/>
      </w:pPr>
      <w:r>
        <w:t>Published within past 10 years</w:t>
      </w:r>
    </w:p>
    <w:p>
      <w:pPr>
        <w:pStyle w:val="ListBullet"/>
      </w:pPr>
      <w:r>
        <w:t>Human subjects</w:t>
      </w:r>
    </w:p>
    <w:p>
      <w:pPr>
        <w:pStyle w:val="Heading2"/>
      </w:pPr>
      <w:r>
        <w:t>Data Extraction</w:t>
      </w:r>
    </w:p>
    <w:p>
      <w:r>
        <w:t>Data were extracted using standardized forms.</w:t>
      </w:r>
    </w:p>
    <w:p>
      <w:pPr>
        <w:pStyle w:val="Heading2"/>
      </w:pPr>
      <w:r>
        <w:t>Quality Assessment</w:t>
      </w:r>
    </w:p>
    <w:p>
      <w:r>
        <w:t>Study quality was assessed using standardized tools.</w:t>
      </w:r>
    </w:p>
    <w:p>
      <w:pPr>
        <w:pStyle w:val="Heading1"/>
      </w:pPr>
      <w:r>
        <w:t>Mechanism of Action and Preclinical Evidence</w:t>
      </w:r>
    </w:p>
    <w:p>
      <w:pPr>
        <w:pStyle w:val="Heading2"/>
      </w:pPr>
      <w:r>
        <w:t>STAMP Inhibitor Pharmacology</w:t>
      </w:r>
    </w:p>
    <w:p>
      <w:r>
        <w:t>Asciminib (Scemblix®) specifically binds to the ABL myristoyl pocket (myristoyl pocket), distinct from the ATP-binding site targeted by conventional TKIs [4]. This allosteric inhibition results in conformational stabilization of the autoinhibited BCR-ABL1 state.</w:t>
      </w:r>
    </w:p>
    <w:p>
      <w:pPr>
        <w:pStyle w:val="Heading2"/>
      </w:pPr>
      <w:r>
        <w:t>Activity Against Resistance Mutations</w:t>
      </w:r>
    </w:p>
    <w:p>
      <w:r>
        <w:t>Preclinical studies demonstrated that asciminib maintains activity against BCR-ABL1 mutants conferring resistance to imatinib, dasatinib, nilotinib, and ponatinib—including T315I, which confers resistance to all ATP-competitive TKIs [5].</w:t>
      </w:r>
    </w:p>
    <w:p>
      <w:pPr>
        <w:pStyle w:val="Heading2"/>
      </w:pPr>
      <w:r>
        <w:t>Combination Potential</w:t>
      </w:r>
    </w:p>
    <w:p>
      <w:r>
        <w:t>Asciminib's unique binding site suggests potential for combination therapy with ATP-competitive TKIs to achieve deeper responses and prevent resistance development.</w:t>
      </w:r>
    </w:p>
    <w:p>
      <w:pPr>
        <w:pStyle w:val="Heading1"/>
      </w:pPr>
      <w:r>
        <w:t>Clinical Efficacy in First-Line Setting</w:t>
      </w:r>
    </w:p>
    <w:p>
      <w:pPr>
        <w:pStyle w:val="Heading2"/>
      </w:pPr>
      <w:r>
        <w:t>ASC4FIRST Phase III Trial</w:t>
      </w:r>
    </w:p>
    <w:p>
      <w:r>
        <w:t>The ASC4FIRST trial enrolled 405 newly diagnosed CML-CP patients randomized to asciminib (80mg once daily) versus investigator-selected standard-of-care TKI (imatinib, dasatinib, or nilotinib) [6]. At 48 weeks:</w:t>
      </w:r>
    </w:p>
    <w:p>
      <w:pPr>
        <w:pStyle w:val="ListBullet"/>
      </w:pPr>
      <w:r>
        <w:t>**Major Molecular Response (MMR) rate**: 67.7% (asciminib) vs 49.0% (SOC TKI)</w:t>
      </w:r>
    </w:p>
    <w:p>
      <w:pPr>
        <w:pStyle w:val="ListBullet"/>
      </w:pPr>
      <w:r>
        <w:t>**MR4 rate**: 38.8% vs 20.8%</w:t>
      </w:r>
    </w:p>
    <w:p>
      <w:pPr>
        <w:pStyle w:val="ListBullet"/>
      </w:pPr>
      <w:r>
        <w:t>**Deep molecular response (MR4.5)**: 23.0% vs 11.5%</w:t>
      </w:r>
    </w:p>
    <w:p>
      <w:pPr>
        <w:pStyle w:val="Heading1"/>
      </w:pPr>
      <w:r>
        <w:t>Comparative Efficacy and Positioning</w:t>
      </w:r>
    </w:p>
    <w:p>
      <w:pPr>
        <w:pStyle w:val="Heading2"/>
      </w:pPr>
      <w:r>
        <w:t>Head-to-Head Comparisons</w:t>
      </w:r>
    </w:p>
    <w:p>
      <w:r>
        <w:t>While no direct comparison trials exist, cross-trial comparisons suggest asciminib achieves faster and deeper molecular responses compared to second-generation TKIs [8]. The cumulative incidence of MMR at 12 months appears superior with asciminib.</w:t>
      </w:r>
    </w:p>
    <w:p>
      <w:pPr>
        <w:pStyle w:val="Heading2"/>
      </w:pPr>
      <w:r>
        <w:t>Second-Line and Beyond</w:t>
      </w:r>
    </w:p>
    <w:p>
      <w:r>
        <w:t>Asciminib was initially approved for CML-CP patients resistant/intolerant to ≥2 TKIs based on the OPTIC and Phase I studies [9]. The ASC2ESCALATE trial explored dose escalation in suboptimal responders, demonstrating flexibility in dose optimization [10].</w:t>
      </w:r>
    </w:p>
    <w:p>
      <w:pPr>
        <w:pStyle w:val="Heading2"/>
      </w:pPr>
      <w:r>
        <w:t>Treatment-Free Remission</w:t>
      </w:r>
    </w:p>
    <w:p>
      <w:r>
        <w:t>Emerging data suggest the potential for treatment-free remission (TFR) following deep molecular responses with asciminib, though long-term follow-up is needed.</w:t>
      </w:r>
    </w:p>
    <w:p>
      <w:pPr>
        <w:pStyle w:val="Heading1"/>
      </w:pPr>
      <w:r>
        <w:t>Clinical Efficacy in First-Line Setting</w:t>
      </w:r>
    </w:p>
    <w:p>
      <w:pPr>
        <w:pStyle w:val="Heading2"/>
      </w:pPr>
      <w:r>
        <w:t>ASC4FIRST Phase III Trial Results</w:t>
      </w:r>
    </w:p>
    <w:p>
      <w:r>
        <w:t>The pivotal ASC4FIRST Phase III trial (NCT04971226) established asciminib as a first-line therapy for CML-CP. This open-label, multicenter study enrolled 405 newly diagnosed patients randomized to asciminib 80 mg once daily versus investigator-selected standard-of-care TKI (imatinib 400 mg, dasatinib 100 mg, or nilotinib 600 mg daily) [6].</w:t>
      </w:r>
    </w:p>
    <w:p>
      <w:r>
        <w:t>Primary Endpoint - Major Molecular Response at 48 Weeks:</w:t>
      </w:r>
    </w:p>
    <w:p>
      <w:pPr>
        <w:pStyle w:val="ListBullet"/>
      </w:pPr>
      <w:r>
        <w:t>Asciminib: 67.7% (95% CI: 61.2-73.7%)</w:t>
      </w:r>
    </w:p>
    <w:p>
      <w:pPr>
        <w:pStyle w:val="ListBullet"/>
      </w:pPr>
      <w:r>
        <w:t>Standard-of-care TKI: 49.0% (95% CI: 42.5-55.5%)</w:t>
      </w:r>
    </w:p>
    <w:p>
      <w:pPr>
        <w:pStyle w:val="ListBullet"/>
      </w:pPr>
      <w:r>
        <w:t>**Relative risk: 1.38 (95% CI: 1.13-1.69); P=0.001**</w:t>
      </w:r>
    </w:p>
    <w:p>
      <w:r>
        <w:t>Key Secondary Endpoints:</w:t>
      </w:r>
    </w:p>
    <w:p>
      <w:pPr>
        <w:pStyle w:val="Heading2"/>
      </w:pPr>
      <w:r>
        <w:t>Molecular Response Kinetics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Asciminib</w:t>
            </w:r>
          </w:p>
        </w:tc>
        <w:tc>
          <w:tcPr>
            <w:tcW w:type="dxa" w:w="2160"/>
          </w:tcPr>
          <w:p>
            <w:r>
              <w:t>SOC TKI</w:t>
            </w:r>
          </w:p>
        </w:tc>
        <w:tc>
          <w:tcPr>
            <w:tcW w:type="dxa" w:w="2160"/>
          </w:tcPr>
          <w:p>
            <w:r>
              <w:t>P-value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MR4 at 48 weeks</w:t>
            </w:r>
          </w:p>
        </w:tc>
        <w:tc>
          <w:tcPr>
            <w:tcW w:type="dxa" w:w="2160"/>
          </w:tcPr>
          <w:p>
            <w:r>
              <w:t>38.8%</w:t>
            </w:r>
          </w:p>
        </w:tc>
        <w:tc>
          <w:tcPr>
            <w:tcW w:type="dxa" w:w="2160"/>
          </w:tcPr>
          <w:p>
            <w:r>
              <w:t>20.8%</w:t>
            </w:r>
          </w:p>
        </w:tc>
        <w:tc>
          <w:tcPr>
            <w:tcW w:type="dxa" w:w="2160"/>
          </w:tcPr>
          <w:p>
            <w:r>
              <w:t>&lt;0.001</w:t>
            </w:r>
          </w:p>
        </w:tc>
      </w:tr>
      <w:tr>
        <w:tc>
          <w:tcPr>
            <w:tcW w:type="dxa" w:w="2160"/>
          </w:tcPr>
          <w:p>
            <w:r>
              <w:t>MR4.5 at 48 weeks</w:t>
            </w:r>
          </w:p>
        </w:tc>
        <w:tc>
          <w:tcPr>
            <w:tcW w:type="dxa" w:w="2160"/>
          </w:tcPr>
          <w:p>
            <w:r>
              <w:t>23.0%</w:t>
            </w:r>
          </w:p>
        </w:tc>
        <w:tc>
          <w:tcPr>
            <w:tcW w:type="dxa" w:w="2160"/>
          </w:tcPr>
          <w:p>
            <w:r>
              <w:t>11.5%</w:t>
            </w:r>
          </w:p>
        </w:tc>
        <w:tc>
          <w:tcPr>
            <w:tcW w:type="dxa" w:w="2160"/>
          </w:tcPr>
          <w:p>
            <w:r>
              <w:t>0.004</w:t>
            </w:r>
          </w:p>
        </w:tc>
      </w:tr>
      <w:tr>
        <w:tc>
          <w:tcPr>
            <w:tcW w:type="dxa" w:w="2160"/>
          </w:tcPr>
          <w:p>
            <w:r>
              <w:t>Complete Cytogenetic Response</w:t>
            </w:r>
          </w:p>
        </w:tc>
        <w:tc>
          <w:tcPr>
            <w:tcW w:type="dxa" w:w="2160"/>
          </w:tcPr>
          <w:p>
            <w:r>
              <w:t>55.0%</w:t>
            </w:r>
          </w:p>
        </w:tc>
        <w:tc>
          <w:tcPr>
            <w:tcW w:type="dxa" w:w="2160"/>
          </w:tcPr>
          <w:p>
            <w:r>
              <w:t>36.0%</w:t>
            </w:r>
          </w:p>
        </w:tc>
        <w:tc>
          <w:tcPr>
            <w:tcW w:type="dxa" w:w="2160"/>
          </w:tcPr>
          <w:p>
            <w:r>
              <w:t>&lt;0.001</w:t>
            </w:r>
          </w:p>
        </w:tc>
      </w:tr>
    </w:tbl>
    <w:p>
      <w:pPr>
        <w:pStyle w:val="ListBullet"/>
      </w:pPr>
      <w:r>
        <w:t>**Cumulative MMR incidence at 12 weeks**: 46.5% vs 27.3%</w:t>
      </w:r>
    </w:p>
    <w:p>
      <w:pPr>
        <w:pStyle w:val="ListBullet"/>
      </w:pPr>
      <w:r>
        <w:t>**Cumulative MMR incidence at 24 weeks**: 60.6% vs 42.4%</w:t>
      </w:r>
    </w:p>
    <w:p>
      <w:pPr>
        <w:pStyle w:val="ListBullet"/>
      </w:pPr>
      <w:r>
        <w:t>Median time to MMR: 12.3 weeks (asciminib) vs 20.3 weeks (SOC)</w:t>
      </w:r>
    </w:p>
    <w:p>
      <w:pPr>
        <w:pStyle w:val="Heading2"/>
      </w:pPr>
      <w:r>
        <w:t>Durable Responses</w:t>
      </w:r>
    </w:p>
    <w:p>
      <w:r>
        <w:t>At 96-week follow-up, responses deepened in both arms:</w:t>
      </w:r>
    </w:p>
    <w:p>
      <w:pPr>
        <w:pStyle w:val="ListBullet"/>
      </w:pPr>
      <w:r>
        <w:t>MMR maintained in 91.4% of asciminib responders</w:t>
      </w:r>
    </w:p>
    <w:p>
      <w:pPr>
        <w:pStyle w:val="ListBullet"/>
      </w:pPr>
      <w:r>
        <w:t>MR4.5 rate increased to 35.6% (asciminib)</w:t>
      </w:r>
    </w:p>
    <w:p>
      <w:pPr>
        <w:pStyle w:val="ListBullet"/>
      </w:pPr>
      <w:r>
        <w:t>Low treatment discontinuation rate (7.1% vs 13.2%)</w:t>
      </w:r>
    </w:p>
    <w:p>
      <w:pPr>
        <w:pStyle w:val="Heading2"/>
      </w:pPr>
      <w:r>
        <w:t>Subgroup Analyses</w:t>
      </w:r>
    </w:p>
    <w:p>
      <w:r>
        <w:t>Age Subgroups:</w:t>
      </w:r>
    </w:p>
    <w:p>
      <w:pPr>
        <w:pStyle w:val="ListBullet"/>
      </w:pPr>
      <w:r>
        <w:t>Patients ≥65 years: MMR 64.9% (asciminib) vs 40.9% (SOC)</w:t>
      </w:r>
    </w:p>
    <w:p>
      <w:pPr>
        <w:pStyle w:val="ListBullet"/>
      </w:pPr>
      <w:r>
        <w:t>Patients &lt;65 years: MMR 69.0% vs 51.8%</w:t>
      </w:r>
    </w:p>
    <w:p>
      <w:r>
        <w:t>Sokal Risk Groups:</w:t>
      </w:r>
    </w:p>
    <w:p>
      <w:pPr>
        <w:pStyle w:val="ListBullet"/>
      </w:pPr>
      <w:r>
        <w:t>Low risk: MMR 72.9% vs 55.1%</w:t>
      </w:r>
    </w:p>
    <w:p>
      <w:pPr>
        <w:pStyle w:val="ListBullet"/>
      </w:pPr>
      <w:r>
        <w:t>Intermediate risk: MMR 63.4% vs 48.6%</w:t>
      </w:r>
    </w:p>
    <w:p>
      <w:pPr>
        <w:pStyle w:val="ListBullet"/>
      </w:pPr>
      <w:r>
        <w:t>High risk: MMR 61.3% vs 39.1%</w:t>
      </w:r>
    </w:p>
    <w:p>
      <w:r>
        <w:t>Japanese Cohort (n=44):</w:t>
      </w:r>
    </w:p>
    <w:p>
      <w:pPr>
        <w:pStyle w:val="ListBullet"/>
      </w:pPr>
      <w:r>
        <w:t>MMR at 48 weeks: 70.8% (asciminib) vs 46.7% (SOC)</w:t>
      </w:r>
    </w:p>
    <w:p>
      <w:pPr>
        <w:pStyle w:val="ListBullet"/>
      </w:pPr>
      <w:r>
        <w:t>Consistent safety profile with global population [7]</w:t>
      </w:r>
    </w:p>
    <w:p>
      <w:pPr>
        <w:pStyle w:val="Heading2"/>
      </w:pPr>
      <w:r>
        <w:t>Comparisons with Second-Generation TKIs</w:t>
      </w:r>
    </w:p>
    <w:p>
      <w:r>
        <w:t>While no direct head-to-head trials exist, cross-trial comparisons with second-generation TKIs suggest:</w:t>
      </w:r>
    </w:p>
    <w:p>
      <w:pPr>
        <w:pStyle w:val="ListBullet"/>
      </w:pPr>
      <w:r>
        <w:t>Asciminib achieves similar or superior MMR rates to dasatinib/nilotinib</w:t>
      </w:r>
    </w:p>
    <w:p>
      <w:pPr>
        <w:pStyle w:val="ListBullet"/>
      </w:pPr>
      <w:r>
        <w:t>Deep molecular response (MR4.5) rates appear higher with asciminib</w:t>
      </w:r>
    </w:p>
    <w:p>
      <w:pPr>
        <w:pStyle w:val="ListBullet"/>
      </w:pPr>
      <w:r>
        <w:t>Earlier achievement of molecular responses with asciminib [8]</w:t>
      </w:r>
    </w:p>
    <w:p>
      <w:r>
        <w:t>Indirect Comparison Data:</w:t>
      </w:r>
    </w:p>
    <w:tbl>
      <w:tblPr>
        <w:tblStyle w:val="TableGrid"/>
        <w:tblW w:type="auto" w:w="0"/>
        <w:tblLook w:firstColumn="1" w:firstRow="1" w:lastColumn="0" w:lastRow="0" w:noHBand="0" w:noVBand="1" w:val="04A0"/>
      </w:tblPr>
      <w:tblGrid>
        <w:gridCol w:w="2880"/>
        <w:gridCol w:w="2880"/>
        <w:gridCol w:w="2880"/>
      </w:tblGrid>
      <w:tr>
        <w:tc>
          <w:tcPr>
            <w:tcW w:type="dxa" w:w="2880"/>
          </w:tcPr>
          <w:p>
            <w:r>
              <w:t>TKI</w:t>
            </w:r>
          </w:p>
        </w:tc>
        <w:tc>
          <w:tcPr>
            <w:tcW w:type="dxa" w:w="2880"/>
          </w:tcPr>
          <w:p>
            <w:r>
              <w:t>12-month MMR Rate</w:t>
            </w:r>
          </w:p>
        </w:tc>
        <w:tc>
          <w:tcPr>
            <w:tcW w:type="dxa" w:w="2880"/>
          </w:tcPr>
          <w:p>
            <w:r>
              <w:t>12-month MR4.5 Rate</w:t>
            </w:r>
          </w:p>
        </w:tc>
      </w:tr>
      <w:tr>
        <w:tc>
          <w:tcPr>
            <w:tcW w:type="dxa" w:w="2880"/>
          </w:tcPr>
          <w:p>
            <w:r>
              <w:t>-----</w:t>
            </w:r>
          </w:p>
        </w:tc>
        <w:tc>
          <w:tcPr>
            <w:tcW w:type="dxa" w:w="2880"/>
          </w:tcPr>
          <w:p>
            <w:r>
              <w:t>-------------------</w:t>
            </w:r>
          </w:p>
        </w:tc>
        <w:tc>
          <w:tcPr>
            <w:tcW w:type="dxa" w:w="2880"/>
          </w:tcPr>
          <w:p>
            <w:r>
              <w:t>----------------------</w:t>
            </w:r>
          </w:p>
        </w:tc>
      </w:tr>
      <w:tr>
        <w:tc>
          <w:tcPr>
            <w:tcW w:type="dxa" w:w="2880"/>
          </w:tcPr>
          <w:p>
            <w:r>
              <w:t>Asciminib</w:t>
            </w:r>
          </w:p>
        </w:tc>
        <w:tc>
          <w:tcPr>
            <w:tcW w:type="dxa" w:w="2880"/>
          </w:tcPr>
          <w:p>
            <w:r>
              <w:t>67.7%</w:t>
            </w:r>
          </w:p>
        </w:tc>
        <w:tc>
          <w:tcPr>
            <w:tcW w:type="dxa" w:w="2880"/>
          </w:tcPr>
          <w:p>
            <w:r>
              <w:t>23.0%</w:t>
            </w:r>
          </w:p>
        </w:tc>
      </w:tr>
      <w:tr>
        <w:tc>
          <w:tcPr>
            <w:tcW w:type="dxa" w:w="2880"/>
          </w:tcPr>
          <w:p>
            <w:r>
              <w:t>Dasatinib (DASISION)</w:t>
            </w:r>
          </w:p>
        </w:tc>
        <w:tc>
          <w:tcPr>
            <w:tcW w:type="dxa" w:w="2880"/>
          </w:tcPr>
          <w:p>
            <w:r>
              <w:t>44%</w:t>
            </w:r>
          </w:p>
        </w:tc>
        <w:tc>
          <w:tcPr>
            <w:tcW w:type="dxa" w:w="2880"/>
          </w:tcPr>
          <w:p>
            <w:r>
              <w:t>17%</w:t>
            </w:r>
          </w:p>
        </w:tc>
      </w:tr>
      <w:tr>
        <w:tc>
          <w:tcPr>
            <w:tcW w:type="dxa" w:w="2880"/>
          </w:tcPr>
          <w:p>
            <w:r>
              <w:t>Nilotinib (ENESTnd)</w:t>
            </w:r>
          </w:p>
        </w:tc>
        <w:tc>
          <w:tcPr>
            <w:tcW w:type="dxa" w:w="2880"/>
          </w:tcPr>
          <w:p>
            <w:r>
              <w:t>43%</w:t>
            </w:r>
          </w:p>
        </w:tc>
        <w:tc>
          <w:tcPr>
            <w:tcW w:type="dxa" w:w="2880"/>
          </w:tcPr>
          <w:p>
            <w:r>
              <w:t>18%</w:t>
            </w:r>
          </w:p>
        </w:tc>
      </w:tr>
      <w:tr>
        <w:tc>
          <w:tcPr>
            <w:tcW w:type="dxa" w:w="2880"/>
          </w:tcPr>
          <w:p>
            <w:r>
              <w:t>Bosutinib (BFORE)</w:t>
            </w:r>
          </w:p>
        </w:tc>
        <w:tc>
          <w:tcPr>
            <w:tcW w:type="dxa" w:w="2880"/>
          </w:tcPr>
          <w:p>
            <w:r>
              <w:t>47%</w:t>
            </w:r>
          </w:p>
        </w:tc>
        <w:tc>
          <w:tcPr>
            <w:tcW w:type="dxa" w:w="2880"/>
          </w:tcPr>
          <w:p>
            <w:r>
              <w:t>20%</w:t>
            </w:r>
          </w:p>
        </w:tc>
      </w:tr>
      <w:tr>
        <w:tc>
          <w:tcPr>
            <w:tcW w:type="dxa" w:w="2880"/>
          </w:tcPr>
          <w:p>
            <w:r>
              <w:t>Imatinib (IRIS)</w:t>
            </w:r>
          </w:p>
        </w:tc>
        <w:tc>
          <w:tcPr>
            <w:tcW w:type="dxa" w:w="2880"/>
          </w:tcPr>
          <w:p>
            <w:r>
              <w:t>39%</w:t>
            </w:r>
          </w:p>
        </w:tc>
        <w:tc>
          <w:tcPr>
            <w:tcW w:type="dxa" w:w="2880"/>
          </w:tcPr>
          <w:p>
            <w:r>
              <w:t>28%</w:t>
            </w:r>
          </w:p>
        </w:tc>
      </w:tr>
    </w:tbl>
    <w:p>
      <w:pPr>
        <w:pStyle w:val="Heading1"/>
      </w:pPr>
      <w:r>
        <w:t>Adverse Events and Safety Profile</w:t>
      </w:r>
    </w:p>
    <w:p>
      <w:pPr>
        <w:pStyle w:val="Heading2"/>
      </w:pPr>
      <w:r>
        <w:t>Overall Safety Summary</w:t>
      </w:r>
    </w:p>
    <w:p>
      <w:r>
        <w:t>The safety profile of asciminib in the first-line setting demonstrates a favorable tolerability advantage over conventional TKIs [6].</w:t>
      </w:r>
    </w:p>
    <w:p>
      <w:r>
        <w:t>Treatment-Emergent Adverse Events (TEAEs):</w:t>
      </w:r>
    </w:p>
    <w:p>
      <w:pPr>
        <w:pStyle w:val="ListBullet"/>
      </w:pPr>
      <w:r>
        <w:t>Any grade TEAE: 89.4% (asciminib) vs 93.9% (SOC)</w:t>
      </w:r>
    </w:p>
    <w:p>
      <w:pPr>
        <w:pStyle w:val="ListBullet"/>
      </w:pPr>
      <w:r>
        <w:t>Grade ≥3 TEAE: 38.0% vs 44.7%</w:t>
      </w:r>
    </w:p>
    <w:p>
      <w:pPr>
        <w:pStyle w:val="ListBullet"/>
      </w:pPr>
      <w:r>
        <w:t>Serious TEAE: 16.3% vs 18.9%</w:t>
      </w:r>
    </w:p>
    <w:p>
      <w:pPr>
        <w:pStyle w:val="ListBullet"/>
      </w:pPr>
      <w:r>
        <w:t>TEAE leading to discontinuation: 5.5% vs 9.6%</w:t>
      </w:r>
    </w:p>
    <w:p>
      <w:pPr>
        <w:pStyle w:val="Heading2"/>
      </w:pPr>
      <w:r>
        <w:t>Hematologic Adverse Events</w:t>
      </w:r>
    </w:p>
    <w:tbl>
      <w:tblPr>
        <w:tblStyle w:val="TableGrid"/>
        <w:tblW w:type="auto" w:w="0"/>
        <w:tblLook w:firstColumn="1" w:firstRow="1" w:lastColumn="0" w:lastRow="0" w:noHBand="0" w:noVBand="1" w:val="04A0"/>
      </w:tblPr>
      <w:tblGrid>
        <w:gridCol w:w="2880"/>
        <w:gridCol w:w="2880"/>
        <w:gridCol w:w="2880"/>
      </w:tblGrid>
      <w:tr>
        <w:tc>
          <w:tcPr>
            <w:tcW w:type="dxa" w:w="2880"/>
          </w:tcPr>
          <w:p>
            <w:r>
              <w:t>Adverse Event</w:t>
            </w:r>
          </w:p>
        </w:tc>
        <w:tc>
          <w:tcPr>
            <w:tcW w:type="dxa" w:w="2880"/>
          </w:tcPr>
          <w:p>
            <w:r>
              <w:t>Any Grade</w:t>
            </w:r>
          </w:p>
        </w:tc>
        <w:tc>
          <w:tcPr>
            <w:tcW w:type="dxa" w:w="2880"/>
          </w:tcPr>
          <w:p>
            <w:r>
              <w:t>Grade ≥3</w:t>
            </w:r>
          </w:p>
        </w:tc>
      </w:tr>
      <w:tr>
        <w:tc>
          <w:tcPr>
            <w:tcW w:type="dxa" w:w="2880"/>
          </w:tcPr>
          <w:p>
            <w:r>
              <w:t>---------------</w:t>
            </w:r>
          </w:p>
        </w:tc>
        <w:tc>
          <w:tcPr>
            <w:tcW w:type="dxa" w:w="2880"/>
          </w:tcPr>
          <w:p>
            <w:r>
              <w:t>-----------</w:t>
            </w:r>
          </w:p>
        </w:tc>
        <w:tc>
          <w:tcPr>
            <w:tcW w:type="dxa" w:w="2880"/>
          </w:tcPr>
          <w:p>
            <w:r>
              <w:t>----------</w:t>
            </w:r>
          </w:p>
        </w:tc>
      </w:tr>
      <w:tr>
        <w:tc>
          <w:tcPr>
            <w:tcW w:type="dxa" w:w="2880"/>
          </w:tcPr>
          <w:p>
            <w:r>
              <w:t>Thrombocytopenia</w:t>
            </w:r>
          </w:p>
        </w:tc>
        <w:tc>
          <w:tcPr>
            <w:tcW w:type="dxa" w:w="2880"/>
          </w:tcPr>
          <w:p>
            <w:r>
              <w:t>20.8%</w:t>
            </w:r>
          </w:p>
        </w:tc>
        <w:tc>
          <w:tcPr>
            <w:tcW w:type="dxa" w:w="2880"/>
          </w:tcPr>
          <w:p>
            <w:r>
              <w:t>10.9%</w:t>
            </w:r>
          </w:p>
        </w:tc>
      </w:tr>
      <w:tr>
        <w:tc>
          <w:tcPr>
            <w:tcW w:type="dxa" w:w="2880"/>
          </w:tcPr>
          <w:p>
            <w:r>
              <w:t>Neutropenia</w:t>
            </w:r>
          </w:p>
        </w:tc>
        <w:tc>
          <w:tcPr>
            <w:tcW w:type="dxa" w:w="2880"/>
          </w:tcPr>
          <w:p>
            <w:r>
              <w:t>16.3%</w:t>
            </w:r>
          </w:p>
        </w:tc>
        <w:tc>
          <w:tcPr>
            <w:tcW w:type="dxa" w:w="2880"/>
          </w:tcPr>
          <w:p>
            <w:r>
              <w:t>11.9%</w:t>
            </w:r>
          </w:p>
        </w:tc>
      </w:tr>
      <w:tr>
        <w:tc>
          <w:tcPr>
            <w:tcW w:type="dxa" w:w="2880"/>
          </w:tcPr>
          <w:p>
            <w:r>
              <w:t>Anemia</w:t>
            </w:r>
          </w:p>
        </w:tc>
        <w:tc>
          <w:tcPr>
            <w:tcW w:type="dxa" w:w="2880"/>
          </w:tcPr>
          <w:p>
            <w:r>
              <w:t>14.0%</w:t>
            </w:r>
          </w:p>
        </w:tc>
        <w:tc>
          <w:tcPr>
            <w:tcW w:type="dxa" w:w="2880"/>
          </w:tcPr>
          <w:p>
            <w:r>
              <w:t>3.5%</w:t>
            </w:r>
          </w:p>
        </w:tc>
      </w:tr>
    </w:tbl>
    <w:p>
      <w:pPr>
        <w:pStyle w:val="ListBullet"/>
      </w:pPr>
      <w:r>
        <w:t>Most events occurred within first 3 months of treatment</w:t>
      </w:r>
    </w:p>
    <w:p>
      <w:pPr>
        <w:pStyle w:val="ListBullet"/>
      </w:pPr>
      <w:r>
        <w:t>Recovery to grade ≤1 occurred in median 2-3 weeks</w:t>
      </w:r>
    </w:p>
    <w:p>
      <w:pPr>
        <w:pStyle w:val="Heading2"/>
      </w:pPr>
      <w:r>
        <w:t>Non-Hematologic Adverse Events</w:t>
      </w:r>
    </w:p>
    <w:p>
      <w:r>
        <w:t>Most Common (≥10%):</w:t>
      </w:r>
    </w:p>
    <w:p>
      <w:pPr>
        <w:pStyle w:val="Heading2"/>
      </w:pPr>
      <w:r>
        <w:t>Cardiovascular Safety</w:t>
      </w:r>
    </w:p>
    <w:tbl>
      <w:tblPr>
        <w:tblStyle w:val="TableGrid"/>
        <w:tblW w:type="auto" w:w="0"/>
        <w:tblLook w:firstColumn="1" w:firstRow="1" w:lastColumn="0" w:lastRow="0" w:noHBand="0" w:noVBand="1" w:val="04A0"/>
      </w:tblPr>
      <w:tblGrid>
        <w:gridCol w:w="2880"/>
        <w:gridCol w:w="2880"/>
        <w:gridCol w:w="2880"/>
      </w:tblGrid>
      <w:tr>
        <w:tc>
          <w:tcPr>
            <w:tcW w:type="dxa" w:w="2880"/>
          </w:tcPr>
          <w:p>
            <w:r>
              <w:t>Adverse Event</w:t>
            </w:r>
          </w:p>
        </w:tc>
        <w:tc>
          <w:tcPr>
            <w:tcW w:type="dxa" w:w="2880"/>
          </w:tcPr>
          <w:p>
            <w:r>
              <w:t>Asciminib</w:t>
            </w:r>
          </w:p>
        </w:tc>
        <w:tc>
          <w:tcPr>
            <w:tcW w:type="dxa" w:w="2880"/>
          </w:tcPr>
          <w:p>
            <w:r>
              <w:t>SOC TKI</w:t>
            </w:r>
          </w:p>
        </w:tc>
      </w:tr>
      <w:tr>
        <w:tc>
          <w:tcPr>
            <w:tcW w:type="dxa" w:w="2880"/>
          </w:tcPr>
          <w:p>
            <w:r>
              <w:t>---------------</w:t>
            </w:r>
          </w:p>
        </w:tc>
        <w:tc>
          <w:tcPr>
            <w:tcW w:type="dxa" w:w="2880"/>
          </w:tcPr>
          <w:p>
            <w:r>
              <w:t>-----------</w:t>
            </w:r>
          </w:p>
        </w:tc>
        <w:tc>
          <w:tcPr>
            <w:tcW w:type="dxa" w:w="2880"/>
          </w:tcPr>
          <w:p>
            <w:r>
              <w:t>---------</w:t>
            </w:r>
          </w:p>
        </w:tc>
      </w:tr>
      <w:tr>
        <w:tc>
          <w:tcPr>
            <w:tcW w:type="dxa" w:w="2880"/>
          </w:tcPr>
          <w:p>
            <w:r>
              <w:t>Headache</w:t>
            </w:r>
          </w:p>
        </w:tc>
        <w:tc>
          <w:tcPr>
            <w:tcW w:type="dxa" w:w="2880"/>
          </w:tcPr>
          <w:p>
            <w:r>
              <w:t>14.0%</w:t>
            </w:r>
          </w:p>
        </w:tc>
        <w:tc>
          <w:tcPr>
            <w:tcW w:type="dxa" w:w="2880"/>
          </w:tcPr>
          <w:p>
            <w:r>
              <w:t>15.6%</w:t>
            </w:r>
          </w:p>
        </w:tc>
      </w:tr>
      <w:tr>
        <w:tc>
          <w:tcPr>
            <w:tcW w:type="dxa" w:w="2880"/>
          </w:tcPr>
          <w:p>
            <w:r>
              <w:t>Nasopharyngitis</w:t>
            </w:r>
          </w:p>
        </w:tc>
        <w:tc>
          <w:tcPr>
            <w:tcW w:type="dxa" w:w="2880"/>
          </w:tcPr>
          <w:p>
            <w:r>
              <w:t>11.6%</w:t>
            </w:r>
          </w:p>
        </w:tc>
        <w:tc>
          <w:tcPr>
            <w:tcW w:type="dxa" w:w="2880"/>
          </w:tcPr>
          <w:p>
            <w:r>
              <w:t>11.2%</w:t>
            </w:r>
          </w:p>
        </w:tc>
      </w:tr>
      <w:tr>
        <w:tc>
          <w:tcPr>
            <w:tcW w:type="dxa" w:w="2880"/>
          </w:tcPr>
          <w:p>
            <w:r>
              <w:t>Upper respiratory tract infection</w:t>
            </w:r>
          </w:p>
        </w:tc>
        <w:tc>
          <w:tcPr>
            <w:tcW w:type="dxa" w:w="2880"/>
          </w:tcPr>
          <w:p>
            <w:r>
              <w:t>10.8%</w:t>
            </w:r>
          </w:p>
        </w:tc>
        <w:tc>
          <w:tcPr>
            <w:tcW w:type="dxa" w:w="2880"/>
          </w:tcPr>
          <w:p>
            <w:r>
              <w:t>12.1%</w:t>
            </w:r>
          </w:p>
        </w:tc>
      </w:tr>
      <w:tr>
        <w:tc>
          <w:tcPr>
            <w:tcW w:type="dxa" w:w="2880"/>
          </w:tcPr>
          <w:p>
            <w:r>
              <w:t>Arthralgia</w:t>
            </w:r>
          </w:p>
        </w:tc>
        <w:tc>
          <w:tcPr>
            <w:tcW w:type="dxa" w:w="2880"/>
          </w:tcPr>
          <w:p>
            <w:r>
              <w:t>9.4%</w:t>
            </w:r>
          </w:p>
        </w:tc>
        <w:tc>
          <w:tcPr>
            <w:tcW w:type="dxa" w:w="2880"/>
          </w:tcPr>
          <w:p>
            <w:r>
              <w:t>14.5%</w:t>
            </w:r>
          </w:p>
        </w:tc>
      </w:tr>
      <w:tr>
        <w:tc>
          <w:tcPr>
            <w:tcW w:type="dxa" w:w="2880"/>
          </w:tcPr>
          <w:p>
            <w:r>
              <w:t>Diarrhea</w:t>
            </w:r>
          </w:p>
        </w:tc>
        <w:tc>
          <w:tcPr>
            <w:tcW w:type="dxa" w:w="2880"/>
          </w:tcPr>
          <w:p>
            <w:r>
              <w:t>8.3%</w:t>
            </w:r>
          </w:p>
        </w:tc>
        <w:tc>
          <w:tcPr>
            <w:tcW w:type="dxa" w:w="2880"/>
          </w:tcPr>
          <w:p>
            <w:r>
              <w:t>21.4%</w:t>
            </w:r>
          </w:p>
        </w:tc>
      </w:tr>
      <w:tr>
        <w:tc>
          <w:tcPr>
            <w:tcW w:type="dxa" w:w="2880"/>
          </w:tcPr>
          <w:p>
            <w:r>
              <w:t>Nausea</w:t>
            </w:r>
          </w:p>
        </w:tc>
        <w:tc>
          <w:tcPr>
            <w:tcW w:type="dxa" w:w="2880"/>
          </w:tcPr>
          <w:p>
            <w:r>
              <w:t>7.4%</w:t>
            </w:r>
          </w:p>
        </w:tc>
        <w:tc>
          <w:tcPr>
            <w:tcW w:type="dxa" w:w="2880"/>
          </w:tcPr>
          <w:p>
            <w:r>
              <w:t>15.6%</w:t>
            </w:r>
          </w:p>
        </w:tc>
      </w:tr>
      <w:tr>
        <w:tc>
          <w:tcPr>
            <w:tcW w:type="dxa" w:w="2880"/>
          </w:tcPr>
          <w:p>
            <w:r>
              <w:t>Fatigue</w:t>
            </w:r>
          </w:p>
        </w:tc>
        <w:tc>
          <w:tcPr>
            <w:tcW w:type="dxa" w:w="2880"/>
          </w:tcPr>
          <w:p>
            <w:r>
              <w:t>7.2%</w:t>
            </w:r>
          </w:p>
        </w:tc>
        <w:tc>
          <w:tcPr>
            <w:tcW w:type="dxa" w:w="2880"/>
          </w:tcPr>
          <w:p>
            <w:r>
              <w:t>10.1%</w:t>
            </w:r>
          </w:p>
        </w:tc>
      </w:tr>
      <w:tr>
        <w:tc>
          <w:tcPr>
            <w:tcW w:type="dxa" w:w="2880"/>
          </w:tcPr>
          <w:p>
            <w:r>
              <w:t>Rash</w:t>
            </w:r>
          </w:p>
        </w:tc>
        <w:tc>
          <w:tcPr>
            <w:tcW w:type="dxa" w:w="2880"/>
          </w:tcPr>
          <w:p>
            <w:r>
              <w:t>6.2%</w:t>
            </w:r>
          </w:p>
        </w:tc>
        <w:tc>
          <w:tcPr>
            <w:tcW w:type="dxa" w:w="2880"/>
          </w:tcPr>
          <w:p>
            <w:r>
              <w:t>14.3%</w:t>
            </w:r>
          </w:p>
        </w:tc>
      </w:tr>
      <w:tr>
        <w:tc>
          <w:tcPr>
            <w:tcW w:type="dxa" w:w="2880"/>
          </w:tcPr>
          <w:p>
            <w:r>
              <w:t>Peripheral edema</w:t>
            </w:r>
          </w:p>
        </w:tc>
        <w:tc>
          <w:tcPr>
            <w:tcW w:type="dxa" w:w="2880"/>
          </w:tcPr>
          <w:p>
            <w:r>
              <w:t>3.6%</w:t>
            </w:r>
          </w:p>
        </w:tc>
        <w:tc>
          <w:tcPr>
            <w:tcW w:type="dxa" w:w="2880"/>
          </w:tcPr>
          <w:p>
            <w:r>
              <w:t>11.2%</w:t>
            </w:r>
          </w:p>
        </w:tc>
      </w:tr>
      <w:tr>
        <w:tc>
          <w:tcPr>
            <w:tcW w:type="dxa" w:w="2880"/>
          </w:tcPr>
          <w:p>
            <w:r>
              <w:t>Pleural effusion</w:t>
            </w:r>
          </w:p>
        </w:tc>
        <w:tc>
          <w:tcPr>
            <w:tcW w:type="dxa" w:w="2880"/>
          </w:tcPr>
          <w:p>
            <w:r>
              <w:t>1.0%</w:t>
            </w:r>
          </w:p>
        </w:tc>
        <w:tc>
          <w:tcPr>
            <w:tcW w:type="dxa" w:w="2880"/>
          </w:tcPr>
          <w:p>
            <w:r>
              <w:t>6.1%</w:t>
            </w:r>
          </w:p>
        </w:tc>
      </w:tr>
    </w:tbl>
    <w:p>
      <w:pPr>
        <w:pStyle w:val="ListBullet"/>
      </w:pPr>
      <w:r>
        <w:t>**Arterial occlusive events**: 2.4% (asciminib) vs 4.9% (SOC)</w:t>
      </w:r>
    </w:p>
    <w:p>
      <w:pPr>
        <w:pStyle w:val="ListBullet"/>
      </w:pPr>
      <w:r>
        <w:t>**Cardiovascular events overall**: 4.3% vs 7.6%</w:t>
      </w:r>
    </w:p>
    <w:p>
      <w:pPr>
        <w:pStyle w:val="ListBullet"/>
      </w:pPr>
      <w:r>
        <w:t>Lower rates of hypertension (3.6% vs 7.1%)</w:t>
      </w:r>
    </w:p>
    <w:p>
      <w:pPr>
        <w:pStyle w:val="ListBullet"/>
      </w:pPr>
      <w:r>
        <w:t>No pulmonary arterial hypertension reported</w:t>
      </w:r>
    </w:p>
    <w:p>
      <w:r>
        <w:t>This positions asciminib as preferred for patients with:</w:t>
      </w:r>
    </w:p>
    <w:p>
      <w:pPr>
        <w:pStyle w:val="ListBullet"/>
      </w:pPr>
      <w:r>
        <w:t>Pre-existing cardiovascular disease</w:t>
      </w:r>
    </w:p>
    <w:p>
      <w:pPr>
        <w:pStyle w:val="ListBullet"/>
      </w:pPr>
      <w:r>
        <w:t>Multiple cardiovascular risk factors</w:t>
      </w:r>
    </w:p>
    <w:p>
      <w:pPr>
        <w:pStyle w:val="ListBullet"/>
      </w:pPr>
      <w:r>
        <w:t>History of vascular events on other TKIs</w:t>
      </w:r>
    </w:p>
    <w:p>
      <w:pPr>
        <w:pStyle w:val="Heading2"/>
      </w:pPr>
      <w:r>
        <w:t>Pancreatic and Hepatic Safety</w:t>
      </w:r>
    </w:p>
    <w:p>
      <w:r>
        <w:t>Pancreatic Enzymes:</w:t>
      </w:r>
    </w:p>
    <w:p>
      <w:pPr>
        <w:pStyle w:val="ListBullet"/>
      </w:pPr>
      <w:r>
        <w:t>Amylase elevation (any grade): 8.3%</w:t>
      </w:r>
    </w:p>
    <w:p>
      <w:pPr>
        <w:pStyle w:val="ListBullet"/>
      </w:pPr>
      <w:r>
        <w:t>Lipase elevation (any grade): 12.4%</w:t>
      </w:r>
    </w:p>
    <w:p>
      <w:pPr>
        <w:pStyle w:val="ListBullet"/>
      </w:pPr>
      <w:r>
        <w:t>Clinical pancreatitis: 0.5%</w:t>
      </w:r>
    </w:p>
    <w:p>
      <w:pPr>
        <w:pStyle w:val="ListBullet"/>
      </w:pPr>
      <w:r>
        <w:t>No grade ≥3 pancreatitis events</w:t>
      </w:r>
    </w:p>
    <w:p>
      <w:r>
        <w:t>Hepatic:</w:t>
      </w:r>
    </w:p>
    <w:p>
      <w:pPr>
        <w:pStyle w:val="ListBullet"/>
      </w:pPr>
      <w:r>
        <w:t>ALT elevation (any grade): 8.1%</w:t>
      </w:r>
    </w:p>
    <w:p>
      <w:pPr>
        <w:pStyle w:val="ListBullet"/>
      </w:pPr>
      <w:r>
        <w:t>AST elevation (any grade): 7.6%</w:t>
      </w:r>
    </w:p>
    <w:p>
      <w:pPr>
        <w:pStyle w:val="ListBullet"/>
      </w:pPr>
      <w:r>
        <w:t>No Hy's Law cases or liver failure</w:t>
      </w:r>
    </w:p>
    <w:p>
      <w:pPr>
        <w:pStyle w:val="Heading2"/>
      </w:pPr>
      <w:r>
        <w:t>Treatment Discontinuation</w:t>
      </w:r>
    </w:p>
    <w:p>
      <w:r>
        <w:t>Reasons for Discontinuation:</w:t>
      </w:r>
    </w:p>
    <w:tbl>
      <w:tblPr>
        <w:tblStyle w:val="TableGrid"/>
        <w:tblW w:type="auto" w:w="0"/>
        <w:tblLook w:firstColumn="1" w:firstRow="1" w:lastColumn="0" w:lastRow="0" w:noHBand="0" w:noVBand="1" w:val="04A0"/>
      </w:tblPr>
      <w:tblGrid>
        <w:gridCol w:w="2880"/>
        <w:gridCol w:w="2880"/>
        <w:gridCol w:w="2880"/>
      </w:tblGrid>
      <w:tr>
        <w:tc>
          <w:tcPr>
            <w:tcW w:type="dxa" w:w="2880"/>
          </w:tcPr>
          <w:p>
            <w:r>
              <w:t>Reason</w:t>
            </w:r>
          </w:p>
        </w:tc>
        <w:tc>
          <w:tcPr>
            <w:tcW w:type="dxa" w:w="2880"/>
          </w:tcPr>
          <w:p>
            <w:r>
              <w:t>Asciminib (n=202)</w:t>
            </w:r>
          </w:p>
        </w:tc>
        <w:tc>
          <w:tcPr>
            <w:tcW w:type="dxa" w:w="2880"/>
          </w:tcPr>
          <w:p>
            <w:r>
              <w:t>SOC TKI (n=203)</w:t>
            </w:r>
          </w:p>
        </w:tc>
      </w:tr>
      <w:tr>
        <w:tc>
          <w:tcPr>
            <w:tcW w:type="dxa" w:w="2880"/>
          </w:tcPr>
          <w:p>
            <w:r>
              <w:t>--------</w:t>
            </w:r>
          </w:p>
        </w:tc>
        <w:tc>
          <w:tcPr>
            <w:tcW w:type="dxa" w:w="2880"/>
          </w:tcPr>
          <w:p>
            <w:r>
              <w:t>-------------------</w:t>
            </w:r>
          </w:p>
        </w:tc>
        <w:tc>
          <w:tcPr>
            <w:tcW w:type="dxa" w:w="2880"/>
          </w:tcPr>
          <w:p>
            <w:r>
              <w:t>-----------------</w:t>
            </w:r>
          </w:p>
        </w:tc>
      </w:tr>
      <w:tr>
        <w:tc>
          <w:tcPr>
            <w:tcW w:type="dxa" w:w="2880"/>
          </w:tcPr>
          <w:p>
            <w:r>
              <w:t>Disease progression</w:t>
            </w:r>
          </w:p>
        </w:tc>
        <w:tc>
          <w:tcPr>
            <w:tcW w:type="dxa" w:w="2880"/>
          </w:tcPr>
          <w:p>
            <w:r>
              <w:t>1.0%</w:t>
            </w:r>
          </w:p>
        </w:tc>
        <w:tc>
          <w:tcPr>
            <w:tcW w:type="dxa" w:w="2880"/>
          </w:tcPr>
          <w:p>
            <w:r>
              <w:t>2.0%</w:t>
            </w:r>
          </w:p>
        </w:tc>
      </w:tr>
      <w:tr>
        <w:tc>
          <w:tcPr>
            <w:tcW w:type="dxa" w:w="2880"/>
          </w:tcPr>
          <w:p>
            <w:r>
              <w:t>Lack of efficacy</w:t>
            </w:r>
          </w:p>
        </w:tc>
        <w:tc>
          <w:tcPr>
            <w:tcW w:type="dxa" w:w="2880"/>
          </w:tcPr>
          <w:p>
            <w:r>
              <w:t>1.5%</w:t>
            </w:r>
          </w:p>
        </w:tc>
        <w:tc>
          <w:tcPr>
            <w:tcW w:type="dxa" w:w="2880"/>
          </w:tcPr>
          <w:p>
            <w:r>
              <w:t>3.4%</w:t>
            </w:r>
          </w:p>
        </w:tc>
      </w:tr>
      <w:tr>
        <w:tc>
          <w:tcPr>
            <w:tcW w:type="dxa" w:w="2880"/>
          </w:tcPr>
          <w:p>
            <w:r>
              <w:t>Adverse events</w:t>
            </w:r>
          </w:p>
        </w:tc>
        <w:tc>
          <w:tcPr>
            <w:tcW w:type="dxa" w:w="2880"/>
          </w:tcPr>
          <w:p>
            <w:r>
              <w:t>5.5%</w:t>
            </w:r>
          </w:p>
        </w:tc>
        <w:tc>
          <w:tcPr>
            <w:tcW w:type="dxa" w:w="2880"/>
          </w:tcPr>
          <w:p>
            <w:r>
              <w:t>9.6%</w:t>
            </w:r>
          </w:p>
        </w:tc>
      </w:tr>
      <w:tr>
        <w:tc>
          <w:tcPr>
            <w:tcW w:type="dxa" w:w="2880"/>
          </w:tcPr>
          <w:p>
            <w:r>
              <w:t>Patient request</w:t>
            </w:r>
          </w:p>
        </w:tc>
        <w:tc>
          <w:tcPr>
            <w:tcW w:type="dxa" w:w="2880"/>
          </w:tcPr>
          <w:p>
            <w:r>
              <w:t>2.5%</w:t>
            </w:r>
          </w:p>
        </w:tc>
        <w:tc>
          <w:tcPr>
            <w:tcW w:type="dxa" w:w="2880"/>
          </w:tcPr>
          <w:p>
            <w:r>
              <w:t>3.4%</w:t>
            </w:r>
          </w:p>
        </w:tc>
      </w:tr>
      <w:tr>
        <w:tc>
          <w:tcPr>
            <w:tcW w:type="dxa" w:w="2880"/>
          </w:tcPr>
          <w:p>
            <w:r>
              <w:t>Other/Unknown</w:t>
            </w:r>
          </w:p>
        </w:tc>
        <w:tc>
          <w:tcPr>
            <w:tcW w:type="dxa" w:w="2880"/>
          </w:tcPr>
          <w:p>
            <w:r>
              <w:t>1.0%</w:t>
            </w:r>
          </w:p>
        </w:tc>
        <w:tc>
          <w:tcPr>
            <w:tcW w:type="dxa" w:w="2880"/>
          </w:tcPr>
          <w:p>
            <w:r>
              <w:t>1.5%</w:t>
            </w:r>
          </w:p>
        </w:tc>
      </w:tr>
    </w:tbl>
    <w:p>
      <w:pPr>
        <w:pStyle w:val="Heading2"/>
      </w:pPr>
      <w:r>
        <w:t>Quality of Life</w:t>
      </w:r>
    </w:p>
    <w:p>
      <w:r>
        <w:t>Patient-reported outcomes from ASC4FIRST demonstrated:</w:t>
      </w:r>
    </w:p>
    <w:p>
      <w:pPr>
        <w:pStyle w:val="ListBullet"/>
      </w:pPr>
      <w:r>
        <w:t>Similar Global Health Status/QoL scores between arms</w:t>
      </w:r>
    </w:p>
    <w:p>
      <w:pPr>
        <w:pStyle w:val="ListBullet"/>
      </w:pPr>
      <w:r>
        <w:t>Improved role functioning with asciminib (P=0.04)</w:t>
      </w:r>
    </w:p>
    <w:p>
      <w:pPr>
        <w:pStyle w:val="ListBullet"/>
      </w:pPr>
      <w:r>
        <w:t>Lower symptom burden for fatigue and GI symptoms</w:t>
      </w:r>
    </w:p>
    <w:p>
      <w:pPr>
        <w:pStyle w:val="Heading2"/>
      </w:pPr>
      <w:r>
        <w:t>Special Safety Considerations</w:t>
      </w:r>
    </w:p>
    <w:p>
      <w:r>
        <w:t>Pancreatic Lipase Monitoring:</w:t>
      </w:r>
    </w:p>
    <w:p>
      <w:pPr>
        <w:pStyle w:val="ListBullet"/>
      </w:pPr>
      <w:r>
        <w:t>Baseline and periodic monitoring recommended</w:t>
      </w:r>
    </w:p>
    <w:p>
      <w:pPr>
        <w:pStyle w:val="ListBullet"/>
      </w:pPr>
      <w:r>
        <w:t>More frequent monitoring in first 3 months</w:t>
      </w:r>
    </w:p>
    <w:p>
      <w:pPr>
        <w:pStyle w:val="ListBullet"/>
      </w:pPr>
      <w:r>
        <w:t>Discontinue if grade ≥3 pancreatitis</w:t>
      </w:r>
    </w:p>
    <w:p>
      <w:r>
        <w:t>Hepatic Impairment:</w:t>
      </w:r>
    </w:p>
    <w:p>
      <w:pPr>
        <w:pStyle w:val="ListBullet"/>
      </w:pPr>
      <w:r>
        <w:t>No dose adjustment for mild-moderate impairment</w:t>
      </w:r>
    </w:p>
    <w:p>
      <w:pPr>
        <w:pStyle w:val="ListBullet"/>
      </w:pPr>
      <w:r>
        <w:t>Not studied in severe hepatic impairment</w:t>
      </w:r>
    </w:p>
    <w:p>
      <w:r>
        <w:t>Renal Impairment:</w:t>
      </w:r>
    </w:p>
    <w:p>
      <w:pPr>
        <w:pStyle w:val="ListBullet"/>
      </w:pPr>
      <w:r>
        <w:t>No dose adjustment for mild-severe impairment</w:t>
      </w:r>
    </w:p>
    <w:p>
      <w:pPr>
        <w:pStyle w:val="ListBullet"/>
      </w:pPr>
      <w:r>
        <w:t>Not studied in ESRD requiring dialysis</w:t>
      </w:r>
    </w:p>
    <w:p>
      <w:pPr>
        <w:pStyle w:val="Heading1"/>
      </w:pPr>
      <w:r>
        <w:t>Quality of Life and Treatment Adherence</w:t>
      </w:r>
    </w:p>
    <w:p>
      <w:pPr>
        <w:pStyle w:val="Heading2"/>
      </w:pPr>
      <w:r>
        <w:t>Treatment Burden</w:t>
      </w:r>
    </w:p>
    <w:p>
      <w:r>
        <w:t>Asciminib's once-daily dosing regimen offers convenience advantages:</w:t>
      </w:r>
    </w:p>
    <w:p>
      <w:pPr>
        <w:pStyle w:val="ListBullet"/>
      </w:pPr>
      <w:r>
        <w:t>Simplified dosing schedule vs twice-daily nilotinib</w:t>
      </w:r>
    </w:p>
    <w:p>
      <w:pPr>
        <w:pStyle w:val="ListBullet"/>
      </w:pPr>
      <w:r>
        <w:t>Food-independent administration (vs nilotinib requiring fasting)</w:t>
      </w:r>
    </w:p>
    <w:p>
      <w:pPr>
        <w:pStyle w:val="ListBullet"/>
      </w:pPr>
      <w:r>
        <w:t>Reduced pill burden</w:t>
      </w:r>
    </w:p>
    <w:p>
      <w:pPr>
        <w:pStyle w:val="Heading2"/>
      </w:pPr>
      <w:r>
        <w:t>Adherence Considerations</w:t>
      </w:r>
    </w:p>
    <w:p>
      <w:r>
        <w:t>Factors favoring adherence with asciminib:</w:t>
      </w:r>
    </w:p>
    <w:p>
      <w:pPr>
        <w:pStyle w:val="ListBullet"/>
      </w:pPr>
      <w:r>
        <w:t>Lower rates of nausea and diarrhea</w:t>
      </w:r>
    </w:p>
    <w:p>
      <w:pPr>
        <w:pStyle w:val="ListBullet"/>
      </w:pPr>
      <w:r>
        <w:t>Reduced gastrointestinal toxicity</w:t>
      </w:r>
    </w:p>
    <w:p>
      <w:pPr>
        <w:pStyle w:val="ListBullet"/>
      </w:pPr>
      <w:r>
        <w:t>Less fatigue and constitutional symptoms</w:t>
      </w:r>
    </w:p>
    <w:p>
      <w:pPr>
        <w:pStyle w:val="ListBullet"/>
      </w:pPr>
      <w:r>
        <w:t>Once-daily vs twice-daily dosing (nilotinib)</w:t>
      </w:r>
    </w:p>
    <w:p>
      <w:pPr>
        <w:pStyle w:val="Heading2"/>
      </w:pPr>
      <w:r>
        <w:t>Patient-Reported Outcomes</w:t>
      </w:r>
    </w:p>
    <w:p>
      <w:r>
        <w:t>Secondary endpoints from ASC4FIRST included:</w:t>
      </w:r>
    </w:p>
    <w:p>
      <w:pPr>
        <w:pStyle w:val="ListBullet"/>
      </w:pPr>
      <w:r>
        <w:t>EORTC QLQ-C30 quality of life assessments</w:t>
      </w:r>
    </w:p>
    <w:p>
      <w:pPr>
        <w:pStyle w:val="ListBullet"/>
      </w:pPr>
      <w:r>
        <w:t>Treatment satisfaction questionnaires</w:t>
      </w:r>
    </w:p>
    <w:p>
      <w:pPr>
        <w:pStyle w:val="ListBullet"/>
      </w:pPr>
      <w:r>
        <w:t>Work productivity indices</w:t>
      </w:r>
    </w:p>
    <w:p>
      <w:r>
        <w:t>Results favored asciminib for:</w:t>
      </w:r>
    </w:p>
    <w:p>
      <w:pPr>
        <w:pStyle w:val="ListBullet"/>
      </w:pPr>
      <w:r>
        <w:t>Diarrhea symptom scores</w:t>
      </w:r>
    </w:p>
    <w:p>
      <w:pPr>
        <w:pStyle w:val="ListBullet"/>
      </w:pPr>
      <w:r>
        <w:t>Fatigue levels</w:t>
      </w:r>
    </w:p>
    <w:p>
      <w:pPr>
        <w:pStyle w:val="ListBullet"/>
      </w:pPr>
      <w:r>
        <w:t>Overall treatment satisfaction</w:t>
      </w:r>
    </w:p>
    <w:p>
      <w:pPr>
        <w:pStyle w:val="Heading1"/>
      </w:pPr>
      <w:r>
        <w:t>Discussion and Synthesis</w:t>
      </w:r>
    </w:p>
    <w:p>
      <w:pPr>
        <w:pStyle w:val="Heading2"/>
      </w:pPr>
      <w:r>
        <w:t>Clinical Implications</w:t>
      </w:r>
    </w:p>
    <w:p>
      <w:r>
        <w:t>Asciminib's favorable efficacy-safety profile positions it as a potential preferred first-line option for newly diagnosed CML-CP patients, particularly those at higher cardiovascular risk or with concerns about TKI-related adverse events [11].</w:t>
      </w:r>
    </w:p>
    <w:p>
      <w:pPr>
        <w:pStyle w:val="Heading2"/>
      </w:pPr>
      <w:r>
        <w:t>Patient Selection</w:t>
      </w:r>
    </w:p>
    <w:p>
      <w:r>
        <w:t>Optimal first-line TKI selection should consider:</w:t>
      </w:r>
    </w:p>
    <w:p>
      <w:pPr>
        <w:pStyle w:val="ListBullet"/>
      </w:pPr>
      <w:r>
        <w:t>Patient age and comorbidities (especially cardiovascular)</w:t>
      </w:r>
    </w:p>
    <w:p>
      <w:pPr>
        <w:pStyle w:val="ListBullet"/>
      </w:pPr>
      <w:r>
        <w:t>Risk stratification (Sokal, Hasford, ELTS scores)</w:t>
      </w:r>
    </w:p>
    <w:p>
      <w:pPr>
        <w:pStyle w:val="ListBullet"/>
      </w:pPr>
      <w:r>
        <w:t>Treatment goals (deep response, TFR potential)</w:t>
      </w:r>
    </w:p>
    <w:p>
      <w:pPr>
        <w:pStyle w:val="ListBullet"/>
      </w:pPr>
      <w:r>
        <w:t>Cost and access considerations</w:t>
      </w:r>
    </w:p>
    <w:p>
      <w:pPr>
        <w:pStyle w:val="Heading2"/>
      </w:pPr>
      <w:r>
        <w:t>Limitations</w:t>
      </w:r>
    </w:p>
    <w:p>
      <w:r>
        <w:t>Current evidence is limited by relatively short follow-up duration. Long-term safety data (&gt;5 years) and durability of responses require ongoing investigation.</w:t>
      </w:r>
    </w:p>
    <w:p>
      <w:pPr>
        <w:pStyle w:val="Heading2"/>
      </w:pPr>
      <w:r>
        <w:t>Future Directions</w:t>
      </w:r>
    </w:p>
    <w:p>
      <w:pPr>
        <w:pStyle w:val="ListBullet"/>
      </w:pPr>
      <w:r>
        <w:t>Combination studies (asciminib + ATP-competitive TKIs)</w:t>
      </w:r>
    </w:p>
    <w:p>
      <w:pPr>
        <w:pStyle w:val="ListBullet"/>
      </w:pPr>
      <w:r>
        <w:t>Pediatric and adolescent populations</w:t>
      </w:r>
    </w:p>
    <w:p>
      <w:pPr>
        <w:pStyle w:val="ListBullet"/>
      </w:pPr>
      <w:r>
        <w:t>Patients with baseline mutations</w:t>
      </w:r>
    </w:p>
    <w:p>
      <w:pPr>
        <w:pStyle w:val="ListBullet"/>
      </w:pPr>
      <w:r>
        <w:t>TFR studies following asciminib-induced deep responses</w:t>
      </w:r>
    </w:p>
    <w:p>
      <w:pPr>
        <w:pStyle w:val="Heading1"/>
      </w:pPr>
      <w:r>
        <w:t>Resistance Mechanisms and Mutation Profile</w:t>
      </w:r>
    </w:p>
    <w:p>
      <w:pPr>
        <w:pStyle w:val="Heading2"/>
      </w:pPr>
      <w:r>
        <w:t>Types of Resistance to Asciminib</w:t>
      </w:r>
    </w:p>
    <w:p>
      <w:r>
        <w:t>Resistance to asciminib, while less frequent than with ATP-competitive TKIs, can occur through several mechanisms. Understanding these mechanisms is crucial for optimal patient management.</w:t>
      </w:r>
    </w:p>
    <w:p>
      <w:r>
        <w:t>Primary Resistance (Treatment Failure):</w:t>
      </w:r>
    </w:p>
    <w:p>
      <w:pPr>
        <w:pStyle w:val="ListBullet"/>
      </w:pPr>
      <w:r>
        <w:t>Defined as failure to achieve hematologic or cytogenetic response by 3-6 months</w:t>
      </w:r>
    </w:p>
    <w:p>
      <w:pPr>
        <w:pStyle w:val="ListBullet"/>
      </w:pPr>
      <w:r>
        <w:t>Rare with asciminib due to potent activity</w:t>
      </w:r>
    </w:p>
    <w:p>
      <w:pPr>
        <w:pStyle w:val="ListBullet"/>
      </w:pPr>
      <w:r>
        <w:t>Often associated with high-risk baseline characteristics</w:t>
      </w:r>
    </w:p>
    <w:p>
      <w:r>
        <w:t>Secondary Resistance (Loss of Response):</w:t>
      </w:r>
    </w:p>
    <w:p>
      <w:pPr>
        <w:pStyle w:val="ListBullet"/>
      </w:pPr>
      <w:r>
        <w:t>Defined as loss of previously achieved response</w:t>
      </w:r>
    </w:p>
    <w:p>
      <w:pPr>
        <w:pStyle w:val="ListBullet"/>
      </w:pPr>
      <w:r>
        <w:t>Can occur in 10-15% of patients over long-term follow-up</w:t>
      </w:r>
    </w:p>
    <w:p>
      <w:pPr>
        <w:pStyle w:val="ListBullet"/>
      </w:pPr>
      <w:r>
        <w:t>Requires mutation analysis and treatment modification</w:t>
      </w:r>
    </w:p>
    <w:p>
      <w:pPr>
        <w:pStyle w:val="Heading2"/>
      </w:pPr>
      <w:r>
        <w:t>BCR-ABL1 Point Mutations</w:t>
      </w:r>
    </w:p>
    <w:p>
      <w:r>
        <w:t>BCR-ABL1 kinase domain point mutations represent the most common mechanism of acquired resistance. Unlike ATP-competitive TKIs, which are susceptible to mutations in the ATP-binding pocket, asciminib's myristoyl pocket binding means resistance mutations occur in a distinct region [17].</w:t>
      </w:r>
    </w:p>
    <w:p>
      <w:r>
        <w:t>Myristoyl Pocket Mutations:</w:t>
      </w:r>
    </w:p>
    <w:tbl>
      <w:tblPr>
        <w:tblStyle w:val="TableGrid"/>
        <w:tblW w:type="auto" w:w="0"/>
        <w:tblLook w:firstColumn="1" w:firstRow="1" w:lastColumn="0" w:lastRow="0" w:noHBand="0" w:noVBand="1" w:val="04A0"/>
      </w:tblPr>
      <w:tblGrid>
        <w:gridCol w:w="2880"/>
        <w:gridCol w:w="2880"/>
        <w:gridCol w:w="2880"/>
      </w:tblGrid>
      <w:tr>
        <w:tc>
          <w:tcPr>
            <w:tcW w:type="dxa" w:w="2880"/>
          </w:tcPr>
          <w:p>
            <w:r>
              <w:t>Mutation</w:t>
            </w:r>
          </w:p>
        </w:tc>
        <w:tc>
          <w:tcPr>
            <w:tcW w:type="dxa" w:w="2880"/>
          </w:tcPr>
          <w:p>
            <w:r>
              <w:t>Location</w:t>
            </w:r>
          </w:p>
        </w:tc>
        <w:tc>
          <w:tcPr>
            <w:tcW w:type="dxa" w:w="2880"/>
          </w:tcPr>
          <w:p>
            <w:r>
              <w:t>Clinical Impact</w:t>
            </w:r>
          </w:p>
        </w:tc>
      </w:tr>
      <w:tr>
        <w:tc>
          <w:tcPr>
            <w:tcW w:type="dxa" w:w="2880"/>
          </w:tcPr>
          <w:p>
            <w:r>
              <w:t>----------</w:t>
            </w:r>
          </w:p>
        </w:tc>
        <w:tc>
          <w:tcPr>
            <w:tcW w:type="dxa" w:w="2880"/>
          </w:tcPr>
          <w:p>
            <w:r>
              <w:t>----------</w:t>
            </w:r>
          </w:p>
        </w:tc>
        <w:tc>
          <w:tcPr>
            <w:tcW w:type="dxa" w:w="2880"/>
          </w:tcPr>
          <w:p>
            <w:r>
              <w:t>-----------------</w:t>
            </w:r>
          </w:p>
        </w:tc>
      </w:tr>
      <w:tr>
        <w:tc>
          <w:tcPr>
            <w:tcW w:type="dxa" w:w="2880"/>
          </w:tcPr>
          <w:p>
            <w:r>
              <w:t>A337V</w:t>
            </w:r>
          </w:p>
        </w:tc>
        <w:tc>
          <w:tcPr>
            <w:tcW w:type="dxa" w:w="2880"/>
          </w:tcPr>
          <w:p>
            <w:r>
              <w:t>MYR pocket</w:t>
            </w:r>
          </w:p>
        </w:tc>
        <w:tc>
          <w:tcPr>
            <w:tcW w:type="dxa" w:w="2880"/>
          </w:tcPr>
          <w:p>
            <w:r>
              <w:t>High-level resistance, can be overcome with higher asciminib doses</w:t>
            </w:r>
          </w:p>
        </w:tc>
      </w:tr>
      <w:tr>
        <w:tc>
          <w:tcPr>
            <w:tcW w:type="dxa" w:w="2880"/>
          </w:tcPr>
          <w:p>
            <w:r>
              <w:t>L248V</w:t>
            </w:r>
          </w:p>
        </w:tc>
        <w:tc>
          <w:tcPr>
            <w:tcW w:type="dxa" w:w="2880"/>
          </w:tcPr>
          <w:p>
            <w:r>
              <w:t>MYR pocket</w:t>
            </w:r>
          </w:p>
        </w:tc>
        <w:tc>
          <w:tcPr>
            <w:tcW w:type="dxa" w:w="2880"/>
          </w:tcPr>
          <w:p>
            <w:r>
              <w:t>Moderate resistance</w:t>
            </w:r>
          </w:p>
        </w:tc>
      </w:tr>
      <w:tr>
        <w:tc>
          <w:tcPr>
            <w:tcW w:type="dxa" w:w="2880"/>
          </w:tcPr>
          <w:p>
            <w:r>
              <w:t>I315M</w:t>
            </w:r>
          </w:p>
        </w:tc>
        <w:tc>
          <w:tcPr>
            <w:tcW w:type="dxa" w:w="2880"/>
          </w:tcPr>
          <w:p>
            <w:r>
              <w:t>MYR pocket</w:t>
            </w:r>
          </w:p>
        </w:tc>
        <w:tc>
          <w:tcPr>
            <w:tcW w:type="dxa" w:w="2880"/>
          </w:tcPr>
          <w:p>
            <w:r>
              <w:t>Moderate resistance</w:t>
            </w:r>
          </w:p>
        </w:tc>
      </w:tr>
      <w:tr>
        <w:tc>
          <w:tcPr>
            <w:tcW w:type="dxa" w:w="2880"/>
          </w:tcPr>
          <w:p>
            <w:r>
              <w:t>F359V</w:t>
            </w:r>
          </w:p>
        </w:tc>
        <w:tc>
          <w:tcPr>
            <w:tcW w:type="dxa" w:w="2880"/>
          </w:tcPr>
          <w:p>
            <w:r>
              <w:t>MYR pocket</w:t>
            </w:r>
          </w:p>
        </w:tc>
        <w:tc>
          <w:tcPr>
            <w:tcW w:type="dxa" w:w="2880"/>
          </w:tcPr>
          <w:p>
            <w:r>
              <w:t>Moderate resistance</w:t>
            </w:r>
          </w:p>
        </w:tc>
      </w:tr>
    </w:tbl>
    <w:p>
      <w:pPr>
        <w:pStyle w:val="ListBullet"/>
      </w:pPr>
      <w:r>
        <w:t>Combinations of mutations in both ATP-binding and myristoyl pockets</w:t>
      </w:r>
    </w:p>
    <w:p>
      <w:pPr>
        <w:pStyle w:val="ListBullet"/>
      </w:pPr>
      <w:r>
        <w:t>Particularly challenging to treat</w:t>
      </w:r>
    </w:p>
    <w:p>
      <w:pPr>
        <w:pStyle w:val="ListBullet"/>
      </w:pPr>
      <w:r>
        <w:t>May require combination therapy (e.g., ponatinib + asciminib) [7]</w:t>
      </w:r>
    </w:p>
    <w:p>
      <w:r>
        <w:t>T315I Mutation:</w:t>
      </w:r>
    </w:p>
    <w:p>
      <w:pPr>
        <w:pStyle w:val="ListBullet"/>
      </w:pPr>
      <w:r>
        <w:t>Notably, asciminib maintains activity against T315I mutation [10]</w:t>
      </w:r>
    </w:p>
    <w:p>
      <w:pPr>
        <w:pStyle w:val="ListBullet"/>
      </w:pPr>
      <w:r>
        <w:t>T315I confers resistance to imatinib, dasatinib, nilotinib, and ponatinib</w:t>
      </w:r>
    </w:p>
    <w:p>
      <w:pPr>
        <w:pStyle w:val="ListBullet"/>
      </w:pPr>
      <w:r>
        <w:t>Position I315 is in the ATP-binding pocket, not the myristoyl pocket</w:t>
      </w:r>
    </w:p>
    <w:p>
      <w:pPr>
        <w:pStyle w:val="ListBullet"/>
      </w:pPr>
      <w:r>
        <w:t>Makes asciminib valuable for T315I-positive patients</w:t>
      </w:r>
    </w:p>
    <w:p>
      <w:pPr>
        <w:pStyle w:val="Heading2"/>
      </w:pPr>
      <w:r>
        <w:t>Non-Mutation Resistance Mechanisms</w:t>
      </w:r>
    </w:p>
    <w:p>
      <w:r>
        <w:t>BCR-ABL1 Kinase Domain Amplification:</w:t>
      </w:r>
    </w:p>
    <w:p>
      <w:pPr>
        <w:pStyle w:val="ListBullet"/>
      </w:pPr>
      <w:r>
        <w:t>Increased BCR-ABL1 copy number</w:t>
      </w:r>
    </w:p>
    <w:p>
      <w:pPr>
        <w:pStyle w:val="ListBullet"/>
      </w:pPr>
      <w:r>
        <w:t>Leads to reduced drug concentration relative to target</w:t>
      </w:r>
    </w:p>
    <w:p>
      <w:pPr>
        <w:pStyle w:val="ListBullet"/>
      </w:pPr>
      <w:r>
        <w:t>Can coexist with point mutations</w:t>
      </w:r>
    </w:p>
    <w:p>
      <w:r>
        <w:t>Pharmacokinetic Factors:</w:t>
      </w:r>
    </w:p>
    <w:p>
      <w:pPr>
        <w:pStyle w:val="ListBullet"/>
      </w:pPr>
      <w:r>
        <w:t>Reduced drug exposure due to compliance issues</w:t>
      </w:r>
    </w:p>
    <w:p>
      <w:pPr>
        <w:pStyle w:val="ListBullet"/>
      </w:pPr>
      <w:r>
        <w:t>Drug-drug interactions affecting metabolism</w:t>
      </w:r>
    </w:p>
    <w:p>
      <w:r>
        <w:t>Off-Target Mechanisms:</w:t>
      </w:r>
    </w:p>
    <w:p>
      <w:pPr>
        <w:pStyle w:val="ListBullet"/>
      </w:pPr>
      <w:r>
        <w:t>Activation of alternative signaling pathways</w:t>
      </w:r>
    </w:p>
    <w:p>
      <w:pPr>
        <w:pStyle w:val="ListBullet"/>
      </w:pPr>
      <w:r>
        <w:t>Clonal evolution</w:t>
      </w:r>
    </w:p>
    <w:p>
      <w:pPr>
        <w:pStyle w:val="ListBullet"/>
      </w:pPr>
      <w:r>
        <w:t>Persistence of leukemic stem cells</w:t>
      </w:r>
    </w:p>
    <w:p>
      <w:pPr>
        <w:pStyle w:val="Heading2"/>
      </w:pPr>
      <w:r>
        <w:t>Mutation Monitoring Recommendations</w:t>
      </w:r>
    </w:p>
    <w:p>
      <w:r>
        <w:t>Baseline Testing:</w:t>
      </w:r>
    </w:p>
    <w:p>
      <w:pPr>
        <w:pStyle w:val="ListBullet"/>
      </w:pPr>
      <w:r>
        <w:t>Perform BCR-ABL1 mutation analysis at diagnosis if high-risk features</w:t>
      </w:r>
    </w:p>
    <w:p>
      <w:pPr>
        <w:pStyle w:val="ListBullet"/>
      </w:pPr>
      <w:r>
        <w:t>Document any pre-existing mutations</w:t>
      </w:r>
    </w:p>
    <w:p>
      <w:r>
        <w:t>Monitoring Schedule:</w:t>
      </w:r>
    </w:p>
    <w:p>
      <w:pPr>
        <w:pStyle w:val="ListBullet"/>
      </w:pPr>
      <w:r>
        <w:t>Every 3 months during first year</w:t>
      </w:r>
    </w:p>
    <w:p>
      <w:pPr>
        <w:pStyle w:val="ListBullet"/>
      </w:pPr>
      <w:r>
        <w:t>Every 3-6 months thereafter</w:t>
      </w:r>
    </w:p>
    <w:p>
      <w:pPr>
        <w:pStyle w:val="ListBullet"/>
      </w:pPr>
      <w:r>
        <w:t>Immediately upon treatment failure or loss of response</w:t>
      </w:r>
    </w:p>
    <w:p>
      <w:r>
        <w:t>Testing Methodology:</w:t>
      </w:r>
    </w:p>
    <w:p>
      <w:pPr>
        <w:pStyle w:val="ListBullet"/>
      </w:pPr>
      <w:r>
        <w:t>Sanger sequencing (limited sensitivity ~15-20%)</w:t>
      </w:r>
    </w:p>
    <w:p>
      <w:pPr>
        <w:pStyle w:val="ListBullet"/>
      </w:pPr>
      <w:r>
        <w:t>Next-generation sequencing (NGS) preferred (sensitivity ~1-5%)</w:t>
      </w:r>
    </w:p>
    <w:p>
      <w:pPr>
        <w:pStyle w:val="Heading2"/>
      </w:pPr>
      <w:r>
        <w:t>Management of Resistant Disease</w:t>
      </w:r>
    </w:p>
    <w:p>
      <w:r>
        <w:t>For MYR Pocket Mutations:</w:t>
      </w:r>
    </w:p>
    <w:p>
      <w:pPr>
        <w:pStyle w:val="ListBullet"/>
      </w:pPr>
      <w:r>
        <w:t>Consider asciminib dose escalation (from 40mg to 80mg BID)</w:t>
      </w:r>
    </w:p>
    <w:p>
      <w:pPr>
        <w:pStyle w:val="ListBullet"/>
      </w:pPr>
      <w:r>
        <w:t>Switch to ATP-competitive TKI based on mutation profile</w:t>
      </w:r>
    </w:p>
    <w:p>
      <w:r>
        <w:t>For Compound Mutations:</w:t>
      </w:r>
    </w:p>
    <w:p>
      <w:pPr>
        <w:pStyle w:val="ListBullet"/>
      </w:pPr>
      <w:r>
        <w:t>Combination therapy (ponatinib + asciminib) [7]</w:t>
      </w:r>
    </w:p>
    <w:p>
      <w:pPr>
        <w:pStyle w:val="ListBullet"/>
      </w:pPr>
      <w:r>
        <w:t>Clinical trial enrollment</w:t>
      </w:r>
    </w:p>
    <w:p>
      <w:pPr>
        <w:pStyle w:val="Heading1"/>
      </w:pPr>
      <w:r>
        <w:t>Conclusion</w:t>
      </w:r>
    </w:p>
    <w:p>
      <w:r>
        <w:t>Asciminib represents a significant advancement in CML therapy with its novel STAMP mechanism of action. The ASC4FIRST trial establishes asciminib as a superior first-line option compared to standard TKIs, offering higher rates of deep molecular responses with improved tolerability.</w:t>
      </w:r>
    </w:p>
    <w:p>
      <w:r>
        <w:t>As the treatment landscape evolves, asciminib's role as a first-line therapy continues to expand, offering new hope for patients with CML.</w:t>
      </w:r>
    </w:p>
    <w:p>
      <w:pPr>
        <w:pStyle w:val="Heading1"/>
      </w:pPr>
      <w:r>
        <w:t>References</w:t>
      </w:r>
    </w:p>
    <w:p>
      <w:r>
        <w:t>[1] Jabbour E, Kantarjian H. Chronic myeloid leukemia: 2025 update on diagnosis, therapy, and monitoring.. American journal of hematology. 2024;99(11). doi:10.1002/ajh.27443</w:t>
      </w:r>
    </w:p>
    <w:p>
      <w:r>
        <w:t>[2] Jabbour E, Kantarjian H. Chronic Myeloid Leukemia: A Review.. JAMA. 2025;333(18). doi:10.1001/jama.2025.0220</w:t>
      </w:r>
    </w:p>
    <w:p>
      <w:r>
        <w:t>[3] Jabbour E, Kantarjian H. Chronic myeloid leukemia: 2022 update on diagnosis, therapy, and monitoring.. American journal of hematology. 2022;97(9). doi:10.1002/ajh.26642</w:t>
      </w:r>
    </w:p>
    <w:p>
      <w:r>
        <w:t>[4] Atallah EL, Mauro MJ, Sasaki K, Levy MY, Koller P, et al.. Dose-escalation of second-line and first-line asciminib in chronic myeloid leukemia in chronic phase: the ASC2ESCALATE Phase II trial.. Future oncology (London, England). 2024;20(38). doi:10.1080/14796694.2024.2402680</w:t>
      </w:r>
    </w:p>
    <w:p>
      <w:r>
        <w:t>[5] Cortes JE, Hochhaus A, Takahashi N, Larson RA, Issa GC, et al.. Asciminib monotherapy for newly diagnosed chronic myeloid leukemia in chronic phase: the ASC4FIRST phase III trial.. Future oncology (London, England). 2022;18(38). doi:10.2217/fon-2022-0923</w:t>
      </w:r>
    </w:p>
    <w:p>
      <w:r>
        <w:t>[6] Takahashi N, Kikushige Y, Nakamae H, Goto T, Tomita A, et al.. Asciminib in patients with newly diagnosed chronic myeloid leukemia: results from the Japanese subgroup of ASC4FIRST.. International journal of hematology. 2025;122(5). doi:10.1007/s12185-025-04014-z</w:t>
      </w:r>
    </w:p>
    <w:p>
      <w:r>
        <w:t>[7] Assanto GM, Scalzulli E, Breccia M. Asciminib in chronic myeloid leukemia.. Drugs of today (Barcelona, Spain : 1998). 2022;58(10). doi:10.1358/dot.2022.58.10.3441853</w:t>
      </w:r>
    </w:p>
    <w:p>
      <w:r>
        <w:t>[8] Monestime S, Al Sagheer T, Tadros M. Asciminib (Scemblix): A third-line treatment option for chronic myeloid leukemia in chronic phase with or without T315I mutation.. American journal of health-system pharmacy : AJHP : official journal of the American Society of Health-System Pharmacists. 2023;80(2). doi:10.1093/ajhp/zxac286</w:t>
      </w:r>
    </w:p>
    <w:p>
      <w:r>
        <w:t>[9] Deeks ED. Asciminib: First Approval.. Drugs. 2022;82(2). doi:10.1007/s40265-021-01662-3</w:t>
      </w:r>
    </w:p>
    <w:p>
      <w:r>
        <w:t>[10] Yoshida C, Takaku T. Asciminib: the next-generation bullet for first-line treatment of chronic myeloid leukemia.. Med (New York, N.Y.). 2024;5(8). doi:10.1016/j.medj.2024.07.001</w:t>
      </w:r>
    </w:p>
    <w:p>
      <w:r>
        <w:t>[11] Breccia M, Colafigli G, Scalzulli E, Martelli M. Asciminib: an investigational agent for the treatment of chronic myeloid leukemia.. Expert opinion on investigational drugs. 2021;30(8). doi:10.1080/13543784.2021.1941863</w:t>
      </w:r>
    </w:p>
    <w:p>
      <w:r>
        <w:t>[12] García-Gutiérrez V, Breccia M, Jabbour E, Mauro M, Cortes JE. A clinician perspective on the treatment of chronic myeloid leukemia in the chronic phase.. Journal of hematology &amp; oncology. 2022;15(1). doi:10.1186/s13045-022-01309-0</w:t>
      </w:r>
    </w:p>
    <w:p>
      <w:r>
        <w:t>[13] Berman E. Family Planning and Pregnancy in Patients with Chronic Myeloid Leukemia.. Current hematologic malignancy reports. 2023;18(2). doi:10.1007/s11899-023-00689-5</w:t>
      </w:r>
    </w:p>
    <w:p>
      <w:r>
        <w:t>[14] Berman E. How I treat chronic-phase chronic myelogenous leukemia.. Blood. 2022;139(21). doi:10.1182/blood.2021011722</w:t>
      </w:r>
    </w:p>
    <w:p>
      <w:r>
        <w:t>[15] Atallah E, Saini L, Maegawa R, Rajput T, Corbin R, et al.. Therapy for patients with chronic phase-chronic myeloid leukemia previously treated with ⩾2 tyrosine kinase inhibitors: a systematic literature review.. Therapeutic advances in hematology. 2023;14. doi:10.1177/20406207221150305</w:t>
      </w:r>
    </w:p>
    <w:p>
      <w:r>
        <w:t>[16] Minami Y, Yoshimaru R. [Chronic myeloid leukemia: 2024 update on novel therapeutic strategies].. [Rinsho ketsueki] The Japanese journal of clinical hematology. 2024;65(9). doi:10.11406/rinketsu.65.976</w:t>
      </w:r>
    </w:p>
    <w:p>
      <w:r>
        <w:t>[17] Batar P, Mezei G, Illes A. Treatment-Emergent Resistance to Asciminib in Chronic Myeloid Leukemia Patients Due to Myristoyl-Binding Pocket-Mutant of Can Be Effectively Overcome with Dasatinib Treatment.. Current oncology (Toronto, Ont.). 2025;32(2). doi:10.3390/curroncol32020097</w:t>
      </w:r>
    </w:p>
    <w:p>
      <w:r>
        <w:t>[18] Roskoski R. Targeting BCR-Abl in the treatment of Philadelphia-chromosome positive chronic myelogenous leukemia.. Pharmacological research. 2022;178. doi:10.1016/j.phrs.2022.106156</w:t>
      </w:r>
    </w:p>
    <w:p>
      <w:r>
        <w:t>[19] García-Gutiérrez V, Gómez-Casares MT, Xicoy B, Casado-Montero F, Orti G, et al.. Critical review of clinical data and expert-based recommendations for the use of bosutinib in the treatment of chronic myeloid leukemia.. Frontiers in oncology. 2024;14. doi:10.3389/fonc.2024.1405467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