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Asciminib for Treatment of Chronic Myeloid Leukemia: A Systematic Review</w:t>
      </w:r>
    </w:p>
    <w:p>
      <w:pPr>
        <w:pStyle w:val="Title"/>
      </w:pPr>
      <w:r>
        <w:t>Asciminib for Treatment of Chronic Myeloid Leukemia: A Systematic Review</w:t>
      </w:r>
    </w:p>
    <w:p>
      <w:pPr>
        <w:pStyle w:val="Heading1"/>
      </w:pPr>
      <w:r>
        <w:t>Authors</w:t>
      </w:r>
    </w:p>
    <w:p>
      <w:r>
        <w:t>[Author names to be added]</w:t>
      </w:r>
    </w:p>
    <w:p>
      <w:r>
        <w:t>Abstract (34 words)</w:t>
      </w:r>
    </w:p>
    <w:p>
      <w:r>
        <w:t>Background: This study investigates asciminib for treatment of chronic myeloid leukemia: a systematic review.</w:t>
      </w:r>
    </w:p>
    <w:p>
      <w:r>
        <w:t>Methods: A [study design] was conducted.</w:t>
      </w:r>
    </w:p>
    <w:p>
      <w:r>
        <w:t>Results: Key findings demonstrate [main results].</w:t>
      </w:r>
    </w:p>
    <w:p>
      <w:r>
        <w:t>Conclusion: These results have implications for clinical practice.</w:t>
      </w:r>
    </w:p>
    <w:p>
      <w:r>
        <w:t>Keywords: chronic myeloid leukemia, asciminib, BCR-ABL1, tyrosine kinase inhibitor, systematic review, molecular response</w:t>
      </w:r>
    </w:p>
    <w:p>
      <w:pPr>
        <w:pStyle w:val="Heading1"/>
      </w:pPr>
      <w:r>
        <w:t>1. Introduction</w:t>
      </w:r>
    </w:p>
    <w:p>
      <w:pPr>
        <w:pStyle w:val="Heading2"/>
      </w:pPr>
      <w:r>
        <w:t>1.1 Background and Rationale</w:t>
      </w:r>
    </w:p>
    <w:p>
      <w:r>
        <w:t>Chronic Myeloid Leukemia (CML) is a myeloproliferative neoplasm characterized by the Philadelphia chromosome, resulting from the t(9;22)(q34;q11) translocation that creates the BCR-ABL1 fusion gene. This oncogenic tyrosine kinase drives uncontrolled proliferation of myeloid cells, and CML accounts for approximately 15% of all adult leukemias with an annual incidence of 1-2 cases per 100,000 population (Jabbour and Kantarjian, 2024). The introduction of tyrosine kinase inhibitors (TKIs) in 2001 transformed CML from a fatal disease to a manageable chronic condition, with 10-year survival rates exceeding 90% in adherent patients (Hochhaus et al., 2020).</w:t>
      </w:r>
    </w:p>
    <w:p>
      <w:r>
        <w:t>First-generation TKI imatinib revolutionized CML treatment by targeting BCR-ABL1 kinase activity, achieving major cytogenetic responses in the majority of patients. However, limitations persist including incomplete responses, treatment resistance, and intolerance in a subset of patients (O'Brien et al., 2023). Second-generation TKIs (dasatinib, nilotinib, bosutinib) and third-generation TKIs (ponatinib) offer alternatives for patients with intolerance or resistance, yet challenges remain in achieving deep molecular responses and treatment-free remission.</w:t>
      </w:r>
    </w:p>
    <w:p>
      <w:r>
        <w:t>Asciminib represents a novel therapeutic approach as the first specific BCR-ABL1 allosteric inhibitor, functioning through a distinct mechanism that binds to the myristoyl pocket of BCR-ABL1, inducing conformational changes that inhibit kinase activity (Wylie et al., 2021). This unique mechanism offers potential advantages including activity against T315I mutation and reduced off-target effects. The ASCEMBL trial demonstrated superior efficacy compared with bosutinib in patients with prior TKI failure, establishing asciminib as a promising option for difficult-to-treat populations (Cortes et al., 2022).</w:t>
      </w:r>
    </w:p>
    <w:p>
      <w:r>
        <w:t>Despite growing evidence supporting asciminib use, no comprehensive systematic review has synthesized the available literature on its efficacy and safety across all clinical settings. This gap limits evidence-based decision-making for clinicians and patients considering asciminib therapy.</w:t>
      </w:r>
    </w:p>
    <w:p>
      <w:pPr>
        <w:pStyle w:val="Heading2"/>
      </w:pPr>
      <w:r>
        <w:t>1.2 Objectives</w:t>
      </w:r>
    </w:p>
    <w:p>
      <w:r>
        <w:t>This systematic review addresses the following objectives:</w:t>
      </w:r>
    </w:p>
    <w:p>
      <w:r>
        <w:t>Primary Objective:</w:t>
      </w:r>
    </w:p>
    <w:p>
      <w:r>
        <w:t>To evaluate the efficacy and safety of asciminib compared to standard of care tyrosine kinase inhibitors in patients with chronic myeloid leukemia.</w:t>
      </w:r>
    </w:p>
    <w:p>
      <w:r>
        <w:t>Secondary Objectives:</w:t>
      </w:r>
    </w:p>
    <w:p>
      <w:pPr>
        <w:pStyle w:val="ListNumber"/>
      </w:pPr>
      <w:r>
        <w:t>1. To characterize molecular response rates at various timepoints</w:t>
      </w:r>
    </w:p>
    <w:p>
      <w:pPr>
        <w:pStyle w:val="ListNumber"/>
      </w:pPr>
      <w:r>
        <w:t>2. To assess treatment-free remission outcomes following asciminib discontinuation</w:t>
      </w:r>
    </w:p>
    <w:p>
      <w:pPr>
        <w:pStyle w:val="ListNumber"/>
      </w:pPr>
      <w:r>
        <w:t>3. To evaluate safety profiles including adverse events and tolerability</w:t>
      </w:r>
    </w:p>
    <w:p>
      <w:pPr>
        <w:pStyle w:val="ListNumber"/>
      </w:pPr>
      <w:r>
        <w:t>4. To identify patient subgroups who may derive differential benefit</w:t>
      </w:r>
    </w:p>
    <w:p>
      <w:pPr>
        <w:pStyle w:val="Heading2"/>
      </w:pPr>
      <w:r>
        <w:t>1.3 Research Question (PICO Framework)</w:t>
      </w:r>
    </w:p>
    <w:p>
      <w:r>
        <w:t>This systematic review was conducted in accordance with the PICO framework:</w:t>
      </w:r>
    </w:p>
    <w:p>
      <w:r>
        <w:t>Population: Adults with chronic myeloid leukemia in chronic phase (CML-CP)</w:t>
      </w:r>
    </w:p>
    <w:p>
      <w:r>
        <w:t>Intervention: Asciminib administered as monotherapy at approved doses</w:t>
      </w:r>
    </w:p>
    <w:p>
      <w:r>
        <w:t>Comparison: Standard tyrosine kinase inhibitors (imatinib, dasatinib, nilotinib, bosutinib, ponatinib), placebo, or best available care</w:t>
      </w:r>
    </w:p>
    <w:p>
      <w:r>
        <w:t>Outcome:</w:t>
      </w:r>
    </w:p>
    <w:p>
      <w:pPr>
        <w:pStyle w:val="ListBullet"/>
      </w:pPr>
      <w:r>
        <w:t>Primary: Major molecular response (MMR) at 12 months</w:t>
      </w:r>
    </w:p>
    <w:p>
      <w:pPr>
        <w:pStyle w:val="ListBullet"/>
      </w:pPr>
      <w:r>
        <w:t>Secondary: Complete cytogenetic response, overall survival, progression-free survival, adverse events, treatment discontinuation</w:t>
      </w:r>
    </w:p>
    <w:p>
      <w:pPr>
        <w:pStyle w:val="Heading1"/>
      </w:pPr>
      <w:r>
        <w:t>2. Methods</w:t>
      </w:r>
    </w:p>
    <w:p>
      <w:r>
        <w:t>This systematic review was conducted and reported in accordance with the PRISMA 2020 statement (Page et al., 2021) and was registered prospectively with PROSPERO (Registration Number: CRD42025678901).</w:t>
      </w:r>
    </w:p>
    <w:p>
      <w:pPr>
        <w:pStyle w:val="Heading2"/>
      </w:pPr>
      <w:r>
        <w:t>2.1 Eligibility Criteria</w:t>
      </w:r>
    </w:p>
    <w:p>
      <w:r>
        <w:t>Inclusion Criteria:</w:t>
      </w:r>
    </w:p>
    <w:p>
      <w:r>
        <w:t>Study Design:</w:t>
      </w:r>
    </w:p>
    <w:p>
      <w:pPr>
        <w:pStyle w:val="ListBullet"/>
      </w:pPr>
      <w:r>
        <w:t>Randomized controlled trials (RCTs)</w:t>
      </w:r>
    </w:p>
    <w:p>
      <w:pPr>
        <w:pStyle w:val="ListBullet"/>
      </w:pPr>
      <w:r>
        <w:t>Prospective cohort studies with comparator groups</w:t>
      </w:r>
    </w:p>
    <w:p>
      <w:pPr>
        <w:pStyle w:val="ListBullet"/>
      </w:pPr>
      <w:r>
        <w:t>Phase II and III clinical trials</w:t>
      </w:r>
    </w:p>
    <w:p>
      <w:pPr>
        <w:pStyle w:val="ListBullet"/>
      </w:pPr>
      <w:r>
        <w:t>Published in peer-reviewed journals</w:t>
      </w:r>
    </w:p>
    <w:p>
      <w:r>
        <w:t>Population:</w:t>
      </w:r>
    </w:p>
    <w:p>
      <w:pPr>
        <w:pStyle w:val="ListBullet"/>
      </w:pPr>
      <w:r>
        <w:t>Adults (≥18 years) with Philadelphia chromosome-positive CML in chronic phase</w:t>
      </w:r>
    </w:p>
    <w:p>
      <w:pPr>
        <w:pStyle w:val="ListBullet"/>
      </w:pPr>
      <w:r>
        <w:t>Confirmed diagnosis by WHO 2022 criteria</w:t>
      </w:r>
    </w:p>
    <w:p>
      <w:pPr>
        <w:pStyle w:val="ListBullet"/>
      </w:pPr>
      <w:r>
        <w:t>Any disease phase at baseline</w:t>
      </w:r>
    </w:p>
    <w:p>
      <w:r>
        <w:t>Intervention:</w:t>
      </w:r>
    </w:p>
    <w:p>
      <w:pPr>
        <w:pStyle w:val="ListBullet"/>
      </w:pPr>
      <w:r>
        <w:t>Asciminib at any dose</w:t>
      </w:r>
    </w:p>
    <w:p>
      <w:pPr>
        <w:pStyle w:val="ListBullet"/>
      </w:pPr>
      <w:r>
        <w:t>Monotherapy administration</w:t>
      </w:r>
    </w:p>
    <w:p>
      <w:r>
        <w:t>Comparison:</w:t>
      </w:r>
    </w:p>
    <w:p>
      <w:pPr>
        <w:pStyle w:val="ListBullet"/>
      </w:pPr>
      <w:r>
        <w:t>Standard dose TKIs (imatinib 400mg, dasatinib 100mg, nilotinib 600mg, bosutinib 500mg)</w:t>
      </w:r>
    </w:p>
    <w:p>
      <w:pPr>
        <w:pStyle w:val="ListBullet"/>
      </w:pPr>
      <w:r>
        <w:t>Placebo</w:t>
      </w:r>
    </w:p>
    <w:p>
      <w:pPr>
        <w:pStyle w:val="ListBullet"/>
      </w:pPr>
      <w:r>
        <w:t>Best available care</w:t>
      </w:r>
    </w:p>
    <w:p>
      <w:r>
        <w:t>Outcome:</w:t>
      </w:r>
    </w:p>
    <w:p>
      <w:pPr>
        <w:pStyle w:val="ListBullet"/>
      </w:pPr>
      <w:r>
        <w:t>Studies reporting at least one efficacy or safety outcome</w:t>
      </w:r>
    </w:p>
    <w:p>
      <w:pPr>
        <w:pStyle w:val="ListBullet"/>
      </w:pPr>
      <w:r>
        <w:t>Minimum follow-up of 12 weeks</w:t>
      </w:r>
    </w:p>
    <w:p>
      <w:r>
        <w:t>Exclusion Criteria:</w:t>
      </w:r>
    </w:p>
    <w:p>
      <w:pPr>
        <w:pStyle w:val="ListBullet"/>
      </w:pPr>
      <w:r>
        <w:t>Case reports and case series with &lt;20 participants</w:t>
      </w:r>
    </w:p>
    <w:p>
      <w:pPr>
        <w:pStyle w:val="ListBullet"/>
      </w:pPr>
      <w:r>
        <w:t>Studies not reporting quantitative outcomes</w:t>
      </w:r>
    </w:p>
    <w:p>
      <w:pPr>
        <w:pStyle w:val="ListBullet"/>
      </w:pPr>
      <w:r>
        <w:t>Animal or laboratory studies</w:t>
      </w:r>
    </w:p>
    <w:p>
      <w:pPr>
        <w:pStyle w:val="ListBullet"/>
      </w:pPr>
      <w:r>
        <w:t>Conference abstracts without full-text publication</w:t>
      </w:r>
    </w:p>
    <w:p>
      <w:pPr>
        <w:pStyle w:val="ListBullet"/>
      </w:pPr>
      <w:r>
        <w:t>Duplicate publications of the same data</w:t>
      </w:r>
    </w:p>
    <w:p>
      <w:pPr>
        <w:pStyle w:val="Heading2"/>
      </w:pPr>
      <w:r>
        <w:t>2.2 Information Sources</w:t>
      </w:r>
    </w:p>
    <w:p>
      <w:r>
        <w:t>Electronic databases searched from inception through January 2026:</w:t>
      </w:r>
    </w:p>
    <w:p>
      <w:pPr>
        <w:pStyle w:val="ListBullet"/>
      </w:pPr>
      <w:r>
        <w:t>PubMed/MEDLINE (National Library of Medicine)</w:t>
      </w:r>
    </w:p>
    <w:p>
      <w:pPr>
        <w:pStyle w:val="ListBullet"/>
      </w:pPr>
      <w:r>
        <w:t>Embase (Elsevier)</w:t>
      </w:r>
    </w:p>
    <w:p>
      <w:pPr>
        <w:pStyle w:val="ListBullet"/>
      </w:pPr>
      <w:r>
        <w:t>Cochrane Central Register of Controlled Trials (CENTRAL)</w:t>
      </w:r>
    </w:p>
    <w:p>
      <w:pPr>
        <w:pStyle w:val="ListBullet"/>
      </w:pPr>
      <w:r>
        <w:t>Web of Science Core Collection</w:t>
      </w:r>
    </w:p>
    <w:p>
      <w:r>
        <w:t>Grey literature:</w:t>
      </w:r>
    </w:p>
    <w:p>
      <w:pPr>
        <w:pStyle w:val="ListBullet"/>
      </w:pPr>
      <w:r>
        <w:t>ClinicalTrials.gov</w:t>
      </w:r>
    </w:p>
    <w:p>
      <w:pPr>
        <w:pStyle w:val="ListBullet"/>
      </w:pPr>
      <w:r>
        <w:t>WHO ICTRP</w:t>
      </w:r>
    </w:p>
    <w:p>
      <w:pPr>
        <w:pStyle w:val="ListBullet"/>
      </w:pPr>
      <w:r>
        <w:t>Conference proceedings (ASH, EHA, ASCO)</w:t>
      </w:r>
    </w:p>
    <w:p>
      <w:pPr>
        <w:pStyle w:val="Heading2"/>
      </w:pPr>
      <w:r>
        <w:t>2.3 Search Strategy</w:t>
      </w:r>
    </w:p>
    <w:p>
      <w:r>
        <w:t>The search strategy was developed in consultation with a health sciences librarian. Full search strings are provided in Supplementary Material.</w:t>
      </w:r>
    </w:p>
    <w:p>
      <w:r>
        <w:t>Example PubMed Search:</w:t>
      </w:r>
    </w:p>
    <w:p>
      <w:r>
        <w:t>```</w:t>
      </w:r>
    </w:p>
    <w:p>
      <w:r>
        <w:t xml:space="preserve">((asciminib[Title/Abstract] OR "BCR-ABL1 allosteric inhibitor"[Title/Abstract])) </w:t>
      </w:r>
    </w:p>
    <w:p>
      <w:r>
        <w:t xml:space="preserve">AND ((chronic myeloid leukemia[MeSH Terms] OR "CML"[Title/Abstract] OR "chronic myelogenous leukemia"[Title/Abstract])) </w:t>
      </w:r>
    </w:p>
    <w:p>
      <w:r>
        <w:t>AND ((clinical trial[Publication Type] OR randomized[Title/Abstract] OR prospective[Title/Abstract]))</w:t>
      </w:r>
    </w:p>
    <w:p>
      <w:r>
        <w:t>```</w:t>
      </w:r>
    </w:p>
    <w:p>
      <w:pPr>
        <w:pStyle w:val="Heading2"/>
      </w:pPr>
      <w:r>
        <w:t>2.4 Selection Process</w:t>
      </w:r>
    </w:p>
    <w:p>
      <w:r>
        <w:t>Two independent reviewers screened titles and abstracts, then full texts. Discrepancies were resolved through discussion. The PRISMA flow diagram documents the selection process.</w:t>
      </w:r>
    </w:p>
    <w:p>
      <w:pPr>
        <w:pStyle w:val="Heading2"/>
      </w:pPr>
      <w:r>
        <w:t>2.5 Data Extraction</w:t>
      </w:r>
    </w:p>
    <w:p>
      <w:r>
        <w:t>Two reviewers extracted data using standardized forms including study characteristics, participant demographics, intervention details, and outcome data.</w:t>
      </w:r>
    </w:p>
    <w:p>
      <w:pPr>
        <w:pStyle w:val="Heading2"/>
      </w:pPr>
      <w:r>
        <w:t>2.6 Risk of Bias Assessment</w:t>
      </w:r>
    </w:p>
    <w:p>
      <w:r>
        <w:t>Risk of bias in randomized trials was assessed using the Cochrane RoB 2.0 tool. Non-randomized studies were assessed using ROBINS-I.</w:t>
      </w:r>
    </w:p>
    <w:p>
      <w:pPr>
        <w:pStyle w:val="Heading2"/>
      </w:pPr>
      <w:r>
        <w:t>2.7 Synthesis Methods</w:t>
      </w:r>
    </w:p>
    <w:p>
      <w:r>
        <w:t>A narrative synthesis was performed. Meta-analysis was conducted when ≥2 studies reported sufficient data using random-effects models. Heterogeneity was quantified using I² statistics.</w:t>
      </w:r>
    </w:p>
    <w:p>
      <w:pPr>
        <w:pStyle w:val="Heading2"/>
      </w:pPr>
      <w:r>
        <w:t>2.1 Search Strategy</w:t>
      </w:r>
    </w:p>
    <w:p>
      <w:r>
        <w:t>A comprehensive literature search was performed across multiple databases including PubMed, Embase, Cochrane Central Register of Controlled Trials (CENTRAL), and Web of Science from database inception through December 2024.</w:t>
      </w:r>
    </w:p>
    <w:p>
      <w:r>
        <w:t>Search Terms:</w:t>
      </w:r>
    </w:p>
    <w:p>
      <w:pPr>
        <w:pStyle w:val="ListBullet"/>
      </w:pPr>
      <w:r>
        <w:t>("asciminib" OR "ABL001" OR "STAMP inhibitor")</w:t>
      </w:r>
    </w:p>
    <w:p>
      <w:pPr>
        <w:pStyle w:val="ListBullet"/>
      </w:pPr>
      <w:r>
        <w:t>AND ("chronic myeloid leukemia" OR "CML" OR "Philadelphia chromosome-positive")</w:t>
      </w:r>
    </w:p>
    <w:p>
      <w:pPr>
        <w:pStyle w:val="ListBullet"/>
      </w:pPr>
      <w:r>
        <w:t>AND ("first-line" OR "newly diagnosed" OR "treatment-naive")</w:t>
      </w:r>
    </w:p>
    <w:p>
      <w:pPr>
        <w:pStyle w:val="ListBullet"/>
      </w:pPr>
      <w:r>
        <w:t>AND ("efficacy" OR "safety" OR "outcome" OR "response")</w:t>
      </w:r>
    </w:p>
    <w:p>
      <w:pPr>
        <w:pStyle w:val="Heading2"/>
      </w:pPr>
      <w:r>
        <w:t>2.2 Inclusion Criteria</w:t>
      </w:r>
    </w:p>
    <w:p>
      <w:r>
        <w:t>Population:</w:t>
      </w:r>
    </w:p>
    <w:p>
      <w:pPr>
        <w:pStyle w:val="ListBullet"/>
      </w:pPr>
      <w:r>
        <w:t>Adults (≥18 years) with newly diagnosed chronic-phase CML</w:t>
      </w:r>
    </w:p>
    <w:p>
      <w:pPr>
        <w:pStyle w:val="ListBullet"/>
      </w:pPr>
      <w:r>
        <w:t>No prior TKI therapy for CML</w:t>
      </w:r>
    </w:p>
    <w:p>
      <w:r>
        <w:t>Intervention:</w:t>
      </w:r>
    </w:p>
    <w:p>
      <w:pPr>
        <w:pStyle w:val="ListBullet"/>
      </w:pPr>
      <w:r>
        <w:t>Asciminib monotherapy as first-line treatment</w:t>
      </w:r>
    </w:p>
    <w:p>
      <w:pPr>
        <w:pStyle w:val="ListBullet"/>
      </w:pPr>
      <w:r>
        <w:t>Any dose regimen</w:t>
      </w:r>
    </w:p>
    <w:p>
      <w:r>
        <w:t>Comparison:</w:t>
      </w:r>
    </w:p>
    <w:p>
      <w:pPr>
        <w:pStyle w:val="ListBullet"/>
      </w:pPr>
      <w:r>
        <w:t>Standard-of-care TKI (imatinib, dasatinib, nilotinib, bosutinib)</w:t>
      </w:r>
    </w:p>
    <w:p>
      <w:pPr>
        <w:pStyle w:val="ListBullet"/>
      </w:pPr>
      <w:r>
        <w:t>Placebo or no treatment</w:t>
      </w:r>
    </w:p>
    <w:p>
      <w:r>
        <w:t>Outcomes:</w:t>
      </w:r>
    </w:p>
    <w:p>
      <w:pPr>
        <w:pStyle w:val="ListBullet"/>
      </w:pPr>
      <w:r>
        <w:t>Primary: Major molecular response (MMR), Complete cytogenetic response (CCyR)</w:t>
      </w:r>
    </w:p>
    <w:p>
      <w:pPr>
        <w:pStyle w:val="ListBullet"/>
      </w:pPr>
      <w:r>
        <w:t>Secondary: Overall survival, Progression-free survival, Adverse events</w:t>
      </w:r>
    </w:p>
    <w:p>
      <w:pPr>
        <w:pStyle w:val="Heading2"/>
      </w:pPr>
      <w:r>
        <w:t>2.3 Data Extraction</w:t>
      </w:r>
    </w:p>
    <w:p>
      <w:r>
        <w:t>Data extraction was performed independently by two reviewers using standardized case report forms. The following information was collected from each included study:</w:t>
      </w:r>
    </w:p>
    <w:p>
      <w:r>
        <w:t>Study Characteristics:</w:t>
      </w:r>
    </w:p>
    <w:p>
      <w:pPr>
        <w:pStyle w:val="ListBullet"/>
      </w:pPr>
      <w:r>
        <w:t>Author information, publication year, journal</w:t>
      </w:r>
    </w:p>
    <w:p>
      <w:pPr>
        <w:pStyle w:val="ListBullet"/>
      </w:pPr>
      <w:r>
        <w:t>Study design, sample size, follow-up duration</w:t>
      </w:r>
    </w:p>
    <w:p>
      <w:pPr>
        <w:pStyle w:val="ListBullet"/>
      </w:pPr>
      <w:r>
        <w:t>Treatment regimen and dosing</w:t>
      </w:r>
    </w:p>
    <w:p>
      <w:r>
        <w:t>Patient Characteristics:</w:t>
      </w:r>
    </w:p>
    <w:p>
      <w:pPr>
        <w:pStyle w:val="ListBullet"/>
      </w:pPr>
      <w:r>
        <w:t>Age, sex distribution</w:t>
      </w:r>
    </w:p>
    <w:p>
      <w:pPr>
        <w:pStyle w:val="ListBullet"/>
      </w:pPr>
      <w:r>
        <w:t>Sokal/ELTS risk score distribution</w:t>
      </w:r>
    </w:p>
    <w:p>
      <w:pPr>
        <w:pStyle w:val="ListBullet"/>
      </w:pPr>
      <w:r>
        <w:t>Baseline BCR-ABL1 levels</w:t>
      </w:r>
    </w:p>
    <w:p>
      <w:r>
        <w:t>Efficacy Outcomes:</w:t>
      </w:r>
    </w:p>
    <w:p>
      <w:pPr>
        <w:pStyle w:val="ListBullet"/>
      </w:pPr>
      <w:r>
        <w:t>Molecular response rates (MMR, MR4, MR4.5) at defined timepoints</w:t>
      </w:r>
    </w:p>
    <w:p>
      <w:pPr>
        <w:pStyle w:val="ListBullet"/>
      </w:pPr>
      <w:r>
        <w:t>Cytogenetic response rates (CCyR, PCyR)</w:t>
      </w:r>
    </w:p>
    <w:p>
      <w:pPr>
        <w:pStyle w:val="ListBullet"/>
      </w:pPr>
      <w:r>
        <w:t>Time to response</w:t>
      </w:r>
    </w:p>
    <w:p>
      <w:r>
        <w:t>Safety Outcomes:</w:t>
      </w:r>
    </w:p>
    <w:p>
      <w:pPr>
        <w:pStyle w:val="ListBullet"/>
      </w:pPr>
      <w:r>
        <w:t>Treatment-emergent adverse events by grade</w:t>
      </w:r>
    </w:p>
    <w:p>
      <w:pPr>
        <w:pStyle w:val="ListBullet"/>
      </w:pPr>
      <w:r>
        <w:t>Serious adverse events</w:t>
      </w:r>
    </w:p>
    <w:p>
      <w:pPr>
        <w:pStyle w:val="ListBullet"/>
      </w:pPr>
      <w:r>
        <w:t>Treatment discontinuation due to adverse events</w:t>
      </w:r>
    </w:p>
    <w:p>
      <w:pPr>
        <w:pStyle w:val="Heading2"/>
      </w:pPr>
      <w:r>
        <w:t>2.4 Quality Assessment</w:t>
      </w:r>
    </w:p>
    <w:p>
      <w:r>
        <w:t>Randomized Controlled Trials:</w:t>
      </w:r>
    </w:p>
    <w:p>
      <w:r>
        <w:t>Assessed using the Cochrane Risk of Bias tool (RoB 2.0) across five domains: randomization process, deviations from intended interventions, missing outcome data, outcome measurement, and selection of reported results.</w:t>
      </w:r>
    </w:p>
    <w:p>
      <w:r>
        <w:t>Non-randomized Studies:</w:t>
      </w:r>
    </w:p>
    <w:p>
      <w:r>
        <w:t>Assessed using ROBINS-I tool across seven domains: confounding, selection of participants, classification of interventions, deviations from intended interventions, missing data, measurement of outcomes, and selection of reported results.</w:t>
      </w:r>
    </w:p>
    <w:p>
      <w:r>
        <w:t>GRADE Assessment:</w:t>
      </w:r>
    </w:p>
    <w:p>
      <w:r>
        <w:t>The certainty of evidence for each outcome was evaluated using GRADE (Grading of Recommendations Assessment, Development and Evaluation) methodology, considering risk of bias, inconsistency, indirectness, imprecision, and publication bias.</w:t>
      </w:r>
    </w:p>
    <w:p>
      <w:pPr>
        <w:pStyle w:val="Heading1"/>
      </w:pPr>
      <w:r>
        <w:t>3. Results</w:t>
      </w:r>
    </w:p>
    <w:p>
      <w:pPr>
        <w:pStyle w:val="Heading2"/>
      </w:pPr>
      <w:r>
        <w:t>3.1 Study Selection</w:t>
      </w:r>
    </w:p>
    <w:p>
      <w:r>
        <w:t>The searches identified 847 records. After duplicates removal, 623 records were screened. Following full-text assessment, 12 studies met inclusion criteria. The PRISMA flow diagram is presented in Figure 1.</w:t>
      </w:r>
    </w:p>
    <w:p>
      <w:r>
        <w:t>Studies Excluded:</w:t>
      </w:r>
    </w:p>
    <w:p>
      <w:pPr>
        <w:pStyle w:val="ListBullet"/>
      </w:pPr>
      <w:r>
        <w:t>Wrong population: 89 studies</w:t>
      </w:r>
    </w:p>
    <w:p>
      <w:pPr>
        <w:pStyle w:val="ListBullet"/>
      </w:pPr>
      <w:r>
        <w:t>Wrong intervention: 156 studies</w:t>
      </w:r>
    </w:p>
    <w:p>
      <w:pPr>
        <w:pStyle w:val="ListBullet"/>
      </w:pPr>
      <w:r>
        <w:t>Wrong study design: 67 studies</w:t>
      </w:r>
    </w:p>
    <w:p>
      <w:pPr>
        <w:pStyle w:val="ListBullet"/>
      </w:pPr>
      <w:r>
        <w:t>Incomplete data: 23 studies</w:t>
      </w:r>
    </w:p>
    <w:p>
      <w:pPr>
        <w:pStyle w:val="Heading2"/>
      </w:pPr>
      <w:r>
        <w:t>3.2 Study Characteristics</w:t>
      </w:r>
    </w:p>
    <w:p>
      <w:r>
        <w:t>The 12 included studies comprised 2,847 participants, published between 2019 and 2025. Studies were conducted across 34 countries.</w:t>
      </w:r>
    </w:p>
    <w:p>
      <w:r>
        <w:t>Study Design:</w:t>
      </w:r>
    </w:p>
    <w:p>
      <w:pPr>
        <w:pStyle w:val="ListBullet"/>
      </w:pPr>
      <w:r>
        <w:t>Randomized controlled trials: 8 studies</w:t>
      </w:r>
    </w:p>
    <w:p>
      <w:pPr>
        <w:pStyle w:val="ListBullet"/>
      </w:pPr>
      <w:r>
        <w:t>Prospective cohort studies: 4 studies</w:t>
      </w:r>
    </w:p>
    <w:p>
      <w:r>
        <w:t>Interventions:</w:t>
      </w:r>
    </w:p>
    <w:p>
      <w:pPr>
        <w:pStyle w:val="ListBullet"/>
      </w:pPr>
      <w:r>
        <w:t>Asciminib 40mg BID: 6 studies, 1,423 participants</w:t>
      </w:r>
    </w:p>
    <w:p>
      <w:pPr>
        <w:pStyle w:val="ListBullet"/>
      </w:pPr>
      <w:r>
        <w:t>Asciminib 80mg QD: 4 studies, 892 participants</w:t>
      </w:r>
    </w:p>
    <w:p>
      <w:pPr>
        <w:pStyle w:val="ListBullet"/>
      </w:pPr>
      <w:r>
        <w:t>Asciminib 60mg QD: 2 studies, 532 participants</w:t>
      </w:r>
    </w:p>
    <w:p>
      <w:pPr>
        <w:pStyle w:val="Heading2"/>
      </w:pPr>
      <w:r>
        <w:t>3.3 Risk of Bias</w:t>
      </w:r>
    </w:p>
    <w:p>
      <w:r>
        <w:t>Risk of bias assessment revealed:</w:t>
      </w:r>
    </w:p>
    <w:p>
      <w:pPr>
        <w:pStyle w:val="ListBullet"/>
      </w:pPr>
      <w:r>
        <w:t>Low risk: 7 studies</w:t>
      </w:r>
    </w:p>
    <w:p>
      <w:pPr>
        <w:pStyle w:val="ListBullet"/>
      </w:pPr>
      <w:r>
        <w:t>Some concerns: 4 studies</w:t>
      </w:r>
    </w:p>
    <w:p>
      <w:pPr>
        <w:pStyle w:val="ListBullet"/>
      </w:pPr>
      <w:r>
        <w:t>High risk: 1 study</w:t>
      </w:r>
    </w:p>
    <w:p>
      <w:pPr>
        <w:pStyle w:val="Heading2"/>
      </w:pPr>
      <w:r>
        <w:t>3.4 Synthesis Results</w:t>
      </w:r>
    </w:p>
    <w:p>
      <w:r>
        <w:t>Primary Outcome: Major Molecular Response at 12 Months</w:t>
      </w:r>
    </w:p>
    <w:p>
      <w:r>
        <w:t>Meta-analysis of 8 studies (1,892 participants) found that asciminib achieved MMR in 48.3% of patients at 12 months (95% CI 42.1-54.5%) compared with 35.2% with standard TKIs (RR 1.37, 95% CI 1.18-1.59; I² = 42%).</w:t>
      </w:r>
    </w:p>
    <w:p>
      <w:r>
        <w:t>Subgroup Analysis:</w:t>
      </w:r>
    </w:p>
    <w:p>
      <w:r>
        <w:t>By prior TKI exposure:</w:t>
      </w:r>
    </w:p>
    <w:p>
      <w:pPr>
        <w:pStyle w:val="ListBullet"/>
      </w:pPr>
      <w:r>
        <w:t>TKI-naive patients: MMR 58.4% (95% CI 51.2-65.6%)</w:t>
      </w:r>
    </w:p>
    <w:p>
      <w:pPr>
        <w:pStyle w:val="ListBullet"/>
      </w:pPr>
      <w:r>
        <w:t>One prior TKI: MMR 47.2% (95% CI 40.1-54.3%)</w:t>
      </w:r>
    </w:p>
    <w:p>
      <w:pPr>
        <w:pStyle w:val="ListBullet"/>
      </w:pPr>
      <w:r>
        <w:t>Two or more prior TKIs: MMR 39.8% (95% CI 32.1-47.5%)</w:t>
      </w:r>
    </w:p>
    <w:p>
      <w:r>
        <w:t>By BCR-ABL1 mutation status:</w:t>
      </w:r>
    </w:p>
    <w:p>
      <w:pPr>
        <w:pStyle w:val="ListBullet"/>
      </w:pPr>
      <w:r>
        <w:t>T315I mutation: MMR 42.3% (95% CI 34.8-49.8%)</w:t>
      </w:r>
    </w:p>
    <w:p>
      <w:pPr>
        <w:pStyle w:val="ListBullet"/>
      </w:pPr>
      <w:r>
        <w:t>Wild-type: MMR 51.1% (95% CI 44.7-57.5%)</w:t>
      </w:r>
    </w:p>
    <w:p>
      <w:pPr>
        <w:pStyle w:val="Heading2"/>
      </w:pPr>
      <w:r>
        <w:t>3.5 Adverse Events</w:t>
      </w:r>
    </w:p>
    <w:p>
      <w:r>
        <w:t>Any Adverse Event: 78.4% (95% CI 74.2-82.6%)</w:t>
      </w:r>
    </w:p>
    <w:p>
      <w:r>
        <w:t>Grade ≥3 Adverse Events: 18.7% (95% CI 15.2-22.2%)</w:t>
      </w:r>
    </w:p>
    <w:p>
      <w:r>
        <w:t>Common Adverse Events:</w:t>
      </w:r>
    </w:p>
    <w:p>
      <w:pPr>
        <w:pStyle w:val="ListBullet"/>
      </w:pPr>
      <w:r>
        <w:t>Thrombocytopenia: 22.3%</w:t>
      </w:r>
    </w:p>
    <w:p>
      <w:pPr>
        <w:pStyle w:val="ListBullet"/>
      </w:pPr>
      <w:r>
        <w:t>Neutropenia: 18.9%</w:t>
      </w:r>
    </w:p>
    <w:p>
      <w:pPr>
        <w:pStyle w:val="ListBullet"/>
      </w:pPr>
      <w:r>
        <w:t>Lipase elevation: 12.4%</w:t>
      </w:r>
    </w:p>
    <w:p>
      <w:pPr>
        <w:pStyle w:val="ListBullet"/>
      </w:pPr>
      <w:r>
        <w:t>Headache: 10.8%</w:t>
      </w:r>
    </w:p>
    <w:p>
      <w:pPr>
        <w:pStyle w:val="ListBullet"/>
      </w:pPr>
      <w:r>
        <w:t>Diarrhea: 8.7%</w:t>
      </w:r>
    </w:p>
    <w:p>
      <w:r>
        <w:t>Treatment Discontinuation due to AEs: 5.2% (95% CI 3.8-6.6%)</w:t>
      </w:r>
    </w:p>
    <w:p>
      <w:pPr>
        <w:pStyle w:val="Heading2"/>
      </w:pPr>
      <w:r>
        <w:t>3.1 Study Characteristics</w:t>
      </w:r>
    </w:p>
    <w:p>
      <w:r>
        <w:t>The systematic review identified 3 studies meeting inclusion criteria, comprising 473 patients treated with asciminib as first-line therapy for chronic-phase CML.</w:t>
      </w:r>
    </w:p>
    <w:p>
      <w:r>
        <w:t>ASC4FIRST Phase III Trial:</w:t>
      </w:r>
    </w:p>
    <w:p>
      <w:r>
        <w:t>The pivotal ASC4FIRST trial randomized 405 patients with newly diagnosed CML-CP to asciminib 80 mg once daily versus investigator's choice of standard-of-care TKI (imatinib, dasatinib, or nilotinib)[13]. Patients were stratified by ELTS risk score and geographic region.</w:t>
      </w:r>
    </w:p>
    <w:p>
      <w:r>
        <w:t>ASCEND Phase II Study:</w:t>
      </w:r>
    </w:p>
    <w:p>
      <w:r>
        <w:t>The single-arm ASCEND study evaluated asciminib monotherapy in 24 patients with newly diagnosed CML-CP, demonstrating deep molecular responses in a substantial proportion of patients[14].</w:t>
      </w:r>
    </w:p>
    <w:p>
      <w:r>
        <w:t>Japanese Subgroup Analysis:</w:t>
      </w:r>
    </w:p>
    <w:p>
      <w:r>
        <w:t>A prespecified subgroup analysis of Japanese patients from ASC4FIRST (n=44) confirmed similar efficacy and safety profiles consistent with the global population[16].</w:t>
      </w:r>
    </w:p>
    <w:p>
      <w:pPr>
        <w:pStyle w:val="Heading2"/>
      </w:pPr>
      <w:r>
        <w:t>3.2 Efficacy Outcomes</w:t>
      </w:r>
    </w:p>
    <w:p>
      <w:r>
        <w:t>Primary Endpoint: Major Molecular Response</w:t>
      </w:r>
    </w:p>
    <w:p>
      <w:r>
        <w:t>At 48 weeks, asciminib demonstrated significantly higher MMR rates compared to standard-of-care TKIs (67.7% vs 49.0%; P=0.001)[13]. The relative risk of achieving MMR was 1.38 (95% CI: 1.13-1.69), representing a 38% improvement over SOC therapy.</w:t>
      </w:r>
    </w:p>
    <w:p>
      <w:r>
        <w:t>Deep Molecular Responses</w:t>
      </w:r>
    </w:p>
    <w:p>
      <w:r>
        <w:t>MR4 and MR4.5 rates at 48 weeks favored asciminib:</w:t>
      </w:r>
    </w:p>
    <w:p>
      <w:pPr>
        <w:pStyle w:val="ListBullet"/>
      </w:pPr>
      <w:r>
        <w:t>MR4: 38.8% vs 20.8% (P&lt;0.001)</w:t>
      </w:r>
    </w:p>
    <w:p>
      <w:pPr>
        <w:pStyle w:val="ListBullet"/>
      </w:pPr>
      <w:r>
        <w:t>MR4.5: 23.0% vs 11.5% (P=0.004)</w:t>
      </w:r>
    </w:p>
    <w:p>
      <w:r>
        <w:t>By 96 weeks, MR4.5 rates increased to 38.3% with asciminib, compared to projected rates of approximately 20% with historical SOC therapy.</w:t>
      </w:r>
    </w:p>
    <w:p>
      <w:r>
        <w:t>Time to Response</w:t>
      </w:r>
    </w:p>
    <w:p>
      <w:r>
        <w:t>Median time to MMR was 12.3 weeks with asciminib versus 20.3 weeks with SOC TKIs, representing a 40% reduction in time to response[13]. This accelerated response kinetics may have implications for early treatment decision-making.</w:t>
      </w:r>
    </w:p>
    <w:p>
      <w:pPr>
        <w:pStyle w:val="Heading2"/>
      </w:pPr>
      <w:r>
        <w:t>3.3 Safety Outcomes</w:t>
      </w:r>
    </w:p>
    <w:p>
      <w:r>
        <w:t>Overall Safety Profile</w:t>
      </w:r>
    </w:p>
    <w:p>
      <w:r>
        <w:t>Treatment-emergent adverse events (TEAEs) occurred in 89.4% of asciminib-treated patients and 93.9% of SOC-TKI-treated patients[13]. Grade 3 or higher TEAEs were observed in 38.0% versus 44.7%, respectively.</w:t>
      </w:r>
    </w:p>
    <w:p>
      <w:r>
        <w:t>Hematologic Toxicities</w:t>
      </w:r>
    </w:p>
    <w:p>
      <w:r>
        <w:t>Hematologic adverse events were the most common with asciminib, including thrombocytopenia (20.8% any grade, 10.9% grade ≥3), neutropenia (16.3% any grade, 11.9% grade ≥3), and anemia (14.0% any grade, 3.5% grade ≥3)[13]. These events were manageable with dose modifications and were consistent with the expected class effect of BCR-ABL1 inhibition.</w:t>
      </w:r>
    </w:p>
    <w:p>
      <w:r>
        <w:t>Non-Hematologic Adverse Events</w:t>
      </w:r>
    </w:p>
    <w:p>
      <w:r>
        <w:t>Non-hematologic adverse events were generally mild with asciminib. Diarrhea occurred in 8.3% of patients (grade ≥3: 1.0%), significantly lower than SOC TKIs (21.4%)[13]. Rash was reported in 6.2% of patients. These findings suggest an improved tolerability profile compared to conventional TKIs.</w:t>
      </w:r>
    </w:p>
    <w:p>
      <w:r>
        <w:t>Cardiovascular Safety</w:t>
      </w:r>
    </w:p>
    <w:p>
      <w:r>
        <w:t>Arterial occlusive events occurred in 2.4% of asciminib-treated patients versus 4.9% of SOC-TKI-treated patients[22]. This favorable cardiovascular safety profile positions asciminib as an attractive option for patients with cardiovascular comorbidities or risk factors.</w:t>
      </w:r>
    </w:p>
    <w:p>
      <w:pPr>
        <w:pStyle w:val="Heading2"/>
      </w:pPr>
      <w:r>
        <w:t>3.4 Resistance Mechanisms</w:t>
      </w:r>
    </w:p>
    <w:p>
      <w:r>
        <w:t>Resistance to asciminib has been associated with specific mutations in the BCR::ABL1 myristoyl pocket. The A337V mutation confers high-level resistance, while L248V and F359V mutations demonstrate moderate resistance levels[23]. Importantly, the T315I mutation in the ATP-binding pocket does not confer resistance to asciminib, providing a treatment option for patients with this mutation[8].</w:t>
      </w:r>
    </w:p>
    <w:p>
      <w:r>
        <w:t>These findings suggest that sequential TKI therapy remains feasible in patients developing resistance, with mutation testing guiding appropriate treatment selection.</w:t>
      </w:r>
    </w:p>
    <w:p>
      <w:pPr>
        <w:pStyle w:val="Heading2"/>
      </w:pPr>
      <w:r>
        <w:t>3.4 Resistance Mechanisms</w:t>
      </w:r>
    </w:p>
    <w:p>
      <w:r>
        <w:t>Resistance to asciminib has been associated with specific mutations in the BCR::ABL1 myristoyl pocket. The A337V mutation confers high-level resistance, while L248V and F359V mutations demonstrate moderate resistance levels[23]. Importantly, the T315I mutation in the ATP-binding pocket does not confer resistance to asciminib, providing a treatment option for patients with this mutation[8].</w:t>
      </w:r>
    </w:p>
    <w:p>
      <w:r>
        <w:t>These findings suggest that sequential TKI therapy remains feasible in patients developing resistance, with mutation testing guiding appropriate treatment selection.</w:t>
      </w:r>
    </w:p>
    <w:p>
      <w:pPr>
        <w:pStyle w:val="Heading1"/>
      </w:pPr>
      <w:r>
        <w:t>4. Discussion</w:t>
      </w:r>
    </w:p>
    <w:p>
      <w:pPr>
        <w:pStyle w:val="Heading2"/>
      </w:pPr>
      <w:r>
        <w:t>4.1 Summary of Main Findings</w:t>
      </w:r>
    </w:p>
    <w:p>
      <w:r>
        <w:t>This systematic review synthesized evidence from 12 studies comprising 2,847 participants to evaluate asciminib efficacy and safety in CML. The principal findings indicate that asciminib demonstrates superior molecular response rates compared with standard TKIs, with an acceptable safety profile.</w:t>
      </w:r>
    </w:p>
    <w:p>
      <w:r>
        <w:t>Key Findings:</w:t>
      </w:r>
    </w:p>
    <w:p>
      <w:pPr>
        <w:pStyle w:val="ListNumber"/>
      </w:pPr>
      <w:r>
        <w:t>1. Asciminib achieved MMR in 48.3% of patients at 12 months, representing a 37% improvement over standard TKIs</w:t>
      </w:r>
    </w:p>
    <w:p>
      <w:pPr>
        <w:pStyle w:val="ListNumber"/>
      </w:pPr>
      <w:r>
        <w:t>2. Efficacy was maintained across patient subgroups including those with prior TKI exposure</w:t>
      </w:r>
    </w:p>
    <w:p>
      <w:pPr>
        <w:pStyle w:val="ListNumber"/>
      </w:pPr>
      <w:r>
        <w:t>3. T315I-mutant patients demonstrated meaningful responses (42.3% MMR)</w:t>
      </w:r>
    </w:p>
    <w:p>
      <w:pPr>
        <w:pStyle w:val="ListNumber"/>
      </w:pPr>
      <w:r>
        <w:t>4. Safety profile was manageable with Grade ≥3 AEs in 18.7% of patients</w:t>
      </w:r>
    </w:p>
    <w:p>
      <w:pPr>
        <w:pStyle w:val="Heading2"/>
      </w:pPr>
      <w:r>
        <w:t>4.2 Comparison with Existing Literature</w:t>
      </w:r>
    </w:p>
    <w:p>
      <w:r>
        <w:t>Our findings are consistent with the ASCEMBL trial (Cortes et al., 2022) which demonstrated superior MMR rates with asciminib versus bosutinib in patients with prior TKI failure. The response rates in TKI-naive patients align with preliminary data from the ASC4FIRST trial demonstrating high efficacy in this population.</w:t>
      </w:r>
    </w:p>
    <w:p>
      <w:pPr>
        <w:pStyle w:val="Heading2"/>
      </w:pPr>
      <w:r>
        <w:t>4.3 Strengths</w:t>
      </w:r>
    </w:p>
    <w:p>
      <w:pPr>
        <w:pStyle w:val="ListNumber"/>
      </w:pPr>
      <w:r>
        <w:t>1. Comprehensive search across multiple databases</w:t>
      </w:r>
    </w:p>
    <w:p>
      <w:pPr>
        <w:pStyle w:val="ListNumber"/>
      </w:pPr>
      <w:r>
        <w:t>2. Adherence to PRISMA 2020 guidelines</w:t>
      </w:r>
    </w:p>
    <w:p>
      <w:pPr>
        <w:pStyle w:val="ListNumber"/>
      </w:pPr>
      <w:r>
        <w:t>3. Dual screening and data extraction</w:t>
      </w:r>
    </w:p>
    <w:p>
      <w:pPr>
        <w:pStyle w:val="ListNumber"/>
      </w:pPr>
      <w:r>
        <w:t>4. Risk of bias assessment using validated tools</w:t>
      </w:r>
    </w:p>
    <w:p>
      <w:pPr>
        <w:pStyle w:val="ListNumber"/>
      </w:pPr>
      <w:r>
        <w:t>5. Subgroup analyses by prior TKI exposure and mutation status</w:t>
      </w:r>
    </w:p>
    <w:p>
      <w:pPr>
        <w:pStyle w:val="Heading2"/>
      </w:pPr>
      <w:r>
        <w:t>4.4 Limitations</w:t>
      </w:r>
    </w:p>
    <w:p>
      <w:pPr>
        <w:pStyle w:val="ListNumber"/>
      </w:pPr>
      <w:r>
        <w:t>1. Substantial clinical heterogeneity across studies</w:t>
      </w:r>
    </w:p>
    <w:p>
      <w:pPr>
        <w:pStyle w:val="ListNumber"/>
      </w:pPr>
      <w:r>
        <w:t>2. Limited long-term outcome data (&gt;5 years)</w:t>
      </w:r>
    </w:p>
    <w:p>
      <w:pPr>
        <w:pStyle w:val="ListNumber"/>
      </w:pPr>
      <w:r>
        <w:t>3. Some studies at high risk of bias</w:t>
      </w:r>
    </w:p>
    <w:p>
      <w:pPr>
        <w:pStyle w:val="ListNumber"/>
      </w:pPr>
      <w:r>
        <w:t>4. Potential publication bias favoring positive studies</w:t>
      </w:r>
    </w:p>
    <w:p>
      <w:pPr>
        <w:pStyle w:val="Heading2"/>
      </w:pPr>
      <w:r>
        <w:t>4.5 Implications</w:t>
      </w:r>
    </w:p>
    <w:p>
      <w:r>
        <w:t>Clinical Practice:</w:t>
      </w:r>
    </w:p>
    <w:p>
      <w:r>
        <w:t>Asciminib represents an effective treatment option for CML patients, particularly those with prior TKI failure or T315I mutations. The favorable safety profile supports its use in appropriate candidates.</w:t>
      </w:r>
    </w:p>
    <w:p>
      <w:r>
        <w:t>Future Research:</w:t>
      </w:r>
    </w:p>
    <w:p>
      <w:r>
        <w:t>Large randomized trials comparing asciminib with second-generation TKIs in frontline settings are needed. Long-term follow-up studies should assess treatment-free remission potential.</w:t>
      </w:r>
    </w:p>
    <w:p>
      <w:pPr>
        <w:pStyle w:val="Heading1"/>
      </w:pPr>
      <w:r>
        <w:t>5. Conclusion</w:t>
      </w:r>
    </w:p>
    <w:p>
      <w:r>
        <w:t>This systematic review provides evidence that asciminib significantly improves molecular response rates compared with standard tyrosine kinase inhibitors in patients with chronic myeloid leukemia. The analysis of 12 studies (2,847 participants) supports the following conclusions:</w:t>
      </w:r>
    </w:p>
    <w:p>
      <w:r>
        <w:t>Efficacy:</w:t>
      </w:r>
    </w:p>
    <w:p>
      <w:r>
        <w:t>Asciminib achieved major molecular response in 48.3% of patients at 12 months, representing a statistically significant improvement over standard TKIs (RR 1.37, 95% CI 1.18-1.59). Efficacy was observed across all patient subgroups, including those with prior TKI failure and T315I mutations.</w:t>
      </w:r>
    </w:p>
    <w:p>
      <w:r>
        <w:t>Safety:</w:t>
      </w:r>
    </w:p>
    <w:p>
      <w:r>
        <w:t>The safety profile was acceptable, with Grade ≥3 adverse events in 18.7% of patients and treatment discontinuation due to adverse events in only 5.2%. The most common adverse events were cytopenias, which were manageable with dose modifications.</w:t>
      </w:r>
    </w:p>
    <w:p>
      <w:r>
        <w:t>Overall Assessment:</w:t>
      </w:r>
    </w:p>
    <w:p>
      <w:r>
        <w:t>Asciminib represents a valuable addition to the CML treatment armamentarium, offering a novel mechanism of action, activity against resistant mutations, and favorable efficacy-safety balance. The evidence supports its use in both second-line and later-line settings.</w:t>
      </w:r>
    </w:p>
    <w:p>
      <w:r>
        <w:t>For Clinicians:</w:t>
      </w:r>
    </w:p>
    <w:p>
      <w:r>
        <w:t>Asciminib should be considered for CML patients with prior TKI intolerance or resistance, particularly those harboring T315I mutations. In frontline settings, head-to-head trials are needed to define optimal sequencing.</w:t>
      </w:r>
    </w:p>
    <w:p>
      <w:r>
        <w:t>For Researchers:</w:t>
      </w:r>
    </w:p>
    <w:p>
      <w:r>
        <w:t>Future studies should focus on combination strategies, treatment-free remission outcomes, and long-term safety beyond 5 years. Comparative effectiveness trials in frontline settings are warranted.</w:t>
      </w:r>
    </w:p>
    <w:p>
      <w:pPr>
        <w:pStyle w:val="Heading1"/>
      </w:pPr>
      <w:r>
        <w:t>References</w:t>
      </w:r>
    </w:p>
    <w:p>
      <w:r>
        <w:t>[1] Author A, Author B. Title of study. Journal. Year;Volume:Pages. doi:</w:t>
      </w:r>
    </w:p>
    <w:p>
      <w:r>
        <w:t>[2] Author A, Author B. Title of study. Journal. Year;Volume:Pages. doi:</w:t>
      </w:r>
    </w:p>
    <w:p>
      <w:r>
        <w:t>[3] Author A, Author B. Title of study. Journal. Year;Volume:Pages. doi:</w:t>
      </w:r>
    </w:p>
    <w:p>
      <w:r>
        <w:t>[4] Author A, Author B. Title of study. Journal. Year;Volume:Pages. doi:</w:t>
      </w:r>
    </w:p>
    <w:p>
      <w:r>
        <w:t>[5] Author A, Author B. Title of study. Journal. Year;Volume:Pages. doi: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