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CBB1" w14:textId="5528557D" w:rsidR="00C76D6D" w:rsidRPr="005D0BF6" w:rsidRDefault="00C76D6D" w:rsidP="005D0BF6">
      <w:pPr>
        <w:pBdr>
          <w:bottom w:val="single" w:sz="4" w:space="1" w:color="3E762A" w:themeColor="accent1" w:themeShade="BF"/>
        </w:pBdr>
        <w:shd w:val="clear" w:color="auto" w:fill="FFFFFF" w:themeFill="background1"/>
        <w:spacing w:after="0"/>
        <w:rPr>
          <w:rFonts w:cs="Arial"/>
          <w:b/>
          <w:color w:val="3E762A" w:themeColor="accent1" w:themeShade="BF"/>
          <w:sz w:val="44"/>
          <w:szCs w:val="44"/>
        </w:rPr>
      </w:pPr>
      <w:r w:rsidRPr="005D0BF6">
        <w:rPr>
          <w:rFonts w:cs="Arial"/>
          <w:b/>
          <w:color w:val="3E762A" w:themeColor="accent1" w:themeShade="BF"/>
          <w:sz w:val="44"/>
          <w:szCs w:val="44"/>
        </w:rPr>
        <w:t xml:space="preserve">Attachment </w:t>
      </w:r>
      <w:r w:rsidR="00614ACD" w:rsidRPr="005D0BF6">
        <w:rPr>
          <w:rFonts w:cs="Arial"/>
          <w:b/>
          <w:color w:val="3E762A" w:themeColor="accent1" w:themeShade="BF"/>
          <w:sz w:val="44"/>
          <w:szCs w:val="44"/>
        </w:rPr>
        <w:t>D</w:t>
      </w:r>
      <w:r w:rsidRPr="005D0BF6">
        <w:rPr>
          <w:rFonts w:cs="Arial"/>
          <w:b/>
          <w:color w:val="3E762A" w:themeColor="accent1" w:themeShade="BF"/>
          <w:sz w:val="44"/>
          <w:szCs w:val="44"/>
        </w:rPr>
        <w:t xml:space="preserve"> – Cost Narrative</w:t>
      </w:r>
    </w:p>
    <w:p w14:paraId="74B5CBB3" w14:textId="106E5A8C" w:rsidR="00C76D6D" w:rsidRPr="005E3E7D" w:rsidRDefault="00C76D6D" w:rsidP="00C76D6D">
      <w:pPr>
        <w:pStyle w:val="Caption"/>
        <w:numPr>
          <w:ilvl w:val="0"/>
          <w:numId w:val="3"/>
        </w:numPr>
        <w:tabs>
          <w:tab w:val="left" w:pos="360"/>
        </w:tabs>
        <w:spacing w:before="200" w:after="200" w:line="276" w:lineRule="auto"/>
        <w:ind w:left="360"/>
        <w:rPr>
          <w:color w:val="3E762A" w:themeColor="accent1" w:themeShade="BF"/>
          <w:sz w:val="28"/>
        </w:rPr>
      </w:pPr>
      <w:r w:rsidRPr="005E3E7D">
        <w:rPr>
          <w:color w:val="3E762A" w:themeColor="accent1" w:themeShade="BF"/>
          <w:sz w:val="28"/>
        </w:rPr>
        <w:t>COST WORKSHEETS</w:t>
      </w:r>
    </w:p>
    <w:p w14:paraId="74B5CBB4" w14:textId="037B148D" w:rsidR="00C76D6D" w:rsidRDefault="00C76D6D" w:rsidP="0092105F">
      <w:pPr>
        <w:ind w:left="360"/>
        <w:rPr>
          <w:rFonts w:cs="Arial"/>
        </w:rPr>
      </w:pPr>
      <w:r w:rsidRPr="00C536B4">
        <w:rPr>
          <w:rFonts w:cs="Arial"/>
        </w:rPr>
        <w:t xml:space="preserve">Proposer to submit and complete the Cost Worksheets as contained in </w:t>
      </w:r>
      <w:r w:rsidR="00DC5B4E" w:rsidRPr="006D72DF">
        <w:rPr>
          <w:rFonts w:cs="Arial"/>
          <w:bCs/>
        </w:rPr>
        <w:t xml:space="preserve">Attachment </w:t>
      </w:r>
      <w:r w:rsidR="00614ACD">
        <w:rPr>
          <w:rFonts w:cs="Arial"/>
          <w:bCs/>
        </w:rPr>
        <w:t>C</w:t>
      </w:r>
      <w:r w:rsidRPr="00C536B4">
        <w:rPr>
          <w:rFonts w:cs="Arial"/>
          <w:b/>
        </w:rPr>
        <w:t>.</w:t>
      </w:r>
      <w:r w:rsidRPr="00C536B4">
        <w:rPr>
          <w:rFonts w:cs="Arial"/>
        </w:rPr>
        <w:t xml:space="preserve"> Proposers shall not modify the worksheets in any way. The </w:t>
      </w:r>
      <w:r w:rsidR="00647499">
        <w:rPr>
          <w:rFonts w:cs="Arial"/>
        </w:rPr>
        <w:t>City</w:t>
      </w:r>
      <w:r w:rsidRPr="00C536B4">
        <w:rPr>
          <w:rFonts w:cs="Arial"/>
        </w:rPr>
        <w:t xml:space="preserve"> understands that there will be potentially </w:t>
      </w:r>
      <w:r>
        <w:rPr>
          <w:rFonts w:cs="Arial"/>
        </w:rPr>
        <w:t>four</w:t>
      </w:r>
      <w:r w:rsidR="00F360F3">
        <w:rPr>
          <w:rFonts w:cs="Arial"/>
        </w:rPr>
        <w:t xml:space="preserve"> primary</w:t>
      </w:r>
      <w:r w:rsidRPr="00C536B4">
        <w:rPr>
          <w:rFonts w:cs="Arial"/>
        </w:rPr>
        <w:t xml:space="preserve"> types of costs associated with procuring a new system: software licensing, implementation services, annual maintenance costs, and annual subscription costs.</w:t>
      </w:r>
    </w:p>
    <w:p w14:paraId="75642C35" w14:textId="2471100C" w:rsidR="006C5864" w:rsidRPr="006C5864" w:rsidRDefault="006C5864" w:rsidP="0092105F">
      <w:pPr>
        <w:ind w:left="360"/>
        <w:rPr>
          <w:rFonts w:cs="Arial"/>
          <w:b/>
          <w:bCs/>
        </w:rPr>
      </w:pPr>
      <w:r w:rsidRPr="006C5864">
        <w:rPr>
          <w:rFonts w:cs="Arial"/>
          <w:b/>
          <w:bCs/>
        </w:rPr>
        <w:t>Brief Statement:</w:t>
      </w:r>
      <w:r>
        <w:rPr>
          <w:rFonts w:cs="Arial"/>
          <w:b/>
          <w:bCs/>
        </w:rPr>
        <w:t xml:space="preserve"> </w:t>
      </w:r>
      <w:r w:rsidRPr="006C5864">
        <w:rPr>
          <w:rFonts w:cs="Arial"/>
        </w:rPr>
        <w:t>Please see Attachment</w:t>
      </w:r>
      <w:r w:rsidR="00BD7390">
        <w:rPr>
          <w:rFonts w:cs="Arial"/>
        </w:rPr>
        <w:t xml:space="preserve"> </w:t>
      </w:r>
      <w:r w:rsidRPr="006C5864">
        <w:rPr>
          <w:rFonts w:cs="Arial"/>
        </w:rPr>
        <w:t>C</w:t>
      </w:r>
      <w:r w:rsidR="00BD7390">
        <w:rPr>
          <w:rFonts w:cs="Arial"/>
        </w:rPr>
        <w:t>-Cost Worksheet</w:t>
      </w:r>
    </w:p>
    <w:p w14:paraId="74B5CBC1" w14:textId="74946820" w:rsidR="00C76D6D" w:rsidRPr="005E3E7D" w:rsidRDefault="00C76D6D" w:rsidP="00C76D6D">
      <w:pPr>
        <w:pStyle w:val="Caption"/>
        <w:numPr>
          <w:ilvl w:val="0"/>
          <w:numId w:val="3"/>
        </w:numPr>
        <w:tabs>
          <w:tab w:val="left" w:pos="360"/>
        </w:tabs>
        <w:spacing w:before="200" w:after="200" w:line="276" w:lineRule="auto"/>
        <w:ind w:left="360"/>
        <w:rPr>
          <w:color w:val="3E762A" w:themeColor="accent1" w:themeShade="BF"/>
          <w:sz w:val="28"/>
        </w:rPr>
      </w:pPr>
      <w:r w:rsidRPr="005E3E7D">
        <w:rPr>
          <w:color w:val="3E762A" w:themeColor="accent1" w:themeShade="BF"/>
          <w:sz w:val="28"/>
        </w:rPr>
        <w:t xml:space="preserve">TRAVEL AND EXPENSE EXHIBIT </w:t>
      </w:r>
    </w:p>
    <w:p w14:paraId="74B5CBC2" w14:textId="438ED66F" w:rsidR="00C76D6D" w:rsidRPr="000E44B3" w:rsidRDefault="000E44B3" w:rsidP="000E44B3">
      <w:pPr>
        <w:ind w:left="360"/>
        <w:rPr>
          <w:rFonts w:cs="Arial"/>
        </w:rPr>
      </w:pPr>
      <w:r w:rsidRPr="000E44B3">
        <w:rPr>
          <w:rFonts w:cs="Arial"/>
        </w:rPr>
        <w:t xml:space="preserve">Proposer to submit a travel and expense policy that will apply for the duration of the Project up to final payment and for the future as it relates to any renewal terms. The </w:t>
      </w:r>
      <w:r w:rsidR="00647499">
        <w:rPr>
          <w:rFonts w:cs="Arial"/>
        </w:rPr>
        <w:t>City</w:t>
      </w:r>
      <w:r w:rsidRPr="000E44B3">
        <w:rPr>
          <w:rFonts w:cs="Arial"/>
        </w:rPr>
        <w:t xml:space="preserve"> requests that vendors traveling to perform onsite services stay in lodging accommodations within </w:t>
      </w:r>
      <w:r w:rsidR="00647499">
        <w:rPr>
          <w:rFonts w:cs="Arial"/>
        </w:rPr>
        <w:t>City</w:t>
      </w:r>
      <w:r w:rsidRPr="000E44B3">
        <w:rPr>
          <w:rFonts w:cs="Arial"/>
        </w:rPr>
        <w:t xml:space="preserve"> limits. The </w:t>
      </w:r>
      <w:r w:rsidR="00647499">
        <w:rPr>
          <w:rFonts w:cs="Arial"/>
        </w:rPr>
        <w:t>City</w:t>
      </w:r>
      <w:r w:rsidRPr="000E44B3">
        <w:rPr>
          <w:rFonts w:cs="Arial"/>
        </w:rPr>
        <w:t xml:space="preserve"> expects that vendors do not charge professional services rates for time spent in connection with traveling to and from the </w:t>
      </w:r>
      <w:r w:rsidR="00647499">
        <w:rPr>
          <w:rFonts w:cs="Arial"/>
        </w:rPr>
        <w:t>City</w:t>
      </w:r>
      <w:r w:rsidRPr="000E44B3">
        <w:rPr>
          <w:rFonts w:cs="Arial"/>
        </w:rPr>
        <w:t xml:space="preserve"> to perform services. </w:t>
      </w:r>
    </w:p>
    <w:p w14:paraId="74B5CBC3" w14:textId="260020D9" w:rsidR="00C76D6D" w:rsidRDefault="00C76D6D" w:rsidP="005E3E7D">
      <w:pPr>
        <w:spacing w:after="240"/>
        <w:ind w:left="360"/>
        <w:rPr>
          <w:rFonts w:cs="Arial"/>
        </w:rPr>
      </w:pPr>
      <w:r w:rsidRPr="00152D5F">
        <w:rPr>
          <w:rFonts w:cs="Arial"/>
        </w:rPr>
        <w:t xml:space="preserve">Confirm Exhibit attached in </w:t>
      </w:r>
      <w:r>
        <w:rPr>
          <w:rFonts w:cs="Arial"/>
        </w:rPr>
        <w:t>Price Proposal</w:t>
      </w:r>
      <w:r w:rsidR="00055EA1">
        <w:rPr>
          <w:rFonts w:cs="Arial"/>
        </w:rPr>
        <w:t>:</w:t>
      </w:r>
      <w:r w:rsidRPr="00152D5F">
        <w:rPr>
          <w:rFonts w:cs="Arial"/>
        </w:rPr>
        <w:t xml:space="preserve"> </w:t>
      </w:r>
      <w:proofErr w:type="spellStart"/>
      <w:r w:rsidR="00A3678D" w:rsidRPr="00A3678D">
        <w:rPr>
          <w:rFonts w:cs="Arial"/>
        </w:rPr>
        <w:t>Inovium</w:t>
      </w:r>
      <w:proofErr w:type="spellEnd"/>
      <w:r w:rsidR="00A3678D" w:rsidRPr="00A3678D">
        <w:rPr>
          <w:rFonts w:cs="Arial"/>
        </w:rPr>
        <w:t xml:space="preserve"> is proposing a remote implementation approach, eliminating the need for travel-related costs. However, should travel become necessary, </w:t>
      </w:r>
      <w:proofErr w:type="spellStart"/>
      <w:r w:rsidR="00A3678D" w:rsidRPr="00A3678D">
        <w:rPr>
          <w:rFonts w:cs="Arial"/>
        </w:rPr>
        <w:t>Inovium</w:t>
      </w:r>
      <w:proofErr w:type="spellEnd"/>
      <w:r w:rsidR="00A3678D" w:rsidRPr="00A3678D">
        <w:rPr>
          <w:rFonts w:cs="Arial"/>
        </w:rPr>
        <w:t xml:space="preserve"> will fully comply with the City’s travel and expense policy, ensuring adherence to all guidelines, including lodging accommodations within City limits</w:t>
      </w:r>
      <w:r w:rsidR="008D3FDA">
        <w:rPr>
          <w:rFonts w:cs="Arial"/>
        </w:rPr>
        <w:t>.</w:t>
      </w:r>
    </w:p>
    <w:p w14:paraId="04194090" w14:textId="1A8A42F1" w:rsidR="00F70A28" w:rsidRPr="00152D5F" w:rsidRDefault="00CE3B71" w:rsidP="0092105F">
      <w:pPr>
        <w:spacing w:after="360"/>
        <w:ind w:left="360"/>
        <w:rPr>
          <w:rFonts w:cs="Arial"/>
        </w:rPr>
      </w:pPr>
      <w:r>
        <w:rPr>
          <w:rFonts w:cs="Arial"/>
          <w:b/>
          <w:bCs/>
        </w:rPr>
        <w:t>Brief Statement</w:t>
      </w:r>
      <w:r w:rsidR="00F70A28" w:rsidRPr="00F70A28">
        <w:rPr>
          <w:rFonts w:cs="Arial"/>
          <w:b/>
          <w:bCs/>
        </w:rPr>
        <w:t>:</w:t>
      </w:r>
      <w:r w:rsidR="00F70A28">
        <w:rPr>
          <w:rFonts w:cs="Arial"/>
        </w:rPr>
        <w:t xml:space="preserve"> We are proposing a remote project but typically when travelling onsite, we adhere to our customer’s travel policy.</w:t>
      </w:r>
    </w:p>
    <w:p w14:paraId="74B5CBC4" w14:textId="7C6B8776" w:rsidR="00C76D6D" w:rsidRPr="005E3E7D" w:rsidRDefault="00C76D6D" w:rsidP="00C76D6D">
      <w:pPr>
        <w:pStyle w:val="Caption"/>
        <w:numPr>
          <w:ilvl w:val="0"/>
          <w:numId w:val="3"/>
        </w:numPr>
        <w:tabs>
          <w:tab w:val="left" w:pos="360"/>
        </w:tabs>
        <w:spacing w:before="200" w:after="200" w:line="276" w:lineRule="auto"/>
        <w:ind w:left="360"/>
        <w:rPr>
          <w:color w:val="3E762A" w:themeColor="accent1" w:themeShade="BF"/>
          <w:sz w:val="28"/>
        </w:rPr>
      </w:pPr>
      <w:r w:rsidRPr="005E3E7D">
        <w:rPr>
          <w:color w:val="3E762A" w:themeColor="accent1" w:themeShade="BF"/>
          <w:sz w:val="28"/>
        </w:rPr>
        <w:t>PAYMENT AND RETAINAGE TERMS</w:t>
      </w:r>
    </w:p>
    <w:p w14:paraId="1560FF5C" w14:textId="77777777" w:rsidR="00A47FCC" w:rsidRPr="00A47FCC" w:rsidRDefault="00A47FCC" w:rsidP="00A47FCC">
      <w:pPr>
        <w:spacing w:before="200" w:after="120"/>
        <w:ind w:left="360"/>
        <w:rPr>
          <w:rFonts w:cs="Arial"/>
        </w:rPr>
      </w:pPr>
      <w:r w:rsidRPr="00A47FCC">
        <w:rPr>
          <w:rFonts w:cs="Arial"/>
        </w:rPr>
        <w:t xml:space="preserve">Proposer to submit a brief statement of agreement with the payment and retainage terms identified herein for each Cost Worksheet submitted. If a Proposer does not agree with all items, a description should be provided for those items for which an exception is taken. </w:t>
      </w:r>
    </w:p>
    <w:p w14:paraId="45311D93" w14:textId="7831253C" w:rsidR="00A47FCC" w:rsidRPr="00A47FCC" w:rsidRDefault="00A47FCC" w:rsidP="00A47FCC">
      <w:pPr>
        <w:spacing w:before="200" w:after="120"/>
        <w:ind w:left="360"/>
        <w:rPr>
          <w:rFonts w:cs="Arial"/>
        </w:rPr>
      </w:pPr>
      <w:r w:rsidRPr="00A47FCC">
        <w:rPr>
          <w:rFonts w:cs="Arial"/>
        </w:rPr>
        <w:t xml:space="preserve">Proposer confirms that the RFP proposal is submitted in compliance with the payment and retainage terms provided </w:t>
      </w:r>
      <w:r>
        <w:rPr>
          <w:rFonts w:cs="Arial"/>
        </w:rPr>
        <w:t>below</w:t>
      </w:r>
      <w:r w:rsidRPr="00A47FCC">
        <w:rPr>
          <w:rFonts w:cs="Arial"/>
        </w:rPr>
        <w:t xml:space="preserve"> in Part</w:t>
      </w:r>
      <w:r w:rsidR="006D72DF">
        <w:rPr>
          <w:rFonts w:cs="Arial"/>
        </w:rPr>
        <w:t xml:space="preserve"> III</w:t>
      </w:r>
      <w:r w:rsidR="009C7D9D">
        <w:rPr>
          <w:rFonts w:cs="Arial"/>
        </w:rPr>
        <w:t>:</w:t>
      </w:r>
      <w:r w:rsidRPr="00A47FCC">
        <w:rPr>
          <w:rFonts w:cs="Arial"/>
        </w:rPr>
        <w:t xml:space="preserve"> Payment and Retainage Terms.</w:t>
      </w:r>
    </w:p>
    <w:p w14:paraId="0848703D" w14:textId="7E9F42DE" w:rsidR="00A47FCC" w:rsidRPr="00A47FCC" w:rsidRDefault="00A47FCC" w:rsidP="3845030E">
      <w:pPr>
        <w:spacing w:before="200" w:after="120"/>
        <w:ind w:firstLine="360"/>
        <w:rPr>
          <w:rFonts w:cs="Arial"/>
          <w:highlight w:val="yellow"/>
        </w:rPr>
      </w:pPr>
      <w:r w:rsidRPr="3845030E">
        <w:rPr>
          <w:rFonts w:cs="Arial"/>
          <w:b/>
          <w:bCs/>
        </w:rPr>
        <w:t>Brief Statement:</w:t>
      </w:r>
      <w:r w:rsidR="005E3E7D" w:rsidRPr="3845030E">
        <w:rPr>
          <w:rFonts w:cs="Arial"/>
        </w:rPr>
        <w:t xml:space="preserve"> </w:t>
      </w:r>
    </w:p>
    <w:p w14:paraId="74B5CBC5" w14:textId="07B9B4F3" w:rsidR="00C76D6D" w:rsidRPr="00152D5F" w:rsidRDefault="00C76D6D" w:rsidP="0092105F">
      <w:pPr>
        <w:spacing w:before="200" w:after="120"/>
        <w:ind w:left="360"/>
        <w:rPr>
          <w:rFonts w:cs="Arial"/>
        </w:rPr>
      </w:pPr>
      <w:r w:rsidRPr="00152D5F">
        <w:rPr>
          <w:rFonts w:cs="Arial"/>
        </w:rPr>
        <w:t xml:space="preserve">The </w:t>
      </w:r>
      <w:r w:rsidR="00647499">
        <w:rPr>
          <w:rFonts w:cs="Arial"/>
        </w:rPr>
        <w:t>City</w:t>
      </w:r>
      <w:r w:rsidRPr="00152D5F">
        <w:rPr>
          <w:rFonts w:cs="Arial"/>
        </w:rPr>
        <w:t xml:space="preserve"> requests that the following Payment and Retainage Terms be utilized for the </w:t>
      </w:r>
      <w:r w:rsidR="00647499">
        <w:rPr>
          <w:rFonts w:cs="Arial"/>
        </w:rPr>
        <w:t>City</w:t>
      </w:r>
      <w:r w:rsidR="00A47FCC">
        <w:rPr>
          <w:rFonts w:cs="Arial"/>
        </w:rPr>
        <w:t>’s</w:t>
      </w:r>
      <w:r w:rsidRPr="00152D5F">
        <w:rPr>
          <w:rFonts w:cs="Arial"/>
        </w:rPr>
        <w:t xml:space="preserve"> </w:t>
      </w:r>
      <w:r>
        <w:rPr>
          <w:rFonts w:cs="Arial"/>
        </w:rPr>
        <w:t>P</w:t>
      </w:r>
      <w:r w:rsidRPr="00152D5F">
        <w:rPr>
          <w:rFonts w:cs="Arial"/>
        </w:rPr>
        <w:t xml:space="preserve">roject: </w:t>
      </w:r>
    </w:p>
    <w:p w14:paraId="0095288B" w14:textId="77777777" w:rsidR="00B97BB8" w:rsidRPr="00152D5F" w:rsidRDefault="00B97BB8" w:rsidP="0092105F">
      <w:pPr>
        <w:pStyle w:val="ListParagraph"/>
        <w:numPr>
          <w:ilvl w:val="0"/>
          <w:numId w:val="4"/>
        </w:numPr>
        <w:spacing w:after="120"/>
        <w:ind w:left="1080"/>
        <w:contextualSpacing w:val="0"/>
        <w:rPr>
          <w:rFonts w:cs="Arial"/>
        </w:rPr>
      </w:pPr>
      <w:r w:rsidRPr="00152D5F">
        <w:rPr>
          <w:rFonts w:cs="Arial"/>
          <w:b/>
        </w:rPr>
        <w:t xml:space="preserve">Software Licensing: </w:t>
      </w:r>
      <w:r w:rsidRPr="00152D5F">
        <w:rPr>
          <w:rFonts w:cs="Arial"/>
        </w:rPr>
        <w:t>Use of a</w:t>
      </w:r>
      <w:r>
        <w:rPr>
          <w:rFonts w:cs="Arial"/>
        </w:rPr>
        <w:t>n acceptance</w:t>
      </w:r>
      <w:r w:rsidRPr="00152D5F">
        <w:rPr>
          <w:rFonts w:cs="Arial"/>
        </w:rPr>
        <w:t>-based payment schedule for software licensing.</w:t>
      </w:r>
    </w:p>
    <w:p w14:paraId="7540FD9D" w14:textId="14A13F36" w:rsidR="00B97BB8" w:rsidRPr="00152D5F" w:rsidRDefault="00B97BB8" w:rsidP="0092105F">
      <w:pPr>
        <w:pStyle w:val="ListParagraph"/>
        <w:numPr>
          <w:ilvl w:val="0"/>
          <w:numId w:val="5"/>
        </w:numPr>
        <w:spacing w:after="120"/>
        <w:ind w:left="1627" w:hanging="187"/>
        <w:contextualSpacing w:val="0"/>
        <w:rPr>
          <w:rFonts w:cs="Arial"/>
          <w:i/>
        </w:rPr>
      </w:pPr>
      <w:r w:rsidRPr="00152D5F">
        <w:rPr>
          <w:rFonts w:cs="Arial"/>
        </w:rPr>
        <w:lastRenderedPageBreak/>
        <w:t xml:space="preserve">Potential milestones including system deployment, Phase Kickoff, Initial Module/System Configuration, Approval of Phase Go-Live, and Acceptance of System. The </w:t>
      </w:r>
      <w:r w:rsidR="00647499">
        <w:rPr>
          <w:rFonts w:cs="Arial"/>
        </w:rPr>
        <w:t>City</w:t>
      </w:r>
      <w:r w:rsidRPr="00152D5F">
        <w:rPr>
          <w:rFonts w:cs="Arial"/>
        </w:rPr>
        <w:t xml:space="preserve"> expects that licensing for any software modules will not be payable until the associated project phase for that module begins. For example, if Module X were a part of a potential </w:t>
      </w:r>
      <w:r>
        <w:rPr>
          <w:rFonts w:cs="Arial"/>
        </w:rPr>
        <w:t>P</w:t>
      </w:r>
      <w:r w:rsidRPr="00152D5F">
        <w:rPr>
          <w:rFonts w:cs="Arial"/>
        </w:rPr>
        <w:t xml:space="preserve">hase II to the project, the </w:t>
      </w:r>
      <w:r w:rsidR="00647499">
        <w:rPr>
          <w:rFonts w:cs="Arial"/>
        </w:rPr>
        <w:t>City</w:t>
      </w:r>
      <w:r w:rsidR="00A47FCC" w:rsidRPr="00152D5F">
        <w:rPr>
          <w:rFonts w:cs="Arial"/>
        </w:rPr>
        <w:t xml:space="preserve"> </w:t>
      </w:r>
      <w:r w:rsidRPr="00152D5F">
        <w:rPr>
          <w:rFonts w:cs="Arial"/>
        </w:rPr>
        <w:t xml:space="preserve">would expect to have payment milestones for Module X begin with the phase kickoff for </w:t>
      </w:r>
      <w:r>
        <w:rPr>
          <w:rFonts w:cs="Arial"/>
        </w:rPr>
        <w:t>P</w:t>
      </w:r>
      <w:r w:rsidRPr="00152D5F">
        <w:rPr>
          <w:rFonts w:cs="Arial"/>
        </w:rPr>
        <w:t>hase II.</w:t>
      </w:r>
    </w:p>
    <w:p w14:paraId="594E54D0" w14:textId="45AE7487" w:rsidR="00B97BB8" w:rsidRPr="004B1E24" w:rsidRDefault="00B97BB8" w:rsidP="0092105F">
      <w:pPr>
        <w:pStyle w:val="ListParagraph"/>
        <w:numPr>
          <w:ilvl w:val="0"/>
          <w:numId w:val="5"/>
        </w:numPr>
        <w:spacing w:after="240"/>
        <w:ind w:left="1627" w:hanging="180"/>
        <w:contextualSpacing w:val="0"/>
        <w:rPr>
          <w:rFonts w:cs="Arial"/>
          <w:iCs/>
        </w:rPr>
      </w:pPr>
      <w:r w:rsidRPr="004B1E24">
        <w:rPr>
          <w:rFonts w:cs="Arial"/>
          <w:iCs/>
        </w:rPr>
        <w:t>Proposer shall fully describe their proposed milestone-based payment schedule for software licensing as part of their Price Proposal.</w:t>
      </w:r>
    </w:p>
    <w:p w14:paraId="0D1DAA6B" w14:textId="404AB41A" w:rsidR="00A47FCC" w:rsidRPr="00922E9B" w:rsidRDefault="00A47FCC" w:rsidP="005E3E7D">
      <w:pPr>
        <w:spacing w:before="200" w:after="240"/>
        <w:ind w:left="1080"/>
        <w:rPr>
          <w:rFonts w:cs="Arial"/>
        </w:rPr>
      </w:pPr>
      <w:r w:rsidRPr="00782604">
        <w:rPr>
          <w:rFonts w:cs="Arial"/>
          <w:b/>
          <w:bCs/>
        </w:rPr>
        <w:t>Brief Statement:</w:t>
      </w:r>
      <w:r w:rsidRPr="00782604">
        <w:rPr>
          <w:rFonts w:cs="Arial"/>
        </w:rPr>
        <w:t xml:space="preserve"> </w:t>
      </w:r>
      <w:proofErr w:type="spellStart"/>
      <w:r w:rsidR="00F70A28">
        <w:rPr>
          <w:rFonts w:cs="Arial"/>
        </w:rPr>
        <w:t>Inovium</w:t>
      </w:r>
      <w:proofErr w:type="spellEnd"/>
      <w:r w:rsidR="00F70A28">
        <w:rPr>
          <w:rFonts w:cs="Arial"/>
        </w:rPr>
        <w:t xml:space="preserve"> is proposing a time and materials based approach. </w:t>
      </w:r>
      <w:r w:rsidR="00782604">
        <w:rPr>
          <w:rFonts w:cs="Arial"/>
        </w:rPr>
        <w:t>We would be open to Milestone Payments but would want a certain percentage of the project costs upfront.</w:t>
      </w:r>
    </w:p>
    <w:p w14:paraId="2D18A0C8" w14:textId="77777777" w:rsidR="00B97BB8" w:rsidRPr="00152D5F" w:rsidRDefault="00B97BB8" w:rsidP="0092105F">
      <w:pPr>
        <w:pStyle w:val="ListParagraph"/>
        <w:numPr>
          <w:ilvl w:val="0"/>
          <w:numId w:val="4"/>
        </w:numPr>
        <w:spacing w:after="120"/>
        <w:ind w:left="1080"/>
        <w:contextualSpacing w:val="0"/>
        <w:rPr>
          <w:rFonts w:cs="Arial"/>
        </w:rPr>
      </w:pPr>
      <w:r w:rsidRPr="00152D5F">
        <w:rPr>
          <w:rFonts w:cs="Arial"/>
          <w:b/>
        </w:rPr>
        <w:t xml:space="preserve">Implementation Services Cost: </w:t>
      </w:r>
      <w:r w:rsidRPr="00152D5F">
        <w:rPr>
          <w:rFonts w:cs="Arial"/>
        </w:rPr>
        <w:t>Implementation service costs typically include all costs related to implementation, configuration, data conversion, customization, and training.</w:t>
      </w:r>
    </w:p>
    <w:p w14:paraId="24DCDDBE" w14:textId="6352E990" w:rsidR="00B97BB8" w:rsidRDefault="00B97BB8" w:rsidP="0092105F">
      <w:pPr>
        <w:pStyle w:val="ListParagraph"/>
        <w:numPr>
          <w:ilvl w:val="0"/>
          <w:numId w:val="6"/>
        </w:numPr>
        <w:spacing w:after="120"/>
        <w:ind w:left="1627" w:hanging="187"/>
        <w:contextualSpacing w:val="0"/>
        <w:rPr>
          <w:rFonts w:cs="Arial"/>
        </w:rPr>
      </w:pPr>
      <w:r w:rsidRPr="00152D5F">
        <w:rPr>
          <w:rFonts w:cs="Arial"/>
        </w:rPr>
        <w:t xml:space="preserve">The </w:t>
      </w:r>
      <w:r w:rsidR="00647499">
        <w:rPr>
          <w:rFonts w:cs="Arial"/>
        </w:rPr>
        <w:t>City</w:t>
      </w:r>
      <w:r w:rsidR="00A47FCC" w:rsidRPr="00152D5F">
        <w:rPr>
          <w:rFonts w:cs="Arial"/>
        </w:rPr>
        <w:t xml:space="preserve"> </w:t>
      </w:r>
      <w:r w:rsidRPr="00152D5F">
        <w:rPr>
          <w:rFonts w:cs="Arial"/>
        </w:rPr>
        <w:t xml:space="preserve">prefers that implementation service costs </w:t>
      </w:r>
      <w:r>
        <w:rPr>
          <w:rFonts w:cs="Arial"/>
        </w:rPr>
        <w:t>be</w:t>
      </w:r>
      <w:r w:rsidRPr="00152D5F">
        <w:rPr>
          <w:rFonts w:cs="Arial"/>
        </w:rPr>
        <w:t xml:space="preserve"> proposed as “not</w:t>
      </w:r>
      <w:r>
        <w:rPr>
          <w:rFonts w:cs="Arial"/>
        </w:rPr>
        <w:t>-</w:t>
      </w:r>
      <w:r w:rsidRPr="00152D5F">
        <w:rPr>
          <w:rFonts w:cs="Arial"/>
        </w:rPr>
        <w:t>to</w:t>
      </w:r>
      <w:r>
        <w:rPr>
          <w:rFonts w:cs="Arial"/>
        </w:rPr>
        <w:t>-</w:t>
      </w:r>
      <w:r w:rsidRPr="00152D5F">
        <w:rPr>
          <w:rFonts w:cs="Arial"/>
        </w:rPr>
        <w:t xml:space="preserve">exceed” amounts and that the </w:t>
      </w:r>
      <w:r w:rsidR="00647499">
        <w:rPr>
          <w:rFonts w:cs="Arial"/>
        </w:rPr>
        <w:t>City</w:t>
      </w:r>
      <w:r w:rsidR="00A47FCC" w:rsidRPr="00152D5F">
        <w:rPr>
          <w:rFonts w:cs="Arial"/>
        </w:rPr>
        <w:t xml:space="preserve"> </w:t>
      </w:r>
      <w:r w:rsidRPr="00152D5F">
        <w:rPr>
          <w:rFonts w:cs="Arial"/>
        </w:rPr>
        <w:t xml:space="preserve">will be charged for Services as incurred up to the not-to-exceed amounts. Establishment of a not-to-exceed amount does not obligate the </w:t>
      </w:r>
      <w:r w:rsidR="00647499">
        <w:rPr>
          <w:rFonts w:cs="Arial"/>
        </w:rPr>
        <w:t>City</w:t>
      </w:r>
      <w:r w:rsidR="00A47FCC" w:rsidRPr="00152D5F">
        <w:rPr>
          <w:rFonts w:cs="Arial"/>
        </w:rPr>
        <w:t xml:space="preserve"> </w:t>
      </w:r>
      <w:r w:rsidRPr="00152D5F">
        <w:rPr>
          <w:rFonts w:cs="Arial"/>
        </w:rPr>
        <w:t>to expend the full amount.</w:t>
      </w:r>
    </w:p>
    <w:p w14:paraId="3F4C5937" w14:textId="298AC223" w:rsidR="00042D1F" w:rsidRPr="00042D1F" w:rsidRDefault="00505025" w:rsidP="005E3E7D">
      <w:pPr>
        <w:pStyle w:val="ListParagraph"/>
        <w:spacing w:after="240"/>
        <w:ind w:left="1627"/>
        <w:contextualSpacing w:val="0"/>
        <w:rPr>
          <w:rFonts w:cs="Arial"/>
        </w:rPr>
      </w:pPr>
      <w:r>
        <w:rPr>
          <w:rFonts w:cs="Arial"/>
          <w:b/>
          <w:bCs/>
        </w:rPr>
        <w:t>Bri</w:t>
      </w:r>
      <w:r w:rsidR="00A7771E">
        <w:rPr>
          <w:rFonts w:cs="Arial"/>
          <w:b/>
          <w:bCs/>
        </w:rPr>
        <w:t>ef Statement</w:t>
      </w:r>
      <w:r w:rsidR="00042D1F" w:rsidRPr="00042D1F">
        <w:rPr>
          <w:rFonts w:cs="Arial"/>
          <w:b/>
          <w:bCs/>
        </w:rPr>
        <w:t>:</w:t>
      </w:r>
      <w:r w:rsidR="00042D1F">
        <w:rPr>
          <w:rFonts w:cs="Arial"/>
          <w:b/>
          <w:bCs/>
        </w:rPr>
        <w:t xml:space="preserve"> </w:t>
      </w:r>
      <w:proofErr w:type="spellStart"/>
      <w:r w:rsidR="00042D1F">
        <w:rPr>
          <w:rFonts w:cs="Arial"/>
        </w:rPr>
        <w:t>Inovium</w:t>
      </w:r>
      <w:proofErr w:type="spellEnd"/>
      <w:r w:rsidR="00042D1F">
        <w:rPr>
          <w:rFonts w:cs="Arial"/>
        </w:rPr>
        <w:t xml:space="preserve"> would be open to this language.</w:t>
      </w:r>
    </w:p>
    <w:p w14:paraId="483387A2" w14:textId="1DD27C26" w:rsidR="00B97BB8" w:rsidRDefault="00B97BB8" w:rsidP="0092105F">
      <w:pPr>
        <w:pStyle w:val="ListParagraph"/>
        <w:numPr>
          <w:ilvl w:val="0"/>
          <w:numId w:val="6"/>
        </w:numPr>
        <w:spacing w:after="120"/>
        <w:ind w:left="1627" w:hanging="187"/>
        <w:contextualSpacing w:val="0"/>
        <w:rPr>
          <w:rFonts w:cs="Arial"/>
        </w:rPr>
      </w:pPr>
      <w:r w:rsidRPr="00152D5F">
        <w:rPr>
          <w:rFonts w:cs="Arial"/>
        </w:rPr>
        <w:t xml:space="preserve">The </w:t>
      </w:r>
      <w:r w:rsidR="00647499">
        <w:rPr>
          <w:rFonts w:cs="Arial"/>
        </w:rPr>
        <w:t>City</w:t>
      </w:r>
      <w:r w:rsidR="00A47FCC" w:rsidRPr="00152D5F">
        <w:rPr>
          <w:rFonts w:cs="Arial"/>
        </w:rPr>
        <w:t xml:space="preserve"> </w:t>
      </w:r>
      <w:r w:rsidRPr="00152D5F">
        <w:rPr>
          <w:rFonts w:cs="Arial"/>
        </w:rPr>
        <w:t xml:space="preserve">prefers that services be invoiced on a deliverable, phased, or milestone basis. </w:t>
      </w:r>
    </w:p>
    <w:p w14:paraId="160B4CCC" w14:textId="68F9238B" w:rsidR="004F2328" w:rsidRPr="005E3E7D" w:rsidRDefault="00505025" w:rsidP="005E3E7D">
      <w:pPr>
        <w:pStyle w:val="ListParagraph"/>
        <w:spacing w:after="240"/>
        <w:ind w:left="1627"/>
        <w:contextualSpacing w:val="0"/>
        <w:rPr>
          <w:rFonts w:cs="Arial"/>
        </w:rPr>
      </w:pPr>
      <w:r>
        <w:rPr>
          <w:rFonts w:cs="Arial"/>
          <w:b/>
          <w:bCs/>
        </w:rPr>
        <w:t>Brief Statement</w:t>
      </w:r>
      <w:r w:rsidR="00025B0A" w:rsidRPr="004F2328">
        <w:rPr>
          <w:rFonts w:cs="Arial"/>
          <w:b/>
          <w:bCs/>
        </w:rPr>
        <w:t>:</w:t>
      </w:r>
      <w:r w:rsidR="00025B0A">
        <w:rPr>
          <w:rFonts w:cs="Arial"/>
        </w:rPr>
        <w:t xml:space="preserve"> </w:t>
      </w:r>
      <w:proofErr w:type="spellStart"/>
      <w:r w:rsidR="00025B0A">
        <w:rPr>
          <w:rFonts w:cs="Arial"/>
        </w:rPr>
        <w:t>Invoium</w:t>
      </w:r>
      <w:proofErr w:type="spellEnd"/>
      <w:r w:rsidR="00025B0A">
        <w:rPr>
          <w:rFonts w:cs="Arial"/>
        </w:rPr>
        <w:t xml:space="preserve"> is happy to discuss this</w:t>
      </w:r>
      <w:r w:rsidR="00782604">
        <w:rPr>
          <w:rFonts w:cs="Arial"/>
        </w:rPr>
        <w:t>, but given</w:t>
      </w:r>
      <w:r w:rsidR="00025B0A">
        <w:rPr>
          <w:rFonts w:cs="Arial"/>
        </w:rPr>
        <w:t xml:space="preserve"> we use an Agile implementation model, phased milestones do not typically align. We </w:t>
      </w:r>
      <w:r w:rsidR="004F2328">
        <w:rPr>
          <w:rFonts w:cs="Arial"/>
        </w:rPr>
        <w:t xml:space="preserve">prefer to </w:t>
      </w:r>
      <w:r w:rsidR="00025B0A">
        <w:rPr>
          <w:rFonts w:cs="Arial"/>
        </w:rPr>
        <w:t>bill on actual hours worked and on agreed upon deliverables each Agile sprin</w:t>
      </w:r>
      <w:r w:rsidR="004F2328">
        <w:rPr>
          <w:rFonts w:cs="Arial"/>
        </w:rPr>
        <w:t>t</w:t>
      </w:r>
      <w:r w:rsidR="00025B0A">
        <w:rPr>
          <w:rFonts w:cs="Arial"/>
        </w:rPr>
        <w:t xml:space="preserve">. </w:t>
      </w:r>
    </w:p>
    <w:p w14:paraId="7BE721DF" w14:textId="340BF2EB" w:rsidR="00B97BB8" w:rsidRPr="00724C06" w:rsidRDefault="00B97BB8" w:rsidP="0092105F">
      <w:pPr>
        <w:pStyle w:val="ListParagraph"/>
        <w:numPr>
          <w:ilvl w:val="0"/>
          <w:numId w:val="6"/>
        </w:numPr>
        <w:spacing w:after="120"/>
        <w:ind w:left="1627" w:hanging="187"/>
        <w:contextualSpacing w:val="0"/>
        <w:rPr>
          <w:rFonts w:cs="Arial"/>
        </w:rPr>
      </w:pPr>
      <w:r w:rsidRPr="00724C06">
        <w:rPr>
          <w:rFonts w:cs="Arial"/>
        </w:rPr>
        <w:t xml:space="preserve">The </w:t>
      </w:r>
      <w:r w:rsidR="00647499" w:rsidRPr="00724C06">
        <w:rPr>
          <w:rFonts w:cs="Arial"/>
        </w:rPr>
        <w:t>City</w:t>
      </w:r>
      <w:r w:rsidR="00A47FCC" w:rsidRPr="00724C06">
        <w:rPr>
          <w:rFonts w:cs="Arial"/>
        </w:rPr>
        <w:t xml:space="preserve"> </w:t>
      </w:r>
      <w:r w:rsidRPr="00724C06">
        <w:rPr>
          <w:rFonts w:cs="Arial"/>
        </w:rPr>
        <w:t>prefers that twenty percent (20%) of each invoice for the implementation service costs will be retained (as a “holdback”) until successful completion</w:t>
      </w:r>
      <w:r w:rsidR="00782604">
        <w:rPr>
          <w:rFonts w:cs="Arial"/>
        </w:rPr>
        <w:t xml:space="preserve"> and the City’s written acceptance</w:t>
      </w:r>
      <w:r w:rsidRPr="00724C06">
        <w:rPr>
          <w:rFonts w:cs="Arial"/>
        </w:rPr>
        <w:t xml:space="preserve"> of the Project.</w:t>
      </w:r>
    </w:p>
    <w:p w14:paraId="31798015" w14:textId="6F5364F4" w:rsidR="00A47FCC" w:rsidRPr="00A47FCC" w:rsidRDefault="00A47FCC" w:rsidP="005E3E7D">
      <w:pPr>
        <w:spacing w:before="120" w:after="240"/>
        <w:ind w:left="1627"/>
        <w:rPr>
          <w:rFonts w:cs="Arial"/>
        </w:rPr>
      </w:pPr>
      <w:r w:rsidRPr="00724C06">
        <w:rPr>
          <w:rFonts w:cs="Arial"/>
          <w:b/>
          <w:bCs/>
        </w:rPr>
        <w:t>Brief Statement:</w:t>
      </w:r>
      <w:r w:rsidRPr="00A47FCC">
        <w:rPr>
          <w:rFonts w:cs="Arial"/>
        </w:rPr>
        <w:t xml:space="preserve"> </w:t>
      </w:r>
      <w:proofErr w:type="spellStart"/>
      <w:r w:rsidR="00C8281F" w:rsidRPr="00C8281F">
        <w:rPr>
          <w:rFonts w:cs="Arial"/>
        </w:rPr>
        <w:t>Inovium's</w:t>
      </w:r>
      <w:proofErr w:type="spellEnd"/>
      <w:r w:rsidR="00C8281F" w:rsidRPr="00C8281F">
        <w:rPr>
          <w:rFonts w:cs="Arial"/>
        </w:rPr>
        <w:t xml:space="preserve"> standard payment terms require full payment within 30 days of invoicing</w:t>
      </w:r>
      <w:r w:rsidR="00EE1CB7">
        <w:rPr>
          <w:rFonts w:cs="Arial"/>
        </w:rPr>
        <w:t xml:space="preserve"> for the prior month’s </w:t>
      </w:r>
      <w:r w:rsidR="00782604">
        <w:rPr>
          <w:rFonts w:cs="Arial"/>
        </w:rPr>
        <w:t xml:space="preserve">hours </w:t>
      </w:r>
      <w:r w:rsidR="00EE1CB7">
        <w:rPr>
          <w:rFonts w:cs="Arial"/>
        </w:rPr>
        <w:t>work</w:t>
      </w:r>
      <w:r w:rsidR="00782604">
        <w:rPr>
          <w:rFonts w:cs="Arial"/>
        </w:rPr>
        <w:t>ed</w:t>
      </w:r>
      <w:r w:rsidR="00C8281F" w:rsidRPr="00C8281F">
        <w:rPr>
          <w:rFonts w:cs="Arial"/>
        </w:rPr>
        <w:t xml:space="preserve">. </w:t>
      </w:r>
      <w:r w:rsidR="00957C1F">
        <w:rPr>
          <w:rFonts w:cs="Arial"/>
        </w:rPr>
        <w:t xml:space="preserve">The SOW and MSA provide protection language </w:t>
      </w:r>
      <w:r w:rsidR="00CA434C">
        <w:rPr>
          <w:rFonts w:cs="Arial"/>
        </w:rPr>
        <w:t xml:space="preserve">if </w:t>
      </w:r>
      <w:proofErr w:type="spellStart"/>
      <w:r w:rsidR="00CA434C">
        <w:rPr>
          <w:rFonts w:cs="Arial"/>
        </w:rPr>
        <w:t>Inovium</w:t>
      </w:r>
      <w:proofErr w:type="spellEnd"/>
      <w:r w:rsidR="00CA434C">
        <w:rPr>
          <w:rFonts w:cs="Arial"/>
        </w:rPr>
        <w:t xml:space="preserve"> is not meeting requirements</w:t>
      </w:r>
      <w:r w:rsidR="00C8281F" w:rsidRPr="00C8281F">
        <w:rPr>
          <w:rFonts w:cs="Arial"/>
        </w:rPr>
        <w:t>.</w:t>
      </w:r>
      <w:r w:rsidR="00CA434C">
        <w:rPr>
          <w:rFonts w:cs="Arial"/>
        </w:rPr>
        <w:t xml:space="preserve"> We would not typically agree to 20%</w:t>
      </w:r>
      <w:r w:rsidR="00D47AF6">
        <w:rPr>
          <w:rFonts w:cs="Arial"/>
        </w:rPr>
        <w:t xml:space="preserve"> hold back</w:t>
      </w:r>
      <w:r w:rsidR="00382CBC">
        <w:rPr>
          <w:rFonts w:cs="Arial"/>
        </w:rPr>
        <w:t xml:space="preserve">. </w:t>
      </w:r>
    </w:p>
    <w:p w14:paraId="6D0B67E9" w14:textId="385E11FB" w:rsidR="00B97BB8" w:rsidRPr="00152D5F" w:rsidRDefault="00B97BB8" w:rsidP="0092105F">
      <w:pPr>
        <w:pStyle w:val="ListParagraph"/>
        <w:widowControl w:val="0"/>
        <w:numPr>
          <w:ilvl w:val="0"/>
          <w:numId w:val="4"/>
        </w:numPr>
        <w:tabs>
          <w:tab w:val="left" w:pos="1080"/>
          <w:tab w:val="left" w:pos="4824"/>
        </w:tabs>
        <w:spacing w:after="240"/>
        <w:ind w:left="1080"/>
        <w:contextualSpacing w:val="0"/>
        <w:rPr>
          <w:rFonts w:cs="Arial"/>
          <w:i/>
        </w:rPr>
      </w:pPr>
      <w:r w:rsidRPr="00152D5F">
        <w:rPr>
          <w:rFonts w:cs="Arial"/>
          <w:b/>
        </w:rPr>
        <w:t xml:space="preserve">Annual Maintenance Cost: </w:t>
      </w:r>
      <w:r w:rsidR="00A47FCC" w:rsidRPr="00A47FCC">
        <w:rPr>
          <w:rFonts w:cs="Arial"/>
        </w:rPr>
        <w:t>The</w:t>
      </w:r>
      <w:r w:rsidR="00A47FCC">
        <w:rPr>
          <w:rFonts w:cs="Arial"/>
          <w:b/>
        </w:rPr>
        <w:t xml:space="preserve"> </w:t>
      </w:r>
      <w:r w:rsidR="00647499">
        <w:rPr>
          <w:rFonts w:cs="Arial"/>
        </w:rPr>
        <w:t>City</w:t>
      </w:r>
      <w:r w:rsidR="00A47FCC" w:rsidRPr="00152D5F">
        <w:rPr>
          <w:rFonts w:cs="Arial"/>
        </w:rPr>
        <w:t xml:space="preserve"> </w:t>
      </w:r>
      <w:r w:rsidRPr="00152D5F">
        <w:rPr>
          <w:rFonts w:cs="Arial"/>
        </w:rPr>
        <w:t>expectation is that it will not pay maintenance fees on functional areas being implemented</w:t>
      </w:r>
      <w:r w:rsidR="00516F12">
        <w:rPr>
          <w:rFonts w:cs="Arial"/>
        </w:rPr>
        <w:t xml:space="preserve"> nor will the annual maintenance period begin</w:t>
      </w:r>
      <w:r w:rsidRPr="00152D5F">
        <w:rPr>
          <w:rFonts w:cs="Arial"/>
        </w:rPr>
        <w:t xml:space="preserve"> until formal </w:t>
      </w:r>
      <w:r w:rsidR="00647499">
        <w:rPr>
          <w:rFonts w:cs="Arial"/>
        </w:rPr>
        <w:t>City</w:t>
      </w:r>
      <w:r w:rsidR="00A47FCC" w:rsidRPr="00152D5F">
        <w:rPr>
          <w:rFonts w:cs="Arial"/>
        </w:rPr>
        <w:t xml:space="preserve"> </w:t>
      </w:r>
      <w:r w:rsidRPr="00152D5F">
        <w:rPr>
          <w:rFonts w:cs="Arial"/>
        </w:rPr>
        <w:t>acceptance has been provided to approve live processing for the associated Project phase</w:t>
      </w:r>
      <w:r w:rsidRPr="00CF5A35">
        <w:rPr>
          <w:rFonts w:cs="Arial"/>
        </w:rPr>
        <w:t xml:space="preserve">. </w:t>
      </w:r>
      <w:r w:rsidRPr="004B1E24">
        <w:rPr>
          <w:rFonts w:cs="Arial"/>
          <w:iCs/>
        </w:rPr>
        <w:t xml:space="preserve">For example, the annual maintenance fees associated with </w:t>
      </w:r>
      <w:r w:rsidR="00E25FA6" w:rsidRPr="004B1E24">
        <w:rPr>
          <w:rFonts w:cs="Arial"/>
          <w:iCs/>
        </w:rPr>
        <w:t xml:space="preserve">the </w:t>
      </w:r>
      <w:r w:rsidR="00647499">
        <w:rPr>
          <w:rFonts w:cs="Arial"/>
          <w:iCs/>
        </w:rPr>
        <w:t>time and attendance</w:t>
      </w:r>
      <w:r w:rsidR="00E25FA6" w:rsidRPr="004B1E24">
        <w:rPr>
          <w:rFonts w:cs="Arial"/>
          <w:iCs/>
        </w:rPr>
        <w:t xml:space="preserve"> module</w:t>
      </w:r>
      <w:r w:rsidRPr="004B1E24">
        <w:rPr>
          <w:rFonts w:cs="Arial"/>
          <w:iCs/>
        </w:rPr>
        <w:t xml:space="preserve"> will be paid upon </w:t>
      </w:r>
      <w:r w:rsidR="00647499">
        <w:rPr>
          <w:rFonts w:cs="Arial"/>
          <w:iCs/>
        </w:rPr>
        <w:t>City</w:t>
      </w:r>
      <w:r w:rsidR="00A47FCC" w:rsidRPr="004B1E24">
        <w:rPr>
          <w:rFonts w:cs="Arial"/>
          <w:iCs/>
        </w:rPr>
        <w:t xml:space="preserve"> </w:t>
      </w:r>
      <w:r w:rsidRPr="004B1E24">
        <w:rPr>
          <w:rFonts w:cs="Arial"/>
          <w:iCs/>
        </w:rPr>
        <w:t xml:space="preserve">acceptance of the Project phase associated with the </w:t>
      </w:r>
      <w:r w:rsidR="00647499">
        <w:rPr>
          <w:rFonts w:cs="Arial"/>
          <w:iCs/>
        </w:rPr>
        <w:t>time and attendance</w:t>
      </w:r>
      <w:r w:rsidR="00E25FA6" w:rsidRPr="004B1E24">
        <w:rPr>
          <w:rFonts w:cs="Arial"/>
          <w:iCs/>
        </w:rPr>
        <w:t xml:space="preserve"> </w:t>
      </w:r>
      <w:r w:rsidRPr="004B1E24">
        <w:rPr>
          <w:rFonts w:cs="Arial"/>
          <w:iCs/>
        </w:rPr>
        <w:t>module.</w:t>
      </w:r>
      <w:r w:rsidRPr="00152D5F">
        <w:rPr>
          <w:rFonts w:cs="Arial"/>
          <w:i/>
        </w:rPr>
        <w:t xml:space="preserve"> </w:t>
      </w:r>
    </w:p>
    <w:p w14:paraId="010CD5CF" w14:textId="627A37EC" w:rsidR="00A47FCC" w:rsidRPr="00A47FCC" w:rsidRDefault="00A47FCC" w:rsidP="005E3E7D">
      <w:pPr>
        <w:spacing w:before="120" w:after="240"/>
        <w:ind w:left="360" w:firstLine="720"/>
        <w:rPr>
          <w:rFonts w:cs="Arial"/>
        </w:rPr>
      </w:pPr>
      <w:r w:rsidRPr="005B578F">
        <w:rPr>
          <w:rFonts w:cs="Arial"/>
          <w:b/>
          <w:bCs/>
        </w:rPr>
        <w:lastRenderedPageBreak/>
        <w:t>Brief Statement:</w:t>
      </w:r>
      <w:r w:rsidR="00CB01F9">
        <w:rPr>
          <w:rFonts w:cs="Arial"/>
        </w:rPr>
        <w:t xml:space="preserve"> Not applicable </w:t>
      </w:r>
    </w:p>
    <w:p w14:paraId="699E583E" w14:textId="01CD8847" w:rsidR="00B97BB8" w:rsidRDefault="00B97BB8" w:rsidP="005E3E7D">
      <w:pPr>
        <w:pStyle w:val="ListParagraph"/>
        <w:widowControl w:val="0"/>
        <w:numPr>
          <w:ilvl w:val="0"/>
          <w:numId w:val="4"/>
        </w:numPr>
        <w:tabs>
          <w:tab w:val="left" w:pos="1080"/>
          <w:tab w:val="left" w:pos="4824"/>
        </w:tabs>
        <w:spacing w:after="120"/>
        <w:ind w:left="1080"/>
        <w:contextualSpacing w:val="0"/>
        <w:rPr>
          <w:rFonts w:cs="Arial"/>
        </w:rPr>
      </w:pPr>
      <w:r w:rsidRPr="00152D5F">
        <w:rPr>
          <w:rFonts w:cs="Arial"/>
          <w:b/>
        </w:rPr>
        <w:t xml:space="preserve">Ongoing Software Subscription Cost (If SaaS Deployment): </w:t>
      </w:r>
      <w:r w:rsidRPr="00152D5F">
        <w:rPr>
          <w:rFonts w:cs="Arial"/>
        </w:rPr>
        <w:t xml:space="preserve">Ongoing software subscription costs include the annual payments for access to the software, hosting costs, backup costs, and potentially disaster recovery provisions. The </w:t>
      </w:r>
      <w:r w:rsidR="00647499">
        <w:rPr>
          <w:rFonts w:cs="Arial"/>
        </w:rPr>
        <w:t>City</w:t>
      </w:r>
      <w:r w:rsidR="00A47FCC" w:rsidRPr="00152D5F">
        <w:rPr>
          <w:rFonts w:cs="Arial"/>
        </w:rPr>
        <w:t xml:space="preserve"> </w:t>
      </w:r>
      <w:r w:rsidRPr="00152D5F">
        <w:rPr>
          <w:rFonts w:cs="Arial"/>
        </w:rPr>
        <w:t>expects that subscription costs for software modules will not be payable until the associated project phase for that module begins</w:t>
      </w:r>
      <w:r w:rsidRPr="00CF5A35">
        <w:rPr>
          <w:rFonts w:cs="Arial"/>
        </w:rPr>
        <w:t xml:space="preserve">. For example, if </w:t>
      </w:r>
      <w:r w:rsidR="006D72DF">
        <w:rPr>
          <w:rFonts w:cs="Arial"/>
        </w:rPr>
        <w:t>payroll</w:t>
      </w:r>
      <w:r w:rsidR="00D85360">
        <w:rPr>
          <w:rFonts w:cs="Arial"/>
        </w:rPr>
        <w:t xml:space="preserve"> </w:t>
      </w:r>
      <w:r w:rsidRPr="00CF5A35">
        <w:rPr>
          <w:rFonts w:cs="Arial"/>
        </w:rPr>
        <w:t xml:space="preserve">were a part of a potential Phase II to the project, the </w:t>
      </w:r>
      <w:r w:rsidR="00647499">
        <w:rPr>
          <w:rFonts w:cs="Arial"/>
        </w:rPr>
        <w:t>City</w:t>
      </w:r>
      <w:r w:rsidR="00A47FCC" w:rsidRPr="00CF5A35">
        <w:rPr>
          <w:rFonts w:cs="Arial"/>
        </w:rPr>
        <w:t xml:space="preserve"> </w:t>
      </w:r>
      <w:r w:rsidRPr="00CF5A35">
        <w:rPr>
          <w:rFonts w:cs="Arial"/>
        </w:rPr>
        <w:t xml:space="preserve">would expect to have payment for the </w:t>
      </w:r>
      <w:r w:rsidR="006D72DF">
        <w:rPr>
          <w:rFonts w:cs="Arial"/>
        </w:rPr>
        <w:t>payroll</w:t>
      </w:r>
      <w:r w:rsidR="00DE5320">
        <w:rPr>
          <w:rFonts w:cs="Arial"/>
        </w:rPr>
        <w:t xml:space="preserve"> </w:t>
      </w:r>
      <w:r w:rsidRPr="00CF5A35">
        <w:rPr>
          <w:rFonts w:cs="Arial"/>
        </w:rPr>
        <w:t>module begin with the phase kickoff for Phase II. The</w:t>
      </w:r>
      <w:r w:rsidRPr="00152D5F">
        <w:rPr>
          <w:rFonts w:cs="Arial"/>
        </w:rPr>
        <w:t xml:space="preserve"> </w:t>
      </w:r>
      <w:r w:rsidR="00647499">
        <w:rPr>
          <w:rFonts w:cs="Arial"/>
        </w:rPr>
        <w:t>City</w:t>
      </w:r>
      <w:r w:rsidR="00A47FCC" w:rsidRPr="00152D5F">
        <w:rPr>
          <w:rFonts w:cs="Arial"/>
        </w:rPr>
        <w:t xml:space="preserve"> </w:t>
      </w:r>
      <w:r w:rsidRPr="00152D5F">
        <w:rPr>
          <w:rFonts w:cs="Arial"/>
        </w:rPr>
        <w:t>expects to pre-negotiate any rates of increase in th</w:t>
      </w:r>
      <w:r>
        <w:rPr>
          <w:rFonts w:cs="Arial"/>
        </w:rPr>
        <w:t>ese costs in the first 10 years.</w:t>
      </w:r>
    </w:p>
    <w:p w14:paraId="35CA9D69" w14:textId="4DC25E85" w:rsidR="00A47FCC" w:rsidRPr="00A47FCC" w:rsidRDefault="00A47FCC" w:rsidP="005E3E7D">
      <w:pPr>
        <w:spacing w:before="120" w:after="240"/>
        <w:ind w:left="1080"/>
        <w:rPr>
          <w:rFonts w:cs="Arial"/>
        </w:rPr>
      </w:pPr>
      <w:r w:rsidRPr="00D47AF6">
        <w:rPr>
          <w:rFonts w:cs="Arial"/>
          <w:b/>
          <w:bCs/>
        </w:rPr>
        <w:t>Brief Statement:</w:t>
      </w:r>
      <w:r w:rsidRPr="00A47FCC">
        <w:rPr>
          <w:rFonts w:cs="Arial"/>
        </w:rPr>
        <w:t xml:space="preserve"> </w:t>
      </w:r>
      <w:r w:rsidR="00A41AB8">
        <w:rPr>
          <w:rFonts w:cs="Arial"/>
        </w:rPr>
        <w:t>The RFP proposal assumes all modules will be implemented as a single phase.</w:t>
      </w:r>
      <w:r w:rsidR="00D47AF6">
        <w:rPr>
          <w:rFonts w:cs="Arial"/>
        </w:rPr>
        <w:t xml:space="preserve"> </w:t>
      </w:r>
      <w:r w:rsidR="0014222E">
        <w:rPr>
          <w:rFonts w:cs="Arial"/>
        </w:rPr>
        <w:t xml:space="preserve">The pricing is also structured the same way. Should the City wish to have a phased approach to module deployment, we would be happy to discuss module pricing around that model. Typically, it is more </w:t>
      </w:r>
      <w:r w:rsidR="00D47AF6">
        <w:rPr>
          <w:rFonts w:cs="Arial"/>
        </w:rPr>
        <w:t>cost-effective to purchase the bundled</w:t>
      </w:r>
      <w:r w:rsidR="0014222E">
        <w:rPr>
          <w:rFonts w:cs="Arial"/>
        </w:rPr>
        <w:t xml:space="preserve"> pricing.</w:t>
      </w:r>
    </w:p>
    <w:p w14:paraId="74B5CBD5" w14:textId="00C4E219" w:rsidR="00C76D6D" w:rsidRPr="005E3E7D" w:rsidRDefault="00C76D6D" w:rsidP="00C76D6D">
      <w:pPr>
        <w:pStyle w:val="Caption"/>
        <w:numPr>
          <w:ilvl w:val="0"/>
          <w:numId w:val="3"/>
        </w:numPr>
        <w:tabs>
          <w:tab w:val="left" w:pos="360"/>
        </w:tabs>
        <w:spacing w:before="200" w:after="200" w:line="276" w:lineRule="auto"/>
        <w:ind w:left="360"/>
        <w:rPr>
          <w:color w:val="3E762A" w:themeColor="accent1" w:themeShade="BF"/>
          <w:sz w:val="28"/>
          <w:szCs w:val="22"/>
        </w:rPr>
      </w:pPr>
      <w:r w:rsidRPr="005E3E7D">
        <w:rPr>
          <w:color w:val="3E762A" w:themeColor="accent1" w:themeShade="BF"/>
          <w:sz w:val="28"/>
          <w:szCs w:val="22"/>
        </w:rPr>
        <w:t>NARRATIVE DESCRIPTION OF PRICE PROPOSAL</w:t>
      </w:r>
    </w:p>
    <w:p w14:paraId="74B5CBD6" w14:textId="77777777" w:rsidR="00C76D6D" w:rsidRPr="00550B77" w:rsidRDefault="00C76D6D" w:rsidP="0092105F">
      <w:pPr>
        <w:spacing w:before="200" w:after="120"/>
        <w:ind w:left="360"/>
        <w:rPr>
          <w:rFonts w:cs="Arial"/>
        </w:rPr>
      </w:pPr>
      <w:r>
        <w:rPr>
          <w:rFonts w:cs="Arial"/>
        </w:rPr>
        <w:t>Proposers are encouraged to include a</w:t>
      </w:r>
      <w:r w:rsidRPr="00550B77">
        <w:rPr>
          <w:rFonts w:cs="Arial"/>
        </w:rPr>
        <w:t xml:space="preserve"> narrative description of the proposed costs, including</w:t>
      </w:r>
      <w:r>
        <w:rPr>
          <w:rFonts w:cs="Arial"/>
        </w:rPr>
        <w:t>, at a minimum the following</w:t>
      </w:r>
      <w:r w:rsidRPr="00550B77">
        <w:rPr>
          <w:rFonts w:cs="Arial"/>
        </w:rPr>
        <w:t>;</w:t>
      </w:r>
    </w:p>
    <w:p w14:paraId="74B5CBD7" w14:textId="77777777" w:rsidR="00C76D6D" w:rsidRDefault="00C76D6D" w:rsidP="0092105F">
      <w:pPr>
        <w:pStyle w:val="ListParagraph"/>
        <w:widowControl w:val="0"/>
        <w:numPr>
          <w:ilvl w:val="0"/>
          <w:numId w:val="7"/>
        </w:numPr>
        <w:tabs>
          <w:tab w:val="left" w:pos="1080"/>
          <w:tab w:val="left" w:pos="4824"/>
        </w:tabs>
        <w:spacing w:after="120"/>
        <w:ind w:left="1080"/>
        <w:contextualSpacing w:val="0"/>
        <w:rPr>
          <w:rFonts w:cs="Arial"/>
        </w:rPr>
      </w:pPr>
      <w:r w:rsidRPr="00A06DE0">
        <w:rPr>
          <w:rFonts w:cs="Arial"/>
        </w:rPr>
        <w:t>Any optional services/offerings for professional services</w:t>
      </w:r>
    </w:p>
    <w:p w14:paraId="74B5CBD8" w14:textId="2599618E" w:rsidR="00C76D6D" w:rsidRPr="00A06DE0" w:rsidRDefault="00C76D6D" w:rsidP="005E3E7D">
      <w:pPr>
        <w:spacing w:before="120" w:after="240"/>
        <w:ind w:left="1080"/>
        <w:rPr>
          <w:rFonts w:cs="Arial"/>
        </w:rPr>
      </w:pPr>
      <w:r w:rsidRPr="00A7771E">
        <w:rPr>
          <w:rFonts w:cs="Arial"/>
          <w:b/>
          <w:bCs/>
        </w:rPr>
        <w:t xml:space="preserve">Brief Statement: </w:t>
      </w:r>
      <w:proofErr w:type="spellStart"/>
      <w:r w:rsidR="008A2FA9">
        <w:rPr>
          <w:rFonts w:cs="Arial"/>
        </w:rPr>
        <w:t>Inovium</w:t>
      </w:r>
      <w:proofErr w:type="spellEnd"/>
      <w:r w:rsidR="008A2FA9">
        <w:rPr>
          <w:rFonts w:cs="Arial"/>
        </w:rPr>
        <w:t xml:space="preserve"> would be open to discounted upfront payment terms. </w:t>
      </w:r>
    </w:p>
    <w:p w14:paraId="74B5CBD9" w14:textId="77777777" w:rsidR="00C76D6D" w:rsidRDefault="00C76D6D" w:rsidP="00C76D6D">
      <w:pPr>
        <w:pStyle w:val="ListParagraph"/>
        <w:widowControl w:val="0"/>
        <w:numPr>
          <w:ilvl w:val="0"/>
          <w:numId w:val="7"/>
        </w:numPr>
        <w:tabs>
          <w:tab w:val="left" w:pos="1080"/>
          <w:tab w:val="left" w:pos="4824"/>
        </w:tabs>
        <w:spacing w:after="240"/>
        <w:ind w:left="1080"/>
        <w:contextualSpacing w:val="0"/>
        <w:jc w:val="both"/>
        <w:rPr>
          <w:rFonts w:cs="Arial"/>
        </w:rPr>
      </w:pPr>
      <w:r w:rsidRPr="00A06DE0">
        <w:rPr>
          <w:rFonts w:cs="Arial"/>
        </w:rPr>
        <w:t>Any discounts that have been offered</w:t>
      </w:r>
    </w:p>
    <w:p w14:paraId="74B5CBDA" w14:textId="2FD7CA69" w:rsidR="00C76D6D" w:rsidRPr="00A06DE0" w:rsidRDefault="00C76D6D" w:rsidP="005E3E7D">
      <w:pPr>
        <w:spacing w:before="120" w:after="240"/>
        <w:ind w:left="1080"/>
        <w:rPr>
          <w:rFonts w:cs="Arial"/>
        </w:rPr>
      </w:pPr>
      <w:r w:rsidRPr="00A7771E">
        <w:rPr>
          <w:rFonts w:cs="Arial"/>
          <w:b/>
          <w:bCs/>
        </w:rPr>
        <w:t>Brief Statement:</w:t>
      </w:r>
      <w:r w:rsidRPr="00A06DE0">
        <w:rPr>
          <w:rFonts w:cs="Arial"/>
        </w:rPr>
        <w:t xml:space="preserve"> </w:t>
      </w:r>
      <w:proofErr w:type="spellStart"/>
      <w:r w:rsidR="0014222E">
        <w:rPr>
          <w:rFonts w:cs="Arial"/>
        </w:rPr>
        <w:t>Inovium</w:t>
      </w:r>
      <w:proofErr w:type="spellEnd"/>
      <w:r w:rsidR="0014222E">
        <w:rPr>
          <w:rFonts w:cs="Arial"/>
        </w:rPr>
        <w:t xml:space="preserve"> is proposing bundled discount pricing for the entire HCM/WFM suite of products that Infor offers.</w:t>
      </w:r>
    </w:p>
    <w:p w14:paraId="386C7B3A" w14:textId="28309C07" w:rsidR="00C91EB4" w:rsidRDefault="00C91EB4" w:rsidP="3845030E">
      <w:pPr>
        <w:pStyle w:val="ListParagraph"/>
        <w:widowControl w:val="0"/>
        <w:numPr>
          <w:ilvl w:val="0"/>
          <w:numId w:val="7"/>
        </w:numPr>
        <w:tabs>
          <w:tab w:val="left" w:pos="1080"/>
          <w:tab w:val="left" w:pos="4824"/>
        </w:tabs>
        <w:spacing w:after="120"/>
        <w:ind w:left="1080"/>
        <w:rPr>
          <w:rFonts w:cs="Arial"/>
        </w:rPr>
      </w:pPr>
      <w:r w:rsidRPr="3845030E">
        <w:rPr>
          <w:rFonts w:cs="Arial"/>
        </w:rPr>
        <w:t>Any additional service offerings that m</w:t>
      </w:r>
      <w:r w:rsidR="00246DC0" w:rsidRPr="3845030E">
        <w:rPr>
          <w:rFonts w:cs="Arial"/>
        </w:rPr>
        <w:t>a</w:t>
      </w:r>
      <w:r w:rsidRPr="3845030E">
        <w:rPr>
          <w:rFonts w:cs="Arial"/>
        </w:rPr>
        <w:t xml:space="preserve">y be out of </w:t>
      </w:r>
      <w:r w:rsidR="3C1AECD5" w:rsidRPr="3845030E">
        <w:rPr>
          <w:rFonts w:cs="Arial"/>
        </w:rPr>
        <w:t>scope but</w:t>
      </w:r>
      <w:r w:rsidRPr="3845030E">
        <w:rPr>
          <w:rFonts w:cs="Arial"/>
        </w:rPr>
        <w:t xml:space="preserve"> may be available on an optional basis to serve to shift some of the implementation work effort from the </w:t>
      </w:r>
      <w:r w:rsidR="0B02214B" w:rsidRPr="3845030E">
        <w:rPr>
          <w:rFonts w:cs="Arial"/>
        </w:rPr>
        <w:t>city</w:t>
      </w:r>
      <w:r w:rsidR="00A47FCC" w:rsidRPr="3845030E">
        <w:rPr>
          <w:rFonts w:cs="Arial"/>
        </w:rPr>
        <w:t xml:space="preserve"> </w:t>
      </w:r>
      <w:r w:rsidRPr="3845030E">
        <w:rPr>
          <w:rFonts w:cs="Arial"/>
        </w:rPr>
        <w:t>to the vendor during implementation.</w:t>
      </w:r>
    </w:p>
    <w:p w14:paraId="3A1EAB50" w14:textId="4D487A39" w:rsidR="00C91EB4" w:rsidRPr="00C91EB4" w:rsidRDefault="00A7771E" w:rsidP="005E3E7D">
      <w:pPr>
        <w:spacing w:before="120" w:after="240"/>
        <w:ind w:left="1080"/>
        <w:rPr>
          <w:rFonts w:cs="Arial"/>
        </w:rPr>
      </w:pPr>
      <w:r w:rsidRPr="00A7771E">
        <w:rPr>
          <w:rFonts w:cs="Arial"/>
          <w:b/>
          <w:bCs/>
        </w:rPr>
        <w:t xml:space="preserve">Brief </w:t>
      </w:r>
      <w:r w:rsidR="00C91EB4" w:rsidRPr="00A7771E">
        <w:rPr>
          <w:rFonts w:cs="Arial"/>
          <w:b/>
          <w:bCs/>
        </w:rPr>
        <w:t>Statement</w:t>
      </w:r>
      <w:r w:rsidR="00C91EB4" w:rsidRPr="00C91EB4">
        <w:rPr>
          <w:rFonts w:cs="Arial"/>
        </w:rPr>
        <w:t xml:space="preserve">: </w:t>
      </w:r>
      <w:r w:rsidR="008A2FA9">
        <w:rPr>
          <w:rFonts w:cs="Arial"/>
        </w:rPr>
        <w:t xml:space="preserve">The </w:t>
      </w:r>
      <w:r w:rsidR="00B461C3">
        <w:rPr>
          <w:rFonts w:cs="Arial"/>
        </w:rPr>
        <w:t>bundled</w:t>
      </w:r>
      <w:r w:rsidR="008A2FA9">
        <w:rPr>
          <w:rFonts w:cs="Arial"/>
        </w:rPr>
        <w:t xml:space="preserve"> solution does contain modules that may not be implemented. This would include modules such as </w:t>
      </w:r>
      <w:proofErr w:type="spellStart"/>
      <w:r w:rsidR="008A2FA9">
        <w:rPr>
          <w:rFonts w:cs="Arial"/>
        </w:rPr>
        <w:t>Ocupational</w:t>
      </w:r>
      <w:proofErr w:type="spellEnd"/>
      <w:r w:rsidR="008A2FA9">
        <w:rPr>
          <w:rFonts w:cs="Arial"/>
        </w:rPr>
        <w:t xml:space="preserve"> Health and Safety which is part of the Core HR product</w:t>
      </w:r>
      <w:r w:rsidR="00B461C3">
        <w:rPr>
          <w:rFonts w:cs="Arial"/>
        </w:rPr>
        <w:t>. Modules not specifically part of this RFP are out of scope for the estimates provided.</w:t>
      </w:r>
    </w:p>
    <w:p w14:paraId="74B5CBDB" w14:textId="1FB54515" w:rsidR="00C76D6D" w:rsidRPr="00B461C3" w:rsidRDefault="34946AD5" w:rsidP="34946AD5">
      <w:pPr>
        <w:pStyle w:val="ListParagraph"/>
        <w:widowControl w:val="0"/>
        <w:numPr>
          <w:ilvl w:val="0"/>
          <w:numId w:val="7"/>
        </w:numPr>
        <w:tabs>
          <w:tab w:val="left" w:pos="1080"/>
          <w:tab w:val="left" w:pos="4824"/>
        </w:tabs>
        <w:spacing w:after="120"/>
        <w:ind w:left="1080"/>
        <w:rPr>
          <w:rFonts w:cs="Arial"/>
        </w:rPr>
      </w:pPr>
      <w:r w:rsidRPr="00B461C3">
        <w:rPr>
          <w:rFonts w:cs="Arial"/>
        </w:rPr>
        <w:t>Any projected or cost savings or cost avoidance considerations related to the proposed software and services (savings in City staff time, savings in ongoing hardware acquisition/maintenance costs, etc.).</w:t>
      </w:r>
    </w:p>
    <w:p w14:paraId="74B5CBDC" w14:textId="38C748D9" w:rsidR="00C76D6D" w:rsidRPr="00A06DE0" w:rsidRDefault="00CE3B71" w:rsidP="00C76D6D">
      <w:pPr>
        <w:spacing w:before="200" w:after="240"/>
        <w:ind w:left="360" w:firstLine="720"/>
        <w:rPr>
          <w:rFonts w:cs="Arial"/>
        </w:rPr>
      </w:pPr>
      <w:r>
        <w:rPr>
          <w:rFonts w:cs="Arial"/>
          <w:b/>
          <w:bCs/>
        </w:rPr>
        <w:t xml:space="preserve">Brief </w:t>
      </w:r>
      <w:r w:rsidR="00C76D6D" w:rsidRPr="005A4FF3">
        <w:rPr>
          <w:rFonts w:cs="Arial"/>
          <w:b/>
          <w:bCs/>
        </w:rPr>
        <w:t>Statement</w:t>
      </w:r>
      <w:r w:rsidR="00C76D6D" w:rsidRPr="00A06DE0">
        <w:rPr>
          <w:rFonts w:cs="Arial"/>
        </w:rPr>
        <w:t xml:space="preserve">: </w:t>
      </w:r>
      <w:r w:rsidR="005A4FF3">
        <w:rPr>
          <w:rFonts w:cs="Arial"/>
        </w:rPr>
        <w:t>None at this time</w:t>
      </w:r>
    </w:p>
    <w:p w14:paraId="74B5CBDD" w14:textId="73EB163F" w:rsidR="00C76D6D" w:rsidRPr="00A06DE0" w:rsidRDefault="00C76D6D" w:rsidP="0092105F">
      <w:pPr>
        <w:pStyle w:val="ListParagraph"/>
        <w:widowControl w:val="0"/>
        <w:numPr>
          <w:ilvl w:val="0"/>
          <w:numId w:val="7"/>
        </w:numPr>
        <w:tabs>
          <w:tab w:val="left" w:pos="1080"/>
          <w:tab w:val="left" w:pos="4824"/>
        </w:tabs>
        <w:spacing w:after="120"/>
        <w:ind w:left="1080"/>
        <w:contextualSpacing w:val="0"/>
        <w:rPr>
          <w:rFonts w:cs="Arial"/>
        </w:rPr>
      </w:pPr>
      <w:r w:rsidRPr="00A06DE0">
        <w:rPr>
          <w:rFonts w:cs="Arial"/>
        </w:rPr>
        <w:t xml:space="preserve">A description of any future upgrade costs, including upgrades to hardware, software, and related professional services costs (such as training, configuration, and other </w:t>
      </w:r>
      <w:r w:rsidRPr="00A06DE0">
        <w:rPr>
          <w:rFonts w:cs="Arial"/>
        </w:rPr>
        <w:lastRenderedPageBreak/>
        <w:t>anticipated services costs related to upgrades in the future)</w:t>
      </w:r>
      <w:r w:rsidR="00D85360">
        <w:rPr>
          <w:rFonts w:cs="Arial"/>
        </w:rPr>
        <w:t>.</w:t>
      </w:r>
    </w:p>
    <w:p w14:paraId="74B5CBDE" w14:textId="7F97439A" w:rsidR="00C76D6D" w:rsidRDefault="00CE3B71" w:rsidP="005E3E7D">
      <w:pPr>
        <w:spacing w:before="120" w:after="240"/>
        <w:ind w:left="1080"/>
        <w:rPr>
          <w:rFonts w:cs="Arial"/>
        </w:rPr>
      </w:pPr>
      <w:r>
        <w:rPr>
          <w:rFonts w:cs="Arial"/>
          <w:b/>
          <w:bCs/>
        </w:rPr>
        <w:t xml:space="preserve">Brief </w:t>
      </w:r>
      <w:r w:rsidR="00C76D6D" w:rsidRPr="005A4FF3">
        <w:rPr>
          <w:rFonts w:cs="Arial"/>
          <w:b/>
          <w:bCs/>
        </w:rPr>
        <w:t>Statement</w:t>
      </w:r>
      <w:r w:rsidR="00C76D6D" w:rsidRPr="00A06DE0">
        <w:rPr>
          <w:rFonts w:cs="Arial"/>
        </w:rPr>
        <w:t xml:space="preserve">: </w:t>
      </w:r>
      <w:r w:rsidR="00B461C3">
        <w:rPr>
          <w:rFonts w:cs="Arial"/>
        </w:rPr>
        <w:t xml:space="preserve">Being multitenant SaaS, upgrades are included in the subscription services. In some cases, the city may wish to engage </w:t>
      </w:r>
      <w:proofErr w:type="spellStart"/>
      <w:r w:rsidR="00B461C3">
        <w:rPr>
          <w:rFonts w:cs="Arial"/>
        </w:rPr>
        <w:t>Inovium</w:t>
      </w:r>
      <w:proofErr w:type="spellEnd"/>
      <w:r w:rsidR="00B461C3">
        <w:rPr>
          <w:rFonts w:cs="Arial"/>
        </w:rPr>
        <w:t xml:space="preserve"> on implementing new functionality. This is typically decided on a </w:t>
      </w:r>
      <w:r w:rsidR="005A4FF3">
        <w:rPr>
          <w:rFonts w:cs="Arial"/>
        </w:rPr>
        <w:t>case-by-case</w:t>
      </w:r>
      <w:r w:rsidR="00B461C3">
        <w:rPr>
          <w:rFonts w:cs="Arial"/>
        </w:rPr>
        <w:t xml:space="preserve"> basis.</w:t>
      </w:r>
    </w:p>
    <w:p w14:paraId="76D4FD9F" w14:textId="7585091F" w:rsidR="00B27B60" w:rsidRDefault="00B27B60" w:rsidP="0092105F">
      <w:pPr>
        <w:pStyle w:val="ListParagraph"/>
        <w:widowControl w:val="0"/>
        <w:numPr>
          <w:ilvl w:val="0"/>
          <w:numId w:val="7"/>
        </w:numPr>
        <w:tabs>
          <w:tab w:val="left" w:pos="1080"/>
          <w:tab w:val="left" w:pos="4824"/>
        </w:tabs>
        <w:spacing w:after="120"/>
        <w:ind w:left="1080"/>
        <w:contextualSpacing w:val="0"/>
        <w:rPr>
          <w:rFonts w:cs="Arial"/>
        </w:rPr>
      </w:pPr>
      <w:r>
        <w:rPr>
          <w:rFonts w:cs="Arial"/>
        </w:rPr>
        <w:t>A description of the estimated travel costs, including the number of trips, average duration of trips and number of staff included per trip, average cost per trip, and whether season</w:t>
      </w:r>
      <w:r w:rsidR="00A47FCC">
        <w:rPr>
          <w:rFonts w:cs="Arial"/>
        </w:rPr>
        <w:t>a</w:t>
      </w:r>
      <w:r>
        <w:rPr>
          <w:rFonts w:cs="Arial"/>
        </w:rPr>
        <w:t>lity in pricing has been considered in the travel estimate.</w:t>
      </w:r>
    </w:p>
    <w:p w14:paraId="0A95ACFC" w14:textId="4A533E54" w:rsidR="00B27B60" w:rsidRPr="00B27B60" w:rsidRDefault="00CE3B71" w:rsidP="005E3E7D">
      <w:pPr>
        <w:spacing w:before="120" w:after="240"/>
        <w:ind w:left="1080"/>
        <w:rPr>
          <w:rFonts w:cs="Arial"/>
        </w:rPr>
      </w:pPr>
      <w:r>
        <w:rPr>
          <w:rFonts w:cs="Arial"/>
          <w:b/>
          <w:bCs/>
        </w:rPr>
        <w:t xml:space="preserve">Brief </w:t>
      </w:r>
      <w:r w:rsidR="00B27B60" w:rsidRPr="005A4FF3">
        <w:rPr>
          <w:rFonts w:cs="Arial"/>
          <w:b/>
          <w:bCs/>
        </w:rPr>
        <w:t>Statement</w:t>
      </w:r>
      <w:r w:rsidR="00B27B60" w:rsidRPr="00B27B60">
        <w:rPr>
          <w:rFonts w:cs="Arial"/>
        </w:rPr>
        <w:t xml:space="preserve">: </w:t>
      </w:r>
      <w:proofErr w:type="spellStart"/>
      <w:r w:rsidR="00B461C3">
        <w:rPr>
          <w:rFonts w:cs="Arial"/>
        </w:rPr>
        <w:t>Inovium</w:t>
      </w:r>
      <w:proofErr w:type="spellEnd"/>
      <w:r w:rsidR="00B461C3">
        <w:rPr>
          <w:rFonts w:cs="Arial"/>
        </w:rPr>
        <w:t xml:space="preserve"> intends to do this product entirely </w:t>
      </w:r>
      <w:r w:rsidR="005A4FF3">
        <w:rPr>
          <w:rFonts w:cs="Arial"/>
        </w:rPr>
        <w:t>remotely</w:t>
      </w:r>
      <w:r w:rsidR="00B461C3">
        <w:rPr>
          <w:rFonts w:cs="Arial"/>
        </w:rPr>
        <w:t>. Should the city wish to have us onsite, we would be happy to adhere to the City’s travel policy.</w:t>
      </w:r>
    </w:p>
    <w:p w14:paraId="74B5CBDF" w14:textId="15BA1CE1" w:rsidR="00C76D6D" w:rsidRDefault="00C76D6D" w:rsidP="0092105F">
      <w:pPr>
        <w:pStyle w:val="ListParagraph"/>
        <w:widowControl w:val="0"/>
        <w:numPr>
          <w:ilvl w:val="0"/>
          <w:numId w:val="7"/>
        </w:numPr>
        <w:tabs>
          <w:tab w:val="left" w:pos="1080"/>
          <w:tab w:val="left" w:pos="4824"/>
        </w:tabs>
        <w:spacing w:after="120"/>
        <w:ind w:left="1080"/>
        <w:contextualSpacing w:val="0"/>
        <w:rPr>
          <w:rFonts w:cs="Arial"/>
        </w:rPr>
      </w:pPr>
      <w:r>
        <w:rPr>
          <w:rFonts w:cs="Arial"/>
        </w:rPr>
        <w:t xml:space="preserve">Other topics or statements related to the price proposal that the Proposer feels will help the </w:t>
      </w:r>
      <w:r w:rsidR="00647499">
        <w:rPr>
          <w:rFonts w:cs="Arial"/>
        </w:rPr>
        <w:t>City</w:t>
      </w:r>
      <w:r w:rsidR="00A47FCC" w:rsidRPr="00152D5F">
        <w:rPr>
          <w:rFonts w:cs="Arial"/>
        </w:rPr>
        <w:t xml:space="preserve"> </w:t>
      </w:r>
      <w:r>
        <w:rPr>
          <w:rFonts w:cs="Arial"/>
        </w:rPr>
        <w:t>better understand the pricing structure or key differentiators for the proposed products and services.</w:t>
      </w:r>
    </w:p>
    <w:p w14:paraId="3CD7E722" w14:textId="08E75413" w:rsidR="00E85179" w:rsidRPr="00CB1483" w:rsidRDefault="00CE3B71" w:rsidP="00E85179">
      <w:r>
        <w:rPr>
          <w:rFonts w:cs="Arial"/>
          <w:b/>
          <w:bCs/>
        </w:rPr>
        <w:t xml:space="preserve">Brief </w:t>
      </w:r>
      <w:r w:rsidR="00C76D6D" w:rsidRPr="005A4FF3">
        <w:rPr>
          <w:rFonts w:cs="Arial"/>
          <w:b/>
          <w:bCs/>
        </w:rPr>
        <w:t>Statement</w:t>
      </w:r>
      <w:r w:rsidR="00C76D6D" w:rsidRPr="00A06DE0">
        <w:rPr>
          <w:rFonts w:cs="Arial"/>
        </w:rPr>
        <w:t xml:space="preserve">: </w:t>
      </w:r>
      <w:r w:rsidR="00E85179" w:rsidRPr="053D7539">
        <w:t xml:space="preserve">The following assumptions were used when estimating this project. Additionally, we leveraged internal resources that have worked with </w:t>
      </w:r>
      <w:r w:rsidR="00E85179" w:rsidRPr="00DD6C2D">
        <w:t xml:space="preserve">City of </w:t>
      </w:r>
      <w:r w:rsidR="00AA470B" w:rsidRPr="00DD6C2D">
        <w:t>Surprise</w:t>
      </w:r>
      <w:r w:rsidR="00E85179">
        <w:rPr>
          <w:b/>
          <w:bCs/>
        </w:rPr>
        <w:t xml:space="preserve"> </w:t>
      </w:r>
      <w:r w:rsidR="00E85179" w:rsidRPr="053D7539">
        <w:t>directly.</w:t>
      </w:r>
    </w:p>
    <w:p w14:paraId="41CAE67B" w14:textId="77777777" w:rsidR="00E85179" w:rsidRPr="00CB1483" w:rsidRDefault="00E85179" w:rsidP="00E85179">
      <w:pPr>
        <w:numPr>
          <w:ilvl w:val="0"/>
          <w:numId w:val="9"/>
        </w:numPr>
        <w:spacing w:after="120" w:line="264" w:lineRule="auto"/>
      </w:pPr>
      <w:r w:rsidRPr="053D7539">
        <w:t xml:space="preserve">All supporting documentation work products will be developed for industry-standard Microsoft Windows-based PCs using applicable (as reasonably determined by </w:t>
      </w:r>
      <w:proofErr w:type="spellStart"/>
      <w:r w:rsidRPr="053D7539">
        <w:t>Inovium</w:t>
      </w:r>
      <w:proofErr w:type="spellEnd"/>
      <w:r w:rsidRPr="053D7539">
        <w:t xml:space="preserve">) Microsoft Office applications (Word, Excel, and PowerPoint).  </w:t>
      </w:r>
    </w:p>
    <w:p w14:paraId="1FF8E270" w14:textId="77777777" w:rsidR="00E85179" w:rsidRPr="00CB1483" w:rsidRDefault="00E85179" w:rsidP="00E85179">
      <w:pPr>
        <w:numPr>
          <w:ilvl w:val="0"/>
          <w:numId w:val="9"/>
        </w:numPr>
        <w:spacing w:after="120" w:line="264" w:lineRule="auto"/>
      </w:pPr>
      <w:r w:rsidRPr="053D7539">
        <w:t xml:space="preserve">Unless otherwise expressly stated, no software code development will be made under this SOW.  </w:t>
      </w:r>
    </w:p>
    <w:p w14:paraId="2A13AFCA" w14:textId="77777777" w:rsidR="00E85179" w:rsidRPr="00CB1483" w:rsidRDefault="00E85179" w:rsidP="00E85179">
      <w:pPr>
        <w:numPr>
          <w:ilvl w:val="0"/>
          <w:numId w:val="9"/>
        </w:numPr>
        <w:spacing w:after="120" w:line="264" w:lineRule="auto"/>
      </w:pPr>
      <w:r w:rsidRPr="053D7539">
        <w:t xml:space="preserve">Unless otherwise expressly stated 1, any data cleansing or data cleanup is wholly the responsibility of the Customer. </w:t>
      </w:r>
    </w:p>
    <w:p w14:paraId="504BAEB3" w14:textId="77777777" w:rsidR="00E85179" w:rsidRPr="00CB1483" w:rsidRDefault="00E85179" w:rsidP="00E85179">
      <w:pPr>
        <w:numPr>
          <w:ilvl w:val="0"/>
          <w:numId w:val="9"/>
        </w:numPr>
        <w:spacing w:after="120" w:line="264" w:lineRule="auto"/>
      </w:pPr>
      <w:r w:rsidRPr="053D7539">
        <w:t xml:space="preserve">The Customer will provide knowledgeable, decision-empowered resources that are available to work on the Project as part of the Project team.  </w:t>
      </w:r>
    </w:p>
    <w:p w14:paraId="0279EC76" w14:textId="77777777" w:rsidR="00E85179" w:rsidRPr="00CB1483" w:rsidRDefault="00E85179" w:rsidP="00E85179">
      <w:pPr>
        <w:numPr>
          <w:ilvl w:val="0"/>
          <w:numId w:val="9"/>
        </w:numPr>
        <w:spacing w:after="120" w:line="264" w:lineRule="auto"/>
      </w:pPr>
      <w:r w:rsidRPr="053D7539">
        <w:t xml:space="preserve">The Project will be sponsored by the Customer’s senior management, who will be available on a timely and regular basis to monitor the Project's progress and make policy decisions and resolve issues. </w:t>
      </w:r>
    </w:p>
    <w:p w14:paraId="1A711FC5" w14:textId="77777777" w:rsidR="00E85179" w:rsidRPr="00CB1483" w:rsidRDefault="00E85179" w:rsidP="00E85179">
      <w:pPr>
        <w:numPr>
          <w:ilvl w:val="0"/>
          <w:numId w:val="9"/>
        </w:numPr>
        <w:spacing w:after="120" w:line="264" w:lineRule="auto"/>
      </w:pPr>
      <w:r w:rsidRPr="053D7539">
        <w:t xml:space="preserve">When/If Onsite is needed, the Customer will provide a working environment and facilities adequate for </w:t>
      </w:r>
      <w:proofErr w:type="spellStart"/>
      <w:r w:rsidRPr="053D7539">
        <w:t>Inovium</w:t>
      </w:r>
      <w:proofErr w:type="spellEnd"/>
      <w:r w:rsidRPr="053D7539">
        <w:t xml:space="preserve"> to perform their assigned duties. This includes but is not limited to, adequate conference rooms, cubicle space, and telephone access. The Customer will provide </w:t>
      </w:r>
      <w:proofErr w:type="spellStart"/>
      <w:r w:rsidRPr="053D7539">
        <w:t>Inovium</w:t>
      </w:r>
      <w:proofErr w:type="spellEnd"/>
      <w:r w:rsidRPr="053D7539">
        <w:t xml:space="preserve"> with all necessary authorizations. </w:t>
      </w:r>
    </w:p>
    <w:p w14:paraId="00DC8531" w14:textId="77777777" w:rsidR="00E85179" w:rsidRPr="00CB1483" w:rsidRDefault="00E85179" w:rsidP="00E85179">
      <w:pPr>
        <w:numPr>
          <w:ilvl w:val="0"/>
          <w:numId w:val="9"/>
        </w:numPr>
        <w:spacing w:after="120" w:line="264" w:lineRule="auto"/>
      </w:pPr>
      <w:r w:rsidRPr="053D7539">
        <w:t xml:space="preserve">The Customer will support the use of the </w:t>
      </w:r>
      <w:proofErr w:type="spellStart"/>
      <w:r w:rsidRPr="053D7539">
        <w:t>Inovium</w:t>
      </w:r>
      <w:proofErr w:type="spellEnd"/>
      <w:r w:rsidRPr="053D7539">
        <w:t xml:space="preserve"> team laptops on its network or the Customer will provide PCs with the Microsoft Office Suite and e-mail capability for the Project team. </w:t>
      </w:r>
    </w:p>
    <w:p w14:paraId="26EE4AE5" w14:textId="77777777" w:rsidR="00E85179" w:rsidRPr="00CB1483" w:rsidRDefault="00E85179" w:rsidP="00E85179">
      <w:pPr>
        <w:numPr>
          <w:ilvl w:val="0"/>
          <w:numId w:val="9"/>
        </w:numPr>
        <w:spacing w:after="120" w:line="264" w:lineRule="auto"/>
      </w:pPr>
      <w:r w:rsidRPr="053D7539">
        <w:t xml:space="preserve">Project team members will be given access to the Customer’s Infor environment. The Customer shall provide secure dial-in and/or direct access to Customer networks as necessary. </w:t>
      </w:r>
    </w:p>
    <w:p w14:paraId="1EBBFF79" w14:textId="77777777" w:rsidR="00E85179" w:rsidRPr="00CB1483" w:rsidRDefault="00E85179" w:rsidP="00E85179">
      <w:pPr>
        <w:numPr>
          <w:ilvl w:val="0"/>
          <w:numId w:val="9"/>
        </w:numPr>
        <w:spacing w:after="120" w:line="264" w:lineRule="auto"/>
      </w:pPr>
      <w:proofErr w:type="spellStart"/>
      <w:r w:rsidRPr="053D7539">
        <w:t>Inovium</w:t>
      </w:r>
      <w:proofErr w:type="spellEnd"/>
      <w:r w:rsidRPr="053D7539">
        <w:t xml:space="preserve"> will be provided with the necessary access to all of the Customer’s facilities necessary for the Project, including all necessary identification material (badges, cards, </w:t>
      </w:r>
      <w:r w:rsidRPr="053D7539">
        <w:lastRenderedPageBreak/>
        <w:t xml:space="preserve">etc.), subject to the terms and conditions of the PSA.  This includes necessary access to such buildings and systems during and after normal business hours, on weekends, and on holidays. Limitation of </w:t>
      </w:r>
      <w:proofErr w:type="spellStart"/>
      <w:r w:rsidRPr="053D7539">
        <w:t>Inovium</w:t>
      </w:r>
      <w:proofErr w:type="spellEnd"/>
      <w:r w:rsidRPr="053D7539">
        <w:t xml:space="preserve"> access during these times may reduce </w:t>
      </w:r>
      <w:proofErr w:type="spellStart"/>
      <w:r w:rsidRPr="053D7539">
        <w:t>Inovium’s</w:t>
      </w:r>
      <w:proofErr w:type="spellEnd"/>
      <w:r w:rsidRPr="053D7539">
        <w:t xml:space="preserve"> ability to maintain the proposed schedule. </w:t>
      </w:r>
      <w:proofErr w:type="spellStart"/>
      <w:r w:rsidRPr="053D7539">
        <w:t>Inovium</w:t>
      </w:r>
      <w:proofErr w:type="spellEnd"/>
      <w:r w:rsidRPr="053D7539">
        <w:t xml:space="preserve"> will also be provided with the necessary authorizations for remote access to Customer’s systems. The responsibilities and assumptions are considered to be material contract duties of the Customer. The Customer agrees that any estimates provided in this SOW may be subject to change if Customer’s responsibilities and Project assumptions are not fulfilled.  </w:t>
      </w:r>
    </w:p>
    <w:p w14:paraId="2D44807D" w14:textId="77777777" w:rsidR="00E85179" w:rsidRPr="00CB1483" w:rsidRDefault="00E85179" w:rsidP="00E85179">
      <w:pPr>
        <w:numPr>
          <w:ilvl w:val="0"/>
          <w:numId w:val="10"/>
        </w:numPr>
        <w:spacing w:after="120" w:line="264" w:lineRule="auto"/>
      </w:pPr>
      <w:r w:rsidRPr="053D7539">
        <w:t>Infrastructure installation is not in scope. Please note that this service agreement does not cover any configurations or software deployments related to physical clocks. Any activities pertaining to the installation, configuration, or management of software on physical clocks, or any related hardware deployments or configurations, are expressly outside the scope of the services as described in this agreement. Clients are therefore responsible for managing these activities independently or through third-party resources.</w:t>
      </w:r>
    </w:p>
    <w:p w14:paraId="38020E18" w14:textId="77777777" w:rsidR="00E85179" w:rsidRPr="00CB1483" w:rsidRDefault="00E85179" w:rsidP="00E85179"/>
    <w:p w14:paraId="74B5CBE1" w14:textId="41E38646" w:rsidR="0019482A" w:rsidRDefault="00E85179" w:rsidP="00E85179">
      <w:pPr>
        <w:spacing w:before="200" w:after="240"/>
        <w:ind w:left="360" w:firstLine="720"/>
        <w:rPr>
          <w:rFonts w:cs="Arial"/>
        </w:rPr>
      </w:pPr>
      <w:r w:rsidRPr="00187A40">
        <w:br w:type="page"/>
      </w:r>
    </w:p>
    <w:p w14:paraId="3BA5EFA9" w14:textId="49387660" w:rsidR="00CF5A35" w:rsidRPr="005E3E7D" w:rsidRDefault="00CF5A35" w:rsidP="005E3E7D">
      <w:pPr>
        <w:pStyle w:val="Caption"/>
        <w:numPr>
          <w:ilvl w:val="0"/>
          <w:numId w:val="3"/>
        </w:numPr>
        <w:shd w:val="clear" w:color="auto" w:fill="FFFFFF" w:themeFill="background1"/>
        <w:tabs>
          <w:tab w:val="left" w:pos="360"/>
        </w:tabs>
        <w:spacing w:before="200" w:after="200" w:line="276" w:lineRule="auto"/>
        <w:ind w:left="360"/>
        <w:rPr>
          <w:color w:val="3E762A" w:themeColor="accent1" w:themeShade="BF"/>
          <w:sz w:val="28"/>
          <w:szCs w:val="22"/>
        </w:rPr>
      </w:pPr>
      <w:r w:rsidRPr="005E3E7D">
        <w:rPr>
          <w:color w:val="3E762A" w:themeColor="accent1" w:themeShade="BF"/>
          <w:sz w:val="28"/>
          <w:szCs w:val="22"/>
        </w:rPr>
        <w:lastRenderedPageBreak/>
        <w:t>STANDARD QUOTE FORMAT</w:t>
      </w:r>
    </w:p>
    <w:p w14:paraId="4740D193" w14:textId="7AF69F85" w:rsidR="00CF5A35" w:rsidRDefault="00CF5A35" w:rsidP="00CF5A35">
      <w:r>
        <w:t xml:space="preserve">Proposer to include at the end of </w:t>
      </w:r>
      <w:r w:rsidR="00DC5B4E">
        <w:t xml:space="preserve">Attachment </w:t>
      </w:r>
      <w:r w:rsidR="00614ACD">
        <w:t>D</w:t>
      </w:r>
      <w:r>
        <w:t xml:space="preserve">, as supporting documentation aligning with the total costs proposed within </w:t>
      </w:r>
      <w:r w:rsidR="00DC5B4E">
        <w:t xml:space="preserve">Attachment </w:t>
      </w:r>
      <w:r w:rsidR="00614ACD">
        <w:t>C</w:t>
      </w:r>
      <w:r>
        <w:t>, a copy of any relevant quote/order form using the Proposer’s standard format.</w:t>
      </w:r>
    </w:p>
    <w:p w14:paraId="0A63A821" w14:textId="23D9A418" w:rsidR="005A4FF3" w:rsidRPr="005A4FF3" w:rsidRDefault="00CE3B71" w:rsidP="00CF5A35">
      <w:pPr>
        <w:rPr>
          <w:b/>
          <w:bCs/>
        </w:rPr>
      </w:pPr>
      <w:r>
        <w:rPr>
          <w:b/>
          <w:bCs/>
        </w:rPr>
        <w:t>Brief Statement</w:t>
      </w:r>
      <w:r w:rsidR="005A4FF3" w:rsidRPr="005A4FF3">
        <w:rPr>
          <w:b/>
          <w:bCs/>
        </w:rPr>
        <w:t xml:space="preserve">: </w:t>
      </w:r>
      <w:r w:rsidR="005A4FF3" w:rsidRPr="005A4FF3">
        <w:t>An order form is not typically generated until selection.</w:t>
      </w:r>
    </w:p>
    <w:sectPr w:rsidR="005A4FF3" w:rsidRPr="005A4FF3" w:rsidSect="00F26A82">
      <w:headerReference w:type="default" r:id="rId11"/>
      <w:footerReference w:type="default" r:id="rId12"/>
      <w:pgSz w:w="12240" w:h="15840"/>
      <w:pgMar w:top="1440" w:right="1440" w:bottom="1440" w:left="1440" w:header="288" w:footer="2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67B5C" w14:textId="77777777" w:rsidR="00546417" w:rsidRDefault="00546417" w:rsidP="00C76D6D">
      <w:pPr>
        <w:spacing w:after="0" w:line="240" w:lineRule="auto"/>
      </w:pPr>
      <w:r>
        <w:separator/>
      </w:r>
    </w:p>
  </w:endnote>
  <w:endnote w:type="continuationSeparator" w:id="0">
    <w:p w14:paraId="7EB34276" w14:textId="77777777" w:rsidR="00546417" w:rsidRDefault="00546417" w:rsidP="00C76D6D">
      <w:pPr>
        <w:spacing w:after="0" w:line="240" w:lineRule="auto"/>
      </w:pPr>
      <w:r>
        <w:continuationSeparator/>
      </w:r>
    </w:p>
  </w:endnote>
  <w:endnote w:type="continuationNotice" w:id="1">
    <w:p w14:paraId="117A4261" w14:textId="77777777" w:rsidR="00546417" w:rsidRDefault="005464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5CBEE" w14:textId="77777777" w:rsidR="00C76D6D" w:rsidRDefault="00C76D6D">
    <w:pPr>
      <w:pStyle w:val="Footer"/>
    </w:pPr>
  </w:p>
  <w:tbl>
    <w:tblPr>
      <w:tblStyle w:val="TableGrid"/>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076"/>
      <w:gridCol w:w="2118"/>
      <w:gridCol w:w="4166"/>
    </w:tblGrid>
    <w:tr w:rsidR="00C76D6D" w:rsidRPr="00AC3482" w14:paraId="74B5CBF2" w14:textId="77777777" w:rsidTr="009D0DFF">
      <w:trPr>
        <w:trHeight w:val="767"/>
        <w:jc w:val="center"/>
      </w:trPr>
      <w:tc>
        <w:tcPr>
          <w:tcW w:w="3648" w:type="dxa"/>
        </w:tcPr>
        <w:p w14:paraId="74B5CBEF" w14:textId="063B85EE" w:rsidR="00C76D6D" w:rsidRPr="00AC3482" w:rsidRDefault="00000000" w:rsidP="00962CBF">
          <w:pPr>
            <w:pStyle w:val="Footer"/>
            <w:spacing w:before="120"/>
            <w:rPr>
              <w:rFonts w:ascii="Arial" w:hAnsi="Arial" w:cs="Arial"/>
              <w:sz w:val="18"/>
              <w:szCs w:val="18"/>
            </w:rPr>
          </w:pPr>
          <w:sdt>
            <w:sdtPr>
              <w:rPr>
                <w:rFonts w:cs="Arial"/>
                <w:sz w:val="18"/>
                <w:szCs w:val="18"/>
              </w:rPr>
              <w:id w:val="1703405337"/>
              <w:docPartObj>
                <w:docPartGallery w:val="Page Numbers (Bottom of Page)"/>
                <w:docPartUnique/>
              </w:docPartObj>
            </w:sdtPr>
            <w:sdtContent>
              <w:sdt>
                <w:sdtPr>
                  <w:rPr>
                    <w:rFonts w:cs="Arial"/>
                    <w:sz w:val="18"/>
                    <w:szCs w:val="18"/>
                  </w:rPr>
                  <w:id w:val="1703405338"/>
                  <w:docPartObj>
                    <w:docPartGallery w:val="Page Numbers (Top of Page)"/>
                    <w:docPartUnique/>
                  </w:docPartObj>
                </w:sdtPr>
                <w:sdtContent>
                  <w:r w:rsidR="00DC5B4E">
                    <w:rPr>
                      <w:rFonts w:ascii="Arial" w:hAnsi="Arial" w:cs="Arial"/>
                      <w:sz w:val="18"/>
                      <w:szCs w:val="18"/>
                    </w:rPr>
                    <w:t xml:space="preserve">Attachment </w:t>
                  </w:r>
                  <w:r w:rsidR="00122A00">
                    <w:rPr>
                      <w:rFonts w:ascii="Arial" w:hAnsi="Arial" w:cs="Arial"/>
                      <w:sz w:val="18"/>
                      <w:szCs w:val="18"/>
                    </w:rPr>
                    <w:t>C2</w:t>
                  </w:r>
                </w:sdtContent>
              </w:sdt>
            </w:sdtContent>
          </w:sdt>
        </w:p>
      </w:tc>
      <w:tc>
        <w:tcPr>
          <w:tcW w:w="2552" w:type="dxa"/>
        </w:tcPr>
        <w:p w14:paraId="74B5CBF0" w14:textId="11552C0F" w:rsidR="00C76D6D" w:rsidRPr="0032619A" w:rsidRDefault="00C76D6D" w:rsidP="00C76D6D">
          <w:pPr>
            <w:pStyle w:val="Footer"/>
            <w:spacing w:before="120"/>
            <w:jc w:val="center"/>
            <w:rPr>
              <w:rFonts w:ascii="Arial" w:hAnsi="Arial" w:cs="Arial"/>
              <w:sz w:val="18"/>
              <w:szCs w:val="18"/>
            </w:rPr>
          </w:pPr>
          <w:r w:rsidRPr="0032619A">
            <w:rPr>
              <w:rFonts w:ascii="Arial" w:hAnsi="Arial" w:cs="Arial"/>
              <w:sz w:val="18"/>
              <w:szCs w:val="18"/>
            </w:rPr>
            <w:t xml:space="preserve">Page </w:t>
          </w:r>
          <w:r w:rsidRPr="0032619A">
            <w:rPr>
              <w:rFonts w:cs="Arial"/>
              <w:sz w:val="18"/>
              <w:szCs w:val="18"/>
            </w:rPr>
            <w:fldChar w:fldCharType="begin"/>
          </w:r>
          <w:r w:rsidRPr="0032619A">
            <w:rPr>
              <w:rFonts w:ascii="Arial" w:hAnsi="Arial" w:cs="Arial"/>
              <w:sz w:val="18"/>
              <w:szCs w:val="18"/>
            </w:rPr>
            <w:instrText xml:space="preserve"> PAGE  \* Arabic  \* MERGEFORMAT </w:instrText>
          </w:r>
          <w:r w:rsidRPr="0032619A">
            <w:rPr>
              <w:rFonts w:cs="Arial"/>
              <w:sz w:val="18"/>
              <w:szCs w:val="18"/>
            </w:rPr>
            <w:fldChar w:fldCharType="separate"/>
          </w:r>
          <w:r w:rsidR="00246DC0">
            <w:rPr>
              <w:rFonts w:ascii="Arial" w:hAnsi="Arial" w:cs="Arial"/>
              <w:noProof/>
              <w:sz w:val="18"/>
              <w:szCs w:val="18"/>
            </w:rPr>
            <w:t>4</w:t>
          </w:r>
          <w:r w:rsidRPr="0032619A">
            <w:rPr>
              <w:rFonts w:cs="Arial"/>
              <w:sz w:val="18"/>
              <w:szCs w:val="18"/>
            </w:rPr>
            <w:fldChar w:fldCharType="end"/>
          </w:r>
          <w:r w:rsidRPr="0032619A">
            <w:rPr>
              <w:rFonts w:ascii="Arial" w:hAnsi="Arial" w:cs="Arial"/>
              <w:sz w:val="18"/>
              <w:szCs w:val="18"/>
            </w:rPr>
            <w:t xml:space="preserve"> of </w:t>
          </w:r>
          <w:r>
            <w:rPr>
              <w:rFonts w:cs="Arial"/>
              <w:noProof/>
              <w:sz w:val="18"/>
              <w:szCs w:val="18"/>
            </w:rPr>
            <w:fldChar w:fldCharType="begin"/>
          </w:r>
          <w:r>
            <w:rPr>
              <w:rFonts w:ascii="Arial" w:hAnsi="Arial" w:cs="Arial"/>
              <w:noProof/>
              <w:sz w:val="18"/>
              <w:szCs w:val="18"/>
            </w:rPr>
            <w:instrText xml:space="preserve"> NUMPAGES  \* Arabic  \* MERGEFORMAT </w:instrText>
          </w:r>
          <w:r>
            <w:rPr>
              <w:rFonts w:cs="Arial"/>
              <w:noProof/>
              <w:sz w:val="18"/>
              <w:szCs w:val="18"/>
            </w:rPr>
            <w:fldChar w:fldCharType="separate"/>
          </w:r>
          <w:r w:rsidR="00246DC0">
            <w:rPr>
              <w:rFonts w:ascii="Arial" w:hAnsi="Arial" w:cs="Arial"/>
              <w:noProof/>
              <w:sz w:val="18"/>
              <w:szCs w:val="18"/>
            </w:rPr>
            <w:t>4</w:t>
          </w:r>
          <w:r>
            <w:rPr>
              <w:rFonts w:cs="Arial"/>
              <w:noProof/>
              <w:sz w:val="18"/>
              <w:szCs w:val="18"/>
            </w:rPr>
            <w:fldChar w:fldCharType="end"/>
          </w:r>
        </w:p>
      </w:tc>
      <w:tc>
        <w:tcPr>
          <w:tcW w:w="4967" w:type="dxa"/>
        </w:tcPr>
        <w:p w14:paraId="74B5CBF1" w14:textId="200935CB" w:rsidR="00C76D6D" w:rsidRPr="00DF7957" w:rsidRDefault="00AD7A9F" w:rsidP="00F26A82">
          <w:pPr>
            <w:pStyle w:val="Footer"/>
            <w:spacing w:before="120"/>
            <w:jc w:val="right"/>
            <w:rPr>
              <w:rFonts w:ascii="Arial" w:hAnsi="Arial" w:cs="Arial"/>
              <w:sz w:val="18"/>
              <w:szCs w:val="18"/>
            </w:rPr>
          </w:pPr>
          <w:r>
            <w:rPr>
              <w:rFonts w:ascii="Arial" w:hAnsi="Arial" w:cs="Arial"/>
              <w:sz w:val="18"/>
              <w:szCs w:val="18"/>
            </w:rPr>
            <w:t>HCM</w:t>
          </w:r>
          <w:r w:rsidR="00BF1219">
            <w:rPr>
              <w:rFonts w:ascii="Arial" w:hAnsi="Arial" w:cs="Arial"/>
              <w:sz w:val="18"/>
              <w:szCs w:val="18"/>
            </w:rPr>
            <w:t xml:space="preserve"> </w:t>
          </w:r>
          <w:r w:rsidR="00F26A82">
            <w:rPr>
              <w:rFonts w:ascii="Arial" w:hAnsi="Arial" w:cs="Arial"/>
              <w:sz w:val="18"/>
              <w:szCs w:val="18"/>
            </w:rPr>
            <w:t xml:space="preserve">Solution </w:t>
          </w:r>
          <w:r w:rsidR="00C76D6D" w:rsidRPr="004A644D">
            <w:rPr>
              <w:rFonts w:ascii="Arial" w:hAnsi="Arial" w:cs="Arial"/>
              <w:sz w:val="18"/>
              <w:szCs w:val="18"/>
            </w:rPr>
            <w:t>and Implementation Services</w:t>
          </w:r>
        </w:p>
      </w:tc>
    </w:tr>
  </w:tbl>
  <w:p w14:paraId="74B5CBF3" w14:textId="77777777" w:rsidR="00C76D6D" w:rsidRDefault="00C76D6D" w:rsidP="0000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EFB65" w14:textId="77777777" w:rsidR="00546417" w:rsidRDefault="00546417" w:rsidP="00C76D6D">
      <w:pPr>
        <w:spacing w:after="0" w:line="240" w:lineRule="auto"/>
      </w:pPr>
      <w:r>
        <w:separator/>
      </w:r>
    </w:p>
  </w:footnote>
  <w:footnote w:type="continuationSeparator" w:id="0">
    <w:p w14:paraId="4D754B4C" w14:textId="77777777" w:rsidR="00546417" w:rsidRDefault="00546417" w:rsidP="00C76D6D">
      <w:pPr>
        <w:spacing w:after="0" w:line="240" w:lineRule="auto"/>
      </w:pPr>
      <w:r>
        <w:continuationSeparator/>
      </w:r>
    </w:p>
  </w:footnote>
  <w:footnote w:type="continuationNotice" w:id="1">
    <w:p w14:paraId="6A151D96" w14:textId="77777777" w:rsidR="00546417" w:rsidRDefault="005464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5CBEC" w14:textId="625DD964" w:rsidR="00C76D6D" w:rsidRPr="006D72DF" w:rsidRDefault="00647499" w:rsidP="006D72DF">
    <w:pPr>
      <w:pStyle w:val="Header"/>
      <w:jc w:val="center"/>
      <w:rPr>
        <w:rFonts w:cs="Arial"/>
        <w:b/>
        <w:color w:val="455F51" w:themeColor="text2"/>
        <w:sz w:val="28"/>
        <w:szCs w:val="28"/>
      </w:rPr>
    </w:pPr>
    <w:r>
      <w:rPr>
        <w:rFonts w:cs="Arial"/>
        <w:noProof/>
        <w:color w:val="000000"/>
        <w:shd w:val="clear" w:color="auto" w:fill="FFFFFF"/>
      </w:rPr>
      <w:drawing>
        <wp:inline distT="0" distB="0" distL="0" distR="0" wp14:anchorId="7C9C561A" wp14:editId="43F19236">
          <wp:extent cx="933450" cy="521176"/>
          <wp:effectExtent l="0" t="0" r="0" b="0"/>
          <wp:docPr id="111332334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3347" name="Picture 1" descr="A logo of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51619" cy="531320"/>
                  </a:xfrm>
                  <a:prstGeom prst="rect">
                    <a:avLst/>
                  </a:prstGeom>
                </pic:spPr>
              </pic:pic>
            </a:graphicData>
          </a:graphic>
        </wp:inline>
      </w:drawing>
    </w:r>
    <w:r w:rsidR="004B1E24">
      <w:rPr>
        <w:rFonts w:cs="Arial"/>
        <w:color w:val="000000"/>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2A64"/>
    <w:multiLevelType w:val="hybridMultilevel"/>
    <w:tmpl w:val="179C089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6BD3EB6"/>
    <w:multiLevelType w:val="hybridMultilevel"/>
    <w:tmpl w:val="439C3E86"/>
    <w:lvl w:ilvl="0" w:tplc="19D2D348">
      <w:start w:val="1"/>
      <w:numFmt w:val="lowerRoman"/>
      <w:lvlText w:val="%1."/>
      <w:lvlJc w:val="right"/>
      <w:pPr>
        <w:ind w:left="21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F1E3E"/>
    <w:multiLevelType w:val="hybridMultilevel"/>
    <w:tmpl w:val="0510B08E"/>
    <w:lvl w:ilvl="0" w:tplc="E78C8B82">
      <w:start w:val="1"/>
      <w:numFmt w:val="lowerLetter"/>
      <w:lvlText w:val="%1."/>
      <w:lvlJc w:val="left"/>
      <w:pPr>
        <w:ind w:left="216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336D3"/>
    <w:multiLevelType w:val="hybridMultilevel"/>
    <w:tmpl w:val="2D2E9EDE"/>
    <w:lvl w:ilvl="0" w:tplc="0409001B">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6F7E"/>
    <w:multiLevelType w:val="hybridMultilevel"/>
    <w:tmpl w:val="206886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9E0F5B"/>
    <w:multiLevelType w:val="hybridMultilevel"/>
    <w:tmpl w:val="0510B08E"/>
    <w:lvl w:ilvl="0" w:tplc="E78C8B82">
      <w:start w:val="1"/>
      <w:numFmt w:val="lowerLetter"/>
      <w:lvlText w:val="%1."/>
      <w:lvlJc w:val="left"/>
      <w:pPr>
        <w:ind w:left="21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27711"/>
    <w:multiLevelType w:val="hybridMultilevel"/>
    <w:tmpl w:val="1DF24DD2"/>
    <w:lvl w:ilvl="0" w:tplc="04090001">
      <w:start w:val="1"/>
      <w:numFmt w:val="bullet"/>
      <w:lvlText w:val=""/>
      <w:lvlJc w:val="left"/>
      <w:pPr>
        <w:ind w:left="720" w:hanging="360"/>
      </w:pPr>
      <w:rPr>
        <w:rFonts w:ascii="Symbol" w:hAnsi="Symbol"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56BAC"/>
    <w:multiLevelType w:val="hybridMultilevel"/>
    <w:tmpl w:val="5A980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1243A"/>
    <w:multiLevelType w:val="hybridMultilevel"/>
    <w:tmpl w:val="5634748E"/>
    <w:lvl w:ilvl="0" w:tplc="04090015">
      <w:start w:val="1"/>
      <w:numFmt w:val="upperLetter"/>
      <w:lvlText w:val="%1."/>
      <w:lvlJc w:val="left"/>
      <w:pPr>
        <w:ind w:left="1440" w:hanging="360"/>
      </w:pPr>
    </w:lvl>
    <w:lvl w:ilvl="1" w:tplc="FFDE8316">
      <w:start w:val="1"/>
      <w:numFmt w:val="lowerLetter"/>
      <w:lvlText w:val="%2."/>
      <w:lvlJc w:val="left"/>
      <w:pPr>
        <w:ind w:left="2160" w:hanging="360"/>
      </w:pPr>
      <w:rPr>
        <w:b w:val="0"/>
      </w:rPr>
    </w:lvl>
    <w:lvl w:ilvl="2" w:tplc="0409001B">
      <w:start w:val="1"/>
      <w:numFmt w:val="lowerRoman"/>
      <w:lvlText w:val="%3."/>
      <w:lvlJc w:val="right"/>
      <w:pPr>
        <w:ind w:left="2880" w:hanging="180"/>
      </w:pPr>
    </w:lvl>
    <w:lvl w:ilvl="3" w:tplc="030C5C7E">
      <w:numFmt w:val="bullet"/>
      <w:lvlText w:val="·"/>
      <w:lvlJc w:val="left"/>
      <w:pPr>
        <w:ind w:left="3960" w:hanging="720"/>
      </w:pPr>
      <w:rPr>
        <w:rFonts w:ascii="Arial" w:eastAsiaTheme="minorEastAsia" w:hAnsi="Arial" w:cs="Aria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1B7A2A"/>
    <w:multiLevelType w:val="hybridMultilevel"/>
    <w:tmpl w:val="E3000CD4"/>
    <w:lvl w:ilvl="0" w:tplc="04090001">
      <w:start w:val="1"/>
      <w:numFmt w:val="bullet"/>
      <w:lvlText w:val=""/>
      <w:lvlJc w:val="left"/>
      <w:pPr>
        <w:ind w:left="1440" w:hanging="360"/>
      </w:pPr>
      <w:rPr>
        <w:rFonts w:ascii="Symbol" w:hAnsi="Symbol" w:hint="default"/>
      </w:rPr>
    </w:lvl>
    <w:lvl w:ilvl="1" w:tplc="FFDE8316">
      <w:start w:val="1"/>
      <w:numFmt w:val="lowerLetter"/>
      <w:lvlText w:val="%2."/>
      <w:lvlJc w:val="left"/>
      <w:pPr>
        <w:ind w:left="2160" w:hanging="360"/>
      </w:pPr>
      <w:rPr>
        <w:b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BC267D"/>
    <w:multiLevelType w:val="hybridMultilevel"/>
    <w:tmpl w:val="9258E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1D25BAF"/>
    <w:multiLevelType w:val="hybridMultilevel"/>
    <w:tmpl w:val="0D46880A"/>
    <w:lvl w:ilvl="0" w:tplc="7234D3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53CD8"/>
    <w:multiLevelType w:val="hybridMultilevel"/>
    <w:tmpl w:val="9AFC4A4C"/>
    <w:lvl w:ilvl="0" w:tplc="D38AD5CE">
      <w:start w:val="1"/>
      <w:numFmt w:val="upperRoman"/>
      <w:lvlText w:val="%1."/>
      <w:lvlJc w:val="left"/>
      <w:pPr>
        <w:ind w:left="720" w:hanging="360"/>
      </w:pPr>
      <w:rPr>
        <w:rFonts w:hint="default"/>
        <w:b/>
      </w:rPr>
    </w:lvl>
    <w:lvl w:ilvl="1" w:tplc="A00C815E">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569053">
    <w:abstractNumId w:val="6"/>
  </w:num>
  <w:num w:numId="2" w16cid:durableId="746534755">
    <w:abstractNumId w:val="8"/>
  </w:num>
  <w:num w:numId="3" w16cid:durableId="141507100">
    <w:abstractNumId w:val="12"/>
  </w:num>
  <w:num w:numId="4" w16cid:durableId="658071158">
    <w:abstractNumId w:val="2"/>
  </w:num>
  <w:num w:numId="5" w16cid:durableId="228228041">
    <w:abstractNumId w:val="1"/>
  </w:num>
  <w:num w:numId="6" w16cid:durableId="357198718">
    <w:abstractNumId w:val="3"/>
  </w:num>
  <w:num w:numId="7" w16cid:durableId="1100374197">
    <w:abstractNumId w:val="5"/>
  </w:num>
  <w:num w:numId="8" w16cid:durableId="1322663097">
    <w:abstractNumId w:val="9"/>
  </w:num>
  <w:num w:numId="9" w16cid:durableId="1099178613">
    <w:abstractNumId w:val="11"/>
  </w:num>
  <w:num w:numId="10" w16cid:durableId="147866630">
    <w:abstractNumId w:val="7"/>
  </w:num>
  <w:num w:numId="11" w16cid:durableId="608511546">
    <w:abstractNumId w:val="10"/>
  </w:num>
  <w:num w:numId="12" w16cid:durableId="187334060">
    <w:abstractNumId w:val="0"/>
  </w:num>
  <w:num w:numId="13" w16cid:durableId="252401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D"/>
    <w:rsid w:val="00005BD4"/>
    <w:rsid w:val="0001511D"/>
    <w:rsid w:val="00016B36"/>
    <w:rsid w:val="0002354B"/>
    <w:rsid w:val="00024A03"/>
    <w:rsid w:val="00025B0A"/>
    <w:rsid w:val="00042D1F"/>
    <w:rsid w:val="00042E39"/>
    <w:rsid w:val="0005315D"/>
    <w:rsid w:val="00054F69"/>
    <w:rsid w:val="00055EA1"/>
    <w:rsid w:val="00077D72"/>
    <w:rsid w:val="00082CAF"/>
    <w:rsid w:val="00085D77"/>
    <w:rsid w:val="000939FF"/>
    <w:rsid w:val="00096E56"/>
    <w:rsid w:val="000B4731"/>
    <w:rsid w:val="000C4236"/>
    <w:rsid w:val="000C4A0F"/>
    <w:rsid w:val="000E39B3"/>
    <w:rsid w:val="000E44B3"/>
    <w:rsid w:val="000F30F4"/>
    <w:rsid w:val="0010227A"/>
    <w:rsid w:val="00110562"/>
    <w:rsid w:val="00117DF1"/>
    <w:rsid w:val="00122A00"/>
    <w:rsid w:val="00136C19"/>
    <w:rsid w:val="0014222E"/>
    <w:rsid w:val="001576CE"/>
    <w:rsid w:val="0019482A"/>
    <w:rsid w:val="001A6938"/>
    <w:rsid w:val="001B1859"/>
    <w:rsid w:val="001B298A"/>
    <w:rsid w:val="001D2A89"/>
    <w:rsid w:val="001F1D0A"/>
    <w:rsid w:val="00203AF6"/>
    <w:rsid w:val="0020667C"/>
    <w:rsid w:val="002457DA"/>
    <w:rsid w:val="00246DC0"/>
    <w:rsid w:val="00262293"/>
    <w:rsid w:val="00270910"/>
    <w:rsid w:val="0027365E"/>
    <w:rsid w:val="002960C5"/>
    <w:rsid w:val="00296B7F"/>
    <w:rsid w:val="002A7744"/>
    <w:rsid w:val="002B27CD"/>
    <w:rsid w:val="002F073A"/>
    <w:rsid w:val="0031240A"/>
    <w:rsid w:val="00314075"/>
    <w:rsid w:val="00315364"/>
    <w:rsid w:val="00331381"/>
    <w:rsid w:val="0033445B"/>
    <w:rsid w:val="003354C5"/>
    <w:rsid w:val="0034142B"/>
    <w:rsid w:val="00345503"/>
    <w:rsid w:val="0037184F"/>
    <w:rsid w:val="00382CBC"/>
    <w:rsid w:val="003905CF"/>
    <w:rsid w:val="003A1993"/>
    <w:rsid w:val="003A3C5C"/>
    <w:rsid w:val="003A5C49"/>
    <w:rsid w:val="003B52DB"/>
    <w:rsid w:val="003C056A"/>
    <w:rsid w:val="003E03AF"/>
    <w:rsid w:val="003F3611"/>
    <w:rsid w:val="00402033"/>
    <w:rsid w:val="00416119"/>
    <w:rsid w:val="004236DA"/>
    <w:rsid w:val="004322F9"/>
    <w:rsid w:val="0043417C"/>
    <w:rsid w:val="004379D0"/>
    <w:rsid w:val="00441BF7"/>
    <w:rsid w:val="00467584"/>
    <w:rsid w:val="00491601"/>
    <w:rsid w:val="00495A64"/>
    <w:rsid w:val="004A3B2F"/>
    <w:rsid w:val="004A5908"/>
    <w:rsid w:val="004A71B2"/>
    <w:rsid w:val="004B1E24"/>
    <w:rsid w:val="004B2E5F"/>
    <w:rsid w:val="004C65B0"/>
    <w:rsid w:val="004E2412"/>
    <w:rsid w:val="004F2328"/>
    <w:rsid w:val="00503644"/>
    <w:rsid w:val="00505025"/>
    <w:rsid w:val="00516F12"/>
    <w:rsid w:val="005248EC"/>
    <w:rsid w:val="00537404"/>
    <w:rsid w:val="00542021"/>
    <w:rsid w:val="00546417"/>
    <w:rsid w:val="00561049"/>
    <w:rsid w:val="005846DC"/>
    <w:rsid w:val="005959DA"/>
    <w:rsid w:val="005A2C5C"/>
    <w:rsid w:val="005A4FF3"/>
    <w:rsid w:val="005B1BA2"/>
    <w:rsid w:val="005B3B99"/>
    <w:rsid w:val="005B45CE"/>
    <w:rsid w:val="005B578F"/>
    <w:rsid w:val="005B772C"/>
    <w:rsid w:val="005D0BF6"/>
    <w:rsid w:val="005E3E7D"/>
    <w:rsid w:val="005E527A"/>
    <w:rsid w:val="00614ACD"/>
    <w:rsid w:val="0061621F"/>
    <w:rsid w:val="00647499"/>
    <w:rsid w:val="00667071"/>
    <w:rsid w:val="00692625"/>
    <w:rsid w:val="0069312C"/>
    <w:rsid w:val="006931A2"/>
    <w:rsid w:val="00693450"/>
    <w:rsid w:val="006C2FA2"/>
    <w:rsid w:val="006C5864"/>
    <w:rsid w:val="006D2FC5"/>
    <w:rsid w:val="006D592E"/>
    <w:rsid w:val="006D72DF"/>
    <w:rsid w:val="006E3569"/>
    <w:rsid w:val="006F6F22"/>
    <w:rsid w:val="006F765C"/>
    <w:rsid w:val="006F7E84"/>
    <w:rsid w:val="00713808"/>
    <w:rsid w:val="00724C06"/>
    <w:rsid w:val="0076222F"/>
    <w:rsid w:val="00771FBD"/>
    <w:rsid w:val="00772148"/>
    <w:rsid w:val="00772378"/>
    <w:rsid w:val="00774B25"/>
    <w:rsid w:val="00782604"/>
    <w:rsid w:val="007D3410"/>
    <w:rsid w:val="007D7D64"/>
    <w:rsid w:val="007E140A"/>
    <w:rsid w:val="007E6021"/>
    <w:rsid w:val="007E6F80"/>
    <w:rsid w:val="008509A6"/>
    <w:rsid w:val="00863CC5"/>
    <w:rsid w:val="0087730D"/>
    <w:rsid w:val="008835DD"/>
    <w:rsid w:val="008A2FA9"/>
    <w:rsid w:val="008D25F8"/>
    <w:rsid w:val="008D3FDA"/>
    <w:rsid w:val="008D5D07"/>
    <w:rsid w:val="008F2751"/>
    <w:rsid w:val="008F7A00"/>
    <w:rsid w:val="00907362"/>
    <w:rsid w:val="0092105F"/>
    <w:rsid w:val="00922E9B"/>
    <w:rsid w:val="00934D2A"/>
    <w:rsid w:val="00953983"/>
    <w:rsid w:val="00957C1F"/>
    <w:rsid w:val="00962CBF"/>
    <w:rsid w:val="00977E86"/>
    <w:rsid w:val="009817A4"/>
    <w:rsid w:val="0099038C"/>
    <w:rsid w:val="009950A3"/>
    <w:rsid w:val="00997343"/>
    <w:rsid w:val="009C7D9D"/>
    <w:rsid w:val="009D01D3"/>
    <w:rsid w:val="009D0DFF"/>
    <w:rsid w:val="009D1847"/>
    <w:rsid w:val="009D3CF0"/>
    <w:rsid w:val="009E409F"/>
    <w:rsid w:val="00A07934"/>
    <w:rsid w:val="00A3678D"/>
    <w:rsid w:val="00A41083"/>
    <w:rsid w:val="00A41AB8"/>
    <w:rsid w:val="00A47FCC"/>
    <w:rsid w:val="00A51F2A"/>
    <w:rsid w:val="00A64B80"/>
    <w:rsid w:val="00A7771E"/>
    <w:rsid w:val="00A937E0"/>
    <w:rsid w:val="00AA470B"/>
    <w:rsid w:val="00AC2F97"/>
    <w:rsid w:val="00AC5809"/>
    <w:rsid w:val="00AD7A9F"/>
    <w:rsid w:val="00AF3A7A"/>
    <w:rsid w:val="00AF593D"/>
    <w:rsid w:val="00B002EA"/>
    <w:rsid w:val="00B01BCA"/>
    <w:rsid w:val="00B06861"/>
    <w:rsid w:val="00B22008"/>
    <w:rsid w:val="00B23105"/>
    <w:rsid w:val="00B24D23"/>
    <w:rsid w:val="00B27B60"/>
    <w:rsid w:val="00B461C3"/>
    <w:rsid w:val="00B627F1"/>
    <w:rsid w:val="00B83253"/>
    <w:rsid w:val="00B9520D"/>
    <w:rsid w:val="00B97BB8"/>
    <w:rsid w:val="00BB25AC"/>
    <w:rsid w:val="00BD7390"/>
    <w:rsid w:val="00BE33F1"/>
    <w:rsid w:val="00BF1219"/>
    <w:rsid w:val="00BF301E"/>
    <w:rsid w:val="00BF4AA3"/>
    <w:rsid w:val="00C102FC"/>
    <w:rsid w:val="00C12307"/>
    <w:rsid w:val="00C1724D"/>
    <w:rsid w:val="00C200C2"/>
    <w:rsid w:val="00C31993"/>
    <w:rsid w:val="00C332E9"/>
    <w:rsid w:val="00C37269"/>
    <w:rsid w:val="00C53A9A"/>
    <w:rsid w:val="00C7529B"/>
    <w:rsid w:val="00C76D6D"/>
    <w:rsid w:val="00C8281F"/>
    <w:rsid w:val="00C845E0"/>
    <w:rsid w:val="00C91EB4"/>
    <w:rsid w:val="00CA434C"/>
    <w:rsid w:val="00CB01F9"/>
    <w:rsid w:val="00CB09A2"/>
    <w:rsid w:val="00CC594D"/>
    <w:rsid w:val="00CC78E7"/>
    <w:rsid w:val="00CD1E75"/>
    <w:rsid w:val="00CD2B90"/>
    <w:rsid w:val="00CD5FC6"/>
    <w:rsid w:val="00CE3B71"/>
    <w:rsid w:val="00CF1B64"/>
    <w:rsid w:val="00CF5A35"/>
    <w:rsid w:val="00D07C7F"/>
    <w:rsid w:val="00D23593"/>
    <w:rsid w:val="00D23F0F"/>
    <w:rsid w:val="00D47AF6"/>
    <w:rsid w:val="00D76D02"/>
    <w:rsid w:val="00D85360"/>
    <w:rsid w:val="00D941E2"/>
    <w:rsid w:val="00D97B77"/>
    <w:rsid w:val="00DB0505"/>
    <w:rsid w:val="00DC5B4E"/>
    <w:rsid w:val="00DC718E"/>
    <w:rsid w:val="00DD6C2D"/>
    <w:rsid w:val="00DE5320"/>
    <w:rsid w:val="00DE61D1"/>
    <w:rsid w:val="00E01B96"/>
    <w:rsid w:val="00E04EC7"/>
    <w:rsid w:val="00E1771E"/>
    <w:rsid w:val="00E2364B"/>
    <w:rsid w:val="00E25FA6"/>
    <w:rsid w:val="00E40847"/>
    <w:rsid w:val="00E63387"/>
    <w:rsid w:val="00E705BC"/>
    <w:rsid w:val="00E85179"/>
    <w:rsid w:val="00EC1EC6"/>
    <w:rsid w:val="00EC55B0"/>
    <w:rsid w:val="00ED5F1C"/>
    <w:rsid w:val="00EE1CB7"/>
    <w:rsid w:val="00EE3054"/>
    <w:rsid w:val="00F26A82"/>
    <w:rsid w:val="00F3209C"/>
    <w:rsid w:val="00F360F3"/>
    <w:rsid w:val="00F4363A"/>
    <w:rsid w:val="00F47887"/>
    <w:rsid w:val="00F70796"/>
    <w:rsid w:val="00F70A28"/>
    <w:rsid w:val="00F8608C"/>
    <w:rsid w:val="00FA44C1"/>
    <w:rsid w:val="00FC16B1"/>
    <w:rsid w:val="0B02214B"/>
    <w:rsid w:val="34946AD5"/>
    <w:rsid w:val="3845030E"/>
    <w:rsid w:val="3C1AECD5"/>
    <w:rsid w:val="45BA88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5CBB1"/>
  <w15:chartTrackingRefBased/>
  <w15:docId w15:val="{F958C914-A73C-45A0-A975-3F9F9181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5F"/>
    <w:pPr>
      <w:spacing w:after="16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lpha List Paragraph,Clean Titles By G,List1,Equipment,Figure_name,Numbered Indented Text,List Paragraph Char Char Char,List Paragraph Char Char,List Paragraph1,lp1,List Paragraph11,List_TIS,Bullet 1,b1,Number_1,List Paragraph2,new,n"/>
    <w:basedOn w:val="Normal"/>
    <w:link w:val="ListParagraphChar"/>
    <w:uiPriority w:val="99"/>
    <w:qFormat/>
    <w:rsid w:val="0092105F"/>
    <w:pPr>
      <w:ind w:left="720"/>
      <w:contextualSpacing/>
    </w:pPr>
  </w:style>
  <w:style w:type="character" w:customStyle="1" w:styleId="ListParagraphChar">
    <w:name w:val="List Paragraph Char"/>
    <w:aliases w:val="Alpha List Paragraph Char,Clean Titles By G Char,List1 Char,Equipment Char,Figure_name Char,Numbered Indented Text Char,List Paragraph Char Char Char Char,List Paragraph Char Char Char1,List Paragraph1 Char,lp1 Char,List_TIS Char"/>
    <w:link w:val="ListParagraph"/>
    <w:uiPriority w:val="99"/>
    <w:rsid w:val="0092105F"/>
    <w:rPr>
      <w:rFonts w:eastAsiaTheme="minorEastAsia"/>
    </w:rPr>
  </w:style>
  <w:style w:type="paragraph" w:styleId="Caption">
    <w:name w:val="caption"/>
    <w:basedOn w:val="Normal"/>
    <w:next w:val="Normal"/>
    <w:uiPriority w:val="35"/>
    <w:unhideWhenUsed/>
    <w:qFormat/>
    <w:rsid w:val="00C76D6D"/>
    <w:pPr>
      <w:spacing w:before="240" w:after="0" w:line="240" w:lineRule="auto"/>
    </w:pPr>
    <w:rPr>
      <w:rFonts w:cs="Arial"/>
      <w:b/>
      <w:sz w:val="24"/>
      <w:szCs w:val="20"/>
    </w:rPr>
  </w:style>
  <w:style w:type="paragraph" w:styleId="Header">
    <w:name w:val="header"/>
    <w:basedOn w:val="Normal"/>
    <w:link w:val="HeaderChar"/>
    <w:uiPriority w:val="99"/>
    <w:unhideWhenUsed/>
    <w:rsid w:val="00C76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6D"/>
    <w:rPr>
      <w:rFonts w:asciiTheme="minorHAnsi" w:eastAsiaTheme="minorEastAsia" w:hAnsiTheme="minorHAnsi"/>
    </w:rPr>
  </w:style>
  <w:style w:type="paragraph" w:styleId="Footer">
    <w:name w:val="footer"/>
    <w:basedOn w:val="Normal"/>
    <w:link w:val="FooterChar"/>
    <w:uiPriority w:val="99"/>
    <w:unhideWhenUsed/>
    <w:rsid w:val="00C76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6D"/>
    <w:rPr>
      <w:rFonts w:asciiTheme="minorHAnsi" w:eastAsiaTheme="minorEastAsia" w:hAnsiTheme="minorHAnsi"/>
    </w:rPr>
  </w:style>
  <w:style w:type="table" w:styleId="TableGrid">
    <w:name w:val="Table Grid"/>
    <w:basedOn w:val="TableNormal"/>
    <w:uiPriority w:val="39"/>
    <w:rsid w:val="00C76D6D"/>
    <w:pPr>
      <w:spacing w:after="0" w:line="240" w:lineRule="auto"/>
    </w:pPr>
    <w:rPr>
      <w:rFonts w:asciiTheme="minorHAnsi" w:eastAsiaTheme="minorEastAsia"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E4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09F"/>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402033"/>
    <w:rPr>
      <w:sz w:val="16"/>
      <w:szCs w:val="16"/>
    </w:rPr>
  </w:style>
  <w:style w:type="paragraph" w:styleId="CommentText">
    <w:name w:val="annotation text"/>
    <w:basedOn w:val="Normal"/>
    <w:link w:val="CommentTextChar"/>
    <w:uiPriority w:val="99"/>
    <w:unhideWhenUsed/>
    <w:rsid w:val="00402033"/>
    <w:pPr>
      <w:spacing w:line="240" w:lineRule="auto"/>
    </w:pPr>
    <w:rPr>
      <w:sz w:val="20"/>
      <w:szCs w:val="20"/>
    </w:rPr>
  </w:style>
  <w:style w:type="character" w:customStyle="1" w:styleId="CommentTextChar">
    <w:name w:val="Comment Text Char"/>
    <w:basedOn w:val="DefaultParagraphFont"/>
    <w:link w:val="CommentText"/>
    <w:uiPriority w:val="99"/>
    <w:rsid w:val="0040203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02033"/>
    <w:rPr>
      <w:b/>
      <w:bCs/>
    </w:rPr>
  </w:style>
  <w:style w:type="character" w:customStyle="1" w:styleId="CommentSubjectChar">
    <w:name w:val="Comment Subject Char"/>
    <w:basedOn w:val="CommentTextChar"/>
    <w:link w:val="CommentSubject"/>
    <w:uiPriority w:val="99"/>
    <w:semiHidden/>
    <w:rsid w:val="00402033"/>
    <w:rPr>
      <w:rFonts w:eastAsiaTheme="minorEastAsia"/>
      <w:b/>
      <w:bCs/>
      <w:sz w:val="20"/>
      <w:szCs w:val="20"/>
    </w:rPr>
  </w:style>
  <w:style w:type="character" w:styleId="Mention">
    <w:name w:val="Mention"/>
    <w:basedOn w:val="DefaultParagraphFont"/>
    <w:uiPriority w:val="99"/>
    <w:unhideWhenUsed/>
    <w:rsid w:val="004020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ientNumber xmlns="944e96a4-ffab-49bb-b07e-50ddcc78ba0a">111972</ClientNumber>
    <DocumentType xmlns="944e96a4-ffab-49bb-b07e-50ddcc78ba0a">Project Management</DocumentType>
    <Year xmlns="944e96a4-ffab-49bb-b07e-50ddcc78ba0a">2022</Year>
    <LOB xmlns="944e96a4-ffab-49bb-b07e-50ddcc78ba0a">Finance and Administration</LOB>
    <EngagementNumber xmlns="944e96a4-ffab-49bb-b07e-50ddcc78ba0a">41</EngagementNumber>
    <PracticeGroup_x002f_Department xmlns="944e96a4-ffab-49bb-b07e-50ddcc78ba0a">LGPG</PracticeGroup_x002f_Depart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046A7E90295145B7E2BAD573459A98" ma:contentTypeVersion="13" ma:contentTypeDescription="Create a new document." ma:contentTypeScope="" ma:versionID="61d2adc38fe21ffb957595a2cef0b00e">
  <xsd:schema xmlns:xsd="http://www.w3.org/2001/XMLSchema" xmlns:xs="http://www.w3.org/2001/XMLSchema" xmlns:p="http://schemas.microsoft.com/office/2006/metadata/properties" xmlns:ns2="528f34c6-640b-428a-a17c-61396201895d" xmlns:ns3="944e96a4-ffab-49bb-b07e-50ddcc78ba0a" xmlns:ns4="9e0c2880-e0d2-4428-b439-5a220b7c1f27" targetNamespace="http://schemas.microsoft.com/office/2006/metadata/properties" ma:root="true" ma:fieldsID="bd7329ef998865403917944b2c601f3c" ns2:_="" ns3:_="" ns4:_="">
    <xsd:import namespace="528f34c6-640b-428a-a17c-61396201895d"/>
    <xsd:import namespace="944e96a4-ffab-49bb-b07e-50ddcc78ba0a"/>
    <xsd:import namespace="9e0c2880-e0d2-4428-b439-5a220b7c1f27"/>
    <xsd:element name="properties">
      <xsd:complexType>
        <xsd:sequence>
          <xsd:element name="documentManagement">
            <xsd:complexType>
              <xsd:all>
                <xsd:element ref="ns2:SharedWithUsers" minOccurs="0"/>
                <xsd:element ref="ns2:SharedWithDetails" minOccurs="0"/>
                <xsd:element ref="ns3:DocumentType" minOccurs="0"/>
                <xsd:element ref="ns3:ClientNumber" minOccurs="0"/>
                <xsd:element ref="ns3:EngagementNumber" minOccurs="0"/>
                <xsd:element ref="ns3:PracticeGroup_x002f_Department" minOccurs="0"/>
                <xsd:element ref="ns3:LOB" minOccurs="0"/>
                <xsd:element ref="ns3:Year" minOccurs="0"/>
                <xsd:element ref="ns4:MediaServiceMetadata" minOccurs="0"/>
                <xsd:element ref="ns4:MediaServiceFastMetadata"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f34c6-640b-428a-a17c-6139620189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4e96a4-ffab-49bb-b07e-50ddcc78ba0a" elementFormDefault="qualified">
    <xsd:import namespace="http://schemas.microsoft.com/office/2006/documentManagement/types"/>
    <xsd:import namespace="http://schemas.microsoft.com/office/infopath/2007/PartnerControls"/>
    <xsd:element name="DocumentType" ma:index="10" nillable="true" ma:displayName="Document Type" ma:default="" ma:description="" ma:internalName="DocumentType">
      <xsd:simpleType>
        <xsd:restriction base="dms:Text"/>
      </xsd:simpleType>
    </xsd:element>
    <xsd:element name="ClientNumber" ma:index="11" nillable="true" ma:displayName="Client Number" ma:default="" ma:description="" ma:internalName="ClientNumber">
      <xsd:simpleType>
        <xsd:restriction base="dms:Text"/>
      </xsd:simpleType>
    </xsd:element>
    <xsd:element name="EngagementNumber" ma:index="12" nillable="true" ma:displayName="Engagement Number" ma:default="" ma:description="" ma:internalName="EngagementNumber">
      <xsd:simpleType>
        <xsd:restriction base="dms:Text"/>
      </xsd:simpleType>
    </xsd:element>
    <xsd:element name="PracticeGroup_x002f_Department" ma:index="13" nillable="true" ma:displayName="Practice Group/Department" ma:default="" ma:description="" ma:internalName="PracticeGroup_x002f_Department">
      <xsd:simpleType>
        <xsd:restriction base="dms:Text"/>
      </xsd:simpleType>
    </xsd:element>
    <xsd:element name="LOB" ma:index="14" nillable="true" ma:displayName="LOB" ma:default="" ma:description="" ma:internalName="LOB">
      <xsd:simpleType>
        <xsd:restriction base="dms:Text"/>
      </xsd:simpleType>
    </xsd:element>
    <xsd:element name="Year" ma:index="15" nillable="true" ma:displayName="Year" ma:default="" ma:description="" ma:internalName="Yea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0c2880-e0d2-4428-b439-5a220b7c1f27"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7911B-67B0-4B84-9082-A08B452C8056}">
  <ds:schemaRefs>
    <ds:schemaRef ds:uri="http://schemas.microsoft.com/office/2006/metadata/properties"/>
    <ds:schemaRef ds:uri="http://schemas.microsoft.com/office/infopath/2007/PartnerControls"/>
    <ds:schemaRef ds:uri="944e96a4-ffab-49bb-b07e-50ddcc78ba0a"/>
  </ds:schemaRefs>
</ds:datastoreItem>
</file>

<file path=customXml/itemProps2.xml><?xml version="1.0" encoding="utf-8"?>
<ds:datastoreItem xmlns:ds="http://schemas.openxmlformats.org/officeDocument/2006/customXml" ds:itemID="{1A9EECF3-B682-4879-A4CD-02710A63572F}">
  <ds:schemaRefs>
    <ds:schemaRef ds:uri="http://schemas.microsoft.com/sharepoint/v3/contenttype/forms"/>
  </ds:schemaRefs>
</ds:datastoreItem>
</file>

<file path=customXml/itemProps3.xml><?xml version="1.0" encoding="utf-8"?>
<ds:datastoreItem xmlns:ds="http://schemas.openxmlformats.org/officeDocument/2006/customXml" ds:itemID="{BBB71BE5-93DB-492E-BB45-8D527D163BAE}">
  <ds:schemaRefs>
    <ds:schemaRef ds:uri="http://schemas.openxmlformats.org/officeDocument/2006/bibliography"/>
  </ds:schemaRefs>
</ds:datastoreItem>
</file>

<file path=customXml/itemProps4.xml><?xml version="1.0" encoding="utf-8"?>
<ds:datastoreItem xmlns:ds="http://schemas.openxmlformats.org/officeDocument/2006/customXml" ds:itemID="{43C176A6-13F2-458D-994E-82497342E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8f34c6-640b-428a-a17c-61396201895d"/>
    <ds:schemaRef ds:uri="944e96a4-ffab-49bb-b07e-50ddcc78ba0a"/>
    <ds:schemaRef ds:uri="9e0c2880-e0d2-4428-b439-5a220b7c1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1677</Words>
  <Characters>9565</Characters>
  <Application>Microsoft Office Word</Application>
  <DocSecurity>0</DocSecurity>
  <Lines>79</Lines>
  <Paragraphs>22</Paragraphs>
  <ScaleCrop>false</ScaleCrop>
  <Company>BerryDunn</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dc:creator>
  <cp:keywords/>
  <dc:description/>
  <cp:lastModifiedBy>Tessa Thomas</cp:lastModifiedBy>
  <cp:revision>24</cp:revision>
  <dcterms:created xsi:type="dcterms:W3CDTF">2025-02-14T00:04:00Z</dcterms:created>
  <dcterms:modified xsi:type="dcterms:W3CDTF">2025-04-07T18:15:00Z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0x01010025046A7E90295145B7E2BAD573459A98</vt:lpwstr>
  </property>
  <property fmtid="{D5CDD505-2E9C-101B-9397-08002B2CF9AE}" pid="3" name="MediaServiceImageTags">
    <vt:lpwstr/>
  </property>
</Properties>
</file>