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From Engagement to Experience: Redesigning Work in the Age of Choice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engagement is declining globally — and traditional engagement programs are no longer moving the needle.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a66c2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According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Gallup’s latest State of the Global Workplace insights</w:t>
      </w:r>
      <w:r w:rsidDel="00000000" w:rsidR="00000000" w:rsidRPr="00000000">
        <w:rPr>
          <w:sz w:val="24"/>
          <w:szCs w:val="24"/>
          <w:rtl w:val="0"/>
        </w:rPr>
        <w:t xml:space="preserve">,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23% of employees worldwide are engaged at work</w:t>
      </w:r>
      <w:r w:rsidDel="00000000" w:rsidR="00000000" w:rsidRPr="00000000">
        <w:rPr>
          <w:sz w:val="24"/>
          <w:szCs w:val="24"/>
          <w:rtl w:val="0"/>
        </w:rPr>
        <w:t xml:space="preserve"> — meaning more than three-quarters of the workforce are disconnected, stressed, or simply going through the motions. 🔗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0a66c2"/>
            <w:sz w:val="24"/>
            <w:szCs w:val="24"/>
            <w:u w:val="single"/>
            <w:rtl w:val="0"/>
          </w:rPr>
          <w:t xml:space="preserve">https://www.gallup.com/workplace/349484/state-of-the-global-workplace.aspx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no longer a “people problem.” It’s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strategic business risk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truth is: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Employees don’t want more initiatives. They want better experiences of work.</w:t>
      </w:r>
    </w:p>
    <w:p w:rsidR="00000000" w:rsidDel="00000000" w:rsidP="00000000" w:rsidRDefault="00000000" w:rsidRPr="00000000" w14:paraId="00000008">
      <w:pPr>
        <w:spacing w:after="48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Age of Choice Has Changed Everything</w:t>
      </w:r>
    </w:p>
    <w:p w:rsidR="00000000" w:rsidDel="00000000" w:rsidP="00000000" w:rsidRDefault="00000000" w:rsidRPr="00000000" w14:paraId="0000000A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Today’s workforce has more choice than ever: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How</w:t>
      </w:r>
      <w:r w:rsidDel="00000000" w:rsidR="00000000" w:rsidRPr="00000000">
        <w:rPr>
          <w:sz w:val="24"/>
          <w:szCs w:val="24"/>
          <w:rtl w:val="0"/>
        </w:rPr>
        <w:t xml:space="preserve"> they work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they work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Who</w:t>
      </w:r>
      <w:r w:rsidDel="00000000" w:rsidR="00000000" w:rsidRPr="00000000">
        <w:rPr>
          <w:sz w:val="24"/>
          <w:szCs w:val="24"/>
          <w:rtl w:val="0"/>
        </w:rPr>
        <w:t xml:space="preserve"> they work for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0a66c2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According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PwC’s Global Workforce Hopes &amp; Fears Survey</w:t>
      </w:r>
      <w:r w:rsidDel="00000000" w:rsidR="00000000" w:rsidRPr="00000000">
        <w:rPr>
          <w:sz w:val="24"/>
          <w:szCs w:val="24"/>
          <w:rtl w:val="0"/>
        </w:rPr>
        <w:t xml:space="preserve">, employees are increasingly prioritising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purpose, flexibility, and opportunities to grow</w:t>
      </w:r>
      <w:r w:rsidDel="00000000" w:rsidR="00000000" w:rsidRPr="00000000">
        <w:rPr>
          <w:sz w:val="24"/>
          <w:szCs w:val="24"/>
          <w:rtl w:val="0"/>
        </w:rPr>
        <w:t xml:space="preserve">, not just salary. 🔗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0a66c2"/>
            <w:sz w:val="24"/>
            <w:szCs w:val="24"/>
            <w:u w:val="single"/>
            <w:rtl w:val="0"/>
          </w:rPr>
          <w:t xml:space="preserve">https://www.pwc.com/gx/en/issues/upskilling/hopes-and-fears.html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talent isn’t staying for perks. They’re staying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alignment, autonomy, and environments where they can thrive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48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Why Traditional Engagement Falls Short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SMEs continue relying on outdated engagement tactics — surveys, social events, morning teas. These create connection, but not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 Surveys diagnose — they don’t transform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reveal how people feel, but not whether systems, processes, or leadership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enable</w:t>
      </w:r>
      <w:r w:rsidDel="00000000" w:rsidR="00000000" w:rsidRPr="00000000">
        <w:rPr>
          <w:sz w:val="24"/>
          <w:szCs w:val="24"/>
          <w:rtl w:val="0"/>
        </w:rPr>
        <w:t xml:space="preserve"> great work.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Initiatives boost morale — but not performance</w:t>
      </w:r>
    </w:p>
    <w:p w:rsidR="00000000" w:rsidDel="00000000" w:rsidP="00000000" w:rsidRDefault="00000000" w:rsidRPr="00000000" w14:paraId="00000016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disengage due to unclear roles, slow processes, weak leadership or lack of growth — not because they didn’t get free pizza.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Culture is shaped by leadership — not HR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a66c2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Harvard Business Review notes that high-performing companies create great employee experiences by deliberately shaping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entire journey of work</w:t>
      </w:r>
      <w:r w:rsidDel="00000000" w:rsidR="00000000" w:rsidRPr="00000000">
        <w:rPr>
          <w:sz w:val="24"/>
          <w:szCs w:val="24"/>
          <w:rtl w:val="0"/>
        </w:rPr>
        <w:t xml:space="preserve"> — from systems to leadership to processes — not through isolated programs or perks. 🔗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0a66c2"/>
            <w:sz w:val="24"/>
            <w:szCs w:val="24"/>
            <w:u w:val="single"/>
            <w:rtl w:val="0"/>
          </w:rPr>
          <w:t xml:space="preserve">https://hbr.org/2023/07/5-factors-that-make-for-a-great-employee-experience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Culture is built through behaviour, decisions, and operating rhythms — not posters or slogans.</w:t>
      </w:r>
    </w:p>
    <w:p w:rsidR="00000000" w:rsidDel="00000000" w:rsidP="00000000" w:rsidRDefault="00000000" w:rsidRPr="00000000" w14:paraId="0000001A">
      <w:pPr>
        <w:spacing w:after="48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From Engagement to Experience: A New Lens for Modern Work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CompassPoint Advisory</w:t>
      </w:r>
      <w:r w:rsidDel="00000000" w:rsidR="00000000" w:rsidRPr="00000000">
        <w:rPr>
          <w:sz w:val="24"/>
          <w:szCs w:val="24"/>
          <w:rtl w:val="0"/>
        </w:rPr>
        <w:t xml:space="preserve">, we help SMEs redesign work around three essential pillars:</w:t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 Autonomy</w:t>
      </w:r>
    </w:p>
    <w:p w:rsidR="00000000" w:rsidDel="00000000" w:rsidP="00000000" w:rsidRDefault="00000000" w:rsidRPr="00000000" w14:paraId="0000001E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expectations + flexible execution. People perform best when trusted to own outcomes.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Alignment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 bring more energy and commitment when they understand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how their work contributes to the mission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Purpose</w:t>
      </w:r>
    </w:p>
    <w:p w:rsidR="00000000" w:rsidDel="00000000" w:rsidP="00000000" w:rsidRDefault="00000000" w:rsidRPr="00000000" w14:paraId="00000022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Purpose-led organisations outperform peers in productivity, innovation, and retention.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aren’t initiatives — they’re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 design principles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48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Culture by Design, Not by Default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future of engagement is not another survey. It’s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intentional experience design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CompassPoint Advisory, we partner with leaders to: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Redesign work systems for clarity and empowerment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leadership capability that reinforces culture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Align strategy with day-to-day behaviours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 experience principles into processes, SOPs, and decision-making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culture is intentionally designed, engagement becomes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natural outcome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48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Takeaway for SME Leaders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experience is now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strategic differentiator</w:t>
      </w:r>
      <w:r w:rsidDel="00000000" w:rsidR="00000000" w:rsidRPr="00000000">
        <w:rPr>
          <w:sz w:val="24"/>
          <w:szCs w:val="24"/>
          <w:rtl w:val="0"/>
        </w:rPr>
        <w:t xml:space="preserve">. It shapes: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experience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Innovation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Organisational resilience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Age of Choice, employees don’t stay where they work — they stay where they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belong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301.09090909090907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TOPIC: AI, Culture Transformation, Employee Experience, Leadership, Digital Transformation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Date: </w:t>
      </w:r>
      <w:r w:rsidDel="00000000" w:rsidR="00000000" w:rsidRPr="00000000">
        <w:rPr>
          <w:sz w:val="24"/>
          <w:szCs w:val="24"/>
          <w:rtl w:val="0"/>
        </w:rPr>
        <w:t xml:space="preserve">December 1, 2025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br.org/2023/07/5-factors-that-make-for-a-great-employee-experience" TargetMode="External"/><Relationship Id="rId10" Type="http://schemas.openxmlformats.org/officeDocument/2006/relationships/hyperlink" Target="https://hbr.org/2023/07/5-factors-that-make-for-a-great-employee-experience" TargetMode="External"/><Relationship Id="rId9" Type="http://schemas.openxmlformats.org/officeDocument/2006/relationships/hyperlink" Target="https://www.pwc.com/gx/en/issues/upskilling/hopes-and-fear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allup.com/workplace/349484/state-of-the-global-workplace.aspx" TargetMode="External"/><Relationship Id="rId7" Type="http://schemas.openxmlformats.org/officeDocument/2006/relationships/hyperlink" Target="https://www.gallup.com/workplace/349484/state-of-the-global-workplace.aspx" TargetMode="External"/><Relationship Id="rId8" Type="http://schemas.openxmlformats.org/officeDocument/2006/relationships/hyperlink" Target="https://www.pwc.com/gx/en/issues/upskilling/hopes-and-fear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