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Leadership in an Age of Automation — What Changes First?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When I speak to SME leaders about automation, the first question is usually about the tools.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“What system should we use?”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“Where do we start with AI?”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But honestly? The first thing that changes isn’t the tech - it’s leadership.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 industries that haven’t gone through full digital transformation — trades, manufacturing, professional services, family-run businesses — automation can feel overwhelming. It challenges the way decisions have always been made. It exposes inefficiencies that were once invisible. And it forces clarity.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Who makes decisions now? Where does human judgment still matter most?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 does leadership actually focus on when routine tasks are automated?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I’m seeing a real divide.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 SMEs that thrive are redesigning around value — not hierarchy. They’re simplifying decision-making, strengthening their operating model, and investing in capability, not just cost savings.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But the deeper shift is cultural.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Automation changes how people feel about their roles. It can create fear — or it can create momentum. That depends entirely on leadership.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 businesses that will succeed in this era aren’t the most “automated.” They’re the most intentional — about structure, about culture, and about how they scale.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01.09090909090907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TOPIC: SME, Leadership, AI, Automation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Date: 17 February 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