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 standalone="yes"?>
<w:document xmlns:w="http://schemas.openxmlformats.org/wordprocessingml/2006/main">
  <w:body>
    <w:p>
      <w:pPr><w:jc w:val="center"/><w:spacing w:before="60" w:after="20"/></w:pPr>
      <w:r>
        <w:rPr><w:b/><w:sz w:val="34"/><w:color w:val="065F46"/></w:rPr>
        <w:t>CHALLENGES &amp; STRATEGIES</w:t>
      </w:r>
    </w:p>
    <w:p>
      <w:pPr><w:jc w:val="center"/><w:spacing w:before="0" w:after="140"/></w:pPr>
      <w:r>
        <w:rPr><w:i/><w:sz w:val="20"/><w:color w:val="64748B"/></w:rPr>
        <w:t>Simplified Presentation Format (SIH 2026)</w:t>
      </w:r>
    </w:p>

    <w:tbl>
  <w:tblPr>
    <w:tblW w:w="9600" w:type="dxa"/>
    <w:jc w:val="center"/>
    <w:tblBorders>
      <w:top w:val="single" w:sz="8" w:space="0" w:color="0F172A"/>
      <w:left w:val="single" w:sz="8" w:space="0" w:color="0F172A"/>
      <w:bottom w:val="single" w:sz="8" w:space="0" w:color="0F172A"/>
      <w:right w:val="single" w:sz="8" w:space="0" w:color="0F172A"/>
      <w:insideH w:val="single" w:sz="4" w:space="0" w:color="CBD5E1"/>
      <w:insideV w:val="single" w:sz="4" w:space="0" w:color="E2E8F0"/>
    </w:tblBorders>
  </w:tblPr>
  <w:tr><w:trPr><w:cantSplit/><w:tblHeader/><w:trHeight w:val="450" w:hRule="atLeast"/></w:trPr><w:tc><w:tcPr><w:tcW w:w="2000" w:type="dxa"/><w:shd w:val="clear" w:color="auto" w:fill="0F172A"/><w:tcMar><w:top w:w="80" w:type="dxa"/><w:bottom w:w="80" w:type="dxa"/><w:left w:w="120" w:type="dxa"/><w:right w:w="120" w:type="dxa"/></w:tcMar><w:vAlign w:val="center"/></w:tcPr><w:p><w:pPr><w:spacing w:before="0" w:after="0" w:line="240" w:lineRule="auto"/></w:pPr><w:r><w:rPr><w:b/><w:sz w:val="26"/><w:color w:val="FFFFFF"/></w:rPr><w:t>Domain</w:t></w:r></w:p></w:tc><w:tc><w:tcPr><w:tcW w:w="3800" w:type="dxa"/><w:shd w:val="clear" w:color="auto" w:fill="0F172A"/><w:tcMar><w:top w:w="80" w:type="dxa"/><w:bottom w:w="80" w:type="dxa"/><w:left w:w="120" w:type="dxa"/><w:right w:w="120" w:type="dxa"/></w:tcMar><w:vAlign w:val="center"/></w:tcPr><w:p><w:pPr><w:spacing w:before="0" w:after="0" w:line="240" w:lineRule="auto"/></w:pPr><w:r><w:rPr><w:b/><w:sz w:val="26"/><w:color w:val="FFFFFF"/></w:rPr><w:t>Challenges</w:t></w:r></w:p></w:tc><w:tc><w:tcPr><w:tcW w:w="3800" w:type="dxa"/><w:shd w:val="clear" w:color="auto" w:fill="0F172A"/><w:tcMar><w:top w:w="80" w:type="dxa"/><w:bottom w:w="80" w:type="dxa"/><w:left w:w="120" w:type="dxa"/><w:right w:w="120" w:type="dxa"/></w:tcMar><w:vAlign w:val="center"/></w:tcPr><w:p><w:pPr><w:spacing w:before="0" w:after="0" w:line="240" w:lineRule="auto"/></w:pPr><w:r><w:rPr><w:b/><w:sz w:val="26"/><w:color w:val="FFFFFF"/></w:rPr><w:t>Strategies</w:t></w:r></w:p></w:tc></w:tr><w:tr><w:trPr><w:cantSplit/><w:trHeight w:val="480" w:hRule="atLeast"/></w:trPr><w:tc><w:tcPr><w:tcW w:w="2000" w:type="dxa"/><w:shd w:val="clear" w:color="auto" w:fill="FFFFFF"/><w:tcMar><w:top w:w="80" w:type="dxa"/><w:bottom w:w="80" w:type="dxa"/><w:left w:w="120" w:type="dxa"/><w:right w:w="120" w:type="dxa"/></w:tcMar><w:vAlign w:val="center"/></w:tcPr><w:p><w:pPr><w:spacing w:before="0" w:after="0" w:line="240" w:lineRule="auto"/></w:pPr><w:r><w:rPr><w:b/><w:sz w:val="24"/><w:color w:val="0F172A"/></w:rPr><w:t>1. Accessibility</w:t></w:r></w:p></w:tc><w:tc><w:tcPr><w:tcW w:w="3800" w:type="dxa"/><w:shd w:val="clear" w:color="auto" w:fill="FFFFFF"/><w:tcMar><w:top w:w="80" w:type="dxa"/><w:bottom w:w="80" w:type="dxa"/><w:left w:w="120" w:type="dxa"/><w:right w:w="120" w:type="dxa"/></w:tcMar><w:vAlign w:val="center"/></w:tcPr><w:p><w:pPr><w:spacing w:before="0" w:after="0" w:line="240" w:lineRule="auto"/></w:pPr><w:r><w:rPr><w:sz w:val="24"/><w:color w:val="334155"/></w:rPr><w:t>Dialect barriers & low smartphone literacy</w:t></w:r></w:p></w:tc><w:tc><w:tcPr><w:tcW w:w="3800" w:type="dxa"/><w:shd w:val="clear" w:color="auto" w:fill="FFFFFF"/><w:tcMar><w:top w:w="80" w:type="dxa"/><w:bottom w:w="80" w:type="dxa"/><w:left w:w="120" w:type="dxa"/><w:right w:w="120" w:type="dxa"/></w:tcMar><w:vAlign w:val="center"/></w:tcPr><w:p><w:pPr><w:spacing w:before="0" w:after="0" w:line="240" w:lineRule="auto"/></w:pPr><w:r><w:rPr><w:b/><w:sz w:val="24"/><w:color w:val="047857"/></w:rPr><w:t>Icon-based UI + Voice search button</w:t></w:r></w:p></w:tc></w:tr><w:tr><w:trPr><w:cantSplit/><w:trHeight w:val="480" w:hRule="atLeast"/></w:trPr><w:tc><w:tcPr><w:tcW w:w="2000" w:type="dxa"/><w:shd w:val="clear" w:color="auto" w:fill="F1F5F9"/><w:tcMar><w:top w:w="80" w:type="dxa"/><w:bottom w:w="80" w:type="dxa"/><w:left w:w="120" w:type="dxa"/><w:right w:w="120" w:type="dxa"/></w:tcMar><w:vAlign w:val="center"/></w:tcPr><w:p><w:pPr><w:spacing w:before="0" w:after="0" w:line="240" w:lineRule="auto"/></w:pPr><w:r><w:rPr><w:b/><w:sz w:val="24"/><w:color w:val="0F172A"/></w:rPr><w:t>2. Logistics</w:t></w:r></w:p></w:tc><w:tc><w:tcPr><w:tcW w:w="3800" w:type="dxa"/><w:shd w:val="clear" w:color="auto" w:fill="F1F5F9"/><w:tcMar><w:top w:w="80" w:type="dxa"/><w:bottom w:w="80" w:type="dxa"/><w:left w:w="120" w:type="dxa"/><w:right w:w="120" w:type="dxa"/></w:tcMar><w:vAlign w:val="center"/></w:tcPr><w:p><w:pPr><w:spacing w:before="0" w:after="0" w:line="240" w:lineRule="auto"/></w:pPr><w:r><w:rPr><w:sz w:val="24"/><w:color w:val="334155"/></w:rPr><w:t>High transit cost & unknown delivery status</w:t></w:r></w:p></w:tc><w:tc><w:tcPr><w:tcW w:w="3800" w:type="dxa"/><w:shd w:val="clear" w:color="auto" w:fill="F1F5F9"/><w:tcMar><w:top w:w="80" w:type="dxa"/><w:bottom w:w="80" w:type="dxa"/><w:left w:w="120" w:type="dxa"/><w:right w:w="120" w:type="dxa"/></w:tcMar><w:vAlign w:val="center"/></w:tcPr><w:p><w:pPr><w:spacing w:before="0" w:after="0" w:line="240" w:lineRule="auto"/></w:pPr><w:r><w:rPr><w:b/><w:sz w:val="24"/><w:color w:val="047857"/></w:rPr><w:t>Live map tracking + Shared transport</w:t></w:r></w:p></w:tc></w:tr><w:tr><w:trPr><w:cantSplit/><w:trHeight w:val="480" w:hRule="atLeast"/></w:trPr><w:tc><w:tcPr><w:tcW w:w="2000" w:type="dxa"/><w:shd w:val="clear" w:color="auto" w:fill="FFFFFF"/><w:tcMar><w:top w:w="80" w:type="dxa"/><w:bottom w:w="80" w:type="dxa"/><w:left w:w="120" w:type="dxa"/><w:right w:w="120" w:type="dxa"/></w:tcMar><w:vAlign w:val="center"/></w:tcPr><w:p><w:pPr><w:spacing w:before="0" w:after="0" w:line="240" w:lineRule="auto"/></w:pPr><w:r><w:rPr><w:b/><w:sz w:val="24"/><w:color w:val="0F172A"/></w:rPr><w:t>3. Trust & Payouts</w:t></w:r></w:p></w:tc><w:tc><w:tcPr><w:tcW w:w="3800" w:type="dxa"/><w:shd w:val="clear" w:color="auto" w:fill="FFFFFF"/><w:tcMar><w:top w:w="80" w:type="dxa"/><w:bottom w:w="80" w:type="dxa"/><w:left w:w="120" w:type="dxa"/><w:right w:w="120" w:type="dxa"/></w:tcMar><w:vAlign w:val="center"/></w:tcPr><w:p><w:pPr><w:spacing w:before="0" w:after="0" w:line="240" w:lineRule="auto"/></w:pPr><w:r><w:rPr><w:sz w:val="24"/><w:color w:val="334155"/></w:rPr><w:t>Middleman cuts & delayed offline payments</w:t></w:r></w:p></w:tc><w:tc><w:tcPr><w:tcW w:w="3800" w:type="dxa"/><w:shd w:val="clear" w:color="auto" w:fill="FFFFFF"/><w:tcMar><w:top w:w="80" w:type="dxa"/><w:bottom w:w="80" w:type="dxa"/><w:left w:w="120" w:type="dxa"/><w:right w:w="120" w:type="dxa"/></w:tcMar><w:vAlign w:val="center"/></w:tcPr><w:p><w:pPr><w:spacing w:before="0" w:after="0" w:line="240" w:lineRule="auto"/></w:pPr><w:r><w:rPr><w:b/><w:sz w:val="24"/><w:color w:val="047857"/></w:rPr><w:t>UPI payment + OTP delivery verification</w:t></w:r></w:p></w:tc></w:tr>
</w:tbl>

  </w:body>
</w:document>
</file>