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4"/>
          <w:color w:val="065F46"/>
        </w:rPr>
        <w:t>ECONOMIC &amp; STRATEGIC BENEFITS - AGRIFLOW AI</w:t>
      </w:r>
    </w:p>
    <w:p>
      <w:pPr>
        <w:jc w:val="center"/>
      </w:pPr>
      <w:r>
        <w:rPr>
          <w:i/>
          <w:sz w:val="20"/>
          <w:color w:val="64748B"/>
        </w:rPr>
        <w:t>Smart India Hackathon (SIH) - Presentation Slide Notes</w:t>
      </w:r>
    </w:p>
    <w:p/>
    <!-- SECTION 1 -->
    <w:p>
      <w:r>
        <w:rPr>
          <w:b/>
          <w:sz w:val="26"/>
          <w:color w:val="0284C7"/>
        </w:rPr>
        <w:t>1. ECONOMIC BENEFITS (Direct Value Creation)</w:t>
      </w:r>
    </w:p>
    <w:p>
      <w:pPr>
        <w:ind w:left="360"/>
      </w:pPr>
      <w:r>
        <w:rPr>
          <w:b/>
          <w:sz w:val="20"/>
        </w:rPr>
        <w:t>• +140% Net Farmer Realization: </w:t>
      </w:r>
      <w:r>
        <w:rPr>
          <w:sz w:val="20"/>
        </w:rPr>
        <w:t>Farmer earnings jump from ~₹17.5/kg to ₹42/kg (+₹24.5/kg gain).</w:t>
      </w:r>
    </w:p>
    <w:p>
      <w:pPr>
        <w:ind w:left="360"/>
      </w:pPr>
      <w:r>
        <w:rPr>
          <w:b/>
          <w:sz w:val="20"/>
        </w:rPr>
        <w:t>• 0% Middlemen Leakage: </w:t>
      </w:r>
      <w:r>
        <w:rPr>
          <w:sz w:val="20"/>
        </w:rPr>
        <w:t>Eliminates 4-layer broker commissions saving ₹44/kg in intermediate markups.</w:t>
      </w:r>
    </w:p>
    <w:p>
      <w:pPr>
        <w:ind w:left="360"/>
      </w:pPr>
      <w:r>
        <w:rPr>
          <w:b/>
          <w:sz w:val="20"/>
        </w:rPr>
        <w:t>• 22% Lower Buyer Sourcing Cost: </w:t>
      </w:r>
      <w:r>
        <w:rPr>
          <w:sz w:val="20"/>
        </w:rPr>
        <w:t>Retail buyers procure fresh produce at ₹48/kg instead of ₹62/kg.</w:t>
      </w:r>
    </w:p>
    <w:p>
      <w:pPr>
        <w:ind w:left="360"/>
      </w:pPr>
      <w:r>
        <w:rPr>
          <w:b/>
          <w:sz w:val="20"/>
        </w:rPr>
        <w:t>• Instant Escrow Liquidity: </w:t>
      </w:r>
      <w:r>
        <w:rPr>
          <w:sz w:val="20"/>
        </w:rPr>
        <w:t>Automated fund release in under 2 hours post-OTP delivery.</w:t>
      </w:r>
    </w:p>
    <w:p/>
    <!-- SECTION 2 -->
    <w:p>
      <w:r>
        <w:rPr>
          <w:b/>
          <w:sz w:val="26"/>
          <w:color w:val="059669"/>
        </w:rPr>
        <w:t>2. STRATEGIC BENEFITS (Macro &amp; Policy Alignment)</w:t>
      </w:r>
    </w:p>
    <w:p>
      <w:pPr>
        <w:ind w:left="360"/>
      </w:pPr>
      <w:r>
        <w:rPr>
          <w:b/>
          <w:sz w:val="20"/>
        </w:rPr>
        <w:t>• Swaminathan Committee Alignment: </w:t>
      </w:r>
      <w:r>
        <w:rPr>
          <w:sz w:val="20"/>
        </w:rPr>
        <w:t>Achieves target realization benchmark (Cost C2 + 50% profit margin).</w:t>
      </w:r>
    </w:p>
    <w:p>
      <w:pPr>
        <w:ind w:left="360"/>
      </w:pPr>
      <w:r>
        <w:rPr>
          <w:b/>
          <w:sz w:val="20"/>
        </w:rPr>
        <w:t>• National Food Loss Reduction: </w:t>
      </w:r>
      <w:r>
        <w:rPr>
          <w:sz w:val="20"/>
        </w:rPr>
        <w:t>Cuts 15–25% post-harvest horticulture decay by ~40% via direct routing.</w:t>
      </w:r>
    </w:p>
    <w:p>
      <w:pPr>
        <w:ind w:left="360"/>
      </w:pPr>
      <w:r>
        <w:rPr>
          <w:b/>
          <w:sz w:val="20"/>
        </w:rPr>
        <w:t>• Formal Credit &amp; Debt-Trap Elimination: </w:t>
      </w:r>
      <w:r>
        <w:rPr>
          <w:sz w:val="20"/>
        </w:rPr>
        <w:t>Digitized trade history unlocks low-interest bank micro-loans.</w:t>
      </w:r>
    </w:p>
    <w:p>
      <w:pPr>
        <w:ind w:left="360"/>
      </w:pPr>
      <w:r>
        <w:rPr>
          <w:b/>
          <w:sz w:val="20"/>
        </w:rPr>
        <w:t>• Inflation &amp; Cartel Resistance: </w:t>
      </w:r>
      <w:r>
        <w:rPr>
          <w:sz w:val="20"/>
        </w:rPr>
        <w:t>Algorithmic price transparency prevents artificial hoarding in Mandis.</w:t>
      </w:r>
    </w:p>
  </w:body>
</w:document>
</file>