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-->
    <w:p>
      <w:pPr>
        <w:jc w:val="center"/>
      </w:pPr>
      <w:r>
        <w:rPr>
          <w:b/>
          <w:sz w:val="32"/>
          <w:color w:val="065F46"/>
        </w:rPr>
        <w:t>5-YEAR FARMER EARNINGS VS. MIDDLEMAN EXPLOITATION</w:t>
      </w:r>
    </w:p>
    <w:p>
      <w:pPr>
        <w:jc w:val="center"/>
      </w:pPr>
      <w:r>
        <w:rPr>
          <w:i/>
          <w:sz w:val="20"/>
          <w:color w:val="64748B"/>
        </w:rPr>
        <w:t>AgriFlow AI - Impact Graph &amp; Key Slide Takeaways</w:t>
      </w:r>
    </w:p>
    <w:p/>
    <!-- EMBEDDED GRAPH IMAGE -->
    <w:p>
      <w:pPr>
        <w:jc w:val="center"/>
      </w:pPr>
      <w:r>
        <w:drawing>
          <wp:inline distT="0" distB="0" distL="0" distR="0">
            <wp:extent cx="5303520" cy="2980944"/>
            <wp:docPr id="1" name="Farmer Earnings Grap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m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!-- SIMPLE TAKEAWAY BULLETS -->
    <w:p>
      <w:r>
        <w:rPr>
          <w:b/>
          <w:sz w:val="24"/>
          <w:color w:val="0F172A"/>
        </w:rPr>
        <w:t>Key Takeaways for Presentation Slide:</w:t>
      </w:r>
    </w:p>
    <w:p>
      <w:pPr>
        <w:ind w:left="240"/>
      </w:pPr>
      <w:r>
        <w:rPr>
          <w:b/>
          <w:sz w:val="22"/>
          <w:color w:val="DC2626"/>
        </w:rPr>
        <w:t>1. The Problem (2020–2024): </w:t>
      </w:r>
      <w:r>
        <w:rPr>
          <w:sz w:val="20"/>
        </w:rPr>
        <w:t>Retail prices rose +72%, but farmers received only 28% of consumer money due to middleman cuts.</w:t>
      </w:r>
    </w:p>
    <w:p>
      <w:pPr>
        <w:ind w:left="240"/>
      </w:pPr>
      <w:r>
        <w:rPr>
          <w:b/>
          <w:sz w:val="22"/>
          <w:color w:val="059669"/>
        </w:rPr>
        <w:t>2. The AgriFlow Impact (2025): </w:t>
      </w:r>
      <w:r>
        <w:rPr>
          <w:sz w:val="20"/>
        </w:rPr>
        <w:t>Bypasses 4 broker layers, boosting farmer realization to 88% (Rs 42/kg vs Rs 17.5/kg).</w:t>
      </w:r>
    </w:p>
    <w:p>
      <w:pPr>
        <w:ind w:left="240"/>
      </w:pPr>
      <w:r>
        <w:rPr>
          <w:b/>
          <w:sz w:val="22"/>
          <w:color w:val="0284C7"/>
        </w:rPr>
        <w:t>3. Benefit for Buyers: </w:t>
      </w:r>
      <w:r>
        <w:rPr>
          <w:sz w:val="20"/>
        </w:rPr>
        <w:t>Consumer purchase price drops from Rs 62/kg to Rs 48/kg (-22%) with verified farm-gate freshness.</w:t>
      </w:r>
    </w:p>
  </w:body>
</w:document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image1.png"/>
</Relationships>
</file>