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TITLE -->
    <w:p>
      <w:pPr>
        <w:jc w:val="center"/>
      </w:pPr>
      <w:r>
        <w:rPr>
          <w:b/>
          <w:sz w:val="34"/>
          <w:color w:val="065F46"/>
        </w:rPr>
        <w:t>DIRECT &amp; STRATEGIC IMPACT - AGRIFLOW AI</w:t>
      </w:r>
    </w:p>
    <w:p>
      <w:pPr>
        <w:jc w:val="center"/>
      </w:pPr>
      <w:r>
        <w:rPr>
          <w:i/>
          <w:sz w:val="20"/>
          <w:color w:val="64748B"/>
        </w:rPr>
        <w:t>Smart India Hackathon (SIH) - Impact Analysis</w:t>
      </w:r>
    </w:p>
    <w:p/>
    <!-- SECTION 1: DIRECT IMPACT ON TARGET USERS -->
    <w:p>
      <w:r>
        <w:rPr>
          <w:b/>
          <w:sz w:val="26"/>
          <w:color w:val="0284C7"/>
        </w:rPr>
        <w:t>1. DIRECT IMPACT ON TARGET USERS</w:t>
      </w:r>
    </w:p>
    <!-- FARMERS -->
    <w:p>
      <w:r>
        <w:rPr>
          <w:b/>
          <w:sz w:val="22"/>
          <w:color w:val="0F172A"/>
        </w:rPr>
        <w:t>Cultivating Farmers:</w:t>
      </w:r>
    </w:p>
    <w:p>
      <w:pPr>
        <w:ind w:left="360"/>
      </w:pPr>
      <w:r>
        <w:rPr>
          <w:b/>
          <w:sz w:val="20"/>
        </w:rPr>
        <w:t>• +25% to +35% Income Surge: </w:t>
      </w:r>
      <w:r>
        <w:rPr>
          <w:sz w:val="20"/>
        </w:rPr>
        <w:t>Disintermediates middlemen, transferring full produce value.</w:t>
      </w:r>
    </w:p>
    <w:p>
      <w:pPr>
        <w:ind w:left="360"/>
      </w:pPr>
      <w:r>
        <w:rPr>
          <w:b/>
          <w:sz w:val="20"/>
        </w:rPr>
        <w:t>• AI Optimal Window: </w:t>
      </w:r>
      <w:r>
        <w:rPr>
          <w:sz w:val="20"/>
        </w:rPr>
        <w:t>Eliminates distress selling via predictive Mandi price timing.</w:t>
      </w:r>
    </w:p>
    <w:p>
      <w:pPr>
        <w:ind w:left="360"/>
      </w:pPr>
      <w:r>
        <w:rPr>
          <w:b/>
          <w:sz w:val="20"/>
        </w:rPr>
        <w:t>• 2G &amp; Vernacular Access: </w:t>
      </w:r>
      <w:r>
        <w:rPr>
          <w:sz w:val="20"/>
        </w:rPr>
        <w:t>Zero-crash low bandwidth UI in regional native languages.</w:t>
      </w:r>
    </w:p>
    <w:p>
      <w:pPr>
        <w:ind w:left="360"/>
      </w:pPr>
      <w:r>
        <w:rPr>
          <w:b/>
          <w:sz w:val="20"/>
        </w:rPr>
        <w:t>• 100% Payment Guarantee: </w:t>
      </w:r>
      <w:r>
        <w:rPr>
          <w:sz w:val="20"/>
        </w:rPr>
        <w:t>Escrow vaults lock buyer deposits, eliminating bad debts &amp; defaults.</w:t>
      </w:r>
    </w:p>
    <w:p/>
    <!-- BUYERS -->
    <w:p>
      <w:r>
        <w:rPr>
          <w:b/>
          <w:sz w:val="22"/>
          <w:color w:val="0F172A"/>
        </w:rPr>
        <w:t>Retail &amp; Institutional Buyers:</w:t>
      </w:r>
    </w:p>
    <w:p>
      <w:pPr>
        <w:ind w:left="360"/>
      </w:pPr>
      <w:r>
        <w:rPr>
          <w:b/>
          <w:sz w:val="20"/>
        </w:rPr>
        <w:t>• 10–15% Sourcing Savings: </w:t>
      </w:r>
      <w:r>
        <w:rPr>
          <w:sz w:val="20"/>
        </w:rPr>
        <w:t>Direct procurement cuts multi-layer trader markups.</w:t>
      </w:r>
    </w:p>
    <w:p>
      <w:pPr>
        <w:ind w:left="360"/>
      </w:pPr>
      <w:r>
        <w:rPr>
          <w:b/>
          <w:sz w:val="20"/>
        </w:rPr>
        <w:t>• Farm-Gate Freshness: </w:t>
      </w:r>
      <w:r>
        <w:rPr>
          <w:sz w:val="20"/>
        </w:rPr>
        <w:t>Direct dispatch extends retail shelf-life and produce quality.</w:t>
      </w:r>
    </w:p>
    <w:p>
      <w:pPr>
        <w:ind w:left="360"/>
      </w:pPr>
      <w:r>
        <w:rPr>
          <w:b/>
          <w:sz w:val="20"/>
        </w:rPr>
        <w:t>• 100% Price Transparency: </w:t>
      </w:r>
      <w:r>
        <w:rPr>
          <w:sz w:val="20"/>
        </w:rPr>
        <w:t>Audited visibility showing exact rupee amount reaching the farmer.</w:t>
      </w:r>
    </w:p>
    <w:p/>
    <!-- LOGISTICS -->
    <w:p>
      <w:r>
        <w:rPr>
          <w:b/>
          <w:sz w:val="22"/>
          <w:color w:val="0F172A"/>
        </w:rPr>
        <w:t>Logistics Transporters:</w:t>
      </w:r>
    </w:p>
    <w:p>
      <w:pPr>
        <w:ind w:left="360"/>
      </w:pPr>
      <w:r>
        <w:rPr>
          <w:b/>
          <w:sz w:val="20"/>
        </w:rPr>
        <w:t>• Consolidated Loads: </w:t>
      </w:r>
      <w:r>
        <w:rPr>
          <w:sz w:val="20"/>
        </w:rPr>
        <w:t>Clustered dispatch minimizes empty return trips.</w:t>
      </w:r>
    </w:p>
    <w:p>
      <w:pPr>
        <w:ind w:left="360"/>
      </w:pPr>
      <w:r>
        <w:rPr>
          <w:b/>
          <w:sz w:val="20"/>
        </w:rPr>
        <w:t>• GPS Telemetry: </w:t>
      </w:r>
      <w:r>
        <w:rPr>
          <w:sz w:val="20"/>
        </w:rPr>
        <w:t>Automated route tracking and fast OTP handover verification.</w:t>
      </w:r>
    </w:p>
    <w:p/>
    <!-- SECTION 2: STRATEGIC IMPACT -->
    <w:p>
      <w:r>
        <w:rPr>
          <w:b/>
          <w:sz w:val="26"/>
          <w:color w:val="059669"/>
        </w:rPr>
        <w:t>2. STRATEGIC &amp; MACRO ECOSYSTEM IMPACT</w:t>
      </w:r>
    </w:p>
    <!-- NATIONAL AGRI ECONOMY -->
    <w:p>
      <w:r>
        <w:rPr>
          <w:b/>
          <w:sz w:val="22"/>
          <w:color w:val="0F172A"/>
        </w:rPr>
        <w:t>National Agricultural Economy:</w:t>
      </w:r>
    </w:p>
    <w:p>
      <w:pPr>
        <w:ind w:left="360"/>
      </w:pPr>
      <w:r>
        <w:rPr>
          <w:b/>
          <w:sz w:val="20"/>
        </w:rPr>
        <w:t>• Market Harmonization: </w:t>
      </w:r>
      <w:r>
        <w:rPr>
          <w:sz w:val="20"/>
        </w:rPr>
        <w:t>Bridges local rural haats with national e-NAM price discovery.</w:t>
      </w:r>
    </w:p>
    <w:p>
      <w:pPr>
        <w:ind w:left="360"/>
      </w:pPr>
      <w:r>
        <w:rPr>
          <w:b/>
          <w:sz w:val="20"/>
        </w:rPr>
        <w:t>• Inflation &amp; Cartel Control: </w:t>
      </w:r>
      <w:r>
        <w:rPr>
          <w:sz w:val="20"/>
        </w:rPr>
        <w:t>Curbs speculative hoarding and price gouging.</w:t>
      </w:r>
    </w:p>
    <w:p/>
    <!-- FOOD SECURITY & ESG -->
    <w:p>
      <w:r>
        <w:rPr>
          <w:b/>
          <w:sz w:val="22"/>
          <w:color w:val="0F172A"/>
        </w:rPr>
        <w:t>Food Security &amp; Environmental Sustainability (ESG):</w:t>
      </w:r>
    </w:p>
    <w:p>
      <w:pPr>
        <w:ind w:left="360"/>
      </w:pPr>
      <w:r>
        <w:rPr>
          <w:b/>
          <w:sz w:val="20"/>
        </w:rPr>
        <w:t>• -40% Post-Harvest Loss: </w:t>
      </w:r>
      <w:r>
        <w:rPr>
          <w:sz w:val="20"/>
        </w:rPr>
        <w:t>Slashes rotting waste to conserve critical food supply.</w:t>
      </w:r>
    </w:p>
    <w:p>
      <w:pPr>
        <w:ind w:left="360"/>
      </w:pPr>
      <w:r>
        <w:rPr>
          <w:b/>
          <w:sz w:val="20"/>
        </w:rPr>
        <w:t>• -35% Fuel Emissions: </w:t>
      </w:r>
      <w:r>
        <w:rPr>
          <w:sz w:val="20"/>
        </w:rPr>
        <w:t>AI route consolidation cuts dead-haul transit distances.</w:t>
      </w:r>
    </w:p>
    <w:p/>
    <!-- DIGITAL INCLUSION -->
    <w:p>
      <w:r>
        <w:rPr>
          <w:b/>
          <w:sz w:val="22"/>
          <w:color w:val="0F172A"/>
        </w:rPr>
        <w:t>Rural Financial &amp; Institutional Empowerment:</w:t>
      </w:r>
    </w:p>
    <w:p>
      <w:pPr>
        <w:ind w:left="360"/>
      </w:pPr>
      <w:r>
        <w:rPr>
          <w:b/>
          <w:sz w:val="20"/>
        </w:rPr>
        <w:t>• Formal Credit History: </w:t>
      </w:r>
      <w:r>
        <w:rPr>
          <w:sz w:val="20"/>
        </w:rPr>
        <w:t>Digital trade ledger allows farmers to access bank micro-loans.</w:t>
      </w:r>
    </w:p>
    <w:p>
      <w:pPr>
        <w:ind w:left="360"/>
      </w:pPr>
      <w:r>
        <w:rPr>
          <w:b/>
          <w:sz w:val="20"/>
        </w:rPr>
        <w:t>• FPO Collective Scale: </w:t>
      </w:r>
      <w:r>
        <w:rPr>
          <w:sz w:val="20"/>
        </w:rPr>
        <w:t>Enables smallholder clusters to bid for high-value institutional contracts.</w:t>
      </w:r>
    </w:p>
  </w:body>
</w:document>
</file>