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pPr><w:jc w:val="center"/></w:pPr>
      <w:r>
        <w:rPr><w:b/><w:sz w:val="32"/><w:color w:val="065F46"/></w:rPr>
        <w:t>IMPLEMENTATION ROADMAP</w:t>
      </w:r>
    </w:p>
    <w:p>
      <w:pPr><w:jc w:val="center"/></w:pPr>
      <w:r>
        <w:rPr><w:i/><w:sz w:val="18"/><w:color w:val="64748B"/></w:rPr>
        <w:t>Immediate Prototype Fix vs. Long-Term Future Solution</w:t>
      </w:r>
    </w:p>
    <w:p/>

    <w:tbl>
      <w:tblPr>
        <w:tblW w:w="96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<w:trPr><w:cantSplit/></w:trPr><w:tc><w:tcPr><w:tcW w:w="2200" w:type="dxa"/><w:shd w:val="clear" w:color="auto" w:fill="1E293B"/><w:tcMar><w:top w:w="120" w:type="dxa"/><w:bottom w:w="120" w:type="dxa"/><w:left w:w="140" w:type="dxa"/><w:right w:w="140" w:type="dxa"/></w:tcMar></w:tcPr><w:p><w:pPr><w:spacing w:before="60" w:after="60"/></w:pPr><w:r><w:rPr><w:b/><w:sz w:val="22"/><w:color w:val="FFFFFF"/></w:rPr><w:t>Domain</w:t></w:r></w:p></w:tc><w:tc><w:tcPr><w:tcW w:w="3700" w:type="dxa"/><w:shd w:val="clear" w:color="auto" w:fill="1E293B"/><w:tcMar><w:top w:w="120" w:type="dxa"/><w:bottom w:w="120" w:type="dxa"/><w:left w:w="140" w:type="dxa"/><w:right w:w="140" w:type="dxa"/></w:tcMar></w:tcPr><w:p><w:pPr><w:spacing w:before="60" w:after="60"/></w:pPr><w:r><w:rPr><w:b/><w:sz w:val="22"/><w:color w:val="FFFFFF"/></w:rPr><w:t>Immediate Prototype Fix</w:t></w:r></w:p></w:tc><w:tc><w:tcPr><w:tcW w:w="3700" w:type="dxa"/><w:shd w:val="clear" w:color="auto" w:fill="1E293B"/><w:tcMar><w:top w:w="120" w:type="dxa"/><w:bottom w:w="120" w:type="dxa"/><w:left w:w="140" w:type="dxa"/><w:right w:w="140" w:type="dxa"/></w:tcMar></w:tcPr><w:p><w:pPr><w:spacing w:before="60" w:after="60"/></w:pPr><w:r><w:rPr><w:b/><w:sz w:val="22"/><w:color w:val="FFFFFF"/></w:rPr><w:t>Long-Term Future Solution</w:t></w:r></w:p></w:tc></w:tr><w:tr><w:trPr><w:cantSplit/></w:trPr><w:tc><w:tcPr><w:tcW w:w="2200" w:type="dxa"/><w:shd w:val="clear" w:color="auto" w:fill="F8FAFC"/><w:tcMar><w:top w:w="120" w:type="dxa"/><w:bottom w:w="120" w:type="dxa"/><w:left w:w="140" w:type="dxa"/><w:right w:w="140" w:type="dxa"/></w:tcMar></w:tcPr><w:p><w:pPr><w:spacing w:before="60" w:after="60"/></w:pPr><w:r><w:rPr><w:b/><w:sz w:val="20"/><w:color w:val="0F172A"/></w:rPr><w:t>Accessibility</w:t></w:r></w:p></w:tc><w:tc><w:tcPr><w:tcW w:w="3700" w:type="dxa"/><w:shd w:val="clear" w:color="auto" w:fill="F8FAFC"/><w:tcMar><w:top w:w="120" w:type="dxa"/><w:bottom w:w="120" w:type="dxa"/><w:left w:w="140" w:type="dxa"/><w:right w:w="140" w:type="dxa"/></w:tcMar></w:tcPr><w:p><w:pPr><w:spacing w:before="60" w:after="60"/></w:pPr><w:r><w:rPr><w:sz w:val="20"/><w:color w:val="0F172A"/></w:rPr><w:t>Avatar login & 7-11 Indic vernacular UI</w:t></w:r></w:p></w:tc><w:tc><w:tcPr><w:tcW w:w="3700" w:type="dxa"/><w:shd w:val="clear" w:color="auto" w:fill="F8FAFC"/><w:tcMar><w:top w:w="120" w:type="dxa"/><w:bottom w:w="120" w:type="dxa"/><w:left w:w="140" w:type="dxa"/><w:right w:w="140" w:type="dxa"/></w:tcMar></w:tcPr><w:p><w:pPr><w:spacing w:before="60" w:after="60"/></w:pPr><w:r><w:rPr><w:sz w:val="20"/><w:color w:val="0F172A"/></w:rPr><w:t>Bhashini speech-to-speech AI voice assistant</w:t></w:r></w:p></w:tc></w:tr><w:tr><w:trPr><w:cantSplit/></w:trPr><w:tc><w:tcPr><w:tcW w:w="2200" w:type="dxa"/><w:shd w:val="clear" w:color="auto" w:fill="FFFFFF"/><w:tcMar><w:top w:w="120" w:type="dxa"/><w:bottom w:w="120" w:type="dxa"/><w:left w:w="140" w:type="dxa"/><w:right w:w="140" w:type="dxa"/></w:tcMar></w:tcPr><w:p><w:pPr><w:spacing w:before="60" w:after="60"/></w:pPr><w:r><w:rPr><w:b/><w:sz w:val="20"/><w:color w:val="0F172A"/></w:rPr><w:t>Logistics</w:t></w:r></w:p></w:tc><w:tc><w:tcPr><w:tcW w:w="3700" w:type="dxa"/><w:shd w:val="clear" w:color="auto" w:fill="FFFFFF"/><w:tcMar><w:top w:w="120" w:type="dxa"/><w:bottom w:w="120" w:type="dxa"/><w:left w:w="140" w:type="dxa"/><w:right w:w="140" w:type="dxa"/></w:tcMar></w:tcPr><w:p><w:pPr><w:spacing w:before="60" w:after="60"/></w:pPr><w:r><w:rPr><w:sz w:val="20"/><w:color w:val="0F172A"/></w:rPr><w:t>Dynamic routing & cold compliance log</w:t></w:r></w:p></w:tc><w:tc><w:tcPr><w:tcW w:w="3700" w:type="dxa"/><w:shd w:val="clear" w:color="auto" w:fill="FFFFFF"/><w:tcMar><w:top w:w="120" w:type="dxa"/><w:bottom w:w="120" w:type="dxa"/><w:left w:w="140" w:type="dxa"/><w:right w:w="140" w:type="dxa"/></w:tcMar></w:tcPr><w:p><w:pPr><w:spacing w:before="60" w:after="60"/></w:pPr><w:r><w:rPr><w:sz w:val="20"/><w:color w:val="0F172A"/></w:rPr><w:t>LTL cargo pooling & EV fleets with Carbon Credits</w:t></w:r></w:p></w:tc></w:tr><w:tr><w:trPr><w:cantSplit/></w:trPr><w:tc><w:tcPr><w:tcW w:w="2200" w:type="dxa"/><w:shd w:val="clear" w:color="auto" w:fill="F8FAFC"/><w:tcMar><w:top w:w="120" w:type="dxa"/><w:bottom w:w="120" w:type="dxa"/><w:left w:w="140" w:type="dxa"/><w:right w:w="140" w:type="dxa"/></w:tcMar></w:tcPr><w:p><w:pPr><w:spacing w:before="60" w:after="60"/></w:pPr><w:r><w:rPr><w:b/><w:sz w:val="20"/><w:color w:val="0F172A"/></w:rPr><w:t>Trust & Payouts</w:t></w:r></w:p></w:tc><w:tc><w:tcPr><w:tcW w:w="3700" w:type="dxa"/><w:shd w:val="clear" w:color="auto" w:fill="F8FAFC"/><w:tcMar><w:top w:w="120" w:type="dxa"/><w:bottom w:w="120" w:type="dxa"/><w:left w:w="140" w:type="dxa"/><w:right w:w="140" w:type="dxa"/></w:tcMar></w:tcPr><w:p><w:pPr><w:spacing w:before="60" w:after="60"/></w:pPr><w:r><w:rPr><w:sz w:val="20"/><w:color w:val="0F172A"/></w:rPr><w:t>3-tier MSP floor & MPIN bank audit</w:t></w:r></w:p></w:tc><w:tc><w:tcPr><w:tcW w:w="3700" w:type="dxa"/><w:shd w:val="clear" w:color="auto" w:fill="F8FAFC"/><w:tcMar><w:top w:w="120" w:type="dxa"/><w:bottom w:w="120" w:type="dxa"/><w:left w:w="140" w:type="dxa"/><w:right w:w="140" w:type="dxa"/></w:tcMar></w:tcPr><w:p><w:pPr><w:spacing w:before="60" w:after="60"/></w:pPr><w:r><w:rPr><w:sz w:val="20"/><w:color w:val="0F172A"/></w:rPr><w:t>RBI AutoPay / ONDC Agri smart contract escrow</w:t></w:r></w:p></w:tc></w:tr>
    </w:tbl>

  </w:body>
</w:document>
</file>