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E885D" w14:textId="77777777" w:rsidR="000C0AD5" w:rsidRPr="00BF688D" w:rsidRDefault="00000000" w:rsidP="008520C5">
      <w:pPr>
        <w:jc w:val="center"/>
        <w:rPr>
          <w:rFonts w:ascii="Times New Roman" w:hAnsi="Times New Roman" w:cs="Times New Roman"/>
          <w:sz w:val="32"/>
          <w:szCs w:val="32"/>
        </w:rPr>
      </w:pPr>
      <w:r w:rsidRPr="00BF688D">
        <w:rPr>
          <w:rFonts w:ascii="Times New Roman" w:hAnsi="Times New Roman" w:cs="Times New Roman"/>
          <w:b/>
          <w:color w:val="0E2D5A"/>
          <w:sz w:val="32"/>
          <w:szCs w:val="32"/>
        </w:rPr>
        <w:t>Project Report</w:t>
      </w:r>
    </w:p>
    <w:p w14:paraId="33D24016" w14:textId="77777777" w:rsidR="000C0AD5" w:rsidRPr="00BF688D" w:rsidRDefault="00000000" w:rsidP="008520C5">
      <w:pPr>
        <w:jc w:val="center"/>
        <w:rPr>
          <w:rFonts w:ascii="Times New Roman" w:hAnsi="Times New Roman" w:cs="Times New Roman"/>
          <w:sz w:val="24"/>
          <w:szCs w:val="24"/>
        </w:rPr>
      </w:pPr>
      <w:r w:rsidRPr="00BF688D">
        <w:rPr>
          <w:rFonts w:ascii="Times New Roman" w:hAnsi="Times New Roman" w:cs="Times New Roman"/>
          <w:color w:val="5A5A5A"/>
          <w:sz w:val="24"/>
          <w:szCs w:val="24"/>
        </w:rPr>
        <w:t>Missouri Care Coordination Gap Analytics: statewide and St. Louis ZIP-level population health intelligence</w:t>
      </w:r>
    </w:p>
    <w:p w14:paraId="23F15FD7" w14:textId="77777777" w:rsidR="000C0AD5" w:rsidRPr="00BF688D" w:rsidRDefault="00000000" w:rsidP="008520C5">
      <w:pPr>
        <w:jc w:val="center"/>
        <w:rPr>
          <w:rFonts w:ascii="Times New Roman" w:hAnsi="Times New Roman" w:cs="Times New Roman"/>
          <w:sz w:val="24"/>
          <w:szCs w:val="24"/>
        </w:rPr>
      </w:pPr>
      <w:r w:rsidRPr="00BF688D">
        <w:rPr>
          <w:rFonts w:ascii="Times New Roman" w:hAnsi="Times New Roman" w:cs="Times New Roman"/>
          <w:color w:val="5A5A5A"/>
          <w:sz w:val="24"/>
          <w:szCs w:val="24"/>
        </w:rPr>
        <w:t>Prepared by Brighton Sibanda</w:t>
      </w:r>
    </w:p>
    <w:p w14:paraId="7DF67865" w14:textId="77777777" w:rsidR="000C0AD5" w:rsidRPr="00BF688D" w:rsidRDefault="000C0AD5" w:rsidP="008520C5">
      <w:pPr>
        <w:jc w:val="both"/>
        <w:rPr>
          <w:rFonts w:ascii="Times New Roman" w:hAnsi="Times New Roman" w:cs="Times New Roman"/>
          <w:sz w:val="24"/>
          <w:szCs w:val="24"/>
        </w:rPr>
      </w:pPr>
    </w:p>
    <w:tbl>
      <w:tblPr>
        <w:tblW w:w="0" w:type="auto"/>
        <w:jc w:val="center"/>
        <w:tblLook w:val="04A0" w:firstRow="1" w:lastRow="0" w:firstColumn="1" w:lastColumn="0" w:noHBand="0" w:noVBand="1"/>
      </w:tblPr>
      <w:tblGrid>
        <w:gridCol w:w="10080"/>
      </w:tblGrid>
      <w:tr w:rsidR="000C0AD5" w:rsidRPr="00BF688D" w14:paraId="2340B705" w14:textId="77777777">
        <w:trPr>
          <w:cantSplit/>
          <w:jc w:val="center"/>
        </w:trPr>
        <w:tc>
          <w:tcPr>
            <w:tcW w:w="10080" w:type="dxa"/>
            <w:shd w:val="clear" w:color="auto" w:fill="EAF2F8"/>
          </w:tcPr>
          <w:p w14:paraId="7375AADB"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b/>
                <w:color w:val="0E2D5A"/>
                <w:sz w:val="24"/>
                <w:szCs w:val="24"/>
              </w:rPr>
              <w:t>Executive summary</w:t>
            </w:r>
          </w:p>
          <w:p w14:paraId="0428909E" w14:textId="77777777" w:rsidR="000C0AD5" w:rsidRPr="00BF688D" w:rsidRDefault="00000000" w:rsidP="008520C5">
            <w:pPr>
              <w:pStyle w:val="BoxText"/>
              <w:jc w:val="both"/>
              <w:rPr>
                <w:rFonts w:ascii="Times New Roman" w:hAnsi="Times New Roman" w:cs="Times New Roman"/>
                <w:sz w:val="24"/>
                <w:szCs w:val="24"/>
              </w:rPr>
            </w:pPr>
            <w:r w:rsidRPr="00BF688D">
              <w:rPr>
                <w:rFonts w:ascii="Times New Roman" w:hAnsi="Times New Roman" w:cs="Times New Roman"/>
                <w:sz w:val="24"/>
                <w:szCs w:val="24"/>
              </w:rPr>
              <w:t>This project built a multi-level healthcare analytics framework to identify Missouri counties and St. Louis ZIP/ZCTA areas where social vulnerability, chronic disease burden, mental health burden, uninsured burden, and care coordination resource limitations overlap. The project produced county and ZIP-level risk scores, geospatial outputs, cost-estimation metrics, and Power BI dashboards for portfolio and decision-support use.</w:t>
            </w:r>
          </w:p>
        </w:tc>
      </w:tr>
    </w:tbl>
    <w:p w14:paraId="04BA0872" w14:textId="77777777" w:rsidR="000C0AD5" w:rsidRPr="00BF688D" w:rsidRDefault="000C0AD5" w:rsidP="008520C5">
      <w:pPr>
        <w:jc w:val="both"/>
        <w:rPr>
          <w:rFonts w:ascii="Times New Roman" w:hAnsi="Times New Roman" w:cs="Times New Roman"/>
          <w:sz w:val="24"/>
          <w:szCs w:val="24"/>
        </w:rPr>
      </w:pPr>
    </w:p>
    <w:p w14:paraId="6FE2B7C8" w14:textId="77777777" w:rsidR="000C0AD5" w:rsidRPr="00BF688D" w:rsidRDefault="00000000" w:rsidP="008520C5">
      <w:pPr>
        <w:pStyle w:val="Heading1"/>
        <w:jc w:val="both"/>
        <w:rPr>
          <w:rFonts w:ascii="Times New Roman" w:hAnsi="Times New Roman" w:cs="Times New Roman"/>
          <w:sz w:val="24"/>
          <w:szCs w:val="24"/>
        </w:rPr>
      </w:pPr>
      <w:r w:rsidRPr="00BF688D">
        <w:rPr>
          <w:rFonts w:ascii="Times New Roman" w:hAnsi="Times New Roman" w:cs="Times New Roman"/>
          <w:sz w:val="24"/>
          <w:szCs w:val="24"/>
        </w:rPr>
        <w:t>1. Problem Statement</w:t>
      </w:r>
    </w:p>
    <w:p w14:paraId="67B1609A"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Healthcare organizations often recognize that vulnerable patients are unevenly distributed across communities, but they may lack a practical way to compare need and resource availability at geographic levels that support action. Without a structured targeting framework, care coordination programs risk being reactive rather than strategically deployed. This project addresses that gap by asking: where in Missouri does healthcare need appear to exceed care coordination capacity, and what might that gap represent operationally?</w:t>
      </w:r>
    </w:p>
    <w:p w14:paraId="1AD3D1FC" w14:textId="77777777" w:rsidR="000C0AD5" w:rsidRPr="00BF688D" w:rsidRDefault="00000000" w:rsidP="008520C5">
      <w:pPr>
        <w:pStyle w:val="Heading1"/>
        <w:jc w:val="both"/>
        <w:rPr>
          <w:rFonts w:ascii="Times New Roman" w:hAnsi="Times New Roman" w:cs="Times New Roman"/>
          <w:sz w:val="24"/>
          <w:szCs w:val="24"/>
        </w:rPr>
      </w:pPr>
      <w:r w:rsidRPr="00BF688D">
        <w:rPr>
          <w:rFonts w:ascii="Times New Roman" w:hAnsi="Times New Roman" w:cs="Times New Roman"/>
          <w:sz w:val="24"/>
          <w:szCs w:val="24"/>
        </w:rPr>
        <w:t>2. Project Objectives</w:t>
      </w:r>
    </w:p>
    <w:p w14:paraId="4B2B6273" w14:textId="77777777" w:rsidR="000C0AD5" w:rsidRPr="00BF688D" w:rsidRDefault="00000000" w:rsidP="008520C5">
      <w:pPr>
        <w:pStyle w:val="ListBullet"/>
        <w:jc w:val="both"/>
        <w:rPr>
          <w:rFonts w:ascii="Times New Roman" w:hAnsi="Times New Roman" w:cs="Times New Roman"/>
          <w:sz w:val="24"/>
          <w:szCs w:val="24"/>
        </w:rPr>
      </w:pPr>
      <w:r w:rsidRPr="00BF688D">
        <w:rPr>
          <w:rFonts w:ascii="Times New Roman" w:hAnsi="Times New Roman" w:cs="Times New Roman"/>
          <w:sz w:val="24"/>
          <w:szCs w:val="24"/>
        </w:rPr>
        <w:t>Create a statewide Missouri county-level care coordination gap framework.</w:t>
      </w:r>
    </w:p>
    <w:p w14:paraId="5A6CAE91" w14:textId="77777777" w:rsidR="000C0AD5" w:rsidRPr="00BF688D" w:rsidRDefault="00000000" w:rsidP="008520C5">
      <w:pPr>
        <w:pStyle w:val="ListBullet"/>
        <w:jc w:val="both"/>
        <w:rPr>
          <w:rFonts w:ascii="Times New Roman" w:hAnsi="Times New Roman" w:cs="Times New Roman"/>
          <w:sz w:val="24"/>
          <w:szCs w:val="24"/>
        </w:rPr>
      </w:pPr>
      <w:r w:rsidRPr="00BF688D">
        <w:rPr>
          <w:rFonts w:ascii="Times New Roman" w:hAnsi="Times New Roman" w:cs="Times New Roman"/>
          <w:sz w:val="24"/>
          <w:szCs w:val="24"/>
        </w:rPr>
        <w:t>Identify high-burden counties using SDOH, chronic disease, mental health, uninsured, and FQHC supply indicators.</w:t>
      </w:r>
    </w:p>
    <w:p w14:paraId="1671D3E2" w14:textId="77777777" w:rsidR="000C0AD5" w:rsidRPr="00BF688D" w:rsidRDefault="00000000" w:rsidP="008520C5">
      <w:pPr>
        <w:pStyle w:val="ListBullet"/>
        <w:jc w:val="both"/>
        <w:rPr>
          <w:rFonts w:ascii="Times New Roman" w:hAnsi="Times New Roman" w:cs="Times New Roman"/>
          <w:sz w:val="24"/>
          <w:szCs w:val="24"/>
        </w:rPr>
      </w:pPr>
      <w:r w:rsidRPr="00BF688D">
        <w:rPr>
          <w:rFonts w:ascii="Times New Roman" w:hAnsi="Times New Roman" w:cs="Times New Roman"/>
          <w:sz w:val="24"/>
          <w:szCs w:val="24"/>
        </w:rPr>
        <w:t>Extend the analysis to St. Louis ZIP/ZCTA geographies for localized intervention targeting.</w:t>
      </w:r>
    </w:p>
    <w:p w14:paraId="27DA4B76" w14:textId="77777777" w:rsidR="000C0AD5" w:rsidRPr="00BF688D" w:rsidRDefault="00000000" w:rsidP="008520C5">
      <w:pPr>
        <w:pStyle w:val="ListBullet"/>
        <w:jc w:val="both"/>
        <w:rPr>
          <w:rFonts w:ascii="Times New Roman" w:hAnsi="Times New Roman" w:cs="Times New Roman"/>
          <w:sz w:val="24"/>
          <w:szCs w:val="24"/>
        </w:rPr>
      </w:pPr>
      <w:r w:rsidRPr="00BF688D">
        <w:rPr>
          <w:rFonts w:ascii="Times New Roman" w:hAnsi="Times New Roman" w:cs="Times New Roman"/>
          <w:sz w:val="24"/>
          <w:szCs w:val="24"/>
        </w:rPr>
        <w:t>Estimate potential avoidable healthcare cost burden and savings opportunity using transparent planning assumptions.</w:t>
      </w:r>
    </w:p>
    <w:p w14:paraId="7C8DB6D8" w14:textId="77777777" w:rsidR="000C0AD5" w:rsidRPr="00BF688D" w:rsidRDefault="00000000" w:rsidP="008520C5">
      <w:pPr>
        <w:pStyle w:val="ListBullet"/>
        <w:jc w:val="both"/>
        <w:rPr>
          <w:rFonts w:ascii="Times New Roman" w:hAnsi="Times New Roman" w:cs="Times New Roman"/>
          <w:sz w:val="24"/>
          <w:szCs w:val="24"/>
        </w:rPr>
      </w:pPr>
      <w:r w:rsidRPr="00BF688D">
        <w:rPr>
          <w:rFonts w:ascii="Times New Roman" w:hAnsi="Times New Roman" w:cs="Times New Roman"/>
          <w:sz w:val="24"/>
          <w:szCs w:val="24"/>
        </w:rPr>
        <w:t>Build executive Power BI dashboards suitable for portfolio presentation and healthcare analytics discussion.</w:t>
      </w:r>
    </w:p>
    <w:p w14:paraId="63AC7986" w14:textId="77777777" w:rsidR="000C0AD5" w:rsidRPr="00BF688D" w:rsidRDefault="00000000" w:rsidP="008520C5">
      <w:pPr>
        <w:pStyle w:val="Heading1"/>
        <w:jc w:val="both"/>
        <w:rPr>
          <w:rFonts w:ascii="Times New Roman" w:hAnsi="Times New Roman" w:cs="Times New Roman"/>
          <w:sz w:val="24"/>
          <w:szCs w:val="24"/>
        </w:rPr>
      </w:pPr>
      <w:r w:rsidRPr="00BF688D">
        <w:rPr>
          <w:rFonts w:ascii="Times New Roman" w:hAnsi="Times New Roman" w:cs="Times New Roman"/>
          <w:sz w:val="24"/>
          <w:szCs w:val="24"/>
        </w:rPr>
        <w:t>3. Data and Methods Overview</w:t>
      </w:r>
    </w:p>
    <w:p w14:paraId="6ABEE9A9"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The project integrated CDC PLACES health indicators, ACS socioeconomic indicators, HRSA FQHC / health center location data, and a scenario-based cost quantification layer. Python was used for data preparation, scoring, geospatial analysis, and export. Power BI was used to create executive dashboards.</w:t>
      </w:r>
    </w:p>
    <w:tbl>
      <w:tblPr>
        <w:tblStyle w:val="TableGrid"/>
        <w:tblW w:w="0" w:type="auto"/>
        <w:jc w:val="center"/>
        <w:tblLook w:val="04A0" w:firstRow="1" w:lastRow="0" w:firstColumn="1" w:lastColumn="0" w:noHBand="0" w:noVBand="1"/>
      </w:tblPr>
      <w:tblGrid>
        <w:gridCol w:w="3168"/>
        <w:gridCol w:w="6768"/>
      </w:tblGrid>
      <w:tr w:rsidR="000C0AD5" w:rsidRPr="00BF688D" w14:paraId="5EB845D3" w14:textId="77777777">
        <w:trPr>
          <w:cantSplit/>
          <w:jc w:val="center"/>
        </w:trPr>
        <w:tc>
          <w:tcPr>
            <w:tcW w:w="3168" w:type="dxa"/>
            <w:shd w:val="clear" w:color="auto" w:fill="1F4E79"/>
            <w:vAlign w:val="center"/>
          </w:tcPr>
          <w:p w14:paraId="3916EC62"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b/>
                <w:color w:val="FFFFFF"/>
                <w:sz w:val="24"/>
                <w:szCs w:val="24"/>
              </w:rPr>
              <w:t>Analytical layer</w:t>
            </w:r>
          </w:p>
        </w:tc>
        <w:tc>
          <w:tcPr>
            <w:tcW w:w="6768" w:type="dxa"/>
            <w:shd w:val="clear" w:color="auto" w:fill="1F4E79"/>
            <w:vAlign w:val="center"/>
          </w:tcPr>
          <w:p w14:paraId="3F774C56"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b/>
                <w:color w:val="FFFFFF"/>
                <w:sz w:val="24"/>
                <w:szCs w:val="24"/>
              </w:rPr>
              <w:t>Output created</w:t>
            </w:r>
          </w:p>
        </w:tc>
      </w:tr>
      <w:tr w:rsidR="000C0AD5" w:rsidRPr="00BF688D" w14:paraId="4E11DCE6" w14:textId="77777777">
        <w:trPr>
          <w:cantSplit/>
          <w:jc w:val="center"/>
        </w:trPr>
        <w:tc>
          <w:tcPr>
            <w:tcW w:w="3168" w:type="dxa"/>
            <w:vAlign w:val="center"/>
          </w:tcPr>
          <w:p w14:paraId="5E5B8D89"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lastRenderedPageBreak/>
              <w:t>County-level SDOH vulnerability</w:t>
            </w:r>
          </w:p>
        </w:tc>
        <w:tc>
          <w:tcPr>
            <w:tcW w:w="6768" w:type="dxa"/>
            <w:vAlign w:val="center"/>
          </w:tcPr>
          <w:p w14:paraId="7951B175"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Composite index ranking Missouri counties by social and health burden.</w:t>
            </w:r>
          </w:p>
        </w:tc>
      </w:tr>
      <w:tr w:rsidR="000C0AD5" w:rsidRPr="00BF688D" w14:paraId="168F4D7F" w14:textId="77777777">
        <w:trPr>
          <w:cantSplit/>
          <w:jc w:val="center"/>
        </w:trPr>
        <w:tc>
          <w:tcPr>
            <w:tcW w:w="3168" w:type="dxa"/>
            <w:vAlign w:val="center"/>
          </w:tcPr>
          <w:p w14:paraId="1E544616"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Care coordination gap score</w:t>
            </w:r>
          </w:p>
        </w:tc>
        <w:tc>
          <w:tcPr>
            <w:tcW w:w="6768" w:type="dxa"/>
            <w:vAlign w:val="center"/>
          </w:tcPr>
          <w:p w14:paraId="22118E5D"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 xml:space="preserve">Weighted </w:t>
            </w:r>
            <w:proofErr w:type="gramStart"/>
            <w:r w:rsidRPr="00BF688D">
              <w:rPr>
                <w:rFonts w:ascii="Times New Roman" w:hAnsi="Times New Roman" w:cs="Times New Roman"/>
                <w:sz w:val="24"/>
                <w:szCs w:val="24"/>
              </w:rPr>
              <w:t>score</w:t>
            </w:r>
            <w:proofErr w:type="gramEnd"/>
            <w:r w:rsidRPr="00BF688D">
              <w:rPr>
                <w:rFonts w:ascii="Times New Roman" w:hAnsi="Times New Roman" w:cs="Times New Roman"/>
                <w:sz w:val="24"/>
                <w:szCs w:val="24"/>
              </w:rPr>
              <w:t xml:space="preserve"> combining vulnerability and resource shortage.</w:t>
            </w:r>
          </w:p>
        </w:tc>
      </w:tr>
      <w:tr w:rsidR="000C0AD5" w:rsidRPr="00BF688D" w14:paraId="7C6B48A7" w14:textId="77777777">
        <w:trPr>
          <w:cantSplit/>
          <w:jc w:val="center"/>
        </w:trPr>
        <w:tc>
          <w:tcPr>
            <w:tcW w:w="3168" w:type="dxa"/>
            <w:vAlign w:val="center"/>
          </w:tcPr>
          <w:p w14:paraId="129CAE19"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Risk tier classification</w:t>
            </w:r>
          </w:p>
        </w:tc>
        <w:tc>
          <w:tcPr>
            <w:tcW w:w="6768" w:type="dxa"/>
            <w:vAlign w:val="center"/>
          </w:tcPr>
          <w:p w14:paraId="1FCFA7F6"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County groups classified as Critical, High, Moderate, or Low risk.</w:t>
            </w:r>
          </w:p>
        </w:tc>
      </w:tr>
      <w:tr w:rsidR="000C0AD5" w:rsidRPr="00BF688D" w14:paraId="320A995D" w14:textId="77777777">
        <w:trPr>
          <w:cantSplit/>
          <w:jc w:val="center"/>
        </w:trPr>
        <w:tc>
          <w:tcPr>
            <w:tcW w:w="3168" w:type="dxa"/>
            <w:vAlign w:val="center"/>
          </w:tcPr>
          <w:p w14:paraId="3ACF2907"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St. Louis ZIP deep dive</w:t>
            </w:r>
          </w:p>
        </w:tc>
        <w:tc>
          <w:tcPr>
            <w:tcW w:w="6768" w:type="dxa"/>
            <w:vAlign w:val="center"/>
          </w:tcPr>
          <w:p w14:paraId="3865BCD9"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Localized ZIP/ZCTA vulnerability and intervention prioritization.</w:t>
            </w:r>
          </w:p>
        </w:tc>
      </w:tr>
      <w:tr w:rsidR="000C0AD5" w:rsidRPr="00BF688D" w14:paraId="67A0921E" w14:textId="77777777">
        <w:trPr>
          <w:cantSplit/>
          <w:jc w:val="center"/>
        </w:trPr>
        <w:tc>
          <w:tcPr>
            <w:tcW w:w="3168" w:type="dxa"/>
            <w:vAlign w:val="center"/>
          </w:tcPr>
          <w:p w14:paraId="5BAA5807"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Cost quantification</w:t>
            </w:r>
          </w:p>
        </w:tc>
        <w:tc>
          <w:tcPr>
            <w:tcW w:w="6768" w:type="dxa"/>
            <w:vAlign w:val="center"/>
          </w:tcPr>
          <w:p w14:paraId="30FFFD2E"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Estimated avoidable cost burden and potential savings opportunity.</w:t>
            </w:r>
          </w:p>
        </w:tc>
      </w:tr>
      <w:tr w:rsidR="000C0AD5" w:rsidRPr="00BF688D" w14:paraId="652C0F5C" w14:textId="77777777">
        <w:trPr>
          <w:cantSplit/>
          <w:jc w:val="center"/>
        </w:trPr>
        <w:tc>
          <w:tcPr>
            <w:tcW w:w="3168" w:type="dxa"/>
            <w:vAlign w:val="center"/>
          </w:tcPr>
          <w:p w14:paraId="161282E2"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Power BI dashboards</w:t>
            </w:r>
          </w:p>
        </w:tc>
        <w:tc>
          <w:tcPr>
            <w:tcW w:w="6768" w:type="dxa"/>
            <w:vAlign w:val="center"/>
          </w:tcPr>
          <w:p w14:paraId="5F33E6DA"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County strategic dashboard and ZIP operational dashboard.</w:t>
            </w:r>
          </w:p>
        </w:tc>
      </w:tr>
    </w:tbl>
    <w:p w14:paraId="66563847" w14:textId="77777777" w:rsidR="000C0AD5" w:rsidRPr="00BF688D" w:rsidRDefault="000C0AD5" w:rsidP="008520C5">
      <w:pPr>
        <w:jc w:val="both"/>
        <w:rPr>
          <w:rFonts w:ascii="Times New Roman" w:hAnsi="Times New Roman" w:cs="Times New Roman"/>
          <w:sz w:val="24"/>
          <w:szCs w:val="24"/>
        </w:rPr>
      </w:pPr>
    </w:p>
    <w:p w14:paraId="14B9DF4D" w14:textId="77777777" w:rsidR="000C0AD5" w:rsidRPr="00BF688D" w:rsidRDefault="00000000" w:rsidP="008520C5">
      <w:pPr>
        <w:pStyle w:val="Heading1"/>
        <w:jc w:val="both"/>
        <w:rPr>
          <w:rFonts w:ascii="Times New Roman" w:hAnsi="Times New Roman" w:cs="Times New Roman"/>
          <w:sz w:val="24"/>
          <w:szCs w:val="24"/>
        </w:rPr>
      </w:pPr>
      <w:r w:rsidRPr="00BF688D">
        <w:rPr>
          <w:rFonts w:ascii="Times New Roman" w:hAnsi="Times New Roman" w:cs="Times New Roman"/>
          <w:sz w:val="24"/>
          <w:szCs w:val="24"/>
        </w:rPr>
        <w:t>4. Key Findings</w:t>
      </w:r>
    </w:p>
    <w:p w14:paraId="39B848D7"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The analysis suggests a consistent pattern: areas with elevated vulnerability are not uniformly distributed. County-level maps showed stronger burden in southeastern and rural Missouri. ZIP-level St. Louis analysis showed localized variation that was not visible in county-level analysis alone.</w:t>
      </w:r>
    </w:p>
    <w:tbl>
      <w:tblPr>
        <w:tblStyle w:val="TableGrid"/>
        <w:tblW w:w="0" w:type="auto"/>
        <w:jc w:val="center"/>
        <w:tblLook w:val="04A0" w:firstRow="1" w:lastRow="0" w:firstColumn="1" w:lastColumn="0" w:noHBand="0" w:noVBand="1"/>
      </w:tblPr>
      <w:tblGrid>
        <w:gridCol w:w="3600"/>
        <w:gridCol w:w="6624"/>
      </w:tblGrid>
      <w:tr w:rsidR="000C0AD5" w:rsidRPr="00BF688D" w14:paraId="5D4C6CA1" w14:textId="77777777">
        <w:trPr>
          <w:cantSplit/>
          <w:jc w:val="center"/>
        </w:trPr>
        <w:tc>
          <w:tcPr>
            <w:tcW w:w="3600" w:type="dxa"/>
            <w:shd w:val="clear" w:color="auto" w:fill="1F4E79"/>
            <w:vAlign w:val="center"/>
          </w:tcPr>
          <w:p w14:paraId="6DCF3EF6"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b/>
                <w:color w:val="FFFFFF"/>
                <w:sz w:val="24"/>
                <w:szCs w:val="24"/>
              </w:rPr>
              <w:t>Finding</w:t>
            </w:r>
          </w:p>
        </w:tc>
        <w:tc>
          <w:tcPr>
            <w:tcW w:w="6624" w:type="dxa"/>
            <w:shd w:val="clear" w:color="auto" w:fill="1F4E79"/>
            <w:vAlign w:val="center"/>
          </w:tcPr>
          <w:p w14:paraId="42AF61EC"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b/>
                <w:color w:val="FFFFFF"/>
                <w:sz w:val="24"/>
                <w:szCs w:val="24"/>
              </w:rPr>
              <w:t>Interpretation</w:t>
            </w:r>
          </w:p>
        </w:tc>
      </w:tr>
      <w:tr w:rsidR="000C0AD5" w:rsidRPr="00BF688D" w14:paraId="7F4E24F9" w14:textId="77777777">
        <w:trPr>
          <w:cantSplit/>
          <w:jc w:val="center"/>
        </w:trPr>
        <w:tc>
          <w:tcPr>
            <w:tcW w:w="3600" w:type="dxa"/>
            <w:vAlign w:val="center"/>
          </w:tcPr>
          <w:p w14:paraId="57F04AC8"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County vulnerability is geographically clustered</w:t>
            </w:r>
          </w:p>
        </w:tc>
        <w:tc>
          <w:tcPr>
            <w:tcW w:w="6624" w:type="dxa"/>
            <w:vAlign w:val="center"/>
          </w:tcPr>
          <w:p w14:paraId="3871C2E2"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 xml:space="preserve">Several southern and southeastern Missouri counties repeatedly appeared as high-priority areas across SDOH, care </w:t>
            </w:r>
            <w:proofErr w:type="gramStart"/>
            <w:r w:rsidRPr="00BF688D">
              <w:rPr>
                <w:rFonts w:ascii="Times New Roman" w:hAnsi="Times New Roman" w:cs="Times New Roman"/>
                <w:sz w:val="24"/>
                <w:szCs w:val="24"/>
              </w:rPr>
              <w:t>gap</w:t>
            </w:r>
            <w:proofErr w:type="gramEnd"/>
            <w:r w:rsidRPr="00BF688D">
              <w:rPr>
                <w:rFonts w:ascii="Times New Roman" w:hAnsi="Times New Roman" w:cs="Times New Roman"/>
                <w:sz w:val="24"/>
                <w:szCs w:val="24"/>
              </w:rPr>
              <w:t>, and risk-tier outputs.</w:t>
            </w:r>
          </w:p>
        </w:tc>
      </w:tr>
      <w:tr w:rsidR="000C0AD5" w:rsidRPr="00BF688D" w14:paraId="24CC2A2D" w14:textId="77777777">
        <w:trPr>
          <w:cantSplit/>
          <w:jc w:val="center"/>
        </w:trPr>
        <w:tc>
          <w:tcPr>
            <w:tcW w:w="3600" w:type="dxa"/>
            <w:vAlign w:val="center"/>
          </w:tcPr>
          <w:p w14:paraId="73ED7298"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Large counties drive financial exposure</w:t>
            </w:r>
          </w:p>
        </w:tc>
        <w:tc>
          <w:tcPr>
            <w:tcW w:w="6624" w:type="dxa"/>
            <w:vAlign w:val="center"/>
          </w:tcPr>
          <w:p w14:paraId="77522115"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Counties with large populations may generate substantial estimated avoidable cost even when their vulnerability score is not the highest statewide.</w:t>
            </w:r>
          </w:p>
        </w:tc>
      </w:tr>
      <w:tr w:rsidR="000C0AD5" w:rsidRPr="00BF688D" w14:paraId="6C6C6F85" w14:textId="77777777">
        <w:trPr>
          <w:cantSplit/>
          <w:jc w:val="center"/>
        </w:trPr>
        <w:tc>
          <w:tcPr>
            <w:tcW w:w="3600" w:type="dxa"/>
            <w:vAlign w:val="center"/>
          </w:tcPr>
          <w:p w14:paraId="477ACA74"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ZIP-level analysis adds operational precision</w:t>
            </w:r>
          </w:p>
        </w:tc>
        <w:tc>
          <w:tcPr>
            <w:tcW w:w="6624" w:type="dxa"/>
            <w:vAlign w:val="center"/>
          </w:tcPr>
          <w:p w14:paraId="4CB59044"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St. Louis ZIP/ZCTA analysis identifies local intervention targets that county-level analysis cannot fully resolve.</w:t>
            </w:r>
          </w:p>
        </w:tc>
      </w:tr>
      <w:tr w:rsidR="000C0AD5" w:rsidRPr="00BF688D" w14:paraId="5B1610D4" w14:textId="77777777">
        <w:trPr>
          <w:cantSplit/>
          <w:jc w:val="center"/>
        </w:trPr>
        <w:tc>
          <w:tcPr>
            <w:tcW w:w="3600" w:type="dxa"/>
            <w:vAlign w:val="center"/>
          </w:tcPr>
          <w:p w14:paraId="16FF33F6"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Cost estimates strengthen the value proposition</w:t>
            </w:r>
          </w:p>
        </w:tc>
        <w:tc>
          <w:tcPr>
            <w:tcW w:w="6624" w:type="dxa"/>
            <w:vAlign w:val="center"/>
          </w:tcPr>
          <w:p w14:paraId="5779148C"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 xml:space="preserve">Avoidable cost and potential savings </w:t>
            </w:r>
            <w:proofErr w:type="gramStart"/>
            <w:r w:rsidRPr="00BF688D">
              <w:rPr>
                <w:rFonts w:ascii="Times New Roman" w:hAnsi="Times New Roman" w:cs="Times New Roman"/>
                <w:sz w:val="24"/>
                <w:szCs w:val="24"/>
              </w:rPr>
              <w:t>estimates</w:t>
            </w:r>
            <w:proofErr w:type="gramEnd"/>
            <w:r w:rsidRPr="00BF688D">
              <w:rPr>
                <w:rFonts w:ascii="Times New Roman" w:hAnsi="Times New Roman" w:cs="Times New Roman"/>
                <w:sz w:val="24"/>
                <w:szCs w:val="24"/>
              </w:rPr>
              <w:t xml:space="preserve"> translate health burden into language relevant to healthcare executives and population health leaders.</w:t>
            </w:r>
          </w:p>
        </w:tc>
      </w:tr>
    </w:tbl>
    <w:p w14:paraId="78908A46" w14:textId="77777777" w:rsidR="000C0AD5" w:rsidRPr="00BF688D" w:rsidRDefault="000C0AD5" w:rsidP="008520C5">
      <w:pPr>
        <w:jc w:val="both"/>
        <w:rPr>
          <w:rFonts w:ascii="Times New Roman" w:hAnsi="Times New Roman" w:cs="Times New Roman"/>
          <w:sz w:val="24"/>
          <w:szCs w:val="24"/>
        </w:rPr>
      </w:pPr>
    </w:p>
    <w:p w14:paraId="5C15A9E5" w14:textId="77777777" w:rsidR="000C0AD5" w:rsidRPr="00BF688D" w:rsidRDefault="00000000" w:rsidP="008520C5">
      <w:pPr>
        <w:pStyle w:val="Heading1"/>
        <w:jc w:val="both"/>
        <w:rPr>
          <w:rFonts w:ascii="Times New Roman" w:hAnsi="Times New Roman" w:cs="Times New Roman"/>
          <w:sz w:val="24"/>
          <w:szCs w:val="24"/>
        </w:rPr>
      </w:pPr>
      <w:r w:rsidRPr="00BF688D">
        <w:rPr>
          <w:rFonts w:ascii="Times New Roman" w:hAnsi="Times New Roman" w:cs="Times New Roman"/>
          <w:sz w:val="24"/>
          <w:szCs w:val="24"/>
        </w:rPr>
        <w:t>5. Dashboard Results Summary</w:t>
      </w:r>
    </w:p>
    <w:p w14:paraId="4623A9CE"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The Power BI dashboards were designed as two complementary views: a statewide strategic dashboard and a St. Louis operational dashboard.</w:t>
      </w:r>
    </w:p>
    <w:tbl>
      <w:tblPr>
        <w:tblStyle w:val="TableGrid"/>
        <w:tblW w:w="0" w:type="auto"/>
        <w:jc w:val="center"/>
        <w:tblLook w:val="04A0" w:firstRow="1" w:lastRow="0" w:firstColumn="1" w:lastColumn="0" w:noHBand="0" w:noVBand="1"/>
      </w:tblPr>
      <w:tblGrid>
        <w:gridCol w:w="2549"/>
        <w:gridCol w:w="3382"/>
        <w:gridCol w:w="4365"/>
      </w:tblGrid>
      <w:tr w:rsidR="000C0AD5" w:rsidRPr="00BF688D" w14:paraId="5F718429" w14:textId="77777777">
        <w:trPr>
          <w:cantSplit/>
          <w:jc w:val="center"/>
        </w:trPr>
        <w:tc>
          <w:tcPr>
            <w:tcW w:w="2592" w:type="dxa"/>
            <w:shd w:val="clear" w:color="auto" w:fill="1F4E79"/>
            <w:vAlign w:val="center"/>
          </w:tcPr>
          <w:p w14:paraId="61362817"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b/>
                <w:color w:val="FFFFFF"/>
                <w:sz w:val="24"/>
                <w:szCs w:val="24"/>
              </w:rPr>
              <w:t>Dashboard</w:t>
            </w:r>
          </w:p>
        </w:tc>
        <w:tc>
          <w:tcPr>
            <w:tcW w:w="3456" w:type="dxa"/>
            <w:shd w:val="clear" w:color="auto" w:fill="1F4E79"/>
            <w:vAlign w:val="center"/>
          </w:tcPr>
          <w:p w14:paraId="75ACD58A"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b/>
                <w:color w:val="FFFFFF"/>
                <w:sz w:val="24"/>
                <w:szCs w:val="24"/>
              </w:rPr>
              <w:t>Main purpose</w:t>
            </w:r>
          </w:p>
        </w:tc>
        <w:tc>
          <w:tcPr>
            <w:tcW w:w="4464" w:type="dxa"/>
            <w:shd w:val="clear" w:color="auto" w:fill="1F4E79"/>
            <w:vAlign w:val="center"/>
          </w:tcPr>
          <w:p w14:paraId="02891183"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b/>
                <w:color w:val="FFFFFF"/>
                <w:sz w:val="24"/>
                <w:szCs w:val="24"/>
              </w:rPr>
              <w:t>Headline metrics shown</w:t>
            </w:r>
          </w:p>
        </w:tc>
      </w:tr>
      <w:tr w:rsidR="000C0AD5" w:rsidRPr="00BF688D" w14:paraId="11FCE059" w14:textId="77777777">
        <w:trPr>
          <w:cantSplit/>
          <w:jc w:val="center"/>
        </w:trPr>
        <w:tc>
          <w:tcPr>
            <w:tcW w:w="2592" w:type="dxa"/>
            <w:vAlign w:val="center"/>
          </w:tcPr>
          <w:p w14:paraId="20E8143B"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Missouri county dashboard</w:t>
            </w:r>
          </w:p>
        </w:tc>
        <w:tc>
          <w:tcPr>
            <w:tcW w:w="3456" w:type="dxa"/>
            <w:vAlign w:val="center"/>
          </w:tcPr>
          <w:p w14:paraId="025CE52B"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Strategic statewide population health view</w:t>
            </w:r>
          </w:p>
        </w:tc>
        <w:tc>
          <w:tcPr>
            <w:tcW w:w="4464" w:type="dxa"/>
            <w:vAlign w:val="center"/>
          </w:tcPr>
          <w:p w14:paraId="40D04BE8"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114 unique county names, approximately $774.9M estimated avoidable cost burden, approximately $155.0M potential savings opportunity.</w:t>
            </w:r>
          </w:p>
        </w:tc>
      </w:tr>
      <w:tr w:rsidR="000C0AD5" w:rsidRPr="00BF688D" w14:paraId="39A4A920" w14:textId="77777777">
        <w:trPr>
          <w:cantSplit/>
          <w:jc w:val="center"/>
        </w:trPr>
        <w:tc>
          <w:tcPr>
            <w:tcW w:w="2592" w:type="dxa"/>
            <w:vAlign w:val="center"/>
          </w:tcPr>
          <w:p w14:paraId="2D377161"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St. Louis ZIP dashboard</w:t>
            </w:r>
          </w:p>
        </w:tc>
        <w:tc>
          <w:tcPr>
            <w:tcW w:w="3456" w:type="dxa"/>
            <w:vAlign w:val="center"/>
          </w:tcPr>
          <w:p w14:paraId="43054ECF"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Local operational targeting view</w:t>
            </w:r>
          </w:p>
        </w:tc>
        <w:tc>
          <w:tcPr>
            <w:tcW w:w="4464" w:type="dxa"/>
            <w:vAlign w:val="center"/>
          </w:tcPr>
          <w:p w14:paraId="3DAD3A5C"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45 ZIP/ZCTA areas, approximately $78.2M estimated avoidable cost burden, approximately $16M potential savings opportunity.</w:t>
            </w:r>
          </w:p>
        </w:tc>
      </w:tr>
    </w:tbl>
    <w:p w14:paraId="7CF8F1F6" w14:textId="77777777" w:rsidR="000C0AD5" w:rsidRPr="00BF688D" w:rsidRDefault="000C0AD5" w:rsidP="008520C5">
      <w:pPr>
        <w:jc w:val="both"/>
        <w:rPr>
          <w:rFonts w:ascii="Times New Roman" w:hAnsi="Times New Roman" w:cs="Times New Roman"/>
          <w:sz w:val="24"/>
          <w:szCs w:val="24"/>
        </w:rPr>
      </w:pPr>
    </w:p>
    <w:p w14:paraId="75675330" w14:textId="77777777" w:rsidR="000C0AD5" w:rsidRPr="00BF688D" w:rsidRDefault="00000000" w:rsidP="008520C5">
      <w:pPr>
        <w:pStyle w:val="Heading1"/>
        <w:jc w:val="both"/>
        <w:rPr>
          <w:rFonts w:ascii="Times New Roman" w:hAnsi="Times New Roman" w:cs="Times New Roman"/>
          <w:sz w:val="24"/>
          <w:szCs w:val="24"/>
        </w:rPr>
      </w:pPr>
      <w:r w:rsidRPr="00BF688D">
        <w:rPr>
          <w:rFonts w:ascii="Times New Roman" w:hAnsi="Times New Roman" w:cs="Times New Roman"/>
          <w:sz w:val="24"/>
          <w:szCs w:val="24"/>
        </w:rPr>
        <w:t>6. Interpretation for Healthcare Operations</w:t>
      </w:r>
    </w:p>
    <w:p w14:paraId="17EF5D23"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 xml:space="preserve">The analysis is useful because it separates intensity of vulnerability from scale of operational burden. A rural county may have a very high vulnerability score but a smaller population; a large metropolitan </w:t>
      </w:r>
      <w:r w:rsidRPr="00BF688D">
        <w:rPr>
          <w:rFonts w:ascii="Times New Roman" w:hAnsi="Times New Roman" w:cs="Times New Roman"/>
          <w:sz w:val="24"/>
          <w:szCs w:val="24"/>
        </w:rPr>
        <w:lastRenderedPageBreak/>
        <w:t>county may have a lower score but higher total estimated cost exposure. Both matter, but they answer different operational questions. Vulnerability scores help identify severity. Cost estimates help identify potential scale of impact. ZIP-level priority categories help translate analysis into action.</w:t>
      </w:r>
    </w:p>
    <w:p w14:paraId="54D4D590" w14:textId="77777777" w:rsidR="000C0AD5" w:rsidRPr="00BF688D" w:rsidRDefault="00000000" w:rsidP="008520C5">
      <w:pPr>
        <w:pStyle w:val="Heading1"/>
        <w:jc w:val="both"/>
        <w:rPr>
          <w:rFonts w:ascii="Times New Roman" w:hAnsi="Times New Roman" w:cs="Times New Roman"/>
          <w:sz w:val="24"/>
          <w:szCs w:val="24"/>
        </w:rPr>
      </w:pPr>
      <w:r w:rsidRPr="00BF688D">
        <w:rPr>
          <w:rFonts w:ascii="Times New Roman" w:hAnsi="Times New Roman" w:cs="Times New Roman"/>
          <w:sz w:val="24"/>
          <w:szCs w:val="24"/>
        </w:rPr>
        <w:t>7. ConnexiCare Relevance</w:t>
      </w:r>
    </w:p>
    <w:p w14:paraId="0411EAF4"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 xml:space="preserve">The project is directly aligned with a care coordination platform concept because it demonstrates how public data can support market intelligence, intervention targeting, and population health prioritization. A platform such as ConnexiCare could use similar logic to help health systems identify </w:t>
      </w:r>
      <w:proofErr w:type="gramStart"/>
      <w:r w:rsidRPr="00BF688D">
        <w:rPr>
          <w:rFonts w:ascii="Times New Roman" w:hAnsi="Times New Roman" w:cs="Times New Roman"/>
          <w:sz w:val="24"/>
          <w:szCs w:val="24"/>
        </w:rPr>
        <w:t>where</w:t>
      </w:r>
      <w:proofErr w:type="gramEnd"/>
      <w:r w:rsidRPr="00BF688D">
        <w:rPr>
          <w:rFonts w:ascii="Times New Roman" w:hAnsi="Times New Roman" w:cs="Times New Roman"/>
          <w:sz w:val="24"/>
          <w:szCs w:val="24"/>
        </w:rPr>
        <w:t xml:space="preserve"> care navigation, CHW outreach, post-discharge coordination, or SDOH referral workflows should be targeted first.</w:t>
      </w:r>
    </w:p>
    <w:p w14:paraId="3E6F4CDC" w14:textId="77777777" w:rsidR="000C0AD5" w:rsidRPr="00BF688D" w:rsidRDefault="00000000" w:rsidP="008520C5">
      <w:pPr>
        <w:pStyle w:val="Heading1"/>
        <w:jc w:val="both"/>
        <w:rPr>
          <w:rFonts w:ascii="Times New Roman" w:hAnsi="Times New Roman" w:cs="Times New Roman"/>
          <w:sz w:val="24"/>
          <w:szCs w:val="24"/>
        </w:rPr>
      </w:pPr>
      <w:r w:rsidRPr="00BF688D">
        <w:rPr>
          <w:rFonts w:ascii="Times New Roman" w:hAnsi="Times New Roman" w:cs="Times New Roman"/>
          <w:sz w:val="24"/>
          <w:szCs w:val="24"/>
        </w:rPr>
        <w:t>8. Practical Use Cases</w:t>
      </w:r>
    </w:p>
    <w:p w14:paraId="4EE472EE" w14:textId="77777777" w:rsidR="000C0AD5" w:rsidRPr="00BF688D" w:rsidRDefault="00000000" w:rsidP="008520C5">
      <w:pPr>
        <w:pStyle w:val="ListBullet"/>
        <w:jc w:val="both"/>
        <w:rPr>
          <w:rFonts w:ascii="Times New Roman" w:hAnsi="Times New Roman" w:cs="Times New Roman"/>
          <w:sz w:val="24"/>
          <w:szCs w:val="24"/>
        </w:rPr>
      </w:pPr>
      <w:r w:rsidRPr="00BF688D">
        <w:rPr>
          <w:rFonts w:ascii="Times New Roman" w:hAnsi="Times New Roman" w:cs="Times New Roman"/>
          <w:sz w:val="24"/>
          <w:szCs w:val="24"/>
        </w:rPr>
        <w:t>A hospital system could use the county dashboard to identify counties with high estimated avoidable burden and plan outreach expansion.</w:t>
      </w:r>
    </w:p>
    <w:p w14:paraId="2D19FA97" w14:textId="77777777" w:rsidR="000C0AD5" w:rsidRPr="00BF688D" w:rsidRDefault="00000000" w:rsidP="008520C5">
      <w:pPr>
        <w:pStyle w:val="ListBullet"/>
        <w:jc w:val="both"/>
        <w:rPr>
          <w:rFonts w:ascii="Times New Roman" w:hAnsi="Times New Roman" w:cs="Times New Roman"/>
          <w:sz w:val="24"/>
          <w:szCs w:val="24"/>
        </w:rPr>
      </w:pPr>
      <w:r w:rsidRPr="00BF688D">
        <w:rPr>
          <w:rFonts w:ascii="Times New Roman" w:hAnsi="Times New Roman" w:cs="Times New Roman"/>
          <w:sz w:val="24"/>
          <w:szCs w:val="24"/>
        </w:rPr>
        <w:t>An FQHC or community health organization could use the ZIP dashboard to prioritize neighborhoods for CHW deployment.</w:t>
      </w:r>
    </w:p>
    <w:p w14:paraId="58AF3C6F" w14:textId="77777777" w:rsidR="000C0AD5" w:rsidRPr="00BF688D" w:rsidRDefault="00000000" w:rsidP="008520C5">
      <w:pPr>
        <w:pStyle w:val="ListBullet"/>
        <w:jc w:val="both"/>
        <w:rPr>
          <w:rFonts w:ascii="Times New Roman" w:hAnsi="Times New Roman" w:cs="Times New Roman"/>
          <w:sz w:val="24"/>
          <w:szCs w:val="24"/>
        </w:rPr>
      </w:pPr>
      <w:r w:rsidRPr="00BF688D">
        <w:rPr>
          <w:rFonts w:ascii="Times New Roman" w:hAnsi="Times New Roman" w:cs="Times New Roman"/>
          <w:sz w:val="24"/>
          <w:szCs w:val="24"/>
        </w:rPr>
        <w:t>A Medicaid managed care or value-based care team could use the risk tiers to segment geographies for care management strategy.</w:t>
      </w:r>
    </w:p>
    <w:p w14:paraId="55AE5666" w14:textId="77777777" w:rsidR="000C0AD5" w:rsidRPr="00BF688D" w:rsidRDefault="00000000" w:rsidP="008520C5">
      <w:pPr>
        <w:pStyle w:val="ListBullet"/>
        <w:jc w:val="both"/>
        <w:rPr>
          <w:rFonts w:ascii="Times New Roman" w:hAnsi="Times New Roman" w:cs="Times New Roman"/>
          <w:sz w:val="24"/>
          <w:szCs w:val="24"/>
        </w:rPr>
      </w:pPr>
      <w:r w:rsidRPr="00BF688D">
        <w:rPr>
          <w:rFonts w:ascii="Times New Roman" w:hAnsi="Times New Roman" w:cs="Times New Roman"/>
          <w:sz w:val="24"/>
          <w:szCs w:val="24"/>
        </w:rPr>
        <w:t>A student portfolio reviewer or internship recruiter can use the project to evaluate skills in Python, Power BI, geospatial analytics, and healthcare domain reasoning.</w:t>
      </w:r>
    </w:p>
    <w:p w14:paraId="1C356C5C" w14:textId="77777777" w:rsidR="000C0AD5" w:rsidRPr="00BF688D" w:rsidRDefault="00000000" w:rsidP="008520C5">
      <w:pPr>
        <w:pStyle w:val="Heading1"/>
        <w:jc w:val="both"/>
        <w:rPr>
          <w:rFonts w:ascii="Times New Roman" w:hAnsi="Times New Roman" w:cs="Times New Roman"/>
          <w:sz w:val="24"/>
          <w:szCs w:val="24"/>
        </w:rPr>
      </w:pPr>
      <w:r w:rsidRPr="00BF688D">
        <w:rPr>
          <w:rFonts w:ascii="Times New Roman" w:hAnsi="Times New Roman" w:cs="Times New Roman"/>
          <w:sz w:val="24"/>
          <w:szCs w:val="24"/>
        </w:rPr>
        <w:t>9. Limitations and Cautions</w:t>
      </w:r>
    </w:p>
    <w:p w14:paraId="488ACF14" w14:textId="77777777" w:rsidR="000C0AD5" w:rsidRPr="00BF688D" w:rsidRDefault="00000000" w:rsidP="008520C5">
      <w:pPr>
        <w:jc w:val="both"/>
        <w:rPr>
          <w:rFonts w:ascii="Times New Roman" w:hAnsi="Times New Roman" w:cs="Times New Roman"/>
          <w:sz w:val="24"/>
          <w:szCs w:val="24"/>
        </w:rPr>
      </w:pPr>
      <w:r w:rsidRPr="00BF688D">
        <w:rPr>
          <w:rFonts w:ascii="Times New Roman" w:hAnsi="Times New Roman" w:cs="Times New Roman"/>
          <w:sz w:val="24"/>
          <w:szCs w:val="24"/>
        </w:rPr>
        <w:t xml:space="preserve">The project is descriptive and decision-support oriented. It does not replace claims analysis, patient attribution, or actuarial modeling. The cost estimates are directional. FQHC site counts do not measure capacity or care coordination staffing. ACS and PLACES data represent estimates and should be interpreted </w:t>
      </w:r>
      <w:proofErr w:type="gramStart"/>
      <w:r w:rsidRPr="00BF688D">
        <w:rPr>
          <w:rFonts w:ascii="Times New Roman" w:hAnsi="Times New Roman" w:cs="Times New Roman"/>
          <w:sz w:val="24"/>
          <w:szCs w:val="24"/>
        </w:rPr>
        <w:t>with measurement</w:t>
      </w:r>
      <w:proofErr w:type="gramEnd"/>
      <w:r w:rsidRPr="00BF688D">
        <w:rPr>
          <w:rFonts w:ascii="Times New Roman" w:hAnsi="Times New Roman" w:cs="Times New Roman"/>
          <w:sz w:val="24"/>
          <w:szCs w:val="24"/>
        </w:rPr>
        <w:t xml:space="preserve"> uncertainty in mind.</w:t>
      </w:r>
    </w:p>
    <w:p w14:paraId="1036FAF3" w14:textId="77777777" w:rsidR="000C0AD5" w:rsidRPr="00BF688D" w:rsidRDefault="00000000" w:rsidP="008520C5">
      <w:pPr>
        <w:pStyle w:val="Heading1"/>
        <w:jc w:val="both"/>
        <w:rPr>
          <w:rFonts w:ascii="Times New Roman" w:hAnsi="Times New Roman" w:cs="Times New Roman"/>
          <w:sz w:val="24"/>
          <w:szCs w:val="24"/>
        </w:rPr>
      </w:pPr>
      <w:r w:rsidRPr="00BF688D">
        <w:rPr>
          <w:rFonts w:ascii="Times New Roman" w:hAnsi="Times New Roman" w:cs="Times New Roman"/>
          <w:sz w:val="24"/>
          <w:szCs w:val="24"/>
        </w:rPr>
        <w:t>10. Recommended Next Steps</w:t>
      </w:r>
    </w:p>
    <w:p w14:paraId="2845F719" w14:textId="77777777" w:rsidR="000C0AD5" w:rsidRPr="00BF688D" w:rsidRDefault="00000000" w:rsidP="008520C5">
      <w:pPr>
        <w:pStyle w:val="ListBullet"/>
        <w:jc w:val="both"/>
        <w:rPr>
          <w:rFonts w:ascii="Times New Roman" w:hAnsi="Times New Roman" w:cs="Times New Roman"/>
          <w:sz w:val="24"/>
          <w:szCs w:val="24"/>
        </w:rPr>
      </w:pPr>
      <w:r w:rsidRPr="00BF688D">
        <w:rPr>
          <w:rFonts w:ascii="Times New Roman" w:hAnsi="Times New Roman" w:cs="Times New Roman"/>
          <w:sz w:val="24"/>
          <w:szCs w:val="24"/>
        </w:rPr>
        <w:t>Package the notebooks, dashboards, datasets, and screenshots in a professional GitHub repository.</w:t>
      </w:r>
    </w:p>
    <w:p w14:paraId="1F25441D" w14:textId="77777777" w:rsidR="000C0AD5" w:rsidRPr="00BF688D" w:rsidRDefault="00000000" w:rsidP="008520C5">
      <w:pPr>
        <w:pStyle w:val="ListBullet"/>
        <w:jc w:val="both"/>
        <w:rPr>
          <w:rFonts w:ascii="Times New Roman" w:hAnsi="Times New Roman" w:cs="Times New Roman"/>
          <w:sz w:val="24"/>
          <w:szCs w:val="24"/>
        </w:rPr>
      </w:pPr>
      <w:r w:rsidRPr="00BF688D">
        <w:rPr>
          <w:rFonts w:ascii="Times New Roman" w:hAnsi="Times New Roman" w:cs="Times New Roman"/>
          <w:sz w:val="24"/>
          <w:szCs w:val="24"/>
        </w:rPr>
        <w:t>Create a concise LinkedIn project summary emphasizing healthcare analytics and population health intelligence.</w:t>
      </w:r>
    </w:p>
    <w:p w14:paraId="73B2D1B1" w14:textId="77777777" w:rsidR="000C0AD5" w:rsidRPr="00BF688D" w:rsidRDefault="00000000" w:rsidP="008520C5">
      <w:pPr>
        <w:pStyle w:val="ListBullet"/>
        <w:jc w:val="both"/>
        <w:rPr>
          <w:rFonts w:ascii="Times New Roman" w:hAnsi="Times New Roman" w:cs="Times New Roman"/>
          <w:sz w:val="24"/>
          <w:szCs w:val="24"/>
        </w:rPr>
      </w:pPr>
      <w:r w:rsidRPr="00BF688D">
        <w:rPr>
          <w:rFonts w:ascii="Times New Roman" w:hAnsi="Times New Roman" w:cs="Times New Roman"/>
          <w:sz w:val="24"/>
          <w:szCs w:val="24"/>
        </w:rPr>
        <w:t>Develop a short project presentation for interviews or professor discussions.</w:t>
      </w:r>
    </w:p>
    <w:p w14:paraId="2E23663E" w14:textId="77777777" w:rsidR="000C0AD5" w:rsidRPr="00BF688D" w:rsidRDefault="00000000" w:rsidP="008520C5">
      <w:pPr>
        <w:pStyle w:val="ListBullet"/>
        <w:jc w:val="both"/>
        <w:rPr>
          <w:rFonts w:ascii="Times New Roman" w:hAnsi="Times New Roman" w:cs="Times New Roman"/>
          <w:sz w:val="24"/>
          <w:szCs w:val="24"/>
        </w:rPr>
      </w:pPr>
      <w:r w:rsidRPr="00BF688D">
        <w:rPr>
          <w:rFonts w:ascii="Times New Roman" w:hAnsi="Times New Roman" w:cs="Times New Roman"/>
          <w:sz w:val="24"/>
          <w:szCs w:val="24"/>
        </w:rPr>
        <w:t>If pursuing a research pathway, refine the methodology into a formal manuscript structure with uncertainty analysis and literature review.</w:t>
      </w:r>
    </w:p>
    <w:p w14:paraId="1F162494" w14:textId="77777777" w:rsidR="000C0AD5" w:rsidRPr="00BF688D" w:rsidRDefault="00000000" w:rsidP="008520C5">
      <w:pPr>
        <w:pStyle w:val="ListBullet"/>
        <w:jc w:val="both"/>
        <w:rPr>
          <w:rFonts w:ascii="Times New Roman" w:hAnsi="Times New Roman" w:cs="Times New Roman"/>
          <w:sz w:val="24"/>
          <w:szCs w:val="24"/>
        </w:rPr>
      </w:pPr>
      <w:r w:rsidRPr="00BF688D">
        <w:rPr>
          <w:rFonts w:ascii="Times New Roman" w:hAnsi="Times New Roman" w:cs="Times New Roman"/>
          <w:sz w:val="24"/>
          <w:szCs w:val="24"/>
        </w:rPr>
        <w:t>If aligning with ConnexiCare, use the project as evidence of problem understanding and potential customer discovery framing.</w:t>
      </w:r>
    </w:p>
    <w:p w14:paraId="2F860341" w14:textId="77777777" w:rsidR="000C0AD5" w:rsidRPr="00BF688D" w:rsidRDefault="00000000" w:rsidP="008520C5">
      <w:pPr>
        <w:pStyle w:val="Heading1"/>
        <w:jc w:val="both"/>
        <w:rPr>
          <w:rFonts w:ascii="Times New Roman" w:hAnsi="Times New Roman" w:cs="Times New Roman"/>
          <w:sz w:val="24"/>
          <w:szCs w:val="24"/>
        </w:rPr>
      </w:pPr>
      <w:r w:rsidRPr="00BF688D">
        <w:rPr>
          <w:rFonts w:ascii="Times New Roman" w:hAnsi="Times New Roman" w:cs="Times New Roman"/>
          <w:sz w:val="24"/>
          <w:szCs w:val="24"/>
        </w:rPr>
        <w:t>References</w:t>
      </w:r>
    </w:p>
    <w:p w14:paraId="4337A503" w14:textId="77777777" w:rsidR="000C0AD5" w:rsidRPr="00BF688D" w:rsidRDefault="00000000" w:rsidP="008520C5">
      <w:pPr>
        <w:pStyle w:val="ListNumber"/>
        <w:jc w:val="both"/>
        <w:rPr>
          <w:rFonts w:ascii="Times New Roman" w:hAnsi="Times New Roman" w:cs="Times New Roman"/>
          <w:sz w:val="24"/>
          <w:szCs w:val="24"/>
        </w:rPr>
      </w:pPr>
      <w:r w:rsidRPr="00BF688D">
        <w:rPr>
          <w:rFonts w:ascii="Times New Roman" w:hAnsi="Times New Roman" w:cs="Times New Roman"/>
          <w:sz w:val="24"/>
          <w:szCs w:val="24"/>
        </w:rPr>
        <w:t>Centers for Disease Control and Prevention. PLACES: Local Data for Better Health. County and ZIP Code Tabulation Area data, 2025 release. Data.CDC.gov.</w:t>
      </w:r>
    </w:p>
    <w:p w14:paraId="48C23A1B" w14:textId="77777777" w:rsidR="000C0AD5" w:rsidRPr="00BF688D" w:rsidRDefault="00000000" w:rsidP="008520C5">
      <w:pPr>
        <w:pStyle w:val="ListNumber"/>
        <w:jc w:val="both"/>
        <w:rPr>
          <w:rFonts w:ascii="Times New Roman" w:hAnsi="Times New Roman" w:cs="Times New Roman"/>
          <w:sz w:val="24"/>
          <w:szCs w:val="24"/>
        </w:rPr>
      </w:pPr>
      <w:r w:rsidRPr="00BF688D">
        <w:rPr>
          <w:rFonts w:ascii="Times New Roman" w:hAnsi="Times New Roman" w:cs="Times New Roman"/>
          <w:sz w:val="24"/>
          <w:szCs w:val="24"/>
        </w:rPr>
        <w:t>U.S. Census Bureau. American Community Survey 5-Year Data API, 2023 ACS 5-year estimates.</w:t>
      </w:r>
    </w:p>
    <w:p w14:paraId="5E3C0BBA" w14:textId="77777777" w:rsidR="000C0AD5" w:rsidRPr="00BF688D" w:rsidRDefault="00000000" w:rsidP="008520C5">
      <w:pPr>
        <w:pStyle w:val="ListNumber"/>
        <w:jc w:val="both"/>
        <w:rPr>
          <w:rFonts w:ascii="Times New Roman" w:hAnsi="Times New Roman" w:cs="Times New Roman"/>
          <w:sz w:val="24"/>
          <w:szCs w:val="24"/>
        </w:rPr>
      </w:pPr>
      <w:r w:rsidRPr="00BF688D">
        <w:rPr>
          <w:rFonts w:ascii="Times New Roman" w:hAnsi="Times New Roman" w:cs="Times New Roman"/>
          <w:sz w:val="24"/>
          <w:szCs w:val="24"/>
        </w:rPr>
        <w:lastRenderedPageBreak/>
        <w:t>Health Resources and Services Administration. Health Center Service Delivery and Look-Alike Sites data download.</w:t>
      </w:r>
    </w:p>
    <w:p w14:paraId="409ACA51" w14:textId="77777777" w:rsidR="000C0AD5" w:rsidRPr="00BF688D" w:rsidRDefault="00000000" w:rsidP="008520C5">
      <w:pPr>
        <w:pStyle w:val="ListNumber"/>
        <w:jc w:val="both"/>
        <w:rPr>
          <w:rFonts w:ascii="Times New Roman" w:hAnsi="Times New Roman" w:cs="Times New Roman"/>
          <w:sz w:val="24"/>
          <w:szCs w:val="24"/>
        </w:rPr>
      </w:pPr>
      <w:r w:rsidRPr="00BF688D">
        <w:rPr>
          <w:rFonts w:ascii="Times New Roman" w:hAnsi="Times New Roman" w:cs="Times New Roman"/>
          <w:sz w:val="24"/>
          <w:szCs w:val="24"/>
        </w:rPr>
        <w:t>Centers for Medicare &amp; Medicaid Services. Hospital Readmissions Reduction Program dataset and program documentation.</w:t>
      </w:r>
    </w:p>
    <w:p w14:paraId="0D5066E9" w14:textId="77777777" w:rsidR="000C0AD5" w:rsidRPr="00BF688D" w:rsidRDefault="00000000" w:rsidP="008520C5">
      <w:pPr>
        <w:pStyle w:val="ListNumber"/>
        <w:jc w:val="both"/>
        <w:rPr>
          <w:rFonts w:ascii="Times New Roman" w:hAnsi="Times New Roman" w:cs="Times New Roman"/>
          <w:sz w:val="24"/>
          <w:szCs w:val="24"/>
        </w:rPr>
      </w:pPr>
      <w:r w:rsidRPr="00BF688D">
        <w:rPr>
          <w:rFonts w:ascii="Times New Roman" w:hAnsi="Times New Roman" w:cs="Times New Roman"/>
          <w:sz w:val="24"/>
          <w:szCs w:val="24"/>
        </w:rPr>
        <w:t>Centers for Medicare &amp; Medicaid Services. Hospital Readmissions Reduction Program: payment and quality program overview.</w:t>
      </w:r>
    </w:p>
    <w:sectPr w:rsidR="000C0AD5" w:rsidRPr="00BF688D"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FA722" w14:textId="77777777" w:rsidR="00FE4DED" w:rsidRDefault="00FE4DED">
      <w:pPr>
        <w:spacing w:after="0" w:line="240" w:lineRule="auto"/>
      </w:pPr>
      <w:r>
        <w:separator/>
      </w:r>
    </w:p>
  </w:endnote>
  <w:endnote w:type="continuationSeparator" w:id="0">
    <w:p w14:paraId="77E8A6C7" w14:textId="77777777" w:rsidR="00FE4DED" w:rsidRDefault="00FE4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32061" w14:textId="77777777" w:rsidR="000C0AD5" w:rsidRDefault="00000000">
    <w:pPr>
      <w:pStyle w:val="Footer"/>
      <w:jc w:val="center"/>
    </w:pPr>
    <w:r>
      <w:rPr>
        <w:color w:val="5A5A5A"/>
        <w:sz w:val="16"/>
      </w:rPr>
      <w:t>Missouri Care Gap Analytics | Prepared for portfolio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D7157" w14:textId="77777777" w:rsidR="00FE4DED" w:rsidRDefault="00FE4DED">
      <w:pPr>
        <w:spacing w:after="0" w:line="240" w:lineRule="auto"/>
      </w:pPr>
      <w:r>
        <w:separator/>
      </w:r>
    </w:p>
  </w:footnote>
  <w:footnote w:type="continuationSeparator" w:id="0">
    <w:p w14:paraId="40F33B5B" w14:textId="77777777" w:rsidR="00FE4DED" w:rsidRDefault="00FE4D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6E0A9" w14:textId="77777777" w:rsidR="000C0AD5" w:rsidRDefault="00000000">
    <w:pPr>
      <w:pStyle w:val="Header"/>
      <w:jc w:val="right"/>
    </w:pPr>
    <w:r>
      <w:rPr>
        <w:color w:val="5A5A5A"/>
        <w:sz w:val="16"/>
      </w:rPr>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0070116">
    <w:abstractNumId w:val="8"/>
  </w:num>
  <w:num w:numId="2" w16cid:durableId="831024557">
    <w:abstractNumId w:val="6"/>
  </w:num>
  <w:num w:numId="3" w16cid:durableId="564729503">
    <w:abstractNumId w:val="5"/>
  </w:num>
  <w:num w:numId="4" w16cid:durableId="734158438">
    <w:abstractNumId w:val="4"/>
  </w:num>
  <w:num w:numId="5" w16cid:durableId="745037827">
    <w:abstractNumId w:val="7"/>
  </w:num>
  <w:num w:numId="6" w16cid:durableId="1332413827">
    <w:abstractNumId w:val="3"/>
  </w:num>
  <w:num w:numId="7" w16cid:durableId="1011489745">
    <w:abstractNumId w:val="2"/>
  </w:num>
  <w:num w:numId="8" w16cid:durableId="1021859951">
    <w:abstractNumId w:val="1"/>
  </w:num>
  <w:num w:numId="9" w16cid:durableId="685710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AD5"/>
    <w:rsid w:val="0015074B"/>
    <w:rsid w:val="0029639D"/>
    <w:rsid w:val="00326F90"/>
    <w:rsid w:val="008520C5"/>
    <w:rsid w:val="00A21A88"/>
    <w:rsid w:val="00AA1D8D"/>
    <w:rsid w:val="00B47730"/>
    <w:rsid w:val="00BF688D"/>
    <w:rsid w:val="00CB0664"/>
    <w:rsid w:val="00FC693F"/>
    <w:rsid w:val="00FE4D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4CA8C"/>
  <w14:defaultImageDpi w14:val="300"/>
  <w15:docId w15:val="{FA49E9F1-05C1-4F31-9C5B-2AA7439FA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3232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2D5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A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9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E2D5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xText">
    <w:name w:val="BoxText"/>
    <w:rPr>
      <w:rFonts w:ascii="Aptos" w:hAnsi="Aptos"/>
      <w:color w:val="23232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1103</Words>
  <Characters>6289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Brighton Dumo</cp:lastModifiedBy>
  <cp:revision>4</cp:revision>
  <dcterms:created xsi:type="dcterms:W3CDTF">2013-12-23T23:15:00Z</dcterms:created>
  <dcterms:modified xsi:type="dcterms:W3CDTF">2026-05-10T05:57:00Z</dcterms:modified>
  <cp:category/>
</cp:coreProperties>
</file>